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sz w:val="22"/>
          <w:szCs w:val="2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sz w:val="22"/>
          <w:szCs w:val="22"/>
        </w:rPr>
      </w:pPr>
      <w:r w:rsidDel="00000000" w:rsidR="00000000" w:rsidRPr="00000000">
        <w:rPr>
          <w:rtl w:val="0"/>
        </w:rPr>
      </w:r>
    </w:p>
    <w:p w:rsidR="00000000" w:rsidDel="00000000" w:rsidP="00000000" w:rsidRDefault="00000000" w:rsidRPr="00000000" w14:paraId="00000003">
      <w:pPr>
        <w:spacing w:line="360" w:lineRule="auto"/>
        <w:rPr>
          <w:sz w:val="22"/>
          <w:szCs w:val="22"/>
        </w:rPr>
      </w:pPr>
      <w:r w:rsidDel="00000000" w:rsidR="00000000" w:rsidRPr="00000000">
        <w:rPr>
          <w:rtl w:val="0"/>
        </w:rPr>
      </w:r>
    </w:p>
    <w:p w:rsidR="00000000" w:rsidDel="00000000" w:rsidP="00000000" w:rsidRDefault="00000000" w:rsidRPr="00000000" w14:paraId="00000004">
      <w:pPr>
        <w:spacing w:line="360" w:lineRule="auto"/>
        <w:rPr>
          <w:sz w:val="22"/>
          <w:szCs w:val="22"/>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and social care </w:t>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 LCHS 4003</w:t>
      </w:r>
      <w:r w:rsidDel="00000000" w:rsidR="00000000" w:rsidRPr="00000000">
        <w:rPr>
          <w:rtl w:val="0"/>
        </w:rPr>
      </w:r>
    </w:p>
    <w:p w:rsidR="00000000" w:rsidDel="00000000" w:rsidP="00000000" w:rsidRDefault="00000000" w:rsidRPr="00000000" w14:paraId="00000008">
      <w:pPr>
        <w:tabs>
          <w:tab w:val="left" w:leader="none" w:pos="6540"/>
        </w:tabs>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:ARLETTE LUTALA</w:t>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:2511892</w:t>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Lecturer’s name</w:t>
      </w:r>
      <w:r w:rsidDel="00000000" w:rsidR="00000000" w:rsidRPr="00000000">
        <w:rPr>
          <w:rFonts w:ascii="Arial" w:cs="Arial" w:eastAsia="Arial" w:hAnsi="Arial"/>
          <w:sz w:val="28"/>
          <w:szCs w:val="28"/>
          <w:rtl w:val="0"/>
        </w:rPr>
        <w:t xml:space="preserve">:DR BESTY JOSE </w:t>
      </w:r>
    </w:p>
    <w:p w:rsidR="00000000" w:rsidDel="00000000" w:rsidP="00000000" w:rsidRDefault="00000000" w:rsidRPr="00000000" w14:paraId="0000000D">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E">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F">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10">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11">
      <w:pPr>
        <w:spacing w:line="360" w:lineRule="auto"/>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r w:rsidDel="00000000" w:rsidR="00000000" w:rsidRPr="00000000">
        <w:rPr>
          <w:rtl w:val="0"/>
        </w:rPr>
        <w:t xml:space="preserve">Table of contents</w:t>
      </w:r>
    </w:p>
    <w:p w:rsidR="00000000" w:rsidDel="00000000" w:rsidP="00000000" w:rsidRDefault="00000000" w:rsidRPr="00000000" w14:paraId="00000013">
      <w:pPr>
        <w:spacing w:line="360" w:lineRule="auto"/>
        <w:rPr>
          <w:sz w:val="22"/>
          <w:szCs w:val="22"/>
        </w:rPr>
      </w:pPr>
      <w:r w:rsidDel="00000000" w:rsidR="00000000" w:rsidRPr="00000000">
        <w:rPr>
          <w:rtl w:val="0"/>
        </w:rPr>
      </w:r>
    </w:p>
    <w:p w:rsidR="00000000" w:rsidDel="00000000" w:rsidP="00000000" w:rsidRDefault="00000000" w:rsidRPr="00000000" w14:paraId="00000014">
      <w:pPr>
        <w:spacing w:line="360" w:lineRule="auto"/>
        <w:rPr>
          <w:sz w:val="22"/>
          <w:szCs w:val="22"/>
        </w:rPr>
      </w:pPr>
      <w:r w:rsidDel="00000000" w:rsidR="00000000" w:rsidRPr="00000000">
        <w:rPr>
          <w:rtl w:val="0"/>
        </w:rPr>
      </w:r>
    </w:p>
    <w:p w:rsidR="00000000" w:rsidDel="00000000" w:rsidP="00000000" w:rsidRDefault="00000000" w:rsidRPr="00000000" w14:paraId="00000015">
      <w:pPr>
        <w:spacing w:line="360" w:lineRule="auto"/>
        <w:rPr>
          <w:sz w:val="22"/>
          <w:szCs w:val="22"/>
        </w:rPr>
      </w:pPr>
      <w:r w:rsidDel="00000000" w:rsidR="00000000" w:rsidRPr="00000000">
        <w:rPr>
          <w:rtl w:val="0"/>
        </w:rPr>
      </w:r>
    </w:p>
    <w:p w:rsidR="00000000" w:rsidDel="00000000" w:rsidP="00000000" w:rsidRDefault="00000000" w:rsidRPr="00000000" w14:paraId="00000016">
      <w:pPr>
        <w:spacing w:line="360" w:lineRule="auto"/>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r w:rsidDel="00000000" w:rsidR="00000000" w:rsidRPr="00000000">
        <w:rPr>
          <w:rtl w:val="0"/>
        </w:rPr>
        <w:t xml:space="preserve">1. Introduction</w:t>
      </w:r>
    </w:p>
    <w:p w:rsidR="00000000" w:rsidDel="00000000" w:rsidP="00000000" w:rsidRDefault="00000000" w:rsidRPr="00000000" w14:paraId="00000018">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Briefly describe what this assignment is about.</w:t>
      </w:r>
    </w:p>
    <w:p w:rsidR="00000000" w:rsidDel="00000000" w:rsidP="00000000" w:rsidRDefault="00000000" w:rsidRPr="00000000" w14:paraId="00000019">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color w:val="1f1f1f"/>
          <w:sz w:val="22"/>
          <w:szCs w:val="22"/>
          <w:rtl w:val="0"/>
        </w:rPr>
        <w:t xml:space="preserve">Pneumonia remains a significant cause of morbidity and death worldwide despite the availability of potent antibiotic therapies. In  pneumonia is the third leading cause of mortality, and 97% of these deaths occur in elderly patients who are 65 years old  and less to up  Thus, some of the health care  has issued guidelines for the management of pneumonia in elderly or disabled persons who are diagnosed with nursing and healthcare-associated pneumonia  overlaps for the most part with nursing home-acquired pneumonia  and healthcare-associated pneumonia . These categories are distinct from community-acquired pneumonia and  are relevant to the Japanese population, the Japanese healthcare insurance system, including the nursing-care insurance system, and the pattern of drug-resistant pathogens</w:t>
      </w:r>
      <w:r w:rsidDel="00000000" w:rsidR="00000000" w:rsidRPr="00000000">
        <w:rPr>
          <w:rFonts w:ascii="Arial" w:cs="Arial" w:eastAsia="Arial" w:hAnsi="Arial"/>
          <w:color w:val="0a0a0a"/>
          <w:sz w:val="22"/>
          <w:szCs w:val="22"/>
          <w:shd w:fill="fefefe" w:val="clear"/>
          <w:rtl w:val="0"/>
        </w:rPr>
        <w:t xml:space="preserve">Like most people, I’d like to live in my own home until the day I die, but only if I can avoid social isolation and loneliness. Loneliness is a life-threatening condition, causing as much damage as smoking 15 cigarettes a day</w:t>
      </w:r>
      <w:r w:rsidDel="00000000" w:rsidR="00000000" w:rsidRPr="00000000">
        <w:rPr>
          <w:rtl w:val="0"/>
        </w:rPr>
      </w:r>
    </w:p>
    <w:p w:rsidR="00000000" w:rsidDel="00000000" w:rsidP="00000000" w:rsidRDefault="00000000" w:rsidRPr="00000000" w14:paraId="0000001A">
      <w:pPr>
        <w:pStyle w:val="Heading1"/>
        <w:rPr/>
      </w:pPr>
      <w:r w:rsidDel="00000000" w:rsidR="00000000" w:rsidRPr="00000000">
        <w:rPr>
          <w:rtl w:val="0"/>
        </w:rPr>
        <w:t xml:space="preserve">2. Importance of effective communication</w:t>
      </w:r>
    </w:p>
    <w:p w:rsidR="00000000" w:rsidDel="00000000" w:rsidP="00000000" w:rsidRDefault="00000000" w:rsidRPr="00000000" w14:paraId="0000001B">
      <w:pPr>
        <w:tabs>
          <w:tab w:val="left" w:leader="none" w:pos="6540"/>
        </w:tabs>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Effective communication in healthcare is the cornerstone of patient safety and care quality. It prevents critical medical errors, builds patient trust, and ensures accurate diagnoses. Clear exchanges of information also empower patients to manage their conditions and boost collaboration among medical teams.</w:t>
      </w:r>
    </w:p>
    <w:p w:rsidR="00000000" w:rsidDel="00000000" w:rsidP="00000000" w:rsidRDefault="00000000" w:rsidRPr="00000000" w14:paraId="0000001C">
      <w:pPr>
        <w:tabs>
          <w:tab w:val="left" w:leader="none" w:pos="6540"/>
        </w:tabs>
        <w:spacing w:after="240" w:before="18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Key reasons why effective communication is vital:</w:t>
      </w:r>
    </w:p>
    <w:p w:rsidR="00000000" w:rsidDel="00000000" w:rsidP="00000000" w:rsidRDefault="00000000" w:rsidRPr="00000000" w14:paraId="0000001D">
      <w:pPr>
        <w:tabs>
          <w:tab w:val="left" w:leader="none" w:pos="6540"/>
        </w:tabs>
        <w:spacing w:after="420" w:before="180" w:line="360" w:lineRule="auto"/>
        <w:ind w:left="0" w:firstLine="0"/>
        <w:rPr>
          <w:sz w:val="22"/>
          <w:szCs w:val="22"/>
        </w:rPr>
      </w:pPr>
      <w:r w:rsidDel="00000000" w:rsidR="00000000" w:rsidRPr="00000000">
        <w:rPr>
          <w:rFonts w:ascii="Arial" w:cs="Arial" w:eastAsia="Arial" w:hAnsi="Arial"/>
          <w:sz w:val="22"/>
          <w:szCs w:val="22"/>
          <w:rtl w:val="0"/>
        </w:rPr>
        <w:t xml:space="preserve">Patient Safety &amp; Reduced Errors: Miscommunication is a leading cause of medical mishaps. Clear handoffs and precise instructions ensure that medication, treatment plans, and dosages are followed accurately across care shifts. Accurate Diagnosis &amp; Treatment: Active listening and using plain language allow clinicians to gather comprehensive, accurate medical histories. When patients feel safe, they are more likely to disclose sensitive, crucial health details. Building Trust &amp; Satisfaction: Compassionate communication fosters strong provider-patient relationships. It puts anxious patients at ease, which improves their overall experience and encourages active involvement in their own care decisions. </w:t>
      </w:r>
      <w:r w:rsidDel="00000000" w:rsidR="00000000" w:rsidRPr="00000000">
        <w:rPr>
          <w:rtl w:val="0"/>
        </w:rPr>
      </w:r>
    </w:p>
    <w:p w:rsidR="00000000" w:rsidDel="00000000" w:rsidP="00000000" w:rsidRDefault="00000000" w:rsidRPr="00000000" w14:paraId="0000001E">
      <w:pPr>
        <w:pStyle w:val="Heading1"/>
        <w:rPr/>
      </w:pPr>
      <w:r w:rsidDel="00000000" w:rsidR="00000000" w:rsidRPr="00000000">
        <w:rPr>
          <w:rtl w:val="0"/>
        </w:rPr>
        <w:t xml:space="preserve">3. Importance of good administrative skills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hd w:fill="ffffff" w:val="clear"/>
        <w:tabs>
          <w:tab w:val="left" w:leader="none" w:pos="6540"/>
        </w:tabs>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is one of the most important skills in health and social care. Effective communication enables healthcare professionals, service users, and families to share information clearly and accurately. Good communication helps to build trust, improve relationships, and ensure that individuals receive safe and effective care.</w:t>
      </w:r>
    </w:p>
    <w:p w:rsidR="00000000" w:rsidDel="00000000" w:rsidP="00000000" w:rsidRDefault="00000000" w:rsidRPr="00000000" w14:paraId="00000021">
      <w:pPr>
        <w:shd w:fill="ffffff" w:val="clear"/>
        <w:tabs>
          <w:tab w:val="left" w:leader="none" w:pos="6540"/>
        </w:tabs>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can be verbal, non-verbal, written, or electronic. Verbal communication includes conversations between healthcare professionals and service users. Non-verbal communication includes body language, facial expressions, and eye contact. Written communication includes care plans, reports, and medical records. Electronic communication includes emails and digital healthcare systems.</w:t>
      </w:r>
      <w:r w:rsidDel="00000000" w:rsidR="00000000" w:rsidRPr="00000000">
        <w:rPr>
          <w:rtl w:val="0"/>
        </w:rPr>
      </w:r>
    </w:p>
    <w:p w:rsidR="00000000" w:rsidDel="00000000" w:rsidP="00000000" w:rsidRDefault="00000000" w:rsidRPr="00000000" w14:paraId="00000022">
      <w:pPr>
        <w:pStyle w:val="Heading1"/>
        <w:rPr/>
      </w:pPr>
      <w:r w:rsidDel="00000000" w:rsidR="00000000" w:rsidRPr="00000000">
        <w:rPr>
          <w:rtl w:val="0"/>
        </w:rPr>
        <w:t xml:space="preserve">4. Importance of working collaboratively</w:t>
      </w:r>
    </w:p>
    <w:p w:rsidR="00000000" w:rsidDel="00000000" w:rsidP="00000000" w:rsidRDefault="00000000" w:rsidRPr="00000000" w14:paraId="00000023">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Partnership working improves the quality of care by ensuring that information is shared effectively and that services are coordinated. For example, a patient who is discharged from hospital may require support from a GP, district nurse, social worker, and home care provider. By working together as a team these professionals can ensure that the patient receives continuous and effective care.</w:t>
      </w:r>
    </w:p>
    <w:p w:rsidR="00000000" w:rsidDel="00000000" w:rsidP="00000000" w:rsidRDefault="00000000" w:rsidRPr="00000000" w14:paraId="00000024">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Benefits of partnership working included improved patient outcomes, and reduced duplication of services, better use of resources, and enhanced professional relationships. It also ensures that service users are involved in decisions about their care, promoting person-centred practice.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27">
      <w:pPr>
        <w:pStyle w:val="Heading1"/>
        <w:rPr/>
      </w:pPr>
      <w:r w:rsidDel="00000000" w:rsidR="00000000" w:rsidRPr="00000000">
        <w:rPr>
          <w:rtl w:val="0"/>
        </w:rPr>
        <w:t xml:space="preserve">5. Conclusion </w:t>
      </w:r>
    </w:p>
    <w:p w:rsidR="00000000" w:rsidDel="00000000" w:rsidP="00000000" w:rsidRDefault="00000000" w:rsidRPr="00000000" w14:paraId="00000028">
      <w:pPr>
        <w:tabs>
          <w:tab w:val="left" w:leader="none" w:pos="6540"/>
        </w:tabs>
        <w:spacing w:line="360" w:lineRule="auto"/>
        <w:rPr>
          <w:rFonts w:ascii="Arial" w:cs="Arial" w:eastAsia="Arial" w:hAnsi="Arial"/>
          <w:sz w:val="22"/>
          <w:szCs w:val="22"/>
        </w:rPr>
      </w:pPr>
      <w:r w:rsidDel="00000000" w:rsidR="00000000" w:rsidRPr="00000000">
        <w:rPr>
          <w:sz w:val="22"/>
          <w:szCs w:val="22"/>
          <w:rtl w:val="0"/>
        </w:rPr>
        <w:t xml:space="preserve">My conclusion</w:t>
      </w:r>
      <w:r w:rsidDel="00000000" w:rsidR="00000000" w:rsidRPr="00000000">
        <w:rPr>
          <w:rFonts w:ascii="Arial" w:cs="Arial" w:eastAsia="Arial" w:hAnsi="Arial"/>
          <w:sz w:val="22"/>
          <w:szCs w:val="22"/>
          <w:rtl w:val="0"/>
        </w:rPr>
        <w:t xml:space="preserve"> is the UK health and social care system plays a crucial role in supporting individuals and communities. Effective communication, partnership and working, and  also accurate record keeping are essential for delivering safe, high-quality, person-centred care. Health and social care professionals must also comply with legislation such as the Care Act 2014, Equality Act 2010, Data Protection Act 2018, and Mental Capacity Act 2005. Despite challenges such as increasing demand and staff shortages, the health and social care sector continues to work towards improving health outcomes and enhancing the wellbeing of service users.</w:t>
      </w:r>
    </w:p>
    <w:p w:rsidR="00000000" w:rsidDel="00000000" w:rsidP="00000000" w:rsidRDefault="00000000" w:rsidRPr="00000000" w14:paraId="00000029">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2A">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2B">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2C">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2D">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2E">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r w:rsidDel="00000000" w:rsidR="00000000" w:rsidRPr="00000000">
        <w:rPr>
          <w:rtl w:val="0"/>
        </w:rPr>
        <w:t xml:space="preserve">References</w:t>
      </w:r>
    </w:p>
    <w:p w:rsidR="00000000" w:rsidDel="00000000" w:rsidP="00000000" w:rsidRDefault="00000000" w:rsidRPr="00000000" w14:paraId="00000030">
      <w:pPr>
        <w:spacing w:after="240" w:before="240" w:lineRule="auto"/>
        <w:ind w:left="600" w:right="600" w:firstLine="0"/>
        <w:rPr/>
      </w:pPr>
      <w:r w:rsidDel="00000000" w:rsidR="00000000" w:rsidRPr="00000000">
        <w:rPr>
          <w:rtl w:val="0"/>
        </w:rPr>
        <w:t xml:space="preserve">Woodhead, M. (1994) 'Pneumonia in the elderly', </w:t>
      </w:r>
      <w:r w:rsidDel="00000000" w:rsidR="00000000" w:rsidRPr="00000000">
        <w:rPr>
          <w:i w:val="1"/>
          <w:iCs w:val="1"/>
          <w:rtl w:val="0"/>
        </w:rPr>
        <w:t xml:space="preserve">Journal of Antimicrobial Chemotherapy</w:t>
      </w:r>
      <w:r w:rsidDel="00000000" w:rsidR="00000000" w:rsidRPr="00000000">
        <w:rPr>
          <w:rtl w:val="0"/>
        </w:rPr>
        <w:t xml:space="preserve">, 34(Suppl. A), pp. 85–92.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https://pubmed.ncbi.nlm.nih.gov/7844077/</w:t>
        </w:r>
      </w:hyperlink>
      <w:r w:rsidDel="00000000" w:rsidR="00000000" w:rsidRPr="00000000">
        <w:rPr>
          <w:rtl w:val="0"/>
        </w:rPr>
        <w:t xml:space="preserve"> (Accessed: 15 July 2026).</w:t>
      </w:r>
    </w:p>
    <w:p w:rsidR="00000000" w:rsidDel="00000000" w:rsidP="00000000" w:rsidRDefault="00000000" w:rsidRPr="00000000" w14:paraId="00000031">
      <w:pPr>
        <w:spacing w:after="240" w:before="240" w:lineRule="auto"/>
        <w:ind w:left="600" w:right="600" w:firstLine="0"/>
        <w:rPr/>
      </w:pPr>
      <w:r w:rsidDel="00000000" w:rsidR="00000000" w:rsidRPr="00000000">
        <w:rPr>
          <w:rtl w:val="0"/>
        </w:rPr>
        <w:t xml:space="preserve">World Health Organization (2023) </w:t>
      </w:r>
      <w:r w:rsidDel="00000000" w:rsidR="00000000" w:rsidRPr="00000000">
        <w:rPr>
          <w:i w:val="1"/>
          <w:iCs w:val="1"/>
          <w:rtl w:val="0"/>
        </w:rPr>
        <w:t xml:space="preserve">WHO launches Commission on Social Connection to address loneliness as a pressing health threat</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https://www.who.int/</w:t>
        </w:r>
      </w:hyperlink>
      <w:r w:rsidDel="00000000" w:rsidR="00000000" w:rsidRPr="00000000">
        <w:rPr>
          <w:rtl w:val="0"/>
        </w:rPr>
        <w:t xml:space="preserve"> (Accessed: 15 July 2026).</w:t>
      </w:r>
    </w:p>
    <w:p w:rsidR="00000000" w:rsidDel="00000000" w:rsidP="00000000" w:rsidRDefault="00000000" w:rsidRPr="00000000" w14:paraId="00000032">
      <w:pPr>
        <w:spacing w:after="240" w:before="240" w:lineRule="auto"/>
        <w:ind w:left="600" w:right="600" w:firstLine="0"/>
        <w:rPr/>
      </w:pPr>
      <w:r w:rsidDel="00000000" w:rsidR="00000000" w:rsidRPr="00000000">
        <w:rPr>
          <w:rtl w:val="0"/>
        </w:rPr>
        <w:t xml:space="preserve">NHS England (2022) </w:t>
      </w:r>
      <w:r w:rsidDel="00000000" w:rsidR="00000000" w:rsidRPr="00000000">
        <w:rPr>
          <w:i w:val="1"/>
          <w:iCs w:val="1"/>
          <w:rtl w:val="0"/>
        </w:rPr>
        <w:t xml:space="preserve">Improving safety critical spoken communication</w:t>
      </w:r>
      <w:r w:rsidDel="00000000" w:rsidR="00000000" w:rsidRPr="00000000">
        <w:rPr>
          <w:rtl w:val="0"/>
        </w:rPr>
        <w:t xml:space="preserv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https://www.england.nhs.uk/patient-safety/improving-safety-critical-spoken-communication/</w:t>
        </w:r>
      </w:hyperlink>
      <w:r w:rsidDel="00000000" w:rsidR="00000000" w:rsidRPr="00000000">
        <w:rPr>
          <w:rtl w:val="0"/>
        </w:rPr>
        <w:t xml:space="preserve"> (Accessed: 15 July 2026).</w:t>
      </w:r>
    </w:p>
    <w:p w:rsidR="00000000" w:rsidDel="00000000" w:rsidP="00000000" w:rsidRDefault="00000000" w:rsidRPr="00000000" w14:paraId="00000033">
      <w:pPr>
        <w:spacing w:after="240" w:before="240" w:lineRule="auto"/>
        <w:ind w:left="600" w:right="600" w:firstLine="0"/>
        <w:rPr/>
      </w:pPr>
      <w:r w:rsidDel="00000000" w:rsidR="00000000" w:rsidRPr="00000000">
        <w:rPr>
          <w:rtl w:val="0"/>
        </w:rPr>
        <w:t xml:space="preserve">World Health Organization (2023) </w:t>
      </w:r>
      <w:r w:rsidDel="00000000" w:rsidR="00000000" w:rsidRPr="00000000">
        <w:rPr>
          <w:i w:val="1"/>
          <w:iCs w:val="1"/>
          <w:rtl w:val="0"/>
        </w:rPr>
        <w:t xml:space="preserve">Patient safety</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https://www.who.int/news-room/fact-sheets/detail/patient-safety</w:t>
        </w:r>
      </w:hyperlink>
      <w:r w:rsidDel="00000000" w:rsidR="00000000" w:rsidRPr="00000000">
        <w:rPr>
          <w:rtl w:val="0"/>
        </w:rPr>
        <w:t xml:space="preserve"> (Accessed: 15 July 2026).</w:t>
      </w:r>
    </w:p>
    <w:p w:rsidR="00000000" w:rsidDel="00000000" w:rsidP="00000000" w:rsidRDefault="00000000" w:rsidRPr="00000000" w14:paraId="00000034">
      <w:pPr>
        <w:spacing w:after="240" w:before="240" w:lineRule="auto"/>
        <w:ind w:left="600" w:right="600" w:firstLine="0"/>
        <w:rPr/>
      </w:pPr>
      <w:r w:rsidDel="00000000" w:rsidR="00000000" w:rsidRPr="00000000">
        <w:rPr>
          <w:rtl w:val="0"/>
        </w:rPr>
        <w:t xml:space="preserve">Health Education England, NHS England, NHS Improvement, Skills for Care and Skills for Health (2021) </w:t>
      </w:r>
      <w:r w:rsidDel="00000000" w:rsidR="00000000" w:rsidRPr="00000000">
        <w:rPr>
          <w:i w:val="1"/>
          <w:iCs w:val="1"/>
          <w:rtl w:val="0"/>
        </w:rPr>
        <w:t xml:space="preserve">Working in partnership: A guide for health and social care professionals</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https://www.hee.nhs.uk/our-work/person-centred-care</w:t>
        </w:r>
      </w:hyperlink>
      <w:r w:rsidDel="00000000" w:rsidR="00000000" w:rsidRPr="00000000">
        <w:rPr>
          <w:rtl w:val="0"/>
        </w:rPr>
        <w:t xml:space="preserve"> (Accessed: 15 July 2026).</w:t>
      </w:r>
    </w:p>
    <w:p w:rsidR="00000000" w:rsidDel="00000000" w:rsidP="00000000" w:rsidRDefault="00000000" w:rsidRPr="00000000" w14:paraId="00000035">
      <w:pPr>
        <w:spacing w:after="240" w:before="240" w:lineRule="auto"/>
        <w:ind w:left="600" w:right="600" w:firstLine="0"/>
        <w:rPr/>
      </w:pPr>
      <w:r w:rsidDel="00000000" w:rsidR="00000000" w:rsidRPr="00000000">
        <w:rPr>
          <w:rtl w:val="0"/>
        </w:rPr>
        <w:t xml:space="preserve">National Institute for Health and Care Excellence (NICE) (2022) </w:t>
      </w:r>
      <w:r w:rsidDel="00000000" w:rsidR="00000000" w:rsidRPr="00000000">
        <w:rPr>
          <w:i w:val="1"/>
          <w:iCs w:val="1"/>
          <w:rtl w:val="0"/>
        </w:rPr>
        <w:t xml:space="preserve">Shared decision making (NG197).</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https://www.nice.org.uk/guidance/ng197</w:t>
        </w:r>
      </w:hyperlink>
      <w:r w:rsidDel="00000000" w:rsidR="00000000" w:rsidRPr="00000000">
        <w:rPr>
          <w:rtl w:val="0"/>
        </w:rPr>
        <w:t xml:space="preserve"> (Accessed: 15 July 2026).</w:t>
      </w:r>
    </w:p>
    <w:p w:rsidR="00000000" w:rsidDel="00000000" w:rsidP="00000000" w:rsidRDefault="00000000" w:rsidRPr="00000000" w14:paraId="00000036">
      <w:pPr>
        <w:spacing w:after="240" w:before="240" w:lineRule="auto"/>
        <w:ind w:left="600" w:right="600" w:firstLine="0"/>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numPr>
          <w:ilvl w:val="0"/>
          <w:numId w:val="1"/>
        </w:numPr>
        <w:pBdr>
          <w:top w:color="auto" w:space="0" w:sz="0" w:val="none"/>
          <w:bottom w:color="auto" w:space="0" w:sz="0" w:val="none"/>
          <w:right w:color="auto" w:space="0" w:sz="0" w:val="none"/>
          <w:between w:color="auto" w:space="0" w:sz="0" w:val="none"/>
        </w:pBdr>
        <w:tabs>
          <w:tab w:val="left" w:leader="none" w:pos="6540"/>
        </w:tabs>
        <w:spacing w:after="0" w:afterAutospacing="0" w:line="360" w:lineRule="auto"/>
        <w:ind w:left="720" w:hanging="360"/>
      </w:pPr>
      <w:r w:rsidDel="00000000" w:rsidR="00000000" w:rsidRPr="00000000">
        <w:rPr>
          <w:rFonts w:ascii="Arial" w:cs="Arial" w:eastAsia="Arial" w:hAnsi="Arial"/>
          <w:color w:val="1f1f1f"/>
          <w:rtl w:val="0"/>
        </w:rPr>
        <w:t xml:space="preserve">H. Fukuyama</w:t>
      </w:r>
      <w:r w:rsidDel="00000000" w:rsidR="00000000" w:rsidRPr="00000000">
        <w:rPr>
          <w:rFonts w:ascii="Arial" w:cs="Arial" w:eastAsia="Arial" w:hAnsi="Arial"/>
          <w:i w:val="1"/>
          <w:iCs w:val="1"/>
          <w:color w:val="1f1f1f"/>
          <w:rtl w:val="0"/>
        </w:rPr>
        <w:t xml:space="preserve"> et al.</w:t>
        <w:br w:type="textWrapping"/>
      </w:r>
      <w:hyperlink r:id="rId20">
        <w:r w:rsidDel="00000000" w:rsidR="00000000" w:rsidRPr="00000000">
          <w:rPr>
            <w:rFonts w:ascii="Georgia" w:cs="Georgia" w:eastAsia="Georgia" w:hAnsi="Georgia"/>
            <w:color w:val="0272b1"/>
            <w:sz w:val="27"/>
            <w:szCs w:val="27"/>
            <w:rtl w:val="0"/>
          </w:rPr>
          <w:t xml:space="preserve">A prospective comparison of nursing- and healthcare-associated pneumonia (NHCAP) with community-acquired pneumonia (CAP)</w:t>
        </w:r>
      </w:hyperlink>
      <w:r w:rsidDel="00000000" w:rsidR="00000000" w:rsidRPr="00000000">
        <w:rPr>
          <w:rtl w:val="0"/>
        </w:rPr>
      </w:r>
    </w:p>
    <w:p w:rsidR="00000000" w:rsidDel="00000000" w:rsidP="00000000" w:rsidRDefault="00000000" w:rsidRPr="00000000" w14:paraId="00000039">
      <w:pPr>
        <w:pStyle w:val="Heading3"/>
        <w:numPr>
          <w:ilvl w:val="0"/>
          <w:numId w:val="1"/>
        </w:numPr>
        <w:pBdr>
          <w:top w:color="auto" w:space="0" w:sz="0" w:val="none"/>
          <w:bottom w:color="auto" w:space="0" w:sz="0" w:val="none"/>
          <w:right w:color="auto" w:space="0" w:sz="0" w:val="none"/>
          <w:between w:color="auto" w:space="0" w:sz="0" w:val="none"/>
        </w:pBdr>
        <w:tabs>
          <w:tab w:val="left" w:leader="none" w:pos="6540"/>
        </w:tabs>
        <w:spacing w:after="0" w:afterAutospacing="0" w:line="360" w:lineRule="auto"/>
        <w:ind w:left="720" w:hanging="360"/>
      </w:pPr>
      <w:bookmarkStart w:colFirst="0" w:colLast="0" w:name="_heading=h.kt3kt7dmetv4" w:id="0"/>
      <w:bookmarkEnd w:id="0"/>
      <w:r w:rsidDel="00000000" w:rsidR="00000000" w:rsidRPr="00000000">
        <w:rPr>
          <w:b w:val="0"/>
          <w:bCs w:val="0"/>
          <w:color w:val="707070"/>
          <w:rtl w:val="0"/>
        </w:rPr>
        <w:t xml:space="preserve">J Infect Chemother</w:t>
      </w:r>
    </w:p>
    <w:p w:rsidR="00000000" w:rsidDel="00000000" w:rsidP="00000000" w:rsidRDefault="00000000" w:rsidRPr="00000000" w14:paraId="0000003A">
      <w:pPr>
        <w:numPr>
          <w:ilvl w:val="0"/>
          <w:numId w:val="1"/>
        </w:numPr>
        <w:pBdr>
          <w:top w:color="auto" w:space="0" w:sz="0" w:val="none"/>
          <w:bottom w:color="auto" w:space="0" w:sz="0" w:val="none"/>
          <w:right w:color="auto" w:space="0" w:sz="0" w:val="none"/>
          <w:between w:color="auto" w:space="0" w:sz="0" w:val="none"/>
        </w:pBdr>
        <w:tabs>
          <w:tab w:val="left" w:leader="none" w:pos="6540"/>
        </w:tabs>
        <w:spacing w:after="0" w:afterAutospacing="0" w:line="360" w:lineRule="auto"/>
        <w:ind w:left="720" w:hanging="360"/>
      </w:pPr>
      <w:r w:rsidDel="00000000" w:rsidR="00000000" w:rsidRPr="00000000">
        <w:rPr>
          <w:rFonts w:ascii="Arial" w:cs="Arial" w:eastAsia="Arial" w:hAnsi="Arial"/>
          <w:color w:val="707070"/>
          <w:rtl w:val="0"/>
        </w:rPr>
        <w:t xml:space="preserve">(2013)</w:t>
      </w:r>
    </w:p>
    <w:p w:rsidR="00000000" w:rsidDel="00000000" w:rsidP="00000000" w:rsidRDefault="00000000" w:rsidRPr="00000000" w14:paraId="0000003B">
      <w:pPr>
        <w:numPr>
          <w:ilvl w:val="0"/>
          <w:numId w:val="1"/>
        </w:numPr>
        <w:pBdr>
          <w:top w:color="auto" w:space="0" w:sz="0" w:val="none"/>
          <w:bottom w:color="auto" w:space="0" w:sz="0" w:val="none"/>
          <w:right w:color="auto" w:space="0" w:sz="0" w:val="none"/>
          <w:between w:color="auto" w:space="0" w:sz="0" w:val="none"/>
        </w:pBdr>
        <w:tabs>
          <w:tab w:val="left" w:leader="none" w:pos="6540"/>
        </w:tabs>
        <w:spacing w:after="0" w:afterAutospacing="0" w:line="360" w:lineRule="auto"/>
        <w:ind w:left="720" w:hanging="360"/>
      </w:pPr>
      <w:r w:rsidDel="00000000" w:rsidR="00000000" w:rsidRPr="00000000">
        <w:rPr>
          <w:rFonts w:ascii="Arial" w:cs="Arial" w:eastAsia="Arial" w:hAnsi="Arial"/>
          <w:color w:val="1f1f1f"/>
          <w:rtl w:val="0"/>
        </w:rPr>
        <w:t xml:space="preserve">Y. Oshitani</w:t>
      </w:r>
      <w:r w:rsidDel="00000000" w:rsidR="00000000" w:rsidRPr="00000000">
        <w:rPr>
          <w:rFonts w:ascii="Arial" w:cs="Arial" w:eastAsia="Arial" w:hAnsi="Arial"/>
          <w:i w:val="1"/>
          <w:iCs w:val="1"/>
          <w:color w:val="1f1f1f"/>
          <w:rtl w:val="0"/>
        </w:rPr>
        <w:t xml:space="preserve"> et al.</w:t>
        <w:br w:type="textWrapping"/>
      </w:r>
      <w:hyperlink r:id="rId21">
        <w:r w:rsidDel="00000000" w:rsidR="00000000" w:rsidRPr="00000000">
          <w:rPr>
            <w:rFonts w:ascii="Georgia" w:cs="Georgia" w:eastAsia="Georgia" w:hAnsi="Georgia"/>
            <w:color w:val="0272b1"/>
            <w:sz w:val="27"/>
            <w:szCs w:val="27"/>
            <w:rtl w:val="0"/>
          </w:rPr>
          <w:t xml:space="preserve">Reevaluation of the Japanese guideline for healthcare-associated pneumonia in a medium-size community hospital in Japan</w:t>
        </w:r>
      </w:hyperlink>
      <w:r w:rsidDel="00000000" w:rsidR="00000000" w:rsidRPr="00000000">
        <w:rPr>
          <w:rtl w:val="0"/>
        </w:rPr>
      </w:r>
    </w:p>
    <w:p w:rsidR="00000000" w:rsidDel="00000000" w:rsidP="00000000" w:rsidRDefault="00000000" w:rsidRPr="00000000" w14:paraId="0000003C">
      <w:pPr>
        <w:pStyle w:val="Heading3"/>
        <w:numPr>
          <w:ilvl w:val="0"/>
          <w:numId w:val="1"/>
        </w:numPr>
        <w:pBdr>
          <w:top w:color="auto" w:space="0" w:sz="0" w:val="none"/>
          <w:bottom w:color="auto" w:space="0" w:sz="0" w:val="none"/>
          <w:right w:color="auto" w:space="0" w:sz="0" w:val="none"/>
          <w:between w:color="auto" w:space="0" w:sz="0" w:val="none"/>
        </w:pBdr>
        <w:tabs>
          <w:tab w:val="left" w:leader="none" w:pos="6540"/>
        </w:tabs>
        <w:spacing w:after="0" w:afterAutospacing="0" w:line="360" w:lineRule="auto"/>
        <w:ind w:left="720" w:hanging="360"/>
      </w:pPr>
      <w:bookmarkStart w:colFirst="0" w:colLast="0" w:name="_heading=h.n686vkh14yr2" w:id="1"/>
      <w:bookmarkEnd w:id="1"/>
      <w:r w:rsidDel="00000000" w:rsidR="00000000" w:rsidRPr="00000000">
        <w:rPr>
          <w:b w:val="0"/>
          <w:bCs w:val="0"/>
          <w:color w:val="707070"/>
          <w:rtl w:val="0"/>
        </w:rPr>
        <w:t xml:space="preserve">J Infect Chemother</w:t>
      </w:r>
    </w:p>
    <w:p w:rsidR="00000000" w:rsidDel="00000000" w:rsidP="00000000" w:rsidRDefault="00000000" w:rsidRPr="00000000" w14:paraId="0000003D">
      <w:pPr>
        <w:numPr>
          <w:ilvl w:val="0"/>
          <w:numId w:val="1"/>
        </w:numPr>
        <w:pBdr>
          <w:top w:color="auto" w:space="0" w:sz="0" w:val="none"/>
          <w:bottom w:color="auto" w:space="0" w:sz="0" w:val="none"/>
          <w:right w:color="auto" w:space="0" w:sz="0" w:val="none"/>
          <w:between w:color="auto" w:space="0" w:sz="0" w:val="none"/>
        </w:pBdr>
        <w:tabs>
          <w:tab w:val="left" w:leader="none" w:pos="6540"/>
        </w:tabs>
        <w:spacing w:after="240" w:line="360" w:lineRule="auto"/>
        <w:ind w:left="720" w:hanging="360"/>
      </w:pPr>
      <w:r w:rsidDel="00000000" w:rsidR="00000000" w:rsidRPr="00000000">
        <w:rPr>
          <w:rFonts w:ascii="Arial" w:cs="Arial" w:eastAsia="Arial" w:hAnsi="Arial"/>
          <w:color w:val="707070"/>
          <w:rtl w:val="0"/>
        </w:rPr>
        <w:t xml:space="preserve">(2013)</w:t>
      </w:r>
    </w:p>
    <w:p w:rsidR="00000000" w:rsidDel="00000000" w:rsidP="00000000" w:rsidRDefault="00000000" w:rsidRPr="00000000" w14:paraId="0000003E">
      <w:pPr>
        <w:tabs>
          <w:tab w:val="left" w:leader="none" w:pos="6540"/>
        </w:tabs>
        <w:spacing w:line="360" w:lineRule="auto"/>
        <w:rPr>
          <w:sz w:val="22"/>
          <w:szCs w:val="22"/>
        </w:rPr>
      </w:pPr>
      <w:r w:rsidDel="00000000" w:rsidR="00000000" w:rsidRPr="00000000">
        <w:rPr>
          <w:rtl w:val="0"/>
        </w:rPr>
      </w:r>
    </w:p>
    <w:sectPr>
      <w:footerReference r:id="rId22"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Georgia" w:cs="Georgia" w:eastAsia="Georgia" w:hAnsi="Georgia"/>
        <w:b w:val="0"/>
        <w:bCs w:val="0"/>
        <w:i w:val="0"/>
        <w:iCs w:val="0"/>
        <w:smallCaps w:val="0"/>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36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ciencedirect.com/science/article/pii/S1341321X13701053" TargetMode="External"/><Relationship Id="rId11" Type="http://schemas.openxmlformats.org/officeDocument/2006/relationships/hyperlink" Target="https://www.who.int/" TargetMode="External"/><Relationship Id="rId22" Type="http://schemas.openxmlformats.org/officeDocument/2006/relationships/footer" Target="footer1.xml"/><Relationship Id="rId10" Type="http://schemas.openxmlformats.org/officeDocument/2006/relationships/hyperlink" Target="https://www.who.int/" TargetMode="External"/><Relationship Id="rId21" Type="http://schemas.openxmlformats.org/officeDocument/2006/relationships/hyperlink" Target="https://www.sciencedirect.com/science/article/pii/S1341321X13700837" TargetMode="External"/><Relationship Id="rId13" Type="http://schemas.openxmlformats.org/officeDocument/2006/relationships/hyperlink" Target="https://www.england.nhs.uk/patient-safety/improving-safety-critical-spoken-communication/" TargetMode="External"/><Relationship Id="rId12" Type="http://schemas.openxmlformats.org/officeDocument/2006/relationships/hyperlink" Target="https://www.england.nhs.uk/patient-safety/improving-safety-critical-spoken-communica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7844077/" TargetMode="External"/><Relationship Id="rId15" Type="http://schemas.openxmlformats.org/officeDocument/2006/relationships/hyperlink" Target="https://www.who.int/news-room/fact-sheets/detail/patient-safety" TargetMode="External"/><Relationship Id="rId14" Type="http://schemas.openxmlformats.org/officeDocument/2006/relationships/hyperlink" Target="https://www.who.int/news-room/fact-sheets/detail/patient-safety" TargetMode="External"/><Relationship Id="rId17" Type="http://schemas.openxmlformats.org/officeDocument/2006/relationships/hyperlink" Target="https://www.hee.nhs.uk/our-work/person-centred-care" TargetMode="External"/><Relationship Id="rId16" Type="http://schemas.openxmlformats.org/officeDocument/2006/relationships/hyperlink" Target="https://www.hee.nhs.uk/our-work/person-centred-care" TargetMode="External"/><Relationship Id="rId5" Type="http://schemas.openxmlformats.org/officeDocument/2006/relationships/styles" Target="styles.xml"/><Relationship Id="rId19" Type="http://schemas.openxmlformats.org/officeDocument/2006/relationships/hyperlink" Target="https://www.nice.org.uk/guidance/ng197" TargetMode="External"/><Relationship Id="rId6" Type="http://schemas.openxmlformats.org/officeDocument/2006/relationships/customXml" Target="../customXML/item1.xml"/><Relationship Id="rId18" Type="http://schemas.openxmlformats.org/officeDocument/2006/relationships/hyperlink" Target="https://www.nice.org.uk/guidance/ng197" TargetMode="External"/><Relationship Id="rId7" Type="http://schemas.openxmlformats.org/officeDocument/2006/relationships/image" Target="media/image1.png"/><Relationship Id="rId8" Type="http://schemas.openxmlformats.org/officeDocument/2006/relationships/hyperlink" Target="https://pubmed.ncbi.nlm.nih.gov/78440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rpUtoxlJhVc+pZh5d2QK0j0Pqw==">CgMxLjAyDmgua3Qza3Q3ZG1ldHY0Mg5oLm42ODZ2a2gxNHlyMjgAciExM3Z3QVA4ZnpGejVhb3BYc1VObFhzdTJTZzdJNXRFcEg=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