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17491" w14:textId="77777777" w:rsidR="00BB7684" w:rsidRPr="00360487" w:rsidRDefault="00BB7684" w:rsidP="00360487">
      <w:pPr>
        <w:spacing w:line="360" w:lineRule="auto"/>
        <w:rPr>
          <w:rFonts w:ascii="Times New Roman" w:hAnsi="Times New Roman" w:cs="Times New Roman"/>
        </w:rPr>
      </w:pPr>
    </w:p>
    <w:p w14:paraId="287CC0E0" w14:textId="77777777" w:rsidR="00BB7684" w:rsidRPr="00360487" w:rsidRDefault="00BB7684" w:rsidP="00360487">
      <w:pPr>
        <w:spacing w:line="360" w:lineRule="auto"/>
        <w:rPr>
          <w:rFonts w:ascii="Times New Roman" w:hAnsi="Times New Roman" w:cs="Times New Roman"/>
        </w:rPr>
      </w:pPr>
    </w:p>
    <w:p w14:paraId="5DAC8C99" w14:textId="77777777" w:rsidR="00E16145" w:rsidRPr="00D63597" w:rsidRDefault="00E16145" w:rsidP="00E16145">
      <w:pPr>
        <w:jc w:val="center"/>
        <w:rPr>
          <w:sz w:val="32"/>
          <w:szCs w:val="32"/>
        </w:rPr>
      </w:pPr>
      <w:r w:rsidRPr="00D63597">
        <w:rPr>
          <w:noProof/>
          <w:sz w:val="32"/>
          <w:szCs w:val="32"/>
          <w:lang w:val="en-GB" w:eastAsia="en-GB"/>
        </w:rPr>
        <w:drawing>
          <wp:inline distT="0" distB="0" distL="0" distR="0" wp14:anchorId="7A272AB3" wp14:editId="4B9DFC94">
            <wp:extent cx="2381250" cy="952500"/>
            <wp:effectExtent l="0" t="0" r="0" b="0"/>
            <wp:docPr id="1" name="Picture 1" descr="University of Wales Trinity Saint David Clearing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earing 20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4080" cy="953632"/>
                    </a:xfrm>
                    <a:prstGeom prst="rect">
                      <a:avLst/>
                    </a:prstGeom>
                    <a:noFill/>
                    <a:ln>
                      <a:noFill/>
                    </a:ln>
                  </pic:spPr>
                </pic:pic>
              </a:graphicData>
            </a:graphic>
          </wp:inline>
        </w:drawing>
      </w:r>
    </w:p>
    <w:p w14:paraId="3D3B3359" w14:textId="37AA4CC4" w:rsidR="00D63597" w:rsidRPr="00D63597" w:rsidRDefault="00D63597" w:rsidP="00D63597">
      <w:pPr>
        <w:rPr>
          <w:sz w:val="32"/>
          <w:szCs w:val="32"/>
          <w:lang w:val="en-GB"/>
        </w:rPr>
      </w:pPr>
      <w:r w:rsidRPr="00D63597">
        <w:rPr>
          <w:sz w:val="32"/>
          <w:szCs w:val="32"/>
          <w:lang w:val="en-GB"/>
        </w:rPr>
        <w:t xml:space="preserve">                                                                                                                                                                             </w:t>
      </w:r>
      <w:r w:rsidRPr="00D63597">
        <w:rPr>
          <w:sz w:val="32"/>
          <w:szCs w:val="32"/>
          <w:lang w:val="en-GB"/>
        </w:rPr>
        <w:t xml:space="preserve">Student </w:t>
      </w:r>
      <w:proofErr w:type="spellStart"/>
      <w:proofErr w:type="gramStart"/>
      <w:r w:rsidRPr="00D63597">
        <w:rPr>
          <w:sz w:val="32"/>
          <w:szCs w:val="32"/>
          <w:lang w:val="en-GB"/>
        </w:rPr>
        <w:t>Name:Elena</w:t>
      </w:r>
      <w:proofErr w:type="spellEnd"/>
      <w:proofErr w:type="gramEnd"/>
      <w:r w:rsidRPr="00D63597">
        <w:rPr>
          <w:sz w:val="32"/>
          <w:szCs w:val="32"/>
          <w:lang w:val="en-GB"/>
        </w:rPr>
        <w:t xml:space="preserve"> Alexandra Tanase</w:t>
      </w:r>
    </w:p>
    <w:p w14:paraId="232DADF5" w14:textId="77777777" w:rsidR="00D63597" w:rsidRPr="00D63597" w:rsidRDefault="00D63597" w:rsidP="00D63597">
      <w:pPr>
        <w:rPr>
          <w:sz w:val="32"/>
          <w:szCs w:val="32"/>
          <w:lang w:val="en-GB"/>
        </w:rPr>
      </w:pPr>
      <w:r w:rsidRPr="00D63597">
        <w:rPr>
          <w:sz w:val="32"/>
          <w:szCs w:val="32"/>
          <w:lang w:val="en-GB"/>
        </w:rPr>
        <w:t xml:space="preserve">                                                                                                                                                                              Student number:2245516 </w:t>
      </w:r>
    </w:p>
    <w:p w14:paraId="2A775491" w14:textId="77777777" w:rsidR="00D63597" w:rsidRPr="00D63597" w:rsidRDefault="00D63597" w:rsidP="00D63597">
      <w:pPr>
        <w:rPr>
          <w:sz w:val="32"/>
          <w:szCs w:val="32"/>
          <w:lang w:val="en-GB"/>
        </w:rPr>
      </w:pPr>
      <w:r w:rsidRPr="00D63597">
        <w:rPr>
          <w:sz w:val="32"/>
          <w:szCs w:val="32"/>
          <w:lang w:val="en-GB"/>
        </w:rPr>
        <w:t xml:space="preserve">                                                                                                                                                                              Module title and code: Introduction to Business LCBB4007</w:t>
      </w:r>
    </w:p>
    <w:p w14:paraId="3EF3F9DF" w14:textId="77777777" w:rsidR="00D63597" w:rsidRPr="00D63597" w:rsidRDefault="00D63597" w:rsidP="00D63597">
      <w:pPr>
        <w:rPr>
          <w:sz w:val="32"/>
          <w:szCs w:val="32"/>
          <w:lang w:val="en-GB"/>
        </w:rPr>
      </w:pPr>
      <w:r w:rsidRPr="00D63597">
        <w:rPr>
          <w:sz w:val="32"/>
          <w:szCs w:val="32"/>
          <w:lang w:val="en-GB"/>
        </w:rPr>
        <w:t xml:space="preserve">                                                                                                                                                                               Lecturer </w:t>
      </w:r>
      <w:proofErr w:type="spellStart"/>
      <w:proofErr w:type="gramStart"/>
      <w:r w:rsidRPr="00D63597">
        <w:rPr>
          <w:sz w:val="32"/>
          <w:szCs w:val="32"/>
          <w:lang w:val="en-GB"/>
        </w:rPr>
        <w:t>Name:Laila</w:t>
      </w:r>
      <w:proofErr w:type="spellEnd"/>
      <w:proofErr w:type="gramEnd"/>
      <w:r w:rsidRPr="00D63597">
        <w:rPr>
          <w:sz w:val="32"/>
          <w:szCs w:val="32"/>
          <w:lang w:val="en-GB"/>
        </w:rPr>
        <w:t xml:space="preserve"> </w:t>
      </w:r>
      <w:proofErr w:type="spellStart"/>
      <w:r w:rsidRPr="00D63597">
        <w:rPr>
          <w:sz w:val="32"/>
          <w:szCs w:val="32"/>
          <w:lang w:val="en-GB"/>
        </w:rPr>
        <w:t>Maazouz</w:t>
      </w:r>
      <w:proofErr w:type="spellEnd"/>
      <w:r w:rsidRPr="00D63597">
        <w:rPr>
          <w:sz w:val="32"/>
          <w:szCs w:val="32"/>
          <w:lang w:val="en-GB"/>
        </w:rPr>
        <w:t xml:space="preserve"> </w:t>
      </w:r>
    </w:p>
    <w:p w14:paraId="30C5A685" w14:textId="77777777" w:rsidR="00D63597" w:rsidRPr="00D63597" w:rsidRDefault="00D63597" w:rsidP="00D63597">
      <w:pPr>
        <w:rPr>
          <w:sz w:val="32"/>
          <w:szCs w:val="32"/>
          <w:lang w:val="en-GB"/>
        </w:rPr>
      </w:pPr>
      <w:r w:rsidRPr="00D63597">
        <w:rPr>
          <w:sz w:val="32"/>
          <w:szCs w:val="32"/>
          <w:lang w:val="en-GB"/>
        </w:rPr>
        <w:t xml:space="preserve">                                                                                                                                                                               </w:t>
      </w:r>
      <w:proofErr w:type="spellStart"/>
      <w:r w:rsidRPr="00D63597">
        <w:rPr>
          <w:sz w:val="32"/>
          <w:szCs w:val="32"/>
          <w:lang w:val="en-GB"/>
        </w:rPr>
        <w:t>Assigment</w:t>
      </w:r>
      <w:proofErr w:type="spellEnd"/>
      <w:r w:rsidRPr="00D63597">
        <w:rPr>
          <w:sz w:val="32"/>
          <w:szCs w:val="32"/>
          <w:lang w:val="en-GB"/>
        </w:rPr>
        <w:t xml:space="preserve"> Title: </w:t>
      </w:r>
      <w:r w:rsidRPr="00D63597">
        <w:rPr>
          <w:sz w:val="32"/>
          <w:szCs w:val="32"/>
          <w:lang w:val="en-GB"/>
        </w:rPr>
        <w:tab/>
        <w:t>Essay</w:t>
      </w:r>
    </w:p>
    <w:p w14:paraId="2992133C" w14:textId="77777777" w:rsidR="00D63597" w:rsidRPr="00D63597" w:rsidRDefault="00D63597" w:rsidP="00D63597">
      <w:pPr>
        <w:rPr>
          <w:b/>
          <w:bCs/>
          <w:sz w:val="32"/>
          <w:szCs w:val="32"/>
          <w:lang w:val="en-GB"/>
        </w:rPr>
      </w:pPr>
    </w:p>
    <w:p w14:paraId="3F9AC2BE" w14:textId="77777777" w:rsidR="00E16145" w:rsidRPr="00D63597" w:rsidRDefault="00E16145" w:rsidP="00E16145">
      <w:pPr>
        <w:rPr>
          <w:sz w:val="32"/>
          <w:szCs w:val="32"/>
        </w:rPr>
      </w:pPr>
    </w:p>
    <w:p w14:paraId="2F2DC1D9" w14:textId="77777777" w:rsidR="00E16145" w:rsidRDefault="00E16145" w:rsidP="00E16145"/>
    <w:p w14:paraId="5BA6431F" w14:textId="77777777" w:rsidR="00E16145" w:rsidRPr="0014566C" w:rsidRDefault="00E16145" w:rsidP="00E16145">
      <w:pPr>
        <w:tabs>
          <w:tab w:val="left" w:pos="2025"/>
        </w:tabs>
        <w:spacing w:line="360" w:lineRule="auto"/>
        <w:jc w:val="center"/>
        <w:rPr>
          <w:rFonts w:ascii="Times New Roman" w:hAnsi="Times New Roman" w:cs="Times New Roman"/>
          <w:b/>
          <w:sz w:val="28"/>
        </w:rPr>
      </w:pPr>
    </w:p>
    <w:p w14:paraId="56E8CD5A" w14:textId="77777777" w:rsidR="00BB7684" w:rsidRPr="00360487" w:rsidRDefault="00BB7684" w:rsidP="00360487">
      <w:pPr>
        <w:spacing w:line="360" w:lineRule="auto"/>
        <w:rPr>
          <w:rFonts w:ascii="Times New Roman" w:hAnsi="Times New Roman" w:cs="Times New Roman"/>
        </w:rPr>
      </w:pPr>
    </w:p>
    <w:p w14:paraId="6E9809E9" w14:textId="77777777" w:rsidR="00BB7684" w:rsidRPr="00360487" w:rsidRDefault="00BB7684" w:rsidP="00360487">
      <w:pPr>
        <w:spacing w:line="360" w:lineRule="auto"/>
        <w:rPr>
          <w:rFonts w:ascii="Times New Roman" w:hAnsi="Times New Roman" w:cs="Times New Roman"/>
        </w:rPr>
      </w:pPr>
    </w:p>
    <w:p w14:paraId="5F58F76A" w14:textId="77777777" w:rsidR="00BB7684" w:rsidRPr="00360487" w:rsidRDefault="00BB7684" w:rsidP="00360487">
      <w:pPr>
        <w:spacing w:line="360" w:lineRule="auto"/>
        <w:rPr>
          <w:rFonts w:ascii="Times New Roman" w:hAnsi="Times New Roman" w:cs="Times New Roman"/>
        </w:rPr>
      </w:pPr>
    </w:p>
    <w:p w14:paraId="0D5C7ADC" w14:textId="77777777" w:rsidR="00BB7684" w:rsidRPr="00360487" w:rsidRDefault="00BB7684" w:rsidP="00360487">
      <w:pPr>
        <w:spacing w:line="360" w:lineRule="auto"/>
        <w:rPr>
          <w:rFonts w:ascii="Times New Roman" w:hAnsi="Times New Roman" w:cs="Times New Roman"/>
        </w:rPr>
      </w:pPr>
    </w:p>
    <w:p w14:paraId="0D0AB4FD" w14:textId="77777777" w:rsidR="00BB7684" w:rsidRPr="00360487" w:rsidRDefault="00BB7684" w:rsidP="00360487">
      <w:pPr>
        <w:spacing w:line="360" w:lineRule="auto"/>
        <w:rPr>
          <w:rFonts w:ascii="Times New Roman" w:hAnsi="Times New Roman" w:cs="Times New Roman"/>
        </w:rPr>
      </w:pPr>
    </w:p>
    <w:p w14:paraId="6E9C95B5" w14:textId="77777777" w:rsidR="00BB7684" w:rsidRPr="00360487" w:rsidRDefault="00BB7684" w:rsidP="00360487">
      <w:pPr>
        <w:spacing w:line="360" w:lineRule="auto"/>
        <w:rPr>
          <w:rFonts w:ascii="Times New Roman" w:hAnsi="Times New Roman" w:cs="Times New Roman"/>
        </w:rPr>
      </w:pPr>
    </w:p>
    <w:p w14:paraId="286B797C" w14:textId="7C3A838C" w:rsidR="00BB7684" w:rsidRPr="00360487" w:rsidRDefault="00BB7684" w:rsidP="00360487">
      <w:pPr>
        <w:spacing w:line="360" w:lineRule="auto"/>
        <w:rPr>
          <w:rFonts w:ascii="Times New Roman" w:hAnsi="Times New Roman" w:cs="Times New Roman"/>
        </w:rPr>
        <w:sectPr w:rsidR="00BB7684" w:rsidRPr="00360487" w:rsidSect="000F7AF2">
          <w:pgSz w:w="12240" w:h="15840"/>
          <w:pgMar w:top="1440" w:right="1440" w:bottom="1440" w:left="1440" w:header="720" w:footer="720" w:gutter="0"/>
          <w:cols w:space="720"/>
          <w:docGrid w:linePitch="360"/>
        </w:sectPr>
      </w:pPr>
    </w:p>
    <w:p w14:paraId="03429011" w14:textId="77777777" w:rsidR="00BB7684" w:rsidRPr="00360487" w:rsidRDefault="00BB7684" w:rsidP="00360487">
      <w:pPr>
        <w:pStyle w:val="Titlu1"/>
        <w:spacing w:line="360" w:lineRule="auto"/>
        <w:rPr>
          <w:rFonts w:eastAsia="Times New Roman" w:cs="Times New Roman"/>
        </w:rPr>
      </w:pPr>
      <w:r w:rsidRPr="00360487">
        <w:rPr>
          <w:rFonts w:eastAsia="Times New Roman" w:cs="Times New Roman"/>
        </w:rPr>
        <w:t>Introduction</w:t>
      </w:r>
    </w:p>
    <w:p w14:paraId="060DFD73" w14:textId="6924957A"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Greggs PLC is a UK high-street dominant bakery and food-on-the-go retailer with hubs in Newcastle upon Tyne. It is a private business that grew from a single bakery base in the 1930s to a retail chain across the UK with over 2,300 stores. Its mission "is to make great-tasting, freshly prepared food available to everyone," with priorities on value, convenience, and customer service (Greggs, 2023). Operating in the competitive fast food restaurant industry, Greggs is founded on high product quality, sustainability, and customer orientation. Its infrastructure and environment have been a key driver of the business's growth and sustainability, specifically how it has been able to adapt to changes in the market and customers' needs.</w:t>
      </w:r>
    </w:p>
    <w:p w14:paraId="11DAF97A" w14:textId="77777777" w:rsidR="00360487" w:rsidRPr="00360487" w:rsidRDefault="00360487" w:rsidP="00360487">
      <w:pPr>
        <w:spacing w:line="360" w:lineRule="auto"/>
        <w:rPr>
          <w:rFonts w:ascii="Times New Roman" w:hAnsi="Times New Roman" w:cs="Times New Roman"/>
        </w:rPr>
      </w:pPr>
      <w:r w:rsidRPr="00360487">
        <w:rPr>
          <w:rFonts w:ascii="Times New Roman" w:hAnsi="Times New Roman" w:cs="Times New Roman"/>
        </w:rPr>
        <w:br w:type="page"/>
      </w:r>
    </w:p>
    <w:p w14:paraId="61C0CFB6" w14:textId="58DC2DEE" w:rsidR="00BB7684" w:rsidRPr="00360487" w:rsidRDefault="00BB7684" w:rsidP="00360487">
      <w:pPr>
        <w:pStyle w:val="Titlu1"/>
        <w:rPr>
          <w:rFonts w:eastAsia="Times New Roman"/>
        </w:rPr>
      </w:pPr>
      <w:r w:rsidRPr="00360487">
        <w:rPr>
          <w:rFonts w:eastAsia="Times New Roman"/>
        </w:rPr>
        <w:t xml:space="preserve">Major </w:t>
      </w:r>
      <w:proofErr w:type="spellStart"/>
      <w:r w:rsidRPr="00360487">
        <w:rPr>
          <w:rFonts w:eastAsia="Times New Roman"/>
        </w:rPr>
        <w:t>Organisational</w:t>
      </w:r>
      <w:proofErr w:type="spellEnd"/>
      <w:r w:rsidRPr="00360487">
        <w:rPr>
          <w:rFonts w:eastAsia="Times New Roman"/>
        </w:rPr>
        <w:t xml:space="preserve"> Activities</w:t>
      </w:r>
    </w:p>
    <w:p w14:paraId="2B257D2F" w14:textId="76E730ED"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 xml:space="preserve">Greggs has sound financial management in the form of sound accounting and finance procedures. Budgeting, strategic financial planning, forecasting, and cost control are all within the purview of the finance function. By using advanced accounting packages such as SAP Business One, Greggs pays for finance in real time and has strict adherence to UK GAAP. </w:t>
      </w:r>
      <w:proofErr w:type="spellStart"/>
      <w:r w:rsidRPr="00360487">
        <w:rPr>
          <w:rFonts w:ascii="Times New Roman" w:hAnsi="Times New Roman" w:cs="Times New Roman"/>
        </w:rPr>
        <w:t>Atrill</w:t>
      </w:r>
      <w:proofErr w:type="spellEnd"/>
      <w:r w:rsidRPr="00360487">
        <w:rPr>
          <w:rFonts w:ascii="Times New Roman" w:hAnsi="Times New Roman" w:cs="Times New Roman"/>
        </w:rPr>
        <w:t xml:space="preserve"> and McLaney (202</w:t>
      </w:r>
      <w:r w:rsidR="00C93EA2" w:rsidRPr="00360487">
        <w:rPr>
          <w:rFonts w:ascii="Times New Roman" w:hAnsi="Times New Roman" w:cs="Times New Roman"/>
        </w:rPr>
        <w:t>1</w:t>
      </w:r>
      <w:r w:rsidRPr="00360487">
        <w:rPr>
          <w:rFonts w:ascii="Times New Roman" w:hAnsi="Times New Roman" w:cs="Times New Roman"/>
        </w:rPr>
        <w:t>) posit that good financial management allows businesses to remain in operation by making good decisions and minimizing business risk. Financial prudence by Greggs during the Covid-19 era allowed it to ride out revenue decline as persistent employee retention under the government's furlough scheme dominated.</w:t>
      </w:r>
    </w:p>
    <w:p w14:paraId="584033B0" w14:textId="6DAB246D"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The most critical brand and customer loyalty work would likely be the marketing work. Marketing work in Greggs has been brought up to date with a mix of old promotion and more recent forms of digital engagement.</w:t>
      </w:r>
      <w:r w:rsidR="00C93EA2" w:rsidRPr="00360487">
        <w:rPr>
          <w:rFonts w:ascii="Times New Roman" w:hAnsi="Times New Roman" w:cs="Times New Roman"/>
        </w:rPr>
        <w:t xml:space="preserve"> According to </w:t>
      </w:r>
      <w:proofErr w:type="spellStart"/>
      <w:r w:rsidR="00C93EA2" w:rsidRPr="00360487">
        <w:rPr>
          <w:rFonts w:ascii="Times New Roman" w:hAnsi="Times New Roman" w:cs="Times New Roman"/>
        </w:rPr>
        <w:t>GlobalData</w:t>
      </w:r>
      <w:proofErr w:type="spellEnd"/>
      <w:r w:rsidR="00C93EA2" w:rsidRPr="00360487">
        <w:rPr>
          <w:rFonts w:ascii="Times New Roman" w:hAnsi="Times New Roman" w:cs="Times New Roman"/>
        </w:rPr>
        <w:t xml:space="preserve"> Consumer (2020),</w:t>
      </w:r>
      <w:r w:rsidRPr="00360487">
        <w:rPr>
          <w:rFonts w:ascii="Times New Roman" w:hAnsi="Times New Roman" w:cs="Times New Roman"/>
        </w:rPr>
        <w:t xml:space="preserve"> </w:t>
      </w:r>
      <w:r w:rsidR="00C93EA2" w:rsidRPr="00360487">
        <w:rPr>
          <w:rFonts w:ascii="Times New Roman" w:hAnsi="Times New Roman" w:cs="Times New Roman"/>
        </w:rPr>
        <w:t>i</w:t>
      </w:r>
      <w:r w:rsidRPr="00360487">
        <w:rPr>
          <w:rFonts w:ascii="Times New Roman" w:hAnsi="Times New Roman" w:cs="Times New Roman"/>
        </w:rPr>
        <w:t xml:space="preserve">ts introduction of the Greggs Rewards App and collaborations, such as its 2019 vegan sausage roll campaign, attest to its capacity to respond to new consumer trends. Kotler et al. (2019) believe that the alignment of social trends with marketing strategy develops the trust of customers and the business's reputation. Gregg's marketing is also aligned with its moral values, i.e., healthy food and fair marking of food. </w:t>
      </w:r>
    </w:p>
    <w:p w14:paraId="0928B5DF" w14:textId="105189C6"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 xml:space="preserve">The HRM of Greggs is grounded on the pillars of inclusivity, employee health, and learning. It facilitates full development in the Greggs Academy and promotes internal promotion. Armstrong and Taylor (2020) narrate how strategic HRM not only attains workforce </w:t>
      </w:r>
      <w:proofErr w:type="spellStart"/>
      <w:r w:rsidRPr="00360487">
        <w:rPr>
          <w:rFonts w:ascii="Times New Roman" w:hAnsi="Times New Roman" w:cs="Times New Roman"/>
        </w:rPr>
        <w:t>optimisation</w:t>
      </w:r>
      <w:proofErr w:type="spellEnd"/>
      <w:r w:rsidRPr="00360487">
        <w:rPr>
          <w:rFonts w:ascii="Times New Roman" w:hAnsi="Times New Roman" w:cs="Times New Roman"/>
        </w:rPr>
        <w:t xml:space="preserve"> but also </w:t>
      </w:r>
      <w:proofErr w:type="spellStart"/>
      <w:r w:rsidRPr="00360487">
        <w:rPr>
          <w:rFonts w:ascii="Times New Roman" w:hAnsi="Times New Roman" w:cs="Times New Roman"/>
        </w:rPr>
        <w:t>organisational</w:t>
      </w:r>
      <w:proofErr w:type="spellEnd"/>
      <w:r w:rsidRPr="00360487">
        <w:rPr>
          <w:rFonts w:ascii="Times New Roman" w:hAnsi="Times New Roman" w:cs="Times New Roman"/>
        </w:rPr>
        <w:t xml:space="preserve"> agility. Greggs' focus on employee voice and recognition has led to high job satisfaction for workers, and that can be measured by its being repeatedly one of the best-rated UK employers. Additionally, schemes such as the Employee Hardship Fund and paid volunteer days reflect Greggs' social responsibility.</w:t>
      </w:r>
    </w:p>
    <w:p w14:paraId="1E869D97" w14:textId="5346F066"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 xml:space="preserve">Greggs also possesses a culture of fairness, simplicity, and doing the right thing, which are stakeholder-oriented. </w:t>
      </w:r>
      <w:proofErr w:type="spellStart"/>
      <w:r w:rsidRPr="00360487">
        <w:rPr>
          <w:rFonts w:ascii="Times New Roman" w:hAnsi="Times New Roman" w:cs="Times New Roman"/>
        </w:rPr>
        <w:t>Organisational</w:t>
      </w:r>
      <w:proofErr w:type="spellEnd"/>
      <w:r w:rsidRPr="00360487">
        <w:rPr>
          <w:rFonts w:ascii="Times New Roman" w:hAnsi="Times New Roman" w:cs="Times New Roman"/>
        </w:rPr>
        <w:t xml:space="preserve"> culture is explained by </w:t>
      </w:r>
      <w:r w:rsidR="00360487" w:rsidRPr="00360487">
        <w:rPr>
          <w:rFonts w:ascii="Times New Roman" w:hAnsi="Times New Roman" w:cs="Times New Roman"/>
        </w:rPr>
        <w:t>Schein (2009)</w:t>
      </w:r>
      <w:r w:rsidRPr="00360487">
        <w:rPr>
          <w:rFonts w:ascii="Times New Roman" w:hAnsi="Times New Roman" w:cs="Times New Roman"/>
        </w:rPr>
        <w:t xml:space="preserve"> as the dominant pattern of norms and values according to which employees behave and company practice is directed. It is an open and humanitarian culture at Greggs, where equal importance is provided to staff and customer satisfaction. It possesses environment care, community work in the shape of the Greggs Foundation, and an ethical purchasing policy.</w:t>
      </w:r>
    </w:p>
    <w:p w14:paraId="2D587576" w14:textId="1BB23EB3" w:rsidR="00BB768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Cameron and Quinn's (20</w:t>
      </w:r>
      <w:r w:rsidR="00C93EA2" w:rsidRPr="00360487">
        <w:rPr>
          <w:rFonts w:ascii="Times New Roman" w:hAnsi="Times New Roman" w:cs="Times New Roman"/>
        </w:rPr>
        <w:t>22</w:t>
      </w:r>
      <w:r w:rsidRPr="00360487">
        <w:rPr>
          <w:rFonts w:ascii="Times New Roman" w:hAnsi="Times New Roman" w:cs="Times New Roman"/>
        </w:rPr>
        <w:t xml:space="preserve">) Competing Values Framework would place Gregg's culture in the "Clan-oriented" category, where cooperation, participation, and family spirit are the themes. This type of culture has developed resilience and innovation, as Greggs has responded to app and delivery orders extremely quickly. Secondly, it enables staff to participate to high levels, which Denison et al. (2014), in fact, credited with improved </w:t>
      </w:r>
      <w:proofErr w:type="spellStart"/>
      <w:r w:rsidRPr="00360487">
        <w:rPr>
          <w:rFonts w:ascii="Times New Roman" w:hAnsi="Times New Roman" w:cs="Times New Roman"/>
        </w:rPr>
        <w:t>organisational</w:t>
      </w:r>
      <w:proofErr w:type="spellEnd"/>
      <w:r w:rsidRPr="00360487">
        <w:rPr>
          <w:rFonts w:ascii="Times New Roman" w:hAnsi="Times New Roman" w:cs="Times New Roman"/>
        </w:rPr>
        <w:t xml:space="preserve"> performance.</w:t>
      </w:r>
    </w:p>
    <w:p w14:paraId="359EEDE9" w14:textId="4F957965" w:rsidR="00BB7684" w:rsidRDefault="00BB7684" w:rsidP="00360487">
      <w:pPr>
        <w:spacing w:line="360" w:lineRule="auto"/>
        <w:jc w:val="both"/>
        <w:rPr>
          <w:rFonts w:ascii="Times New Roman" w:hAnsi="Times New Roman" w:cs="Times New Roman"/>
        </w:rPr>
      </w:pPr>
      <w:proofErr w:type="spellStart"/>
      <w:r w:rsidRPr="00360487">
        <w:rPr>
          <w:rFonts w:ascii="Times New Roman" w:hAnsi="Times New Roman" w:cs="Times New Roman"/>
        </w:rPr>
        <w:t>Organisational</w:t>
      </w:r>
      <w:proofErr w:type="spellEnd"/>
      <w:r w:rsidRPr="00360487">
        <w:rPr>
          <w:rFonts w:ascii="Times New Roman" w:hAnsi="Times New Roman" w:cs="Times New Roman"/>
        </w:rPr>
        <w:t xml:space="preserve"> culture is also significant to customer experience. The warmth of community and friendly service are most akin to Greggs' values, something aligned with Herzberg's theory of motivation-hygiene (Herzberg, 1966) that job satisfaction is achieved through commendations and participative participation—neither of which can be </w:t>
      </w:r>
      <w:proofErr w:type="spellStart"/>
      <w:r w:rsidRPr="00360487">
        <w:rPr>
          <w:rFonts w:ascii="Times New Roman" w:hAnsi="Times New Roman" w:cs="Times New Roman"/>
        </w:rPr>
        <w:t>universalised</w:t>
      </w:r>
      <w:proofErr w:type="spellEnd"/>
      <w:r w:rsidRPr="00360487">
        <w:rPr>
          <w:rFonts w:ascii="Times New Roman" w:hAnsi="Times New Roman" w:cs="Times New Roman"/>
        </w:rPr>
        <w:t xml:space="preserve"> in Greggs' employees' practice.</w:t>
      </w:r>
    </w:p>
    <w:p w14:paraId="69321DE0" w14:textId="49C65B6E" w:rsidR="00F71155" w:rsidRDefault="00F71155" w:rsidP="00360487">
      <w:pPr>
        <w:spacing w:line="360" w:lineRule="auto"/>
        <w:jc w:val="both"/>
        <w:rPr>
          <w:rFonts w:ascii="Times New Roman" w:hAnsi="Times New Roman" w:cs="Times New Roman"/>
        </w:rPr>
      </w:pPr>
      <w:r w:rsidRPr="00F71155">
        <w:rPr>
          <w:rFonts w:ascii="Times New Roman" w:hAnsi="Times New Roman" w:cs="Times New Roman"/>
        </w:rPr>
        <w:t>The other critical function of Greggs' operations management contributes to the basis of its business model and its market success. This is a centralized manufacturing system that has regional bakeries producing fresh products and delivering them to retail outlets for the consistent supply and control of quality within the extensive network of the company. According to Slack et al. (201</w:t>
      </w:r>
      <w:r>
        <w:rPr>
          <w:rFonts w:ascii="Times New Roman" w:hAnsi="Times New Roman" w:cs="Times New Roman"/>
        </w:rPr>
        <w:t>0</w:t>
      </w:r>
      <w:r w:rsidRPr="00F71155">
        <w:rPr>
          <w:rFonts w:ascii="Times New Roman" w:hAnsi="Times New Roman" w:cs="Times New Roman"/>
        </w:rPr>
        <w:t xml:space="preserve">), the food-on-the-go sector, described by this model, </w:t>
      </w:r>
      <w:proofErr w:type="spellStart"/>
      <w:r w:rsidRPr="00F71155">
        <w:rPr>
          <w:rFonts w:ascii="Times New Roman" w:hAnsi="Times New Roman" w:cs="Times New Roman"/>
        </w:rPr>
        <w:t>optimises</w:t>
      </w:r>
      <w:proofErr w:type="spellEnd"/>
      <w:r w:rsidRPr="00F71155">
        <w:rPr>
          <w:rFonts w:ascii="Times New Roman" w:hAnsi="Times New Roman" w:cs="Times New Roman"/>
        </w:rPr>
        <w:t xml:space="preserve"> the use of resources whilst maintaining product freshness successfully as critical success factors in this area. Like many businesses, Gregg's supply chain had to very quickly adapt to the changing consumer behaviors during the COVID-19 pandemic, which required the reconfiguration of store supply operations in response to the expansion of click and collect services and delivery partnerships with just eat, for example (Greggs, 202</w:t>
      </w:r>
      <w:r>
        <w:rPr>
          <w:rFonts w:ascii="Times New Roman" w:hAnsi="Times New Roman" w:cs="Times New Roman"/>
        </w:rPr>
        <w:t>3</w:t>
      </w:r>
      <w:r w:rsidRPr="00F71155">
        <w:rPr>
          <w:rFonts w:ascii="Times New Roman" w:hAnsi="Times New Roman" w:cs="Times New Roman"/>
        </w:rPr>
        <w:t xml:space="preserve">). </w:t>
      </w:r>
    </w:p>
    <w:p w14:paraId="7804D2BD" w14:textId="6DE281E4" w:rsidR="00F71155" w:rsidRPr="00360487" w:rsidRDefault="00F71155" w:rsidP="00360487">
      <w:pPr>
        <w:spacing w:line="360" w:lineRule="auto"/>
        <w:jc w:val="both"/>
        <w:rPr>
          <w:rFonts w:ascii="Times New Roman" w:hAnsi="Times New Roman" w:cs="Times New Roman"/>
        </w:rPr>
      </w:pPr>
      <w:r w:rsidRPr="00F71155">
        <w:rPr>
          <w:rFonts w:ascii="Times New Roman" w:hAnsi="Times New Roman" w:cs="Times New Roman"/>
        </w:rPr>
        <w:t>Improving operational effectiveness means setting the stage for automation in ordering systems that now reduces stockouts and food waste while satisfying the economic and sustainability objectives at the same time. In line with Porter’s (2008) Value Chain Analysis, these operational innovations lead to cost leadership or differentiation, through operational activities. Secondly, Greggs also have a robust quality management system, which Christopher (202</w:t>
      </w:r>
      <w:r>
        <w:rPr>
          <w:rFonts w:ascii="Times New Roman" w:hAnsi="Times New Roman" w:cs="Times New Roman"/>
        </w:rPr>
        <w:t>2</w:t>
      </w:r>
      <w:r w:rsidRPr="00F71155">
        <w:rPr>
          <w:rFonts w:ascii="Times New Roman" w:hAnsi="Times New Roman" w:cs="Times New Roman"/>
        </w:rPr>
        <w:t>) says is an imperative trust signal in food retail and the company has also been awarded ISO 9001 certifications. The vertical integration strategy in which the company controls large extent of its chain of supply from manufacturing to retail makes possible an efficient adaptation to market trends and the speedy introduction of new product developments, as in case of the way in which it rolled out the vegan option throughout its network to adapt to the change in consumer’s trends and market conditions.</w:t>
      </w:r>
    </w:p>
    <w:p w14:paraId="0A983076" w14:textId="77777777" w:rsidR="00360487" w:rsidRPr="00360487" w:rsidRDefault="00360487" w:rsidP="00360487">
      <w:pPr>
        <w:spacing w:line="360" w:lineRule="auto"/>
        <w:rPr>
          <w:rFonts w:ascii="Times New Roman" w:hAnsi="Times New Roman" w:cs="Times New Roman"/>
        </w:rPr>
      </w:pPr>
      <w:r w:rsidRPr="00360487">
        <w:rPr>
          <w:rFonts w:ascii="Times New Roman" w:hAnsi="Times New Roman" w:cs="Times New Roman"/>
        </w:rPr>
        <w:br w:type="page"/>
      </w:r>
    </w:p>
    <w:p w14:paraId="2D19C668" w14:textId="1E4CFD25" w:rsidR="00BB7684" w:rsidRPr="00360487" w:rsidRDefault="00BB7684" w:rsidP="00360487">
      <w:pPr>
        <w:pStyle w:val="Titlu1"/>
        <w:rPr>
          <w:rFonts w:eastAsia="Times New Roman"/>
        </w:rPr>
      </w:pPr>
      <w:r w:rsidRPr="00360487">
        <w:rPr>
          <w:rFonts w:eastAsia="Times New Roman"/>
        </w:rPr>
        <w:t>Conclusion</w:t>
      </w:r>
    </w:p>
    <w:p w14:paraId="0FA3D050" w14:textId="6995C781" w:rsidR="002647A4" w:rsidRPr="00360487" w:rsidRDefault="00BB7684" w:rsidP="00360487">
      <w:pPr>
        <w:spacing w:line="360" w:lineRule="auto"/>
        <w:jc w:val="both"/>
        <w:rPr>
          <w:rFonts w:ascii="Times New Roman" w:hAnsi="Times New Roman" w:cs="Times New Roman"/>
        </w:rPr>
      </w:pPr>
      <w:r w:rsidRPr="00360487">
        <w:rPr>
          <w:rFonts w:ascii="Times New Roman" w:hAnsi="Times New Roman" w:cs="Times New Roman"/>
        </w:rPr>
        <w:t xml:space="preserve">Greggs PLC demonstrates how far a UK mid-cap company can leverage its core business and </w:t>
      </w:r>
      <w:proofErr w:type="spellStart"/>
      <w:r w:rsidRPr="00360487">
        <w:rPr>
          <w:rFonts w:ascii="Times New Roman" w:hAnsi="Times New Roman" w:cs="Times New Roman"/>
        </w:rPr>
        <w:t>organisational</w:t>
      </w:r>
      <w:proofErr w:type="spellEnd"/>
      <w:r w:rsidRPr="00360487">
        <w:rPr>
          <w:rFonts w:ascii="Times New Roman" w:hAnsi="Times New Roman" w:cs="Times New Roman"/>
        </w:rPr>
        <w:t xml:space="preserve"> culture to influence long-term performance. Its role as a financier provides conservatism and adaptability, and as an active marketer ensures that the company's brand remains popular and in step with demand. Its role as an HRM generates highly competent, highly committed employees through an open policy. Most of all, maybe, is the strength of </w:t>
      </w:r>
      <w:proofErr w:type="spellStart"/>
      <w:r w:rsidRPr="00360487">
        <w:rPr>
          <w:rFonts w:ascii="Times New Roman" w:hAnsi="Times New Roman" w:cs="Times New Roman"/>
        </w:rPr>
        <w:t>Greggs's</w:t>
      </w:r>
      <w:proofErr w:type="spellEnd"/>
      <w:r w:rsidRPr="00360487">
        <w:rPr>
          <w:rFonts w:ascii="Times New Roman" w:hAnsi="Times New Roman" w:cs="Times New Roman"/>
        </w:rPr>
        <w:t xml:space="preserve"> value-based culture to facilitate strategic alignment and adaptation to a shifting marketplace. As businesses across the globe increasingly grapple with increasing social, environmental, and economic challenges, Greggs stands as an example of how profitability and purpose are reconciled by aligned inner systems and people-first philosophy-driven.</w:t>
      </w:r>
    </w:p>
    <w:p w14:paraId="6D1C5AC4" w14:textId="77777777" w:rsidR="00360487" w:rsidRPr="00360487" w:rsidRDefault="00360487" w:rsidP="00360487">
      <w:pPr>
        <w:spacing w:line="360" w:lineRule="auto"/>
        <w:jc w:val="both"/>
        <w:rPr>
          <w:rFonts w:ascii="Times New Roman" w:hAnsi="Times New Roman" w:cs="Times New Roman"/>
        </w:rPr>
      </w:pPr>
    </w:p>
    <w:p w14:paraId="01FF43BD" w14:textId="38D65A24" w:rsidR="00360487" w:rsidRPr="00360487" w:rsidRDefault="00360487" w:rsidP="00360487">
      <w:pPr>
        <w:spacing w:line="360" w:lineRule="auto"/>
        <w:rPr>
          <w:rFonts w:ascii="Times New Roman" w:hAnsi="Times New Roman" w:cs="Times New Roman"/>
        </w:rPr>
      </w:pPr>
      <w:r w:rsidRPr="00360487">
        <w:rPr>
          <w:rFonts w:ascii="Times New Roman" w:hAnsi="Times New Roman" w:cs="Times New Roman"/>
        </w:rPr>
        <w:br w:type="page"/>
      </w:r>
    </w:p>
    <w:p w14:paraId="41E6059C" w14:textId="77777777" w:rsidR="00360487" w:rsidRPr="00360487" w:rsidRDefault="00360487" w:rsidP="00360487">
      <w:pPr>
        <w:spacing w:after="240" w:line="360" w:lineRule="auto"/>
        <w:outlineLvl w:val="0"/>
        <w:rPr>
          <w:rFonts w:ascii="Times New Roman" w:eastAsia="Times New Roman" w:hAnsi="Times New Roman" w:cs="Times New Roman"/>
          <w:b/>
          <w:bCs/>
          <w:kern w:val="36"/>
          <w:sz w:val="36"/>
          <w:szCs w:val="36"/>
          <w14:ligatures w14:val="none"/>
        </w:rPr>
      </w:pPr>
      <w:r w:rsidRPr="00360487">
        <w:rPr>
          <w:rFonts w:ascii="Times New Roman" w:eastAsia="Times New Roman" w:hAnsi="Times New Roman" w:cs="Times New Roman"/>
          <w:b/>
          <w:bCs/>
          <w:kern w:val="36"/>
          <w:sz w:val="36"/>
          <w:szCs w:val="36"/>
          <w14:ligatures w14:val="none"/>
        </w:rPr>
        <w:t>Reference list</w:t>
      </w:r>
    </w:p>
    <w:p w14:paraId="30720EA9"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Armstrong, M. and Taylor, S. (2020). </w:t>
      </w:r>
      <w:r w:rsidRPr="00360487">
        <w:rPr>
          <w:rFonts w:ascii="Times New Roman" w:eastAsia="Times New Roman" w:hAnsi="Times New Roman" w:cs="Times New Roman"/>
          <w:i/>
          <w:iCs/>
          <w:sz w:val="24"/>
          <w:szCs w:val="24"/>
          <w14:ligatures w14:val="none"/>
        </w:rPr>
        <w:t>Armstrong’s Handbook of Human Resource Management Practice</w:t>
      </w:r>
      <w:r w:rsidRPr="00360487">
        <w:rPr>
          <w:rFonts w:ascii="Times New Roman" w:eastAsia="Times New Roman" w:hAnsi="Times New Roman" w:cs="Times New Roman"/>
          <w:sz w:val="24"/>
          <w:szCs w:val="24"/>
          <w14:ligatures w14:val="none"/>
        </w:rPr>
        <w:t>. 16th ed. New York: Kogan Page.</w:t>
      </w:r>
    </w:p>
    <w:p w14:paraId="22A92CD5"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proofErr w:type="spellStart"/>
      <w:r w:rsidRPr="00360487">
        <w:rPr>
          <w:rFonts w:ascii="Times New Roman" w:eastAsia="Times New Roman" w:hAnsi="Times New Roman" w:cs="Times New Roman"/>
          <w:sz w:val="24"/>
          <w:szCs w:val="24"/>
          <w14:ligatures w14:val="none"/>
        </w:rPr>
        <w:t>Atrill</w:t>
      </w:r>
      <w:proofErr w:type="spellEnd"/>
      <w:r w:rsidRPr="00360487">
        <w:rPr>
          <w:rFonts w:ascii="Times New Roman" w:eastAsia="Times New Roman" w:hAnsi="Times New Roman" w:cs="Times New Roman"/>
          <w:sz w:val="24"/>
          <w:szCs w:val="24"/>
          <w14:ligatures w14:val="none"/>
        </w:rPr>
        <w:t xml:space="preserve">, P. and McLaney, E. (2021). </w:t>
      </w:r>
      <w:r w:rsidRPr="00360487">
        <w:rPr>
          <w:rFonts w:ascii="Times New Roman" w:eastAsia="Times New Roman" w:hAnsi="Times New Roman" w:cs="Times New Roman"/>
          <w:i/>
          <w:iCs/>
          <w:sz w:val="24"/>
          <w:szCs w:val="24"/>
          <w14:ligatures w14:val="none"/>
        </w:rPr>
        <w:t>Accounting and Finance for Non-Specialists</w:t>
      </w:r>
      <w:r w:rsidRPr="00360487">
        <w:rPr>
          <w:rFonts w:ascii="Times New Roman" w:eastAsia="Times New Roman" w:hAnsi="Times New Roman" w:cs="Times New Roman"/>
          <w:sz w:val="24"/>
          <w:szCs w:val="24"/>
          <w14:ligatures w14:val="none"/>
        </w:rPr>
        <w:t>. 12th ed. Harlow: Pearson Education, Limited.</w:t>
      </w:r>
    </w:p>
    <w:p w14:paraId="4F29AD23"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Cameron, K. and Quinn, R. (2022). </w:t>
      </w:r>
      <w:r w:rsidRPr="00360487">
        <w:rPr>
          <w:rFonts w:ascii="Times New Roman" w:eastAsia="Times New Roman" w:hAnsi="Times New Roman" w:cs="Times New Roman"/>
          <w:i/>
          <w:iCs/>
          <w:sz w:val="24"/>
          <w:szCs w:val="24"/>
          <w14:ligatures w14:val="none"/>
        </w:rPr>
        <w:t>Diagnosing and Changing Organizational Culture: Based on the Competing Values Framework</w:t>
      </w:r>
      <w:r w:rsidRPr="00360487">
        <w:rPr>
          <w:rFonts w:ascii="Times New Roman" w:eastAsia="Times New Roman" w:hAnsi="Times New Roman" w:cs="Times New Roman"/>
          <w:sz w:val="24"/>
          <w:szCs w:val="24"/>
          <w14:ligatures w14:val="none"/>
        </w:rPr>
        <w:t>. 6th ed. San Francisco: Jossey-Bass.</w:t>
      </w:r>
    </w:p>
    <w:p w14:paraId="0CE3F5AE"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Denison, D., </w:t>
      </w:r>
      <w:proofErr w:type="spellStart"/>
      <w:r w:rsidRPr="00360487">
        <w:rPr>
          <w:rFonts w:ascii="Times New Roman" w:eastAsia="Times New Roman" w:hAnsi="Times New Roman" w:cs="Times New Roman"/>
          <w:sz w:val="24"/>
          <w:szCs w:val="24"/>
          <w14:ligatures w14:val="none"/>
        </w:rPr>
        <w:t>Hooijberg</w:t>
      </w:r>
      <w:proofErr w:type="spellEnd"/>
      <w:r w:rsidRPr="00360487">
        <w:rPr>
          <w:rFonts w:ascii="Times New Roman" w:eastAsia="Times New Roman" w:hAnsi="Times New Roman" w:cs="Times New Roman"/>
          <w:sz w:val="24"/>
          <w:szCs w:val="24"/>
          <w14:ligatures w14:val="none"/>
        </w:rPr>
        <w:t xml:space="preserve">, R., Lief, C. and Lane, N. (2012). </w:t>
      </w:r>
      <w:r w:rsidRPr="00360487">
        <w:rPr>
          <w:rFonts w:ascii="Times New Roman" w:eastAsia="Times New Roman" w:hAnsi="Times New Roman" w:cs="Times New Roman"/>
          <w:i/>
          <w:iCs/>
          <w:sz w:val="24"/>
          <w:szCs w:val="24"/>
          <w14:ligatures w14:val="none"/>
        </w:rPr>
        <w:t>Leading Culture Change in Global Organizations</w:t>
      </w:r>
      <w:r w:rsidRPr="00360487">
        <w:rPr>
          <w:rFonts w:ascii="Times New Roman" w:eastAsia="Times New Roman" w:hAnsi="Times New Roman" w:cs="Times New Roman"/>
          <w:sz w:val="24"/>
          <w:szCs w:val="24"/>
          <w14:ligatures w14:val="none"/>
        </w:rPr>
        <w:t>. 3rd ed. London: John Wiley &amp; Sons.</w:t>
      </w:r>
    </w:p>
    <w:p w14:paraId="2054BF26"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proofErr w:type="spellStart"/>
      <w:r w:rsidRPr="00360487">
        <w:rPr>
          <w:rFonts w:ascii="Times New Roman" w:eastAsia="Times New Roman" w:hAnsi="Times New Roman" w:cs="Times New Roman"/>
          <w:sz w:val="24"/>
          <w:szCs w:val="24"/>
          <w14:ligatures w14:val="none"/>
        </w:rPr>
        <w:t>GlobalData</w:t>
      </w:r>
      <w:proofErr w:type="spellEnd"/>
      <w:r w:rsidRPr="00360487">
        <w:rPr>
          <w:rFonts w:ascii="Times New Roman" w:eastAsia="Times New Roman" w:hAnsi="Times New Roman" w:cs="Times New Roman"/>
          <w:sz w:val="24"/>
          <w:szCs w:val="24"/>
          <w14:ligatures w14:val="none"/>
        </w:rPr>
        <w:t xml:space="preserve"> Consumer (2020). </w:t>
      </w:r>
      <w:r w:rsidRPr="00360487">
        <w:rPr>
          <w:rFonts w:ascii="Times New Roman" w:eastAsia="Times New Roman" w:hAnsi="Times New Roman" w:cs="Times New Roman"/>
          <w:i/>
          <w:iCs/>
          <w:sz w:val="24"/>
          <w:szCs w:val="24"/>
          <w14:ligatures w14:val="none"/>
        </w:rPr>
        <w:t>How Greggs is continually adapting to its consumers</w:t>
      </w:r>
      <w:r w:rsidRPr="00360487">
        <w:rPr>
          <w:rFonts w:ascii="Times New Roman" w:eastAsia="Times New Roman" w:hAnsi="Times New Roman" w:cs="Times New Roman"/>
          <w:sz w:val="24"/>
          <w:szCs w:val="24"/>
          <w14:ligatures w14:val="none"/>
        </w:rPr>
        <w:t>. [online] Verdict Food Service. Available at: https://www.verdictfoodservice.com/analyst-comment/greggs-adapts-consumers/ [Accessed 16 Apr. 2025].</w:t>
      </w:r>
    </w:p>
    <w:p w14:paraId="6E35CB5A"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Greggs (2023). </w:t>
      </w:r>
      <w:r w:rsidRPr="00360487">
        <w:rPr>
          <w:rFonts w:ascii="Times New Roman" w:eastAsia="Times New Roman" w:hAnsi="Times New Roman" w:cs="Times New Roman"/>
          <w:i/>
          <w:iCs/>
          <w:sz w:val="24"/>
          <w:szCs w:val="24"/>
          <w14:ligatures w14:val="none"/>
        </w:rPr>
        <w:t>Greggs Corporate | About us</w:t>
      </w:r>
      <w:r w:rsidRPr="00360487">
        <w:rPr>
          <w:rFonts w:ascii="Times New Roman" w:eastAsia="Times New Roman" w:hAnsi="Times New Roman" w:cs="Times New Roman"/>
          <w:sz w:val="24"/>
          <w:szCs w:val="24"/>
          <w14:ligatures w14:val="none"/>
        </w:rPr>
        <w:t>. [online] corporate.greggs.co.uk. Available at: https://corporate.greggs.co.uk/about-us.</w:t>
      </w:r>
    </w:p>
    <w:p w14:paraId="20C71E87"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Herzberg, F. (1968). </w:t>
      </w:r>
      <w:r w:rsidRPr="00360487">
        <w:rPr>
          <w:rFonts w:ascii="Times New Roman" w:eastAsia="Times New Roman" w:hAnsi="Times New Roman" w:cs="Times New Roman"/>
          <w:i/>
          <w:iCs/>
          <w:sz w:val="24"/>
          <w:szCs w:val="24"/>
          <w14:ligatures w14:val="none"/>
        </w:rPr>
        <w:t>Work and the nature of man</w:t>
      </w:r>
      <w:r w:rsidRPr="00360487">
        <w:rPr>
          <w:rFonts w:ascii="Times New Roman" w:eastAsia="Times New Roman" w:hAnsi="Times New Roman" w:cs="Times New Roman"/>
          <w:sz w:val="24"/>
          <w:szCs w:val="24"/>
          <w14:ligatures w14:val="none"/>
        </w:rPr>
        <w:t>. 5th ed. London: Crosby Lockwood Staples.</w:t>
      </w:r>
    </w:p>
    <w:p w14:paraId="11EAEB00" w14:textId="77777777" w:rsidR="00360487" w:rsidRP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Kotler, P., Armstrong, G. and Balasubramanian, S. (2023). </w:t>
      </w:r>
      <w:r w:rsidRPr="00360487">
        <w:rPr>
          <w:rFonts w:ascii="Times New Roman" w:eastAsia="Times New Roman" w:hAnsi="Times New Roman" w:cs="Times New Roman"/>
          <w:i/>
          <w:iCs/>
          <w:sz w:val="24"/>
          <w:szCs w:val="24"/>
          <w14:ligatures w14:val="none"/>
        </w:rPr>
        <w:t>Principles of Marketing</w:t>
      </w:r>
      <w:r w:rsidRPr="00360487">
        <w:rPr>
          <w:rFonts w:ascii="Times New Roman" w:eastAsia="Times New Roman" w:hAnsi="Times New Roman" w:cs="Times New Roman"/>
          <w:sz w:val="24"/>
          <w:szCs w:val="24"/>
          <w14:ligatures w14:val="none"/>
        </w:rPr>
        <w:t>. 19th ed. Harlow: Pearson.</w:t>
      </w:r>
    </w:p>
    <w:p w14:paraId="7C461D30" w14:textId="77777777" w:rsidR="00360487" w:rsidRDefault="00360487" w:rsidP="00360487">
      <w:pPr>
        <w:spacing w:after="240" w:line="360" w:lineRule="auto"/>
        <w:rPr>
          <w:rFonts w:ascii="Times New Roman" w:eastAsia="Times New Roman" w:hAnsi="Times New Roman" w:cs="Times New Roman"/>
          <w:sz w:val="24"/>
          <w:szCs w:val="24"/>
          <w14:ligatures w14:val="none"/>
        </w:rPr>
      </w:pPr>
      <w:r w:rsidRPr="00360487">
        <w:rPr>
          <w:rFonts w:ascii="Times New Roman" w:eastAsia="Times New Roman" w:hAnsi="Times New Roman" w:cs="Times New Roman"/>
          <w:sz w:val="24"/>
          <w:szCs w:val="24"/>
          <w14:ligatures w14:val="none"/>
        </w:rPr>
        <w:t xml:space="preserve">Schein, E.H. (2009). </w:t>
      </w:r>
      <w:r w:rsidRPr="00360487">
        <w:rPr>
          <w:rFonts w:ascii="Times New Roman" w:eastAsia="Times New Roman" w:hAnsi="Times New Roman" w:cs="Times New Roman"/>
          <w:i/>
          <w:iCs/>
          <w:sz w:val="24"/>
          <w:szCs w:val="24"/>
          <w14:ligatures w14:val="none"/>
        </w:rPr>
        <w:t>The corporate culture survival guide</w:t>
      </w:r>
      <w:r w:rsidRPr="00360487">
        <w:rPr>
          <w:rFonts w:ascii="Times New Roman" w:eastAsia="Times New Roman" w:hAnsi="Times New Roman" w:cs="Times New Roman"/>
          <w:sz w:val="24"/>
          <w:szCs w:val="24"/>
          <w14:ligatures w14:val="none"/>
        </w:rPr>
        <w:t>. 10th ed. San Francisco, Ca: Jossey-Bass.</w:t>
      </w:r>
    </w:p>
    <w:p w14:paraId="06E79483" w14:textId="29E73366" w:rsidR="00F71155" w:rsidRDefault="00F71155" w:rsidP="00360487">
      <w:pPr>
        <w:spacing w:after="240" w:line="360" w:lineRule="auto"/>
        <w:rPr>
          <w:rFonts w:ascii="Times New Roman" w:eastAsia="Times New Roman" w:hAnsi="Times New Roman" w:cs="Times New Roman"/>
          <w:sz w:val="24"/>
          <w:szCs w:val="24"/>
          <w14:ligatures w14:val="none"/>
        </w:rPr>
      </w:pPr>
      <w:r w:rsidRPr="00F71155">
        <w:rPr>
          <w:rFonts w:ascii="Times New Roman" w:eastAsia="Times New Roman" w:hAnsi="Times New Roman" w:cs="Times New Roman"/>
          <w:sz w:val="24"/>
          <w:szCs w:val="24"/>
          <w14:ligatures w14:val="none"/>
        </w:rPr>
        <w:t xml:space="preserve">Porter, M.E., 2008. Competitive advantage: Creating and sustaining superior performance. </w:t>
      </w:r>
      <w:proofErr w:type="spellStart"/>
      <w:r w:rsidRPr="00F71155">
        <w:rPr>
          <w:rFonts w:ascii="Times New Roman" w:eastAsia="Times New Roman" w:hAnsi="Times New Roman" w:cs="Times New Roman"/>
          <w:sz w:val="24"/>
          <w:szCs w:val="24"/>
          <w14:ligatures w14:val="none"/>
        </w:rPr>
        <w:t>simon</w:t>
      </w:r>
      <w:proofErr w:type="spellEnd"/>
      <w:r w:rsidRPr="00F71155">
        <w:rPr>
          <w:rFonts w:ascii="Times New Roman" w:eastAsia="Times New Roman" w:hAnsi="Times New Roman" w:cs="Times New Roman"/>
          <w:sz w:val="24"/>
          <w:szCs w:val="24"/>
          <w14:ligatures w14:val="none"/>
        </w:rPr>
        <w:t xml:space="preserve"> and </w:t>
      </w:r>
      <w:proofErr w:type="spellStart"/>
      <w:r w:rsidRPr="00F71155">
        <w:rPr>
          <w:rFonts w:ascii="Times New Roman" w:eastAsia="Times New Roman" w:hAnsi="Times New Roman" w:cs="Times New Roman"/>
          <w:sz w:val="24"/>
          <w:szCs w:val="24"/>
          <w14:ligatures w14:val="none"/>
        </w:rPr>
        <w:t>schuster</w:t>
      </w:r>
      <w:proofErr w:type="spellEnd"/>
      <w:r w:rsidRPr="00F71155">
        <w:rPr>
          <w:rFonts w:ascii="Times New Roman" w:eastAsia="Times New Roman" w:hAnsi="Times New Roman" w:cs="Times New Roman"/>
          <w:sz w:val="24"/>
          <w:szCs w:val="24"/>
          <w14:ligatures w14:val="none"/>
        </w:rPr>
        <w:t>.</w:t>
      </w:r>
    </w:p>
    <w:p w14:paraId="52300ACF" w14:textId="12049D41" w:rsidR="00F71155" w:rsidRDefault="00F71155" w:rsidP="00360487">
      <w:pPr>
        <w:spacing w:after="240" w:line="360" w:lineRule="auto"/>
        <w:rPr>
          <w:rFonts w:ascii="Times New Roman" w:eastAsia="Times New Roman" w:hAnsi="Times New Roman" w:cs="Times New Roman"/>
          <w:sz w:val="24"/>
          <w:szCs w:val="24"/>
          <w14:ligatures w14:val="none"/>
        </w:rPr>
      </w:pPr>
      <w:r w:rsidRPr="00F71155">
        <w:rPr>
          <w:rFonts w:ascii="Times New Roman" w:eastAsia="Times New Roman" w:hAnsi="Times New Roman" w:cs="Times New Roman"/>
          <w:sz w:val="24"/>
          <w:szCs w:val="24"/>
          <w14:ligatures w14:val="none"/>
        </w:rPr>
        <w:t>Slack, N., Chambers, S. and Johnston, R., 2010. Operations management. Pearson education.</w:t>
      </w:r>
    </w:p>
    <w:p w14:paraId="124CDE91" w14:textId="259DEE68" w:rsidR="00360487" w:rsidRPr="00F71155" w:rsidRDefault="00F71155" w:rsidP="00F71155">
      <w:pPr>
        <w:spacing w:after="240" w:line="360" w:lineRule="auto"/>
        <w:rPr>
          <w:rFonts w:ascii="Times New Roman" w:eastAsia="Times New Roman" w:hAnsi="Times New Roman" w:cs="Times New Roman"/>
          <w:sz w:val="24"/>
          <w:szCs w:val="24"/>
          <w14:ligatures w14:val="none"/>
        </w:rPr>
      </w:pPr>
      <w:r w:rsidRPr="00F71155">
        <w:rPr>
          <w:rFonts w:ascii="Times New Roman" w:eastAsia="Times New Roman" w:hAnsi="Times New Roman" w:cs="Times New Roman"/>
          <w:sz w:val="24"/>
          <w:szCs w:val="24"/>
          <w14:ligatures w14:val="none"/>
        </w:rPr>
        <w:t>Christopher, M., 2022. Logistics and supply chain management. Pearson Uk.</w:t>
      </w:r>
    </w:p>
    <w:sectPr w:rsidR="00360487" w:rsidRPr="00F71155" w:rsidSect="000F7A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84"/>
    <w:rsid w:val="000718FF"/>
    <w:rsid w:val="000A3F15"/>
    <w:rsid w:val="000B0A2B"/>
    <w:rsid w:val="000F7AF2"/>
    <w:rsid w:val="00133BDC"/>
    <w:rsid w:val="00170072"/>
    <w:rsid w:val="002647A4"/>
    <w:rsid w:val="00360487"/>
    <w:rsid w:val="003B24F2"/>
    <w:rsid w:val="00524586"/>
    <w:rsid w:val="005F7AA7"/>
    <w:rsid w:val="00615D66"/>
    <w:rsid w:val="006F15CB"/>
    <w:rsid w:val="007A3D31"/>
    <w:rsid w:val="007B4123"/>
    <w:rsid w:val="00805E9C"/>
    <w:rsid w:val="00912B5E"/>
    <w:rsid w:val="00991E74"/>
    <w:rsid w:val="009E314C"/>
    <w:rsid w:val="00A15C8F"/>
    <w:rsid w:val="00B6589B"/>
    <w:rsid w:val="00B74852"/>
    <w:rsid w:val="00BB7684"/>
    <w:rsid w:val="00C47A15"/>
    <w:rsid w:val="00C93EA2"/>
    <w:rsid w:val="00C93F41"/>
    <w:rsid w:val="00D63597"/>
    <w:rsid w:val="00E16145"/>
    <w:rsid w:val="00E61906"/>
    <w:rsid w:val="00EA505F"/>
    <w:rsid w:val="00F71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99F53"/>
  <w15:chartTrackingRefBased/>
  <w15:docId w15:val="{0F4291A7-1307-45B9-B906-26066B51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60487"/>
    <w:pPr>
      <w:keepNext/>
      <w:keepLines/>
      <w:spacing w:before="360" w:after="80"/>
      <w:outlineLvl w:val="0"/>
    </w:pPr>
    <w:rPr>
      <w:rFonts w:ascii="Times New Roman" w:eastAsiaTheme="majorEastAsia" w:hAnsi="Times New Roman" w:cstheme="majorBidi"/>
      <w:b/>
      <w:sz w:val="32"/>
      <w:szCs w:val="40"/>
    </w:rPr>
  </w:style>
  <w:style w:type="paragraph" w:styleId="Titlu2">
    <w:name w:val="heading 2"/>
    <w:basedOn w:val="Normal"/>
    <w:next w:val="Normal"/>
    <w:link w:val="Titlu2Caracter"/>
    <w:uiPriority w:val="9"/>
    <w:semiHidden/>
    <w:unhideWhenUsed/>
    <w:qFormat/>
    <w:rsid w:val="00BB76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B7684"/>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B7684"/>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BB7684"/>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BB768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B768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B768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B768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60487"/>
    <w:rPr>
      <w:rFonts w:ascii="Times New Roman" w:eastAsiaTheme="majorEastAsia" w:hAnsi="Times New Roman" w:cstheme="majorBidi"/>
      <w:b/>
      <w:sz w:val="32"/>
      <w:szCs w:val="40"/>
    </w:rPr>
  </w:style>
  <w:style w:type="character" w:customStyle="1" w:styleId="Titlu2Caracter">
    <w:name w:val="Titlu 2 Caracter"/>
    <w:basedOn w:val="Fontdeparagrafimplicit"/>
    <w:link w:val="Titlu2"/>
    <w:uiPriority w:val="9"/>
    <w:semiHidden/>
    <w:rsid w:val="00BB7684"/>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B7684"/>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B7684"/>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BB7684"/>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BB768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B768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B768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B7684"/>
    <w:rPr>
      <w:rFonts w:eastAsiaTheme="majorEastAsia" w:cstheme="majorBidi"/>
      <w:color w:val="272727" w:themeColor="text1" w:themeTint="D8"/>
    </w:rPr>
  </w:style>
  <w:style w:type="paragraph" w:styleId="Titlu">
    <w:name w:val="Title"/>
    <w:basedOn w:val="Normal"/>
    <w:next w:val="Normal"/>
    <w:link w:val="TitluCaracter"/>
    <w:uiPriority w:val="10"/>
    <w:qFormat/>
    <w:rsid w:val="00BB7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B768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B768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B768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B768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B7684"/>
    <w:rPr>
      <w:i/>
      <w:iCs/>
      <w:color w:val="404040" w:themeColor="text1" w:themeTint="BF"/>
    </w:rPr>
  </w:style>
  <w:style w:type="paragraph" w:styleId="Listparagraf">
    <w:name w:val="List Paragraph"/>
    <w:basedOn w:val="Normal"/>
    <w:uiPriority w:val="34"/>
    <w:qFormat/>
    <w:rsid w:val="00BB7684"/>
    <w:pPr>
      <w:ind w:left="720"/>
      <w:contextualSpacing/>
    </w:pPr>
  </w:style>
  <w:style w:type="character" w:styleId="Accentuareintens">
    <w:name w:val="Intense Emphasis"/>
    <w:basedOn w:val="Fontdeparagrafimplicit"/>
    <w:uiPriority w:val="21"/>
    <w:qFormat/>
    <w:rsid w:val="00BB7684"/>
    <w:rPr>
      <w:i/>
      <w:iCs/>
      <w:color w:val="2F5496" w:themeColor="accent1" w:themeShade="BF"/>
    </w:rPr>
  </w:style>
  <w:style w:type="paragraph" w:styleId="Citatintens">
    <w:name w:val="Intense Quote"/>
    <w:basedOn w:val="Normal"/>
    <w:next w:val="Normal"/>
    <w:link w:val="CitatintensCaracter"/>
    <w:uiPriority w:val="30"/>
    <w:qFormat/>
    <w:rsid w:val="00BB76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B7684"/>
    <w:rPr>
      <w:i/>
      <w:iCs/>
      <w:color w:val="2F5496" w:themeColor="accent1" w:themeShade="BF"/>
    </w:rPr>
  </w:style>
  <w:style w:type="character" w:styleId="Referireintens">
    <w:name w:val="Intense Reference"/>
    <w:basedOn w:val="Fontdeparagrafimplicit"/>
    <w:uiPriority w:val="32"/>
    <w:qFormat/>
    <w:rsid w:val="00BB7684"/>
    <w:rPr>
      <w:b/>
      <w:bCs/>
      <w:smallCaps/>
      <w:color w:val="2F5496" w:themeColor="accent1" w:themeShade="BF"/>
      <w:spacing w:val="5"/>
    </w:rPr>
  </w:style>
  <w:style w:type="character" w:styleId="Robust">
    <w:name w:val="Strong"/>
    <w:basedOn w:val="Fontdeparagrafimplicit"/>
    <w:uiPriority w:val="22"/>
    <w:qFormat/>
    <w:rsid w:val="00BB7684"/>
    <w:rPr>
      <w:b/>
      <w:bCs/>
    </w:rPr>
  </w:style>
  <w:style w:type="paragraph" w:styleId="NormalWeb">
    <w:name w:val="Normal (Web)"/>
    <w:basedOn w:val="Normal"/>
    <w:uiPriority w:val="99"/>
    <w:semiHidden/>
    <w:unhideWhenUsed/>
    <w:rsid w:val="00360487"/>
    <w:pPr>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19588">
      <w:bodyDiv w:val="1"/>
      <w:marLeft w:val="0"/>
      <w:marRight w:val="0"/>
      <w:marTop w:val="0"/>
      <w:marBottom w:val="0"/>
      <w:divBdr>
        <w:top w:val="none" w:sz="0" w:space="0" w:color="auto"/>
        <w:left w:val="none" w:sz="0" w:space="0" w:color="auto"/>
        <w:bottom w:val="none" w:sz="0" w:space="0" w:color="auto"/>
        <w:right w:val="none" w:sz="0" w:space="0" w:color="auto"/>
      </w:divBdr>
    </w:div>
    <w:div w:id="947353131">
      <w:bodyDiv w:val="1"/>
      <w:marLeft w:val="0"/>
      <w:marRight w:val="0"/>
      <w:marTop w:val="0"/>
      <w:marBottom w:val="0"/>
      <w:divBdr>
        <w:top w:val="none" w:sz="0" w:space="0" w:color="auto"/>
        <w:left w:val="none" w:sz="0" w:space="0" w:color="auto"/>
        <w:bottom w:val="none" w:sz="0" w:space="0" w:color="auto"/>
        <w:right w:val="none" w:sz="0" w:space="0" w:color="auto"/>
      </w:divBdr>
    </w:div>
    <w:div w:id="987979999">
      <w:bodyDiv w:val="1"/>
      <w:marLeft w:val="0"/>
      <w:marRight w:val="0"/>
      <w:marTop w:val="0"/>
      <w:marBottom w:val="0"/>
      <w:divBdr>
        <w:top w:val="none" w:sz="0" w:space="0" w:color="auto"/>
        <w:left w:val="none" w:sz="0" w:space="0" w:color="auto"/>
        <w:bottom w:val="none" w:sz="0" w:space="0" w:color="auto"/>
        <w:right w:val="none" w:sz="0" w:space="0" w:color="auto"/>
      </w:divBdr>
    </w:div>
    <w:div w:id="1665232629">
      <w:bodyDiv w:val="1"/>
      <w:marLeft w:val="0"/>
      <w:marRight w:val="0"/>
      <w:marTop w:val="0"/>
      <w:marBottom w:val="0"/>
      <w:divBdr>
        <w:top w:val="none" w:sz="0" w:space="0" w:color="auto"/>
        <w:left w:val="none" w:sz="0" w:space="0" w:color="auto"/>
        <w:bottom w:val="none" w:sz="0" w:space="0" w:color="auto"/>
        <w:right w:val="none" w:sz="0" w:space="0" w:color="auto"/>
      </w:divBdr>
      <w:divsChild>
        <w:div w:id="2046639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1224</Words>
  <Characters>8134</Characters>
  <Application>Microsoft Office Word</Application>
  <DocSecurity>0</DocSecurity>
  <Lines>129</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Andrei Rosu</cp:lastModifiedBy>
  <cp:revision>5</cp:revision>
  <dcterms:created xsi:type="dcterms:W3CDTF">2025-04-16T05:56:00Z</dcterms:created>
  <dcterms:modified xsi:type="dcterms:W3CDTF">2025-04-27T14:59:00Z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8750554e-1a41-4fa6-bab3-6314c87f299e</vt:lpwstr>
  </property>
</Properties>
</file>