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1639B" w14:textId="0B5AE1D1" w:rsidR="00F07903" w:rsidRPr="00BC1463" w:rsidRDefault="00F07903" w:rsidP="00BC1463">
      <w:pPr>
        <w:pStyle w:val="NormalWeb"/>
        <w:jc w:val="center"/>
        <w:rPr>
          <w:rFonts w:ascii="Arial" w:hAnsi="Arial" w:cs="Arial"/>
          <w:b/>
          <w:bCs/>
          <w:color w:val="000000" w:themeColor="text1"/>
          <w:u w:val="single"/>
        </w:rPr>
      </w:pPr>
      <w:r w:rsidRPr="00BC1463">
        <w:rPr>
          <w:rFonts w:ascii="Arial" w:hAnsi="Arial" w:cs="Arial"/>
          <w:b/>
          <w:bCs/>
          <w:color w:val="000000" w:themeColor="text1"/>
          <w:u w:val="single"/>
        </w:rPr>
        <w:t xml:space="preserve">Leah Williams </w:t>
      </w:r>
      <w:r w:rsidRPr="00BC1463">
        <w:rPr>
          <w:rFonts w:ascii="Arial" w:hAnsi="Arial" w:cs="Arial"/>
          <w:b/>
          <w:bCs/>
          <w:color w:val="000000" w:themeColor="text1"/>
          <w:u w:val="single"/>
        </w:rPr>
        <w:t>2117673</w:t>
      </w:r>
    </w:p>
    <w:p w14:paraId="5513DD0A" w14:textId="4EA72DEB" w:rsidR="000A652F" w:rsidRPr="00BC1463" w:rsidRDefault="000A652F" w:rsidP="00BC1463">
      <w:pPr>
        <w:jc w:val="both"/>
        <w:rPr>
          <w:rFonts w:ascii="Arial" w:hAnsi="Arial" w:cs="Arial"/>
          <w:color w:val="000000" w:themeColor="text1"/>
        </w:rPr>
      </w:pPr>
    </w:p>
    <w:p w14:paraId="5E05A556" w14:textId="4757610B" w:rsidR="00F07903" w:rsidRPr="00BC1463" w:rsidRDefault="00F07903" w:rsidP="00BC1463">
      <w:pPr>
        <w:ind w:right="531"/>
        <w:jc w:val="both"/>
        <w:rPr>
          <w:rFonts w:ascii="Arial" w:eastAsia="Calibri" w:hAnsi="Arial" w:cs="Arial"/>
          <w:b/>
          <w:bCs/>
          <w:color w:val="000000" w:themeColor="text1"/>
          <w:u w:val="single"/>
        </w:rPr>
      </w:pPr>
      <w:r w:rsidRPr="00BC1463">
        <w:rPr>
          <w:rFonts w:ascii="Arial" w:eastAsia="Calibri" w:hAnsi="Arial" w:cs="Arial"/>
          <w:b/>
          <w:bCs/>
          <w:color w:val="000000" w:themeColor="text1"/>
          <w:u w:val="single"/>
        </w:rPr>
        <w:t>Essay one</w:t>
      </w:r>
      <w:r w:rsidRPr="00BC1463">
        <w:rPr>
          <w:rFonts w:ascii="Arial" w:eastAsia="Calibri" w:hAnsi="Arial" w:cs="Arial"/>
          <w:b/>
          <w:bCs/>
          <w:color w:val="000000" w:themeColor="text1"/>
          <w:u w:val="single"/>
        </w:rPr>
        <w:t>:</w:t>
      </w:r>
    </w:p>
    <w:p w14:paraId="65DCADD5" w14:textId="5B372236" w:rsidR="00F07903" w:rsidRPr="00BC1463" w:rsidRDefault="00F07903" w:rsidP="00BC1463">
      <w:pPr>
        <w:spacing w:line="257" w:lineRule="auto"/>
        <w:ind w:right="531"/>
        <w:jc w:val="both"/>
        <w:rPr>
          <w:rFonts w:ascii="Arial" w:eastAsia="Calibri" w:hAnsi="Arial" w:cs="Arial"/>
          <w:b/>
          <w:bCs/>
          <w:color w:val="000000" w:themeColor="text1"/>
        </w:rPr>
      </w:pPr>
      <w:r w:rsidRPr="00BC1463">
        <w:rPr>
          <w:rFonts w:ascii="Arial" w:eastAsia="Calibri" w:hAnsi="Arial" w:cs="Arial"/>
          <w:b/>
          <w:bCs/>
          <w:color w:val="000000" w:themeColor="text1"/>
        </w:rPr>
        <w:t>Evaluate the effectiveness of crime prevention strategies (</w:t>
      </w:r>
      <w:proofErr w:type="gramStart"/>
      <w:r w:rsidRPr="00BC1463">
        <w:rPr>
          <w:rFonts w:ascii="Arial" w:eastAsia="Calibri" w:hAnsi="Arial" w:cs="Arial"/>
          <w:b/>
          <w:bCs/>
          <w:color w:val="000000" w:themeColor="text1"/>
        </w:rPr>
        <w:t>e.g.</w:t>
      </w:r>
      <w:proofErr w:type="gramEnd"/>
      <w:r w:rsidRPr="00BC1463">
        <w:rPr>
          <w:rFonts w:ascii="Arial" w:eastAsia="Calibri" w:hAnsi="Arial" w:cs="Arial"/>
          <w:b/>
          <w:bCs/>
          <w:color w:val="000000" w:themeColor="text1"/>
        </w:rPr>
        <w:t xml:space="preserve"> problem-oriented policing, predictive policing, intelligence-led policing, reactive policing) in relation to a specific type of crime of your own choosing. Your answer must be based on academic research, not personal experience.</w:t>
      </w:r>
    </w:p>
    <w:p w14:paraId="20C89A71" w14:textId="77777777" w:rsidR="00F07903" w:rsidRPr="00BC1463" w:rsidRDefault="00F07903" w:rsidP="00BC1463">
      <w:pPr>
        <w:jc w:val="both"/>
        <w:rPr>
          <w:rFonts w:ascii="Arial" w:hAnsi="Arial" w:cs="Arial"/>
          <w:color w:val="000000" w:themeColor="text1"/>
        </w:rPr>
      </w:pPr>
    </w:p>
    <w:p w14:paraId="4AD993DA"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Domestic burglary is where an individual unlawfully trespasses into a part of a building with the intention of stealing, causing grievous bodily harm or causing criminal damage and sits within the grouping for neighbourhood crime (HMICFRS, 2022; College of Policing, 2023).</w:t>
      </w:r>
      <w:r w:rsidRPr="00BC1463">
        <w:rPr>
          <w:rStyle w:val="apple-converted-space"/>
          <w:rFonts w:ascii="Arial" w:hAnsi="Arial" w:cs="Arial"/>
          <w:color w:val="000000" w:themeColor="text1"/>
        </w:rPr>
        <w:t> </w:t>
      </w:r>
      <w:r w:rsidRPr="00BC1463">
        <w:rPr>
          <w:rFonts w:ascii="Arial" w:hAnsi="Arial" w:cs="Arial"/>
          <w:color w:val="000000" w:themeColor="text1"/>
        </w:rPr>
        <w:t xml:space="preserve">With an estimated two million burglaries a year in 2019, accounting for 30% of neighbourhood crimes and has devastating effect on individuals and communities. Burglary was placed in the governments Beating Crime Plan in 2021 to reduce levels of priority crime by preventing crime, bringing criminals to </w:t>
      </w:r>
      <w:proofErr w:type="gramStart"/>
      <w:r w:rsidRPr="00BC1463">
        <w:rPr>
          <w:rFonts w:ascii="Arial" w:hAnsi="Arial" w:cs="Arial"/>
          <w:color w:val="000000" w:themeColor="text1"/>
        </w:rPr>
        <w:t>justice</w:t>
      </w:r>
      <w:proofErr w:type="gramEnd"/>
      <w:r w:rsidRPr="00BC1463">
        <w:rPr>
          <w:rFonts w:ascii="Arial" w:hAnsi="Arial" w:cs="Arial"/>
          <w:color w:val="000000" w:themeColor="text1"/>
        </w:rPr>
        <w:t xml:space="preserve"> and managing offenders (GOV.UK, 2021).</w:t>
      </w:r>
      <w:r w:rsidRPr="00BC1463">
        <w:rPr>
          <w:rStyle w:val="apple-converted-space"/>
          <w:rFonts w:ascii="Arial" w:hAnsi="Arial" w:cs="Arial"/>
          <w:color w:val="000000" w:themeColor="text1"/>
        </w:rPr>
        <w:t> </w:t>
      </w:r>
      <w:r w:rsidRPr="00BC1463">
        <w:rPr>
          <w:rFonts w:ascii="Arial" w:hAnsi="Arial" w:cs="Arial"/>
          <w:color w:val="000000" w:themeColor="text1"/>
        </w:rPr>
        <w:t>Police in England and Wales committed to attend all home burglaries due to the traumatic and invasive impact it has on individuals and substantial repeat victimisation on communities, this proactive policing should result in increased identification and prosecution of offenders (NPCC, 2022).</w:t>
      </w:r>
      <w:r w:rsidRPr="00BC1463">
        <w:rPr>
          <w:rStyle w:val="apple-converted-space"/>
          <w:rFonts w:ascii="Arial" w:hAnsi="Arial" w:cs="Arial"/>
          <w:color w:val="000000" w:themeColor="text1"/>
        </w:rPr>
        <w:t> </w:t>
      </w:r>
    </w:p>
    <w:p w14:paraId="1809F1E2" w14:textId="77777777" w:rsidR="00F07903" w:rsidRPr="00BC1463" w:rsidRDefault="00F07903" w:rsidP="00BC1463">
      <w:pPr>
        <w:jc w:val="both"/>
        <w:rPr>
          <w:rFonts w:ascii="Arial" w:hAnsi="Arial" w:cs="Arial"/>
          <w:color w:val="000000" w:themeColor="text1"/>
        </w:rPr>
      </w:pPr>
    </w:p>
    <w:p w14:paraId="50911CDA"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Within a burglary repeat victimisation is 98% more likely with houses on the same side of the street 1.5 times more likely to be burgled within a week after the initial burglary in comparison to houses the opposite side of the street and is often caused by returning offenders (</w:t>
      </w:r>
      <w:r w:rsidRPr="00BC1463">
        <w:rPr>
          <w:rStyle w:val="apple-converted-space"/>
          <w:rFonts w:ascii="Arial" w:hAnsi="Arial" w:cs="Arial"/>
          <w:color w:val="000000" w:themeColor="text1"/>
        </w:rPr>
        <w:t xml:space="preserve">Bowers &amp; Johnson, 2005; </w:t>
      </w:r>
      <w:proofErr w:type="spellStart"/>
      <w:r w:rsidRPr="00BC1463">
        <w:rPr>
          <w:rFonts w:ascii="Arial" w:hAnsi="Arial" w:cs="Arial"/>
          <w:color w:val="000000" w:themeColor="text1"/>
        </w:rPr>
        <w:t>Bernasco</w:t>
      </w:r>
      <w:proofErr w:type="spellEnd"/>
      <w:r w:rsidRPr="00BC1463">
        <w:rPr>
          <w:rFonts w:ascii="Arial" w:hAnsi="Arial" w:cs="Arial"/>
          <w:color w:val="000000" w:themeColor="text1"/>
        </w:rPr>
        <w:t>, 2008). Returning offenders are likely to return after a successful burglary unless hardening of properties such as CCTV or alarm systems have been put in place, otherwise vulnerable houses in the area would then be identified (Coupe &amp; Blake, 2006).</w:t>
      </w:r>
    </w:p>
    <w:p w14:paraId="6A0CC869" w14:textId="77777777" w:rsidR="00F07903" w:rsidRPr="00BC1463" w:rsidRDefault="00F07903" w:rsidP="00BC1463">
      <w:pPr>
        <w:jc w:val="both"/>
        <w:rPr>
          <w:rFonts w:ascii="Arial" w:hAnsi="Arial" w:cs="Arial"/>
          <w:color w:val="000000" w:themeColor="text1"/>
        </w:rPr>
      </w:pPr>
    </w:p>
    <w:p w14:paraId="07714F98"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Evidence based policing is using the best available evidence and research to inform and implement policing policies and procedures that can assist in identifying best practices to prevent and reduce crime levels (</w:t>
      </w:r>
      <w:r w:rsidRPr="00BC1463">
        <w:rPr>
          <w:rFonts w:ascii="Arial" w:hAnsi="Arial" w:cs="Arial"/>
          <w:color w:val="000000" w:themeColor="text1"/>
          <w:shd w:val="clear" w:color="auto" w:fill="FFFFFF"/>
        </w:rPr>
        <w:t xml:space="preserve">Santos &amp; Santos, 2015. </w:t>
      </w:r>
      <w:r w:rsidRPr="00BC1463">
        <w:rPr>
          <w:rFonts w:ascii="Arial" w:hAnsi="Arial" w:cs="Arial"/>
          <w:color w:val="000000" w:themeColor="text1"/>
        </w:rPr>
        <w:t xml:space="preserve">College of Policing, 2021). Evidence based policing in theory would reform and implement specific policing strategies, allowing for a course of action based on the incident, however, this doesn’t consider underlying assumptions of individual officers, such as their own personal biases that will affect decision making (Staller &amp; Koerner, 2021). </w:t>
      </w:r>
    </w:p>
    <w:p w14:paraId="21073FD4" w14:textId="77777777" w:rsidR="00F07903" w:rsidRPr="00BC1463" w:rsidRDefault="00F07903" w:rsidP="00BC1463">
      <w:pPr>
        <w:jc w:val="both"/>
        <w:rPr>
          <w:rFonts w:ascii="Arial" w:hAnsi="Arial" w:cs="Arial"/>
          <w:color w:val="000000" w:themeColor="text1"/>
        </w:rPr>
      </w:pPr>
    </w:p>
    <w:p w14:paraId="2E28780A"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Predicting where, when, and how crimes are likely to occur is critical for efficient police resourcing, allowing for effective procedures, tactics, and training to help prevent and reduce crime (‌ Johnson &amp; Bowers, 2004; </w:t>
      </w:r>
      <w:r w:rsidRPr="00BC1463">
        <w:rPr>
          <w:rStyle w:val="apple-converted-space"/>
          <w:rFonts w:ascii="Arial" w:hAnsi="Arial" w:cs="Arial"/>
          <w:color w:val="000000" w:themeColor="text1"/>
        </w:rPr>
        <w:t>(</w:t>
      </w:r>
      <w:r w:rsidRPr="00BC1463">
        <w:rPr>
          <w:rFonts w:ascii="Arial" w:hAnsi="Arial" w:cs="Arial"/>
          <w:color w:val="000000" w:themeColor="text1"/>
        </w:rPr>
        <w:t>Lum, Koper, Wu, Johnson &amp; Stoltz, 2020). It has been shown that detached houses are more likely to be targeted in comparison to semi-detached and terraced houses and houses within a more deprived area at a greater risk of being burgled than affluent areas (</w:t>
      </w:r>
      <w:r w:rsidRPr="00BC1463">
        <w:rPr>
          <w:rFonts w:ascii="Arial" w:hAnsi="Arial" w:cs="Arial"/>
          <w:color w:val="000000" w:themeColor="text1"/>
          <w:shd w:val="clear" w:color="auto" w:fill="FFFFFF"/>
        </w:rPr>
        <w:t xml:space="preserve">Kershaw &amp; </w:t>
      </w:r>
      <w:proofErr w:type="spellStart"/>
      <w:r w:rsidRPr="00BC1463">
        <w:rPr>
          <w:rFonts w:ascii="Arial" w:hAnsi="Arial" w:cs="Arial"/>
          <w:color w:val="000000" w:themeColor="text1"/>
          <w:shd w:val="clear" w:color="auto" w:fill="FFFFFF"/>
        </w:rPr>
        <w:t>Tseloni</w:t>
      </w:r>
      <w:proofErr w:type="spellEnd"/>
      <w:r w:rsidRPr="00BC1463">
        <w:rPr>
          <w:rFonts w:ascii="Arial" w:hAnsi="Arial" w:cs="Arial"/>
          <w:color w:val="000000" w:themeColor="text1"/>
          <w:shd w:val="clear" w:color="auto" w:fill="FFFFFF"/>
        </w:rPr>
        <w:t>, 2005; Budd 1999 &amp; Johnson, Bowers &amp; Hirschfield, 1997).</w:t>
      </w:r>
    </w:p>
    <w:p w14:paraId="6191F12C" w14:textId="77777777" w:rsidR="00F07903" w:rsidRPr="00BC1463" w:rsidRDefault="00F07903" w:rsidP="00BC1463">
      <w:pPr>
        <w:jc w:val="both"/>
        <w:rPr>
          <w:rFonts w:ascii="Arial" w:hAnsi="Arial" w:cs="Arial"/>
          <w:color w:val="000000" w:themeColor="text1"/>
          <w:u w:val="single"/>
        </w:rPr>
      </w:pPr>
    </w:p>
    <w:p w14:paraId="36DE0126" w14:textId="77777777" w:rsidR="00F07903" w:rsidRPr="00BC1463" w:rsidRDefault="00F07903" w:rsidP="00BC1463">
      <w:pPr>
        <w:jc w:val="both"/>
        <w:rPr>
          <w:rStyle w:val="apple-converted-space"/>
          <w:rFonts w:ascii="Arial" w:hAnsi="Arial" w:cs="Arial"/>
          <w:color w:val="000000" w:themeColor="text1"/>
        </w:rPr>
      </w:pPr>
      <w:r w:rsidRPr="00BC1463">
        <w:rPr>
          <w:rFonts w:ascii="Arial" w:hAnsi="Arial" w:cs="Arial"/>
          <w:color w:val="000000" w:themeColor="text1"/>
        </w:rPr>
        <w:t xml:space="preserve">Hot spot policing is a tactic that sits within the proactive policing strategy where forces develop and implement tactics to prevent or limit crime based on statistics and criminal history within their force area. Hot spot policing is whereby police implement strategies within a location whereby crime is highly concentrated, this is theoretically linked with routine activities theory which means a crime is committed when an offender thinks a </w:t>
      </w:r>
      <w:r w:rsidRPr="00BC1463">
        <w:rPr>
          <w:rFonts w:ascii="Arial" w:hAnsi="Arial" w:cs="Arial"/>
          <w:color w:val="000000" w:themeColor="text1"/>
        </w:rPr>
        <w:lastRenderedPageBreak/>
        <w:t>target is suitable and there is an absence of a person to intervene (NSW Government, 2011).</w:t>
      </w:r>
      <w:r w:rsidRPr="00BC1463">
        <w:rPr>
          <w:rStyle w:val="apple-converted-space"/>
          <w:rFonts w:ascii="Arial" w:hAnsi="Arial" w:cs="Arial"/>
          <w:color w:val="000000" w:themeColor="text1"/>
        </w:rPr>
        <w:t> The limit with the routine activity theory is that not all offenders will use rational choices when looking to commit an offence, as they may not crime prevention strategies put in place such as neighbourhood watch schemes or they may be under the influence of substances (</w:t>
      </w:r>
      <w:proofErr w:type="spellStart"/>
      <w:r w:rsidRPr="00BC1463">
        <w:rPr>
          <w:rFonts w:ascii="Arial" w:hAnsi="Arial" w:cs="Arial"/>
          <w:color w:val="000000" w:themeColor="text1"/>
        </w:rPr>
        <w:t>Kitteringham</w:t>
      </w:r>
      <w:proofErr w:type="spellEnd"/>
      <w:r w:rsidRPr="00BC1463">
        <w:rPr>
          <w:rFonts w:ascii="Arial" w:hAnsi="Arial" w:cs="Arial"/>
          <w:color w:val="000000" w:themeColor="text1"/>
        </w:rPr>
        <w:t xml:space="preserve"> &amp; Fennelly, 2020).</w:t>
      </w:r>
      <w:r w:rsidRPr="00BC1463">
        <w:rPr>
          <w:rStyle w:val="apple-converted-space"/>
          <w:rFonts w:ascii="Arial" w:hAnsi="Arial" w:cs="Arial"/>
          <w:color w:val="000000" w:themeColor="text1"/>
        </w:rPr>
        <w:t> </w:t>
      </w:r>
    </w:p>
    <w:p w14:paraId="7DDED250" w14:textId="77777777" w:rsidR="00F07903" w:rsidRPr="00BC1463" w:rsidRDefault="00F07903" w:rsidP="00BC1463">
      <w:pPr>
        <w:jc w:val="both"/>
        <w:rPr>
          <w:rStyle w:val="apple-converted-space"/>
          <w:rFonts w:ascii="Arial" w:hAnsi="Arial" w:cs="Arial"/>
          <w:color w:val="000000" w:themeColor="text1"/>
        </w:rPr>
      </w:pPr>
    </w:p>
    <w:p w14:paraId="68373A26"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Identifying these ‘hot spots’ for burglaries such as detached houses within deprived areas that are more likely to be targeted means forces can implement increased visible patrols that will deter offenders from identifying and taking opportunities to target the property, thus, reducing the crime rate (College of policing, 2022). Hot spot policing such as neighbourhood officers conducting in community engagements and regular visible patrols has been shown to decrease property crime such as burglary by up to 16%, however, there is a suggestion that the diffusion of crime is moved to neighbouring areas rather than reducing the criminal activity (Gaffney, Jolliffe &amp; White, 2022).</w:t>
      </w:r>
      <w:r w:rsidRPr="00BC1463">
        <w:rPr>
          <w:rStyle w:val="apple-converted-space"/>
          <w:rFonts w:ascii="Arial" w:hAnsi="Arial" w:cs="Arial"/>
          <w:color w:val="000000" w:themeColor="text1"/>
        </w:rPr>
        <w:t> </w:t>
      </w:r>
    </w:p>
    <w:p w14:paraId="29BEC402" w14:textId="77777777" w:rsidR="00F07903" w:rsidRPr="00BC1463" w:rsidRDefault="00F07903" w:rsidP="00BC1463">
      <w:pPr>
        <w:jc w:val="both"/>
        <w:rPr>
          <w:rFonts w:ascii="Arial" w:hAnsi="Arial" w:cs="Arial"/>
          <w:color w:val="000000" w:themeColor="text1"/>
          <w:u w:val="single"/>
        </w:rPr>
      </w:pPr>
    </w:p>
    <w:p w14:paraId="16725267"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Hot spot policing sits within the broader strategy used by policing, which is predictive policing, this is whereby tactics are created from previous statistics and analysis of crime to predict the probability of crime within an area, resulting in prevention tactics being implemented. The near repeat hypothesis can be used in predictive policing to identify and prevent further ‘quick hit’ revictimization of a geographical area or a person by police reacting swiftly after one burglary, implementing hot spot patrols and recommend security advice to residents (</w:t>
      </w:r>
      <w:proofErr w:type="spellStart"/>
      <w:r w:rsidRPr="00BC1463">
        <w:rPr>
          <w:rFonts w:ascii="Arial" w:hAnsi="Arial" w:cs="Arial"/>
          <w:color w:val="000000" w:themeColor="text1"/>
          <w:shd w:val="clear" w:color="auto" w:fill="FCFCFC"/>
        </w:rPr>
        <w:t>Bernasco</w:t>
      </w:r>
      <w:proofErr w:type="spellEnd"/>
      <w:r w:rsidRPr="00BC1463">
        <w:rPr>
          <w:rFonts w:ascii="Arial" w:hAnsi="Arial" w:cs="Arial"/>
          <w:color w:val="000000" w:themeColor="text1"/>
          <w:shd w:val="clear" w:color="auto" w:fill="FCFCFC"/>
        </w:rPr>
        <w:t xml:space="preserve"> Johnson &amp; Ruiter, 2015). The issue with predictive policing is that not all offenders follow a logical cognitive process, so by implementing these tactics after one dwelling burglary in an area may not decrease the risk of revictimization and dwelling burglaries may continue regardless (</w:t>
      </w:r>
      <w:r w:rsidRPr="00BC1463">
        <w:rPr>
          <w:rFonts w:ascii="Arial" w:hAnsi="Arial" w:cs="Arial"/>
          <w:color w:val="000000" w:themeColor="text1"/>
        </w:rPr>
        <w:t>Gerstner, 2018).</w:t>
      </w:r>
    </w:p>
    <w:p w14:paraId="3ACFEC72" w14:textId="77777777" w:rsidR="00F07903" w:rsidRPr="00BC1463" w:rsidRDefault="00F07903" w:rsidP="00BC1463">
      <w:pPr>
        <w:jc w:val="both"/>
        <w:rPr>
          <w:rFonts w:ascii="Arial" w:hAnsi="Arial" w:cs="Arial"/>
          <w:b/>
          <w:bCs/>
          <w:color w:val="000000" w:themeColor="text1"/>
          <w:u w:val="single"/>
        </w:rPr>
      </w:pPr>
    </w:p>
    <w:p w14:paraId="55AE9FA3"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Problem orientated policing (POP) is an approach that identifies and understands the root causes of crime and disorder within an area, assessing tactics to implement to result in an effective solution to decrease the crime (College of Policing, 2022). By identifying hot spots whereby burglaries are more likely, identifying vulnerable targets and repeat victims in the future, then appropriate problem-solving interventions can be implemented to identify the root cause of the problem, thus, decreasing this risk (Weisburd &amp; </w:t>
      </w:r>
      <w:proofErr w:type="spellStart"/>
      <w:r w:rsidRPr="00BC1463">
        <w:rPr>
          <w:rFonts w:ascii="Arial" w:hAnsi="Arial" w:cs="Arial"/>
          <w:color w:val="000000" w:themeColor="text1"/>
        </w:rPr>
        <w:t>Majmundar</w:t>
      </w:r>
      <w:proofErr w:type="spellEnd"/>
      <w:r w:rsidRPr="00BC1463">
        <w:rPr>
          <w:rFonts w:ascii="Arial" w:hAnsi="Arial" w:cs="Arial"/>
          <w:color w:val="000000" w:themeColor="text1"/>
        </w:rPr>
        <w:t>, 2018</w:t>
      </w:r>
      <w:r w:rsidRPr="00BC1463">
        <w:rPr>
          <w:rFonts w:ascii="Arial" w:hAnsi="Arial" w:cs="Arial"/>
          <w:color w:val="000000" w:themeColor="text1"/>
          <w:shd w:val="clear" w:color="auto" w:fill="FFFFFF"/>
        </w:rPr>
        <w:t>).</w:t>
      </w:r>
    </w:p>
    <w:p w14:paraId="272F2255" w14:textId="77777777" w:rsidR="00F07903" w:rsidRPr="00BC1463" w:rsidRDefault="00F07903" w:rsidP="00BC1463">
      <w:pPr>
        <w:jc w:val="both"/>
        <w:rPr>
          <w:rFonts w:ascii="Arial" w:hAnsi="Arial" w:cs="Arial"/>
          <w:color w:val="000000" w:themeColor="text1"/>
        </w:rPr>
      </w:pPr>
    </w:p>
    <w:p w14:paraId="5644E2DB"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Lack of security measures is a large problem within communities with high dwelling burglary rates, a range of options such as window locks, interior lights on timer, double locks on doors, censored exterior lights and CCTV systems are the more effective as a deterrent for burglaries. Improvements in home security has been identified as a significant factor for the decrease in dwelling burglaries, with potential offenders no longer assuming they can easily commit this type of crime, resulting in a reduction of burglary by 53% (</w:t>
      </w:r>
      <w:proofErr w:type="spellStart"/>
      <w:r w:rsidRPr="00BC1463">
        <w:rPr>
          <w:rFonts w:ascii="Arial" w:hAnsi="Arial" w:cs="Arial"/>
          <w:color w:val="000000" w:themeColor="text1"/>
        </w:rPr>
        <w:t>Tseloni</w:t>
      </w:r>
      <w:proofErr w:type="spellEnd"/>
      <w:r w:rsidRPr="00BC1463">
        <w:rPr>
          <w:rFonts w:ascii="Arial" w:hAnsi="Arial" w:cs="Arial"/>
          <w:color w:val="000000" w:themeColor="text1"/>
        </w:rPr>
        <w:t xml:space="preserve"> et al, 2017; College of Policing, 2022).</w:t>
      </w:r>
      <w:r w:rsidRPr="00BC1463">
        <w:rPr>
          <w:rStyle w:val="apple-converted-space"/>
          <w:rFonts w:ascii="Arial" w:hAnsi="Arial" w:cs="Arial"/>
          <w:color w:val="000000" w:themeColor="text1"/>
        </w:rPr>
        <w:t> </w:t>
      </w:r>
    </w:p>
    <w:p w14:paraId="2BBFCC71" w14:textId="77777777" w:rsidR="00F07903" w:rsidRPr="00BC1463" w:rsidRDefault="00F07903" w:rsidP="00BC1463">
      <w:pPr>
        <w:jc w:val="both"/>
        <w:rPr>
          <w:rFonts w:ascii="Arial" w:hAnsi="Arial" w:cs="Arial"/>
          <w:color w:val="000000" w:themeColor="text1"/>
        </w:rPr>
      </w:pPr>
    </w:p>
    <w:p w14:paraId="7812DF91" w14:textId="77777777" w:rsidR="00F07903" w:rsidRPr="00BC1463" w:rsidRDefault="00F07903" w:rsidP="00BC1463">
      <w:pPr>
        <w:jc w:val="both"/>
        <w:rPr>
          <w:rFonts w:ascii="Arial" w:hAnsi="Arial" w:cs="Arial"/>
          <w:color w:val="000000" w:themeColor="text1"/>
        </w:rPr>
      </w:pPr>
    </w:p>
    <w:p w14:paraId="0717B9B0" w14:textId="77777777" w:rsidR="00F07903" w:rsidRPr="00BC1463" w:rsidRDefault="00F07903" w:rsidP="00BC1463">
      <w:pPr>
        <w:jc w:val="both"/>
        <w:rPr>
          <w:rFonts w:ascii="Arial" w:hAnsi="Arial" w:cs="Arial"/>
          <w:color w:val="000000" w:themeColor="text1"/>
        </w:rPr>
      </w:pPr>
    </w:p>
    <w:p w14:paraId="343B39BA" w14:textId="77777777" w:rsidR="00F07903" w:rsidRPr="00BC1463" w:rsidRDefault="00F07903" w:rsidP="00BC1463">
      <w:pPr>
        <w:jc w:val="both"/>
        <w:rPr>
          <w:rFonts w:ascii="Arial" w:hAnsi="Arial" w:cs="Arial"/>
          <w:color w:val="000000" w:themeColor="text1"/>
        </w:rPr>
      </w:pPr>
    </w:p>
    <w:p w14:paraId="5F227587" w14:textId="77777777" w:rsidR="00F07903" w:rsidRPr="00BC1463" w:rsidRDefault="00F07903" w:rsidP="00BC1463">
      <w:pPr>
        <w:jc w:val="both"/>
        <w:rPr>
          <w:rFonts w:ascii="Arial" w:hAnsi="Arial" w:cs="Arial"/>
          <w:color w:val="000000" w:themeColor="text1"/>
        </w:rPr>
      </w:pPr>
    </w:p>
    <w:p w14:paraId="48039788" w14:textId="77777777" w:rsidR="00F07903" w:rsidRPr="00BC1463" w:rsidRDefault="00F07903" w:rsidP="00BC1463">
      <w:pPr>
        <w:jc w:val="both"/>
        <w:rPr>
          <w:rFonts w:ascii="Arial" w:hAnsi="Arial" w:cs="Arial"/>
          <w:color w:val="000000" w:themeColor="text1"/>
        </w:rPr>
      </w:pPr>
    </w:p>
    <w:p w14:paraId="4CD90DEE" w14:textId="77777777" w:rsidR="00F07903" w:rsidRPr="00BC1463" w:rsidRDefault="00F07903" w:rsidP="00BC1463">
      <w:pPr>
        <w:jc w:val="both"/>
        <w:rPr>
          <w:rFonts w:ascii="Arial" w:hAnsi="Arial" w:cs="Arial"/>
          <w:color w:val="000000" w:themeColor="text1"/>
        </w:rPr>
      </w:pPr>
    </w:p>
    <w:p w14:paraId="3DF82EEA" w14:textId="77777777" w:rsidR="00F07903" w:rsidRPr="00BC1463" w:rsidRDefault="00F07903" w:rsidP="00BC1463">
      <w:pPr>
        <w:jc w:val="both"/>
        <w:rPr>
          <w:rFonts w:ascii="Arial" w:hAnsi="Arial" w:cs="Arial"/>
          <w:color w:val="000000" w:themeColor="text1"/>
        </w:rPr>
      </w:pPr>
    </w:p>
    <w:p w14:paraId="752C9D79" w14:textId="77777777" w:rsidR="00F07903" w:rsidRPr="00BC1463" w:rsidRDefault="00F07903" w:rsidP="00BC1463">
      <w:pPr>
        <w:jc w:val="both"/>
        <w:rPr>
          <w:rFonts w:ascii="Arial" w:hAnsi="Arial" w:cs="Arial"/>
          <w:color w:val="000000" w:themeColor="text1"/>
        </w:rPr>
      </w:pPr>
    </w:p>
    <w:p w14:paraId="4BA21C53" w14:textId="77777777" w:rsidR="00F07903" w:rsidRPr="00BC1463" w:rsidRDefault="00F07903" w:rsidP="00BC1463">
      <w:pPr>
        <w:jc w:val="both"/>
        <w:rPr>
          <w:rFonts w:ascii="Arial" w:hAnsi="Arial" w:cs="Arial"/>
          <w:color w:val="000000" w:themeColor="text1"/>
        </w:rPr>
      </w:pPr>
    </w:p>
    <w:p w14:paraId="25256F40" w14:textId="77777777" w:rsidR="00F07903" w:rsidRPr="00BC1463" w:rsidRDefault="00F07903" w:rsidP="00BC1463">
      <w:pPr>
        <w:jc w:val="both"/>
        <w:rPr>
          <w:rFonts w:ascii="Arial" w:hAnsi="Arial" w:cs="Arial"/>
          <w:color w:val="000000" w:themeColor="text1"/>
        </w:rPr>
      </w:pPr>
    </w:p>
    <w:p w14:paraId="621B7D24" w14:textId="77777777" w:rsidR="00F07903" w:rsidRPr="00BC1463" w:rsidRDefault="00F07903" w:rsidP="00BC1463">
      <w:pPr>
        <w:jc w:val="both"/>
        <w:rPr>
          <w:rFonts w:ascii="Arial" w:hAnsi="Arial" w:cs="Arial"/>
          <w:b/>
          <w:bCs/>
          <w:color w:val="000000" w:themeColor="text1"/>
        </w:rPr>
      </w:pPr>
      <w:r w:rsidRPr="00BC1463">
        <w:rPr>
          <w:rFonts w:ascii="Arial" w:hAnsi="Arial" w:cs="Arial"/>
          <w:color w:val="000000" w:themeColor="text1"/>
        </w:rPr>
        <w:t>The wide use of these tactics has proven beneficial with a 28% decrease in dwelling burglaries since 2020, however, due to Covid-19 this may have affected burglary rates due to the national lockdowns ONS, 2022).</w:t>
      </w:r>
      <w:r w:rsidRPr="00BC1463">
        <w:rPr>
          <w:rStyle w:val="apple-converted-space"/>
          <w:rFonts w:ascii="Arial" w:hAnsi="Arial" w:cs="Arial"/>
          <w:color w:val="000000" w:themeColor="text1"/>
        </w:rPr>
        <w:t> </w:t>
      </w:r>
      <w:r w:rsidRPr="00BC1463">
        <w:rPr>
          <w:rFonts w:ascii="Arial" w:hAnsi="Arial" w:cs="Arial"/>
          <w:color w:val="000000" w:themeColor="text1"/>
        </w:rPr>
        <w:t xml:space="preserve">Police adopt a wide range of tactics to attempt to reduce crime all coming with their own strengths and weaknesses, these tactics must be continually assessed and amended to be most effective and not have a ‘one size fits all’ for a particular crime or geographical area. </w:t>
      </w:r>
    </w:p>
    <w:p w14:paraId="539CC750" w14:textId="77777777" w:rsidR="00F07903" w:rsidRPr="00BC1463" w:rsidRDefault="00F07903" w:rsidP="00BC1463">
      <w:pPr>
        <w:jc w:val="both"/>
        <w:rPr>
          <w:rFonts w:ascii="Arial" w:hAnsi="Arial" w:cs="Arial"/>
          <w:color w:val="000000" w:themeColor="text1"/>
        </w:rPr>
      </w:pPr>
    </w:p>
    <w:p w14:paraId="2FCE84C7" w14:textId="754F494C" w:rsidR="00F07903" w:rsidRPr="00BC1463" w:rsidRDefault="00F07903" w:rsidP="00BC1463">
      <w:pPr>
        <w:jc w:val="both"/>
        <w:rPr>
          <w:rFonts w:ascii="Arial" w:hAnsi="Arial" w:cs="Arial"/>
          <w:b/>
          <w:bCs/>
          <w:color w:val="000000" w:themeColor="text1"/>
        </w:rPr>
      </w:pPr>
      <w:r w:rsidRPr="00BC1463">
        <w:rPr>
          <w:rFonts w:ascii="Arial" w:hAnsi="Arial" w:cs="Arial"/>
          <w:b/>
          <w:bCs/>
          <w:color w:val="000000" w:themeColor="text1"/>
        </w:rPr>
        <w:t>Word count: 1032</w:t>
      </w:r>
    </w:p>
    <w:p w14:paraId="704E4695" w14:textId="77777777" w:rsidR="00F07903" w:rsidRPr="00BC1463" w:rsidRDefault="00F07903" w:rsidP="00BC1463">
      <w:pPr>
        <w:jc w:val="both"/>
        <w:rPr>
          <w:rFonts w:ascii="Arial" w:hAnsi="Arial" w:cs="Arial"/>
          <w:color w:val="000000" w:themeColor="text1"/>
        </w:rPr>
      </w:pPr>
    </w:p>
    <w:p w14:paraId="7F05CA53" w14:textId="77777777" w:rsidR="00F07903" w:rsidRPr="00BC1463" w:rsidRDefault="00F07903" w:rsidP="00BC1463">
      <w:pPr>
        <w:jc w:val="both"/>
        <w:rPr>
          <w:rFonts w:ascii="Arial" w:hAnsi="Arial" w:cs="Arial"/>
          <w:b/>
          <w:bCs/>
          <w:color w:val="000000" w:themeColor="text1"/>
        </w:rPr>
      </w:pPr>
    </w:p>
    <w:p w14:paraId="713B63AA" w14:textId="77777777" w:rsidR="00F07903" w:rsidRPr="00BC1463" w:rsidRDefault="00F07903" w:rsidP="00BC1463">
      <w:pPr>
        <w:jc w:val="both"/>
        <w:rPr>
          <w:rFonts w:ascii="Arial" w:hAnsi="Arial" w:cs="Arial"/>
          <w:b/>
          <w:bCs/>
          <w:color w:val="000000" w:themeColor="text1"/>
        </w:rPr>
      </w:pPr>
    </w:p>
    <w:p w14:paraId="650BB9E6" w14:textId="1C2FCF96" w:rsidR="00F07903" w:rsidRPr="00BC1463" w:rsidRDefault="00F07903" w:rsidP="00BC1463">
      <w:pPr>
        <w:jc w:val="both"/>
        <w:rPr>
          <w:rFonts w:ascii="Arial" w:hAnsi="Arial" w:cs="Arial"/>
          <w:b/>
          <w:bCs/>
          <w:color w:val="000000" w:themeColor="text1"/>
          <w:u w:val="single"/>
        </w:rPr>
      </w:pPr>
      <w:r w:rsidRPr="00BC1463">
        <w:rPr>
          <w:rFonts w:ascii="Arial" w:hAnsi="Arial" w:cs="Arial"/>
          <w:b/>
          <w:bCs/>
          <w:color w:val="000000" w:themeColor="text1"/>
          <w:u w:val="single"/>
        </w:rPr>
        <w:t>Essay two:</w:t>
      </w:r>
    </w:p>
    <w:p w14:paraId="4921E56C" w14:textId="77777777" w:rsidR="00F07903" w:rsidRPr="00BC1463" w:rsidRDefault="00F07903" w:rsidP="00BC1463">
      <w:pPr>
        <w:spacing w:line="257" w:lineRule="auto"/>
        <w:ind w:right="531"/>
        <w:jc w:val="both"/>
        <w:rPr>
          <w:rFonts w:ascii="Arial" w:eastAsia="Calibri" w:hAnsi="Arial" w:cs="Arial"/>
          <w:b/>
          <w:bCs/>
          <w:color w:val="000000" w:themeColor="text1"/>
        </w:rPr>
      </w:pPr>
      <w:r w:rsidRPr="00BC1463">
        <w:rPr>
          <w:rFonts w:ascii="Arial" w:eastAsia="Calibri" w:hAnsi="Arial" w:cs="Arial"/>
          <w:b/>
          <w:bCs/>
          <w:color w:val="000000" w:themeColor="text1"/>
        </w:rPr>
        <w:t xml:space="preserve">Response policing – evaluate the role of response police in dealing with major incidents. Your answer must be based on academic research, but you may </w:t>
      </w:r>
      <w:proofErr w:type="gramStart"/>
      <w:r w:rsidRPr="00BC1463">
        <w:rPr>
          <w:rFonts w:ascii="Arial" w:eastAsia="Calibri" w:hAnsi="Arial" w:cs="Arial"/>
          <w:b/>
          <w:bCs/>
          <w:color w:val="000000" w:themeColor="text1"/>
        </w:rPr>
        <w:t>make reference</w:t>
      </w:r>
      <w:proofErr w:type="gramEnd"/>
      <w:r w:rsidRPr="00BC1463">
        <w:rPr>
          <w:rFonts w:ascii="Arial" w:eastAsia="Calibri" w:hAnsi="Arial" w:cs="Arial"/>
          <w:b/>
          <w:bCs/>
          <w:color w:val="000000" w:themeColor="text1"/>
        </w:rPr>
        <w:t xml:space="preserve"> to relevant case studies.</w:t>
      </w:r>
    </w:p>
    <w:p w14:paraId="7E251B19" w14:textId="77777777" w:rsidR="00675BD1" w:rsidRPr="00BC1463" w:rsidRDefault="00675BD1" w:rsidP="00BC1463">
      <w:pPr>
        <w:jc w:val="both"/>
        <w:rPr>
          <w:rFonts w:ascii="Arial" w:hAnsi="Arial" w:cs="Arial"/>
          <w:color w:val="000000" w:themeColor="text1"/>
        </w:rPr>
      </w:pPr>
    </w:p>
    <w:p w14:paraId="708D7FAC" w14:textId="5BB2F5D7" w:rsidR="00675BD1" w:rsidRPr="00BC1463" w:rsidRDefault="00675BD1" w:rsidP="00BC1463">
      <w:pPr>
        <w:jc w:val="both"/>
        <w:rPr>
          <w:rFonts w:ascii="Arial" w:hAnsi="Arial" w:cs="Arial"/>
          <w:color w:val="000000" w:themeColor="text1"/>
        </w:rPr>
      </w:pPr>
      <w:r w:rsidRPr="00BC1463">
        <w:rPr>
          <w:rFonts w:ascii="Arial" w:hAnsi="Arial" w:cs="Arial"/>
          <w:color w:val="000000" w:themeColor="text1"/>
        </w:rPr>
        <w:t xml:space="preserve">A major incident is a situation that requires the response of one or more of the emergency services, often this can include </w:t>
      </w:r>
      <w:proofErr w:type="gramStart"/>
      <w:r w:rsidRPr="00BC1463">
        <w:rPr>
          <w:rFonts w:ascii="Arial" w:hAnsi="Arial" w:cs="Arial"/>
          <w:color w:val="000000" w:themeColor="text1"/>
        </w:rPr>
        <w:t>a large number of</w:t>
      </w:r>
      <w:proofErr w:type="gramEnd"/>
      <w:r w:rsidRPr="00BC1463">
        <w:rPr>
          <w:rFonts w:ascii="Arial" w:hAnsi="Arial" w:cs="Arial"/>
          <w:color w:val="000000" w:themeColor="text1"/>
        </w:rPr>
        <w:t xml:space="preserve"> people and can have high levels of threat and risk to members of the public</w:t>
      </w:r>
      <w:r w:rsidRPr="00BC1463">
        <w:rPr>
          <w:rFonts w:ascii="Arial" w:hAnsi="Arial" w:cs="Arial"/>
          <w:b/>
          <w:bCs/>
          <w:color w:val="000000" w:themeColor="text1"/>
        </w:rPr>
        <w:t xml:space="preserve"> (</w:t>
      </w:r>
      <w:r w:rsidRPr="00BC1463">
        <w:rPr>
          <w:rFonts w:ascii="Arial" w:hAnsi="Arial" w:cs="Arial"/>
          <w:color w:val="000000" w:themeColor="text1"/>
        </w:rPr>
        <w:t>College of Policing, 2018).</w:t>
      </w:r>
      <w:r w:rsidRPr="00BC1463">
        <w:rPr>
          <w:rStyle w:val="apple-converted-space"/>
          <w:rFonts w:ascii="Arial" w:hAnsi="Arial" w:cs="Arial"/>
          <w:color w:val="000000" w:themeColor="text1"/>
        </w:rPr>
        <w:t> </w:t>
      </w:r>
      <w:r w:rsidRPr="00BC1463">
        <w:rPr>
          <w:rFonts w:ascii="Arial" w:hAnsi="Arial" w:cs="Arial"/>
          <w:color w:val="000000" w:themeColor="text1"/>
        </w:rPr>
        <w:t xml:space="preserve">Response police has an integral role in dealing with major incidents, with their initial attendance they must take control of the situation, reduce the threat risk to the public and safeguard members of the public. On attendance response police must use the National Decision Model to complete a dynamic risk assessment to identify any threats and to coordinate the response alongside other emergency service personnel. </w:t>
      </w:r>
    </w:p>
    <w:p w14:paraId="7F67D168" w14:textId="77777777" w:rsidR="00675BD1" w:rsidRPr="00BC1463" w:rsidRDefault="00675BD1" w:rsidP="00BC1463">
      <w:pPr>
        <w:jc w:val="both"/>
        <w:rPr>
          <w:rFonts w:ascii="Arial" w:hAnsi="Arial" w:cs="Arial"/>
          <w:b/>
          <w:bCs/>
          <w:color w:val="000000" w:themeColor="text1"/>
        </w:rPr>
      </w:pPr>
    </w:p>
    <w:p w14:paraId="4CD98096" w14:textId="77777777" w:rsidR="00675BD1" w:rsidRPr="00BC1463" w:rsidRDefault="00675BD1" w:rsidP="00BC1463">
      <w:pPr>
        <w:jc w:val="both"/>
        <w:rPr>
          <w:rFonts w:ascii="Arial" w:hAnsi="Arial" w:cs="Arial"/>
          <w:color w:val="000000" w:themeColor="text1"/>
        </w:rPr>
      </w:pPr>
      <w:r w:rsidRPr="00BC1463">
        <w:rPr>
          <w:rFonts w:ascii="Arial" w:hAnsi="Arial" w:cs="Arial"/>
          <w:color w:val="000000" w:themeColor="text1"/>
        </w:rPr>
        <w:t xml:space="preserve">The primary response of response officers is safeguarding, as the first on scene they must dynamically assess a situation, identifying risks to themselves and public, identifying the most </w:t>
      </w:r>
      <w:proofErr w:type="gramStart"/>
      <w:r w:rsidRPr="00BC1463">
        <w:rPr>
          <w:rFonts w:ascii="Arial" w:hAnsi="Arial" w:cs="Arial"/>
          <w:color w:val="000000" w:themeColor="text1"/>
        </w:rPr>
        <w:t>at risk</w:t>
      </w:r>
      <w:proofErr w:type="gramEnd"/>
      <w:r w:rsidRPr="00BC1463">
        <w:rPr>
          <w:rFonts w:ascii="Arial" w:hAnsi="Arial" w:cs="Arial"/>
          <w:color w:val="000000" w:themeColor="text1"/>
        </w:rPr>
        <w:t xml:space="preserve"> individuals and provide assistance to keep that individual safe.  </w:t>
      </w:r>
    </w:p>
    <w:p w14:paraId="4F26D36E" w14:textId="685E5588" w:rsidR="00675BD1" w:rsidRPr="00BC1463" w:rsidRDefault="00675BD1" w:rsidP="00BC1463">
      <w:pPr>
        <w:jc w:val="both"/>
        <w:rPr>
          <w:rFonts w:ascii="Arial" w:hAnsi="Arial" w:cs="Arial"/>
          <w:color w:val="000000" w:themeColor="text1"/>
        </w:rPr>
      </w:pPr>
      <w:r w:rsidRPr="00BC1463">
        <w:rPr>
          <w:rFonts w:ascii="Arial" w:hAnsi="Arial" w:cs="Arial"/>
          <w:color w:val="000000" w:themeColor="text1"/>
        </w:rPr>
        <w:t xml:space="preserve">I attended a fatal road traffic collision whereby a pedestrian was hit by a vehicle </w:t>
      </w:r>
      <w:proofErr w:type="gramStart"/>
      <w:r w:rsidRPr="00BC1463">
        <w:rPr>
          <w:rFonts w:ascii="Arial" w:hAnsi="Arial" w:cs="Arial"/>
          <w:color w:val="000000" w:themeColor="text1"/>
        </w:rPr>
        <w:t>speeding,</w:t>
      </w:r>
      <w:proofErr w:type="gramEnd"/>
      <w:r w:rsidRPr="00BC1463">
        <w:rPr>
          <w:rFonts w:ascii="Arial" w:hAnsi="Arial" w:cs="Arial"/>
          <w:color w:val="000000" w:themeColor="text1"/>
        </w:rPr>
        <w:t xml:space="preserve"> my colleague and I were the first in attendance at the scene which on arrival was chaotic. My initial thoughts turned to safeguarding, I identified the victim on the floor around 15 metres from the vehicle, from an initial assessment the victim was not breathing and seemed to have catastrophic injuries, resulting in myself commencing CPR and my colleague ringing ambulance. Once ambulance </w:t>
      </w:r>
      <w:proofErr w:type="gramStart"/>
      <w:r w:rsidRPr="00BC1463">
        <w:rPr>
          <w:rFonts w:ascii="Arial" w:hAnsi="Arial" w:cs="Arial"/>
          <w:color w:val="000000" w:themeColor="text1"/>
        </w:rPr>
        <w:t>arrived</w:t>
      </w:r>
      <w:proofErr w:type="gramEnd"/>
      <w:r w:rsidRPr="00BC1463">
        <w:rPr>
          <w:rFonts w:ascii="Arial" w:hAnsi="Arial" w:cs="Arial"/>
          <w:color w:val="000000" w:themeColor="text1"/>
        </w:rPr>
        <w:t xml:space="preserve"> I allowed them to take over and assisted other colleagues in setting up a scene, ensuring a safe distance from all members of the public who gathered, this ensured their safeguarding whilst also allowing us to preserve a scene. The next step to consider is golden hour enquires as crucial information can be gained in this vital timeframe, with physical evidence and initial accounts from victims and witnesses being most accurate at this </w:t>
      </w:r>
      <w:proofErr w:type="gramStart"/>
      <w:r w:rsidRPr="00BC1463">
        <w:rPr>
          <w:rFonts w:ascii="Arial" w:hAnsi="Arial" w:cs="Arial"/>
          <w:color w:val="000000" w:themeColor="text1"/>
        </w:rPr>
        <w:t>time</w:t>
      </w:r>
      <w:proofErr w:type="gramEnd"/>
      <w:r w:rsidRPr="00BC1463">
        <w:rPr>
          <w:rFonts w:ascii="Arial" w:hAnsi="Arial" w:cs="Arial"/>
          <w:color w:val="000000" w:themeColor="text1"/>
        </w:rPr>
        <w:t xml:space="preserve"> </w:t>
      </w:r>
    </w:p>
    <w:p w14:paraId="14601DCA" w14:textId="77777777" w:rsidR="00F07903" w:rsidRPr="00BC1463" w:rsidRDefault="00F07903" w:rsidP="00BC1463">
      <w:pPr>
        <w:jc w:val="both"/>
        <w:rPr>
          <w:rFonts w:ascii="Arial" w:hAnsi="Arial" w:cs="Arial"/>
          <w:color w:val="000000" w:themeColor="text1"/>
        </w:rPr>
      </w:pPr>
    </w:p>
    <w:p w14:paraId="731A9F59" w14:textId="77777777" w:rsidR="00F07903" w:rsidRPr="00BC1463" w:rsidRDefault="00F07903" w:rsidP="00BC1463">
      <w:pPr>
        <w:jc w:val="both"/>
        <w:rPr>
          <w:rFonts w:ascii="Arial" w:hAnsi="Arial" w:cs="Arial"/>
          <w:color w:val="000000" w:themeColor="text1"/>
        </w:rPr>
      </w:pPr>
    </w:p>
    <w:p w14:paraId="04983055" w14:textId="77777777" w:rsidR="00F07903" w:rsidRPr="00BC1463" w:rsidRDefault="00F07903" w:rsidP="00BC1463">
      <w:pPr>
        <w:jc w:val="both"/>
        <w:rPr>
          <w:rFonts w:ascii="Arial" w:hAnsi="Arial" w:cs="Arial"/>
          <w:color w:val="000000" w:themeColor="text1"/>
        </w:rPr>
      </w:pPr>
    </w:p>
    <w:p w14:paraId="1B415944" w14:textId="313EF96D" w:rsidR="00F07903" w:rsidRPr="00BC1463" w:rsidRDefault="00F07903" w:rsidP="00BC1463">
      <w:pPr>
        <w:spacing w:line="257" w:lineRule="auto"/>
        <w:ind w:right="531"/>
        <w:jc w:val="both"/>
        <w:rPr>
          <w:rFonts w:ascii="Arial" w:hAnsi="Arial" w:cs="Arial"/>
          <w:b/>
          <w:bCs/>
          <w:color w:val="000000" w:themeColor="text1"/>
        </w:rPr>
      </w:pPr>
      <w:r w:rsidRPr="00BC1463">
        <w:rPr>
          <w:rFonts w:ascii="Arial" w:hAnsi="Arial" w:cs="Arial"/>
          <w:b/>
          <w:bCs/>
          <w:color w:val="000000" w:themeColor="text1"/>
        </w:rPr>
        <w:t xml:space="preserve">Essay four: </w:t>
      </w:r>
    </w:p>
    <w:p w14:paraId="350A4F0F" w14:textId="77777777" w:rsidR="00F07903" w:rsidRPr="00BC1463" w:rsidRDefault="00F07903" w:rsidP="00BC1463">
      <w:pPr>
        <w:spacing w:line="257" w:lineRule="auto"/>
        <w:ind w:right="531"/>
        <w:jc w:val="both"/>
        <w:rPr>
          <w:rFonts w:ascii="Arial" w:eastAsia="Calibri" w:hAnsi="Arial" w:cs="Arial"/>
          <w:b/>
          <w:bCs/>
          <w:color w:val="000000" w:themeColor="text1"/>
        </w:rPr>
      </w:pPr>
      <w:r w:rsidRPr="00BC1463">
        <w:rPr>
          <w:rFonts w:ascii="Arial" w:eastAsia="Calibri" w:hAnsi="Arial" w:cs="Arial"/>
          <w:b/>
          <w:bCs/>
          <w:color w:val="000000" w:themeColor="text1"/>
        </w:rPr>
        <w:lastRenderedPageBreak/>
        <w:t xml:space="preserve">What impact can personal bias have on investigations, and how effective are the measures in place to prevent this? Your answer must be based on academic research rather than personal experience. </w:t>
      </w:r>
    </w:p>
    <w:p w14:paraId="5EB53010" w14:textId="77777777" w:rsidR="00F07903" w:rsidRPr="00BC1463" w:rsidRDefault="00F07903" w:rsidP="00BC1463">
      <w:pPr>
        <w:spacing w:line="257" w:lineRule="auto"/>
        <w:ind w:left="567" w:right="531"/>
        <w:jc w:val="both"/>
        <w:rPr>
          <w:rFonts w:ascii="Arial" w:eastAsia="Calibri" w:hAnsi="Arial" w:cs="Arial"/>
          <w:color w:val="000000" w:themeColor="text1"/>
        </w:rPr>
      </w:pPr>
      <w:r w:rsidRPr="00BC1463">
        <w:rPr>
          <w:rFonts w:ascii="Arial" w:eastAsia="Calibri" w:hAnsi="Arial" w:cs="Arial"/>
          <w:color w:val="000000" w:themeColor="text1"/>
        </w:rPr>
        <w:t xml:space="preserve"> </w:t>
      </w:r>
    </w:p>
    <w:p w14:paraId="5D79F9CD"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A criminal investigation is defined as an investigation conducted by law enforcement officers to determine whether a person should be charged with an offence (Ministry </w:t>
      </w:r>
      <w:proofErr w:type="gramStart"/>
      <w:r w:rsidRPr="00BC1463">
        <w:rPr>
          <w:rFonts w:ascii="Arial" w:hAnsi="Arial" w:cs="Arial"/>
          <w:color w:val="000000" w:themeColor="text1"/>
        </w:rPr>
        <w:t>Of</w:t>
      </w:r>
      <w:proofErr w:type="gramEnd"/>
      <w:r w:rsidRPr="00BC1463">
        <w:rPr>
          <w:rFonts w:ascii="Arial" w:hAnsi="Arial" w:cs="Arial"/>
          <w:color w:val="000000" w:themeColor="text1"/>
        </w:rPr>
        <w:t xml:space="preserve"> Justice, 2020; Legislation.gov.uk, 2018). A criminal investigation is a logical examination of evidence which uses deductive reasoning, concluding in establishing a person’s innocent or guilty based on the evidence available to officers. A criminal investigation often uses a wide range of evidence from physical evidence such as a person at the scene, forensic evidence such as fingerprints and digital evidence such as CCTV (</w:t>
      </w:r>
      <w:r w:rsidRPr="00BC1463">
        <w:rPr>
          <w:rFonts w:ascii="Arial" w:hAnsi="Arial" w:cs="Arial"/>
          <w:color w:val="000000" w:themeColor="text1"/>
          <w:shd w:val="clear" w:color="auto" w:fill="FFFFFF"/>
        </w:rPr>
        <w:t xml:space="preserve">Hess, </w:t>
      </w:r>
      <w:proofErr w:type="spellStart"/>
      <w:r w:rsidRPr="00BC1463">
        <w:rPr>
          <w:rFonts w:ascii="Arial" w:hAnsi="Arial" w:cs="Arial"/>
          <w:color w:val="000000" w:themeColor="text1"/>
          <w:shd w:val="clear" w:color="auto" w:fill="FFFFFF"/>
        </w:rPr>
        <w:t>Orthmann</w:t>
      </w:r>
      <w:proofErr w:type="spellEnd"/>
      <w:r w:rsidRPr="00BC1463">
        <w:rPr>
          <w:rFonts w:ascii="Arial" w:hAnsi="Arial" w:cs="Arial"/>
          <w:color w:val="000000" w:themeColor="text1"/>
          <w:shd w:val="clear" w:color="auto" w:fill="FFFFFF"/>
        </w:rPr>
        <w:t xml:space="preserve"> &amp; Cho, 2022).</w:t>
      </w:r>
    </w:p>
    <w:p w14:paraId="2B710D28" w14:textId="77777777" w:rsidR="00F07903" w:rsidRPr="00BC1463" w:rsidRDefault="00F07903" w:rsidP="00BC1463">
      <w:pPr>
        <w:jc w:val="both"/>
        <w:rPr>
          <w:rFonts w:ascii="Arial" w:hAnsi="Arial" w:cs="Arial"/>
          <w:color w:val="000000" w:themeColor="text1"/>
        </w:rPr>
      </w:pPr>
    </w:p>
    <w:p w14:paraId="2B128FA6" w14:textId="77777777" w:rsidR="00F07903" w:rsidRPr="00BC1463" w:rsidRDefault="00F07903" w:rsidP="00BC1463">
      <w:pPr>
        <w:jc w:val="both"/>
        <w:rPr>
          <w:rFonts w:ascii="Arial" w:hAnsi="Arial" w:cs="Arial"/>
          <w:color w:val="000000" w:themeColor="text1"/>
          <w:shd w:val="clear" w:color="auto" w:fill="FFFFFF"/>
        </w:rPr>
      </w:pPr>
      <w:r w:rsidRPr="00BC1463">
        <w:rPr>
          <w:rFonts w:ascii="Arial" w:hAnsi="Arial" w:cs="Arial"/>
          <w:color w:val="000000" w:themeColor="text1"/>
        </w:rPr>
        <w:t>Confirmation bias is the tendency of individuals to form opinions based on their own personal believes, knowledge and experiences, these biases can be based on gender, sexual orientation, race, religion, and ethnicity (</w:t>
      </w:r>
      <w:proofErr w:type="spellStart"/>
      <w:r w:rsidRPr="00BC1463">
        <w:rPr>
          <w:rFonts w:ascii="Arial" w:hAnsi="Arial" w:cs="Arial"/>
          <w:color w:val="000000" w:themeColor="text1"/>
        </w:rPr>
        <w:t>Madeodev</w:t>
      </w:r>
      <w:proofErr w:type="spellEnd"/>
      <w:r w:rsidRPr="00BC1463">
        <w:rPr>
          <w:rFonts w:ascii="Arial" w:hAnsi="Arial" w:cs="Arial"/>
          <w:color w:val="000000" w:themeColor="text1"/>
        </w:rPr>
        <w:t xml:space="preserve">, 2021). Due to the increased information humans </w:t>
      </w:r>
      <w:proofErr w:type="gramStart"/>
      <w:r w:rsidRPr="00BC1463">
        <w:rPr>
          <w:rFonts w:ascii="Arial" w:hAnsi="Arial" w:cs="Arial"/>
          <w:color w:val="000000" w:themeColor="text1"/>
        </w:rPr>
        <w:t>have to</w:t>
      </w:r>
      <w:proofErr w:type="gramEnd"/>
      <w:r w:rsidRPr="00BC1463">
        <w:rPr>
          <w:rFonts w:ascii="Arial" w:hAnsi="Arial" w:cs="Arial"/>
          <w:color w:val="000000" w:themeColor="text1"/>
        </w:rPr>
        <w:t xml:space="preserve"> interpret on a daily basis, we have adapted </w:t>
      </w:r>
      <w:r w:rsidRPr="00BC1463">
        <w:rPr>
          <w:rFonts w:ascii="Arial" w:hAnsi="Arial" w:cs="Arial"/>
          <w:color w:val="000000" w:themeColor="text1"/>
          <w:shd w:val="clear" w:color="auto" w:fill="FCFCFC"/>
        </w:rPr>
        <w:t xml:space="preserve">heuristics </w:t>
      </w:r>
      <w:r w:rsidRPr="00BC1463">
        <w:rPr>
          <w:rFonts w:ascii="Arial" w:hAnsi="Arial" w:cs="Arial"/>
          <w:color w:val="000000" w:themeColor="text1"/>
        </w:rPr>
        <w:t>to improve decision making efficiency, but these rely on biases so can inadvertently affect our decision making negatively, ignoring all plausible outcomes (</w:t>
      </w:r>
      <w:proofErr w:type="spellStart"/>
      <w:r w:rsidRPr="00BC1463">
        <w:rPr>
          <w:rFonts w:ascii="Arial" w:hAnsi="Arial" w:cs="Arial"/>
          <w:color w:val="000000" w:themeColor="text1"/>
        </w:rPr>
        <w:t>Meterko</w:t>
      </w:r>
      <w:proofErr w:type="spellEnd"/>
      <w:r w:rsidRPr="00BC1463">
        <w:rPr>
          <w:rFonts w:ascii="Arial" w:hAnsi="Arial" w:cs="Arial"/>
          <w:color w:val="000000" w:themeColor="text1"/>
        </w:rPr>
        <w:t xml:space="preserve"> &amp; Cooper, 2021). These biases often form from a young age based on a person’s childhood and can be changed or reinforced based on our environments and experiences. This confirmation bias is often unconscious, resulting in prejudice and stereotyping meaning it is difficult to identify, making it increasingly difficult to prevent, however, these biases do not necessarily imply that an ethical issue will arise, it just suggests how an individual will interpret a situation and with measures put in place these can prevent biases having a negative ethical impact (</w:t>
      </w:r>
      <w:proofErr w:type="spellStart"/>
      <w:r w:rsidRPr="00BC1463">
        <w:rPr>
          <w:rFonts w:ascii="Arial" w:hAnsi="Arial" w:cs="Arial"/>
          <w:color w:val="000000" w:themeColor="text1"/>
          <w:shd w:val="clear" w:color="auto" w:fill="FFFFFF"/>
        </w:rPr>
        <w:t>Dror</w:t>
      </w:r>
      <w:proofErr w:type="spellEnd"/>
      <w:r w:rsidRPr="00BC1463">
        <w:rPr>
          <w:rFonts w:ascii="Arial" w:hAnsi="Arial" w:cs="Arial"/>
          <w:color w:val="000000" w:themeColor="text1"/>
          <w:shd w:val="clear" w:color="auto" w:fill="FFFFFF"/>
        </w:rPr>
        <w:t xml:space="preserve">, 2020; Richardson, 2017; Pearson, Dovidio &amp; Gaertner, 2009). </w:t>
      </w:r>
      <w:r w:rsidRPr="00BC1463">
        <w:rPr>
          <w:rFonts w:ascii="Arial" w:hAnsi="Arial" w:cs="Arial"/>
          <w:color w:val="000000" w:themeColor="text1"/>
        </w:rPr>
        <w:t>When making decisions individuals aren’t always aware of all the factors that influence their decisions, therefore are susceptible to being influenced by unrelated factors, resulting unethical actions being taken.</w:t>
      </w:r>
    </w:p>
    <w:p w14:paraId="021D9E2A" w14:textId="77777777" w:rsidR="00F07903" w:rsidRPr="00BC1463" w:rsidRDefault="00F07903" w:rsidP="00BC1463">
      <w:pPr>
        <w:jc w:val="both"/>
        <w:rPr>
          <w:rFonts w:ascii="Arial" w:hAnsi="Arial" w:cs="Arial"/>
          <w:color w:val="000000" w:themeColor="text1"/>
        </w:rPr>
      </w:pPr>
    </w:p>
    <w:p w14:paraId="45494FFA" w14:textId="77777777" w:rsidR="00F07903" w:rsidRPr="00BC1463" w:rsidRDefault="00F07903" w:rsidP="00BC1463">
      <w:pPr>
        <w:jc w:val="both"/>
        <w:rPr>
          <w:rFonts w:ascii="Arial" w:hAnsi="Arial" w:cs="Arial"/>
          <w:color w:val="000000" w:themeColor="text1"/>
          <w:shd w:val="clear" w:color="auto" w:fill="FFFFFF"/>
        </w:rPr>
      </w:pPr>
      <w:r w:rsidRPr="00BC1463">
        <w:rPr>
          <w:rFonts w:ascii="Arial" w:hAnsi="Arial" w:cs="Arial"/>
          <w:color w:val="000000" w:themeColor="text1"/>
        </w:rPr>
        <w:t>Confirmation bias have a significant impact on criminal investigations due to this bias often being unconscious, making it difficult to identify, resulting in investigators being influenced by their unconscious preconceptions and making decisions that are not exclusively based on the objective evidence available to them (</w:t>
      </w:r>
      <w:r w:rsidRPr="00BC1463">
        <w:rPr>
          <w:rFonts w:ascii="Arial" w:hAnsi="Arial" w:cs="Arial"/>
          <w:color w:val="000000" w:themeColor="text1"/>
          <w:shd w:val="clear" w:color="auto" w:fill="FFFFFF"/>
        </w:rPr>
        <w:t xml:space="preserve">O'Brien, 2009; </w:t>
      </w:r>
      <w:proofErr w:type="spellStart"/>
      <w:r w:rsidRPr="00BC1463">
        <w:rPr>
          <w:rFonts w:ascii="Arial" w:hAnsi="Arial" w:cs="Arial"/>
          <w:color w:val="000000" w:themeColor="text1"/>
        </w:rPr>
        <w:t>Madeodev</w:t>
      </w:r>
      <w:proofErr w:type="spellEnd"/>
      <w:r w:rsidRPr="00BC1463">
        <w:rPr>
          <w:rFonts w:ascii="Arial" w:hAnsi="Arial" w:cs="Arial"/>
          <w:color w:val="000000" w:themeColor="text1"/>
        </w:rPr>
        <w:t>, 2021).</w:t>
      </w:r>
      <w:r w:rsidRPr="00BC1463">
        <w:rPr>
          <w:rStyle w:val="apple-converted-space"/>
          <w:rFonts w:ascii="Arial" w:hAnsi="Arial" w:cs="Arial"/>
          <w:color w:val="000000" w:themeColor="text1"/>
        </w:rPr>
        <w:t> </w:t>
      </w:r>
      <w:r w:rsidRPr="00BC1463">
        <w:rPr>
          <w:rFonts w:ascii="Arial" w:hAnsi="Arial" w:cs="Arial"/>
          <w:color w:val="000000" w:themeColor="text1"/>
        </w:rPr>
        <w:t>This can cause officers to dismiss evidence that contradicts their hypothesis and seeking consistent evidence that supports their hypothesis, resulting in wrongful arrests and convictions of individuals (‌</w:t>
      </w:r>
      <w:r w:rsidRPr="00BC1463">
        <w:rPr>
          <w:rFonts w:ascii="Arial" w:hAnsi="Arial" w:cs="Arial"/>
          <w:color w:val="000000" w:themeColor="text1"/>
          <w:shd w:val="clear" w:color="auto" w:fill="FFFFFF"/>
        </w:rPr>
        <w:t xml:space="preserve">Nickerson, 1998). Ask and </w:t>
      </w:r>
      <w:proofErr w:type="spellStart"/>
      <w:r w:rsidRPr="00BC1463">
        <w:rPr>
          <w:rFonts w:ascii="Arial" w:hAnsi="Arial" w:cs="Arial"/>
          <w:color w:val="000000" w:themeColor="text1"/>
          <w:shd w:val="clear" w:color="auto" w:fill="FFFFFF"/>
        </w:rPr>
        <w:t>Granhag</w:t>
      </w:r>
      <w:proofErr w:type="spellEnd"/>
      <w:r w:rsidRPr="00BC1463">
        <w:rPr>
          <w:rFonts w:ascii="Arial" w:hAnsi="Arial" w:cs="Arial"/>
          <w:color w:val="000000" w:themeColor="text1"/>
          <w:shd w:val="clear" w:color="auto" w:fill="FFFFFF"/>
        </w:rPr>
        <w:t xml:space="preserve"> (2007) identified that experienced detectives valued witnesses who identified a person as guilty more than when they exonerated the individual, further suggesting the bias towards a particular hypothesis. The biggest issue in identifying and preventing confirmation bias in criminal investigations is individuals don’t play an active role in confirming their biases, people are more likely to unconsciously ask questions that are likely to confirm our hypothesis (</w:t>
      </w:r>
      <w:proofErr w:type="spellStart"/>
      <w:r w:rsidRPr="00BC1463">
        <w:rPr>
          <w:rFonts w:ascii="Arial" w:hAnsi="Arial" w:cs="Arial"/>
          <w:color w:val="000000" w:themeColor="text1"/>
          <w:shd w:val="clear" w:color="auto" w:fill="FFFFFF"/>
        </w:rPr>
        <w:t>Rassin</w:t>
      </w:r>
      <w:proofErr w:type="spellEnd"/>
      <w:r w:rsidRPr="00BC1463">
        <w:rPr>
          <w:rFonts w:ascii="Arial" w:hAnsi="Arial" w:cs="Arial"/>
          <w:color w:val="000000" w:themeColor="text1"/>
          <w:shd w:val="clear" w:color="auto" w:fill="FFFFFF"/>
        </w:rPr>
        <w:t xml:space="preserve">, </w:t>
      </w:r>
      <w:proofErr w:type="spellStart"/>
      <w:r w:rsidRPr="00BC1463">
        <w:rPr>
          <w:rFonts w:ascii="Arial" w:hAnsi="Arial" w:cs="Arial"/>
          <w:color w:val="000000" w:themeColor="text1"/>
          <w:shd w:val="clear" w:color="auto" w:fill="FFFFFF"/>
        </w:rPr>
        <w:t>Eerland</w:t>
      </w:r>
      <w:proofErr w:type="spellEnd"/>
      <w:r w:rsidRPr="00BC1463">
        <w:rPr>
          <w:rFonts w:ascii="Arial" w:hAnsi="Arial" w:cs="Arial"/>
          <w:color w:val="000000" w:themeColor="text1"/>
          <w:shd w:val="clear" w:color="auto" w:fill="FFFFFF"/>
        </w:rPr>
        <w:t xml:space="preserve"> &amp; </w:t>
      </w:r>
      <w:proofErr w:type="spellStart"/>
      <w:r w:rsidRPr="00BC1463">
        <w:rPr>
          <w:rFonts w:ascii="Arial" w:hAnsi="Arial" w:cs="Arial"/>
          <w:color w:val="000000" w:themeColor="text1"/>
          <w:shd w:val="clear" w:color="auto" w:fill="FFFFFF"/>
        </w:rPr>
        <w:t>Kuijpers</w:t>
      </w:r>
      <w:proofErr w:type="spellEnd"/>
      <w:r w:rsidRPr="00BC1463">
        <w:rPr>
          <w:rFonts w:ascii="Arial" w:hAnsi="Arial" w:cs="Arial"/>
          <w:color w:val="000000" w:themeColor="text1"/>
          <w:shd w:val="clear" w:color="auto" w:fill="FFFFFF"/>
        </w:rPr>
        <w:t>, 2010).</w:t>
      </w:r>
    </w:p>
    <w:p w14:paraId="288E15CC" w14:textId="77777777" w:rsidR="00F07903" w:rsidRPr="00BC1463" w:rsidRDefault="00F07903" w:rsidP="00BC1463">
      <w:pPr>
        <w:jc w:val="both"/>
        <w:rPr>
          <w:rFonts w:ascii="Arial" w:hAnsi="Arial" w:cs="Arial"/>
          <w:color w:val="000000" w:themeColor="text1"/>
        </w:rPr>
      </w:pPr>
    </w:p>
    <w:p w14:paraId="6DE6F3C5"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The police force has a longstanding history of biases towards black and ethnic minorities, with high publicised mistreatment and prejudiced treatment of this portion of the public (Macpherson, 1999). The Metropolitan Police has a complex history of institutional bias where racial disparities and bias have been documented and continue to persist (Macpherson, 1999; Baroness Casey, 2023). In comparison to white </w:t>
      </w:r>
      <w:proofErr w:type="gramStart"/>
      <w:r w:rsidRPr="00BC1463">
        <w:rPr>
          <w:rFonts w:ascii="Arial" w:hAnsi="Arial" w:cs="Arial"/>
          <w:color w:val="000000" w:themeColor="text1"/>
        </w:rPr>
        <w:t>males</w:t>
      </w:r>
      <w:proofErr w:type="gramEnd"/>
      <w:r w:rsidRPr="00BC1463">
        <w:rPr>
          <w:rFonts w:ascii="Arial" w:hAnsi="Arial" w:cs="Arial"/>
          <w:color w:val="000000" w:themeColor="text1"/>
        </w:rPr>
        <w:t xml:space="preserve"> black males are disproportionately more likely to be stop searched and </w:t>
      </w:r>
      <w:r w:rsidRPr="00BC1463">
        <w:rPr>
          <w:rFonts w:ascii="Arial" w:hAnsi="Arial" w:cs="Arial"/>
          <w:color w:val="000000" w:themeColor="text1"/>
        </w:rPr>
        <w:lastRenderedPageBreak/>
        <w:t xml:space="preserve">arrested, with greater uses of force used by police (Baroness Casey, 2023; Macpherson, 1999). Within the Metropolitan force area, a black individual is 3.5 times more likely to be stop searched in comparison to their white counterparts. The institutional racism and systemic bias </w:t>
      </w:r>
      <w:proofErr w:type="gramStart"/>
      <w:r w:rsidRPr="00BC1463">
        <w:rPr>
          <w:rFonts w:ascii="Arial" w:hAnsi="Arial" w:cs="Arial"/>
          <w:color w:val="000000" w:themeColor="text1"/>
        </w:rPr>
        <w:t>doesn’t</w:t>
      </w:r>
      <w:proofErr w:type="gramEnd"/>
      <w:r w:rsidRPr="00BC1463">
        <w:rPr>
          <w:rFonts w:ascii="Arial" w:hAnsi="Arial" w:cs="Arial"/>
          <w:color w:val="000000" w:themeColor="text1"/>
        </w:rPr>
        <w:t xml:space="preserve"> stop at the public, in 2022 black officers and staff were 81% more likely than white counterparts to have misconduct allegations brought against them. Within the same time only 16% of the Met’s officers were of a black, </w:t>
      </w:r>
      <w:proofErr w:type="gramStart"/>
      <w:r w:rsidRPr="00BC1463">
        <w:rPr>
          <w:rFonts w:ascii="Arial" w:hAnsi="Arial" w:cs="Arial"/>
          <w:color w:val="000000" w:themeColor="text1"/>
        </w:rPr>
        <w:t>Asian</w:t>
      </w:r>
      <w:proofErr w:type="gramEnd"/>
      <w:r w:rsidRPr="00BC1463">
        <w:rPr>
          <w:rFonts w:ascii="Arial" w:hAnsi="Arial" w:cs="Arial"/>
          <w:color w:val="000000" w:themeColor="text1"/>
        </w:rPr>
        <w:t xml:space="preserve"> and ethnic minority, which does not mirror the diverse the public they police, which is an integral factor of the institutional racism and systemic biases that exist in the Met’s police force (Baroness Casey, 2023). A more diverse work force would allow for better understanding of the communities it serves, increasing the insights to these communities and gaining public confidence and respect, thus, reducing any confirmation and institutional biases that currently exist (Baroness Casey, 2023). This institutional bias can create a culture that disseminates biases, resulting in increasing difficulties for officers to act completely impartial (Goff &amp; Kahn,2012; </w:t>
      </w:r>
      <w:r w:rsidRPr="00BC1463">
        <w:rPr>
          <w:rFonts w:ascii="Arial" w:hAnsi="Arial" w:cs="Arial"/>
          <w:color w:val="000000" w:themeColor="text1"/>
          <w:shd w:val="clear" w:color="auto" w:fill="FFFFFF"/>
        </w:rPr>
        <w:t xml:space="preserve">Kahn, Steele, McMahon &amp; Stewart, 2017; </w:t>
      </w:r>
      <w:r w:rsidRPr="00BC1463">
        <w:rPr>
          <w:rFonts w:ascii="Arial" w:hAnsi="Arial" w:cs="Arial"/>
          <w:color w:val="000000" w:themeColor="text1"/>
        </w:rPr>
        <w:t xml:space="preserve">Baroness Casey, 2023). </w:t>
      </w:r>
    </w:p>
    <w:p w14:paraId="5022C367" w14:textId="77777777" w:rsidR="00F07903" w:rsidRPr="00BC1463" w:rsidRDefault="00F07903" w:rsidP="00BC1463">
      <w:pPr>
        <w:jc w:val="both"/>
        <w:rPr>
          <w:rFonts w:ascii="Arial" w:hAnsi="Arial" w:cs="Arial"/>
          <w:color w:val="000000" w:themeColor="text1"/>
        </w:rPr>
      </w:pPr>
    </w:p>
    <w:p w14:paraId="60AF238D" w14:textId="10503F6D"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The Police and Criminal Evidence Act 1984 (PACE) is an integral piece of legislation that was introduced outlining clear procedures which can assist officers in acting in an impartial manner when conducting criminal investigations</w:t>
      </w:r>
      <w:r w:rsidR="00675BD1" w:rsidRPr="00BC1463">
        <w:rPr>
          <w:rFonts w:ascii="Arial" w:hAnsi="Arial" w:cs="Arial"/>
          <w:color w:val="000000" w:themeColor="text1"/>
        </w:rPr>
        <w:t>.</w:t>
      </w:r>
      <w:r w:rsidRPr="00BC1463">
        <w:rPr>
          <w:rFonts w:ascii="Arial" w:hAnsi="Arial" w:cs="Arial"/>
          <w:color w:val="000000" w:themeColor="text1"/>
        </w:rPr>
        <w:t xml:space="preserve"> PACE requires all officers to be trained in correct procedures for conducting investigations which can help reduce actions based on personal bias. Officers are also trained to conduct interviews using non-biased interview techniques which can prevent officers unintentionally influence evidence from any victims, suspects or witnesses based on their own personal bias, helping to prevent personal bias influencing the outcome of criminal investigations. </w:t>
      </w:r>
    </w:p>
    <w:p w14:paraId="39F3CFF5" w14:textId="77777777" w:rsidR="00F07903" w:rsidRPr="00BC1463" w:rsidRDefault="00F07903" w:rsidP="00BC1463">
      <w:pPr>
        <w:jc w:val="both"/>
        <w:rPr>
          <w:rFonts w:ascii="Arial" w:hAnsi="Arial" w:cs="Arial"/>
          <w:color w:val="000000" w:themeColor="text1"/>
        </w:rPr>
      </w:pPr>
    </w:p>
    <w:p w14:paraId="597DCDE2"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There are various measures that have been implemented to decrease the risk of confirmational bias by officers, one new measure is the use of body worn cameras, these devices record an officer’s interactions with the public. These cameras allow for an objective record of police and public interactions, whether that be witnesses, victim or suspect, which encourages officers to act accordingly during investigations. The use of body worn cameras has allowed for transparency within the initial police investigation, from the moment officers arrive on scene there’s a video recording of their actions, which can be reviewed after the event, which can help identify any biases from an individual or institution. (College of Policing, 2021). The use of body worn cameras has been shown to increase self-awareness, having a deterrent effect on use of force, thus, changing the potential actions from an officer from their inherent biases (College of Policing, 2021). This recording assists with Article 6 of the European Convention on Human Rights (ECHR) by assisting court proceedings, being provide information that is beneficial for both the defence and prosecution, this audit trail allows for objective and unbiased evidence College of Policing, 2021; Legislation.gov.uk, 2018).</w:t>
      </w:r>
      <w:r w:rsidRPr="00BC1463">
        <w:rPr>
          <w:rStyle w:val="apple-converted-space"/>
          <w:rFonts w:ascii="Arial" w:hAnsi="Arial" w:cs="Arial"/>
          <w:color w:val="000000" w:themeColor="text1"/>
        </w:rPr>
        <w:t> </w:t>
      </w:r>
      <w:r w:rsidRPr="00BC1463">
        <w:rPr>
          <w:rFonts w:ascii="Arial" w:hAnsi="Arial" w:cs="Arial"/>
          <w:color w:val="000000" w:themeColor="text1"/>
        </w:rPr>
        <w:t xml:space="preserve">By ensuring officers use the body worn cameras these can help to promote integrity and confidence in the police and can be essential evidence within a criminal investigation.  Although the use of body worn cameras does not have a significant link on crime related outcomes it can reduce the level of complaints against officers by as they have been shown to cause a change in officer and public behaviour, affecting the interaction between both parties, this can provide transparency for all parties (College of Policing, 2021). Body worn cameras safeguard all parties, as it is objective evidence that shows a true and accurate recording of incidents, including any significant statements made (‌ College of Policing, 2021; GOV.UK, 1998). The benefits of the use of body worn cameras in preventing biases in investigations far outweigh the negatives </w:t>
      </w:r>
      <w:r w:rsidRPr="00BC1463">
        <w:rPr>
          <w:rFonts w:ascii="Arial" w:hAnsi="Arial" w:cs="Arial"/>
          <w:color w:val="000000" w:themeColor="text1"/>
        </w:rPr>
        <w:lastRenderedPageBreak/>
        <w:t xml:space="preserve">and when used in line with correct procedures by officers can assist in the gaining objective and impartial evidence (College of Policing, 2021). </w:t>
      </w:r>
    </w:p>
    <w:p w14:paraId="4A5035D0" w14:textId="77777777" w:rsidR="00F07903" w:rsidRPr="00BC1463" w:rsidRDefault="00F07903" w:rsidP="00BC1463">
      <w:pPr>
        <w:jc w:val="both"/>
        <w:rPr>
          <w:rFonts w:ascii="Arial" w:hAnsi="Arial" w:cs="Arial"/>
          <w:color w:val="000000" w:themeColor="text1"/>
        </w:rPr>
      </w:pPr>
    </w:p>
    <w:p w14:paraId="022D36D2"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The criminal justice system relies on accurate decision making early in the investigation to identify information to pursue, what lines of enquires to follow and what inferences to draw from these. Whilst the measures that have been implemented to prevent confirmation bias are not full proof, they provide officers with the skillset, knowledge, and equipment to act in a fair, </w:t>
      </w:r>
      <w:proofErr w:type="gramStart"/>
      <w:r w:rsidRPr="00BC1463">
        <w:rPr>
          <w:rFonts w:ascii="Arial" w:hAnsi="Arial" w:cs="Arial"/>
          <w:color w:val="000000" w:themeColor="text1"/>
        </w:rPr>
        <w:t>transparent</w:t>
      </w:r>
      <w:proofErr w:type="gramEnd"/>
      <w:r w:rsidRPr="00BC1463">
        <w:rPr>
          <w:rFonts w:ascii="Arial" w:hAnsi="Arial" w:cs="Arial"/>
          <w:color w:val="000000" w:themeColor="text1"/>
        </w:rPr>
        <w:t xml:space="preserve"> and impartial manner, which can help to prevent confirmation bias. </w:t>
      </w:r>
    </w:p>
    <w:p w14:paraId="7483096B" w14:textId="77777777" w:rsidR="00F07903" w:rsidRPr="00BC1463" w:rsidRDefault="00F07903" w:rsidP="00BC1463">
      <w:pPr>
        <w:spacing w:line="257" w:lineRule="auto"/>
        <w:ind w:right="531"/>
        <w:jc w:val="both"/>
        <w:rPr>
          <w:rFonts w:ascii="Arial" w:hAnsi="Arial" w:cs="Arial"/>
          <w:color w:val="000000" w:themeColor="text1"/>
        </w:rPr>
      </w:pPr>
    </w:p>
    <w:p w14:paraId="46F9ABCE" w14:textId="61546C25" w:rsidR="00F07903" w:rsidRPr="00BC1463" w:rsidRDefault="00F07903" w:rsidP="00BC1463">
      <w:pPr>
        <w:spacing w:line="257" w:lineRule="auto"/>
        <w:ind w:right="531"/>
        <w:jc w:val="both"/>
        <w:rPr>
          <w:rFonts w:ascii="Arial" w:hAnsi="Arial" w:cs="Arial"/>
          <w:b/>
          <w:bCs/>
          <w:color w:val="000000" w:themeColor="text1"/>
        </w:rPr>
      </w:pPr>
      <w:r w:rsidRPr="00BC1463">
        <w:rPr>
          <w:rFonts w:ascii="Arial" w:hAnsi="Arial" w:cs="Arial"/>
          <w:b/>
          <w:bCs/>
          <w:color w:val="000000" w:themeColor="text1"/>
        </w:rPr>
        <w:t xml:space="preserve">Word count: 1233 </w:t>
      </w:r>
    </w:p>
    <w:p w14:paraId="1BFD5E3C" w14:textId="77777777" w:rsidR="00F07903" w:rsidRPr="00BC1463" w:rsidRDefault="00F07903" w:rsidP="00BC1463">
      <w:pPr>
        <w:spacing w:line="257" w:lineRule="auto"/>
        <w:ind w:right="531"/>
        <w:jc w:val="both"/>
        <w:rPr>
          <w:rFonts w:ascii="Arial" w:hAnsi="Arial" w:cs="Arial"/>
          <w:color w:val="000000" w:themeColor="text1"/>
        </w:rPr>
      </w:pPr>
    </w:p>
    <w:p w14:paraId="567094A2" w14:textId="77777777" w:rsidR="00F07903" w:rsidRPr="00BC1463" w:rsidRDefault="00F07903" w:rsidP="00BC1463">
      <w:pPr>
        <w:spacing w:line="257" w:lineRule="auto"/>
        <w:ind w:right="531"/>
        <w:jc w:val="both"/>
        <w:rPr>
          <w:rFonts w:ascii="Arial" w:hAnsi="Arial" w:cs="Arial"/>
          <w:color w:val="000000" w:themeColor="text1"/>
        </w:rPr>
      </w:pPr>
    </w:p>
    <w:p w14:paraId="26E42700" w14:textId="5455A40A" w:rsidR="00F07903" w:rsidRPr="00BC1463" w:rsidRDefault="00F07903" w:rsidP="00BC1463">
      <w:pPr>
        <w:spacing w:line="257" w:lineRule="auto"/>
        <w:ind w:right="531"/>
        <w:jc w:val="both"/>
        <w:rPr>
          <w:rFonts w:ascii="Arial" w:hAnsi="Arial" w:cs="Arial"/>
          <w:color w:val="000000" w:themeColor="text1"/>
          <w:u w:val="single"/>
        </w:rPr>
      </w:pPr>
      <w:r w:rsidRPr="00BC1463">
        <w:rPr>
          <w:rFonts w:ascii="Arial" w:eastAsia="Calibri" w:hAnsi="Arial" w:cs="Arial"/>
          <w:b/>
          <w:bCs/>
          <w:color w:val="000000" w:themeColor="text1"/>
          <w:u w:val="single"/>
        </w:rPr>
        <w:t xml:space="preserve">Essay five: </w:t>
      </w:r>
    </w:p>
    <w:p w14:paraId="19B8FD46" w14:textId="77777777" w:rsidR="00F07903" w:rsidRPr="00BC1463" w:rsidRDefault="00F07903" w:rsidP="00BC1463">
      <w:pPr>
        <w:spacing w:line="257" w:lineRule="auto"/>
        <w:ind w:right="531"/>
        <w:jc w:val="both"/>
        <w:rPr>
          <w:rFonts w:ascii="Arial" w:eastAsia="Calibri" w:hAnsi="Arial" w:cs="Arial"/>
          <w:b/>
          <w:bCs/>
          <w:color w:val="000000" w:themeColor="text1"/>
        </w:rPr>
      </w:pPr>
      <w:r w:rsidRPr="00BC1463">
        <w:rPr>
          <w:rFonts w:ascii="Arial" w:eastAsia="Calibri" w:hAnsi="Arial" w:cs="Arial"/>
          <w:b/>
          <w:bCs/>
          <w:color w:val="000000" w:themeColor="text1"/>
        </w:rPr>
        <w:t xml:space="preserve">What characteristics or factors increase the risk of exploitation by Serious or Organised Crime Gangs? Your answer should </w:t>
      </w:r>
      <w:r w:rsidRPr="00BC1463">
        <w:rPr>
          <w:rFonts w:ascii="Arial" w:eastAsia="Calibri" w:hAnsi="Arial" w:cs="Arial"/>
          <w:b/>
          <w:bCs/>
          <w:color w:val="000000" w:themeColor="text1"/>
          <w:u w:val="single"/>
        </w:rPr>
        <w:t>examine</w:t>
      </w:r>
      <w:r w:rsidRPr="00BC1463">
        <w:rPr>
          <w:rFonts w:ascii="Arial" w:eastAsia="Calibri" w:hAnsi="Arial" w:cs="Arial"/>
          <w:b/>
          <w:bCs/>
          <w:color w:val="000000" w:themeColor="text1"/>
        </w:rPr>
        <w:t xml:space="preserve"> both the psychological and socio-economic characteristics of victims of exploitation.</w:t>
      </w:r>
    </w:p>
    <w:p w14:paraId="68D92AD6" w14:textId="77777777" w:rsidR="00F07903" w:rsidRPr="00BC1463" w:rsidRDefault="00F07903" w:rsidP="00BC1463">
      <w:pPr>
        <w:spacing w:line="257" w:lineRule="auto"/>
        <w:ind w:right="531"/>
        <w:jc w:val="both"/>
        <w:rPr>
          <w:rFonts w:ascii="Arial" w:eastAsia="Calibri" w:hAnsi="Arial" w:cs="Arial"/>
          <w:b/>
          <w:bCs/>
          <w:color w:val="000000" w:themeColor="text1"/>
        </w:rPr>
      </w:pPr>
      <w:r w:rsidRPr="00BC1463">
        <w:rPr>
          <w:rFonts w:ascii="Arial" w:eastAsia="Calibri" w:hAnsi="Arial" w:cs="Arial"/>
          <w:b/>
          <w:bCs/>
          <w:color w:val="000000" w:themeColor="text1"/>
        </w:rPr>
        <w:t xml:space="preserve">Your answer must be based on academic research, but you may </w:t>
      </w:r>
      <w:proofErr w:type="gramStart"/>
      <w:r w:rsidRPr="00BC1463">
        <w:rPr>
          <w:rFonts w:ascii="Arial" w:eastAsia="Calibri" w:hAnsi="Arial" w:cs="Arial"/>
          <w:b/>
          <w:bCs/>
          <w:color w:val="000000" w:themeColor="text1"/>
        </w:rPr>
        <w:t>make reference</w:t>
      </w:r>
      <w:proofErr w:type="gramEnd"/>
      <w:r w:rsidRPr="00BC1463">
        <w:rPr>
          <w:rFonts w:ascii="Arial" w:eastAsia="Calibri" w:hAnsi="Arial" w:cs="Arial"/>
          <w:b/>
          <w:bCs/>
          <w:color w:val="000000" w:themeColor="text1"/>
        </w:rPr>
        <w:t xml:space="preserve"> to relevant case studies.</w:t>
      </w:r>
    </w:p>
    <w:p w14:paraId="1ADC94B3" w14:textId="77777777" w:rsidR="00F07903" w:rsidRPr="00BC1463" w:rsidRDefault="00F07903" w:rsidP="00BC1463">
      <w:pPr>
        <w:jc w:val="both"/>
        <w:rPr>
          <w:rFonts w:ascii="Arial" w:hAnsi="Arial" w:cs="Arial"/>
          <w:color w:val="000000" w:themeColor="text1"/>
        </w:rPr>
      </w:pPr>
    </w:p>
    <w:p w14:paraId="19BEAF03" w14:textId="77777777" w:rsidR="00F07903" w:rsidRPr="00BC1463" w:rsidRDefault="00F07903" w:rsidP="00BC1463">
      <w:pPr>
        <w:jc w:val="both"/>
        <w:rPr>
          <w:rFonts w:ascii="Arial" w:hAnsi="Arial" w:cs="Arial"/>
          <w:color w:val="000000" w:themeColor="text1"/>
        </w:rPr>
      </w:pPr>
    </w:p>
    <w:p w14:paraId="20408A0F" w14:textId="77777777" w:rsidR="00F07903" w:rsidRPr="00BC1463" w:rsidRDefault="00F07903" w:rsidP="00BC1463">
      <w:pPr>
        <w:jc w:val="both"/>
        <w:rPr>
          <w:rFonts w:ascii="Arial" w:hAnsi="Arial" w:cs="Arial"/>
          <w:color w:val="000000" w:themeColor="text1"/>
        </w:rPr>
      </w:pPr>
    </w:p>
    <w:p w14:paraId="66FD35E4"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Criminal exploitation is the deliberate manipulation, abuse or control over vulnerable people, </w:t>
      </w:r>
      <w:proofErr w:type="gramStart"/>
      <w:r w:rsidRPr="00BC1463">
        <w:rPr>
          <w:rFonts w:ascii="Arial" w:hAnsi="Arial" w:cs="Arial"/>
          <w:color w:val="000000" w:themeColor="text1"/>
        </w:rPr>
        <w:t>children</w:t>
      </w:r>
      <w:proofErr w:type="gramEnd"/>
      <w:r w:rsidRPr="00BC1463">
        <w:rPr>
          <w:rFonts w:ascii="Arial" w:hAnsi="Arial" w:cs="Arial"/>
          <w:color w:val="000000" w:themeColor="text1"/>
        </w:rPr>
        <w:t xml:space="preserve"> or young people by taking advantage of them for criminal purposes and personal gain (Wales Safer Communities, n.d.).</w:t>
      </w:r>
      <w:r w:rsidRPr="00BC1463">
        <w:rPr>
          <w:rStyle w:val="apple-converted-space"/>
          <w:rFonts w:ascii="Arial" w:hAnsi="Arial" w:cs="Arial"/>
          <w:color w:val="000000" w:themeColor="text1"/>
        </w:rPr>
        <w:t> </w:t>
      </w:r>
      <w:r w:rsidRPr="00BC1463">
        <w:rPr>
          <w:rFonts w:ascii="Arial" w:hAnsi="Arial" w:cs="Arial"/>
          <w:color w:val="000000" w:themeColor="text1"/>
        </w:rPr>
        <w:t xml:space="preserve">A serious or organised crime gang (SOCG) is a group of is defined by the UK Government as “individuals who are planning, coordinating, and committing serious offences, whether individually, in groups and/or part of transnational networks. The main categories </w:t>
      </w:r>
      <w:proofErr w:type="gramStart"/>
      <w:r w:rsidRPr="00BC1463">
        <w:rPr>
          <w:rFonts w:ascii="Arial" w:hAnsi="Arial" w:cs="Arial"/>
          <w:color w:val="000000" w:themeColor="text1"/>
        </w:rPr>
        <w:t>are;</w:t>
      </w:r>
      <w:proofErr w:type="gramEnd"/>
      <w:r w:rsidRPr="00BC1463">
        <w:rPr>
          <w:rFonts w:ascii="Arial" w:hAnsi="Arial" w:cs="Arial"/>
          <w:color w:val="000000" w:themeColor="text1"/>
        </w:rPr>
        <w:t xml:space="preserve"> child exploitation and abuse, illegal drugs, illegal firearms, fraud, money laundering and other economic crime, bribery and corruption, organised immigration crime, modern slavery and human trafficking and cybercrime (HM Government, 2018; Hurley &amp; Boulton, 2021). </w:t>
      </w:r>
    </w:p>
    <w:p w14:paraId="1B0960DE" w14:textId="77777777" w:rsidR="00F07903" w:rsidRPr="00BC1463" w:rsidRDefault="00F07903" w:rsidP="00BC1463">
      <w:pPr>
        <w:jc w:val="both"/>
        <w:rPr>
          <w:rFonts w:ascii="Arial" w:hAnsi="Arial" w:cs="Arial"/>
          <w:color w:val="000000" w:themeColor="text1"/>
        </w:rPr>
      </w:pPr>
    </w:p>
    <w:p w14:paraId="51D5F3D9"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Serious and organised crime groups (SOCG’s) routinely exploit vulnerable individuals by manipulating, intimidating, and coercing the vulnerable individuals through the process of grooming, once involved it becomes difficult for this young person to escape. SOG’s must select and recruit new individuals to continue functioning, survive in hostile environments and avoid law enforcement (</w:t>
      </w:r>
      <w:proofErr w:type="spellStart"/>
      <w:r w:rsidRPr="00BC1463">
        <w:rPr>
          <w:rFonts w:ascii="Arial" w:hAnsi="Arial" w:cs="Arial"/>
          <w:color w:val="000000" w:themeColor="text1"/>
        </w:rPr>
        <w:t>Calderoni</w:t>
      </w:r>
      <w:proofErr w:type="spellEnd"/>
      <w:r w:rsidRPr="00BC1463">
        <w:rPr>
          <w:rFonts w:ascii="Arial" w:hAnsi="Arial" w:cs="Arial"/>
          <w:color w:val="000000" w:themeColor="text1"/>
        </w:rPr>
        <w:t xml:space="preserve">, </w:t>
      </w:r>
      <w:proofErr w:type="spellStart"/>
      <w:r w:rsidRPr="00BC1463">
        <w:rPr>
          <w:rFonts w:ascii="Arial" w:hAnsi="Arial" w:cs="Arial"/>
          <w:color w:val="000000" w:themeColor="text1"/>
        </w:rPr>
        <w:t>Campedelli</w:t>
      </w:r>
      <w:proofErr w:type="spellEnd"/>
      <w:r w:rsidRPr="00BC1463">
        <w:rPr>
          <w:rFonts w:ascii="Arial" w:hAnsi="Arial" w:cs="Arial"/>
          <w:color w:val="000000" w:themeColor="text1"/>
        </w:rPr>
        <w:t xml:space="preserve">, </w:t>
      </w:r>
      <w:proofErr w:type="spellStart"/>
      <w:r w:rsidRPr="00BC1463">
        <w:rPr>
          <w:rFonts w:ascii="Arial" w:hAnsi="Arial" w:cs="Arial"/>
          <w:color w:val="000000" w:themeColor="text1"/>
        </w:rPr>
        <w:t>Szekely</w:t>
      </w:r>
      <w:proofErr w:type="spellEnd"/>
      <w:r w:rsidRPr="00BC1463">
        <w:rPr>
          <w:rFonts w:ascii="Arial" w:hAnsi="Arial" w:cs="Arial"/>
          <w:color w:val="000000" w:themeColor="text1"/>
        </w:rPr>
        <w:t xml:space="preserve">, </w:t>
      </w:r>
      <w:proofErr w:type="spellStart"/>
      <w:r w:rsidRPr="00BC1463">
        <w:rPr>
          <w:rFonts w:ascii="Arial" w:hAnsi="Arial" w:cs="Arial"/>
          <w:color w:val="000000" w:themeColor="text1"/>
        </w:rPr>
        <w:t>Paolucci</w:t>
      </w:r>
      <w:proofErr w:type="spellEnd"/>
      <w:r w:rsidRPr="00BC1463">
        <w:rPr>
          <w:rFonts w:ascii="Arial" w:hAnsi="Arial" w:cs="Arial"/>
          <w:color w:val="000000" w:themeColor="text1"/>
        </w:rPr>
        <w:t xml:space="preserve"> &amp; Andrighetto, 2021). Serious and organised crime can have a profound impact on communities, families and individuals and is predominantly rampant where vulnerability is at the forefront. </w:t>
      </w:r>
    </w:p>
    <w:p w14:paraId="17F8A573" w14:textId="77777777" w:rsidR="00F07903" w:rsidRPr="00BC1463" w:rsidRDefault="00F07903" w:rsidP="00BC1463">
      <w:pPr>
        <w:jc w:val="both"/>
        <w:rPr>
          <w:rFonts w:ascii="Arial" w:hAnsi="Arial" w:cs="Arial"/>
          <w:color w:val="000000" w:themeColor="text1"/>
        </w:rPr>
      </w:pPr>
    </w:p>
    <w:p w14:paraId="38EFE98C"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One very prevalent type of exploitation within the UK is County Lines, this is where gangs recruit, manipulate and exploit young people into moving drugs from larger cities such as Liverpool, into suburban areas such as Swansea. County lines is an extremely sophisticated operation whereby there are dedicated mobile numbers to create specific deal lines associated to each (Home Office, 2018).</w:t>
      </w:r>
      <w:r w:rsidRPr="00BC1463">
        <w:rPr>
          <w:rStyle w:val="apple-converted-space"/>
          <w:rFonts w:ascii="Arial" w:hAnsi="Arial" w:cs="Arial"/>
          <w:color w:val="000000" w:themeColor="text1"/>
        </w:rPr>
        <w:t> </w:t>
      </w:r>
      <w:r w:rsidRPr="00BC1463">
        <w:rPr>
          <w:rFonts w:ascii="Arial" w:hAnsi="Arial" w:cs="Arial"/>
          <w:color w:val="000000" w:themeColor="text1"/>
        </w:rPr>
        <w:t xml:space="preserve"> The use of rail lines is often used for the transportation. A child is more at risk of being recruited into county </w:t>
      </w:r>
      <w:r w:rsidRPr="00BC1463">
        <w:rPr>
          <w:rFonts w:ascii="Arial" w:hAnsi="Arial" w:cs="Arial"/>
          <w:color w:val="000000" w:themeColor="text1"/>
        </w:rPr>
        <w:lastRenderedPageBreak/>
        <w:t xml:space="preserve">lines if they have domestic problems at home such as neglect, sexual </w:t>
      </w:r>
      <w:proofErr w:type="gramStart"/>
      <w:r w:rsidRPr="00BC1463">
        <w:rPr>
          <w:rFonts w:ascii="Arial" w:hAnsi="Arial" w:cs="Arial"/>
          <w:color w:val="000000" w:themeColor="text1"/>
        </w:rPr>
        <w:t>abuse</w:t>
      </w:r>
      <w:proofErr w:type="gramEnd"/>
      <w:r w:rsidRPr="00BC1463">
        <w:rPr>
          <w:rFonts w:ascii="Arial" w:hAnsi="Arial" w:cs="Arial"/>
          <w:color w:val="000000" w:themeColor="text1"/>
        </w:rPr>
        <w:t xml:space="preserve"> or domestic abuse, they have mental health problems, they have been excluded from school or they live in a low poverty area whereby other youths are involved in gangs, so get peer pressured into joining (NSPCC, 2022).</w:t>
      </w:r>
    </w:p>
    <w:p w14:paraId="66DF5F3F" w14:textId="77777777" w:rsidR="00F07903" w:rsidRPr="00BC1463" w:rsidRDefault="00F07903" w:rsidP="00BC1463">
      <w:pPr>
        <w:jc w:val="both"/>
        <w:rPr>
          <w:rFonts w:ascii="Arial" w:hAnsi="Arial" w:cs="Arial"/>
          <w:color w:val="000000" w:themeColor="text1"/>
        </w:rPr>
      </w:pPr>
    </w:p>
    <w:p w14:paraId="2255E75A"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Identifying factors that increase the risk of involvement in SOCG’s can help identify individuals at risk and implement interventions from multi-agencies to prevent association early. </w:t>
      </w:r>
      <w:r w:rsidRPr="00BC1463">
        <w:rPr>
          <w:rFonts w:ascii="Arial" w:hAnsi="Arial" w:cs="Arial"/>
          <w:color w:val="000000" w:themeColor="text1"/>
          <w:shd w:val="clear" w:color="auto" w:fill="FFFFFF"/>
        </w:rPr>
        <w:t xml:space="preserve">There are </w:t>
      </w:r>
      <w:proofErr w:type="gramStart"/>
      <w:r w:rsidRPr="00BC1463">
        <w:rPr>
          <w:rFonts w:ascii="Arial" w:hAnsi="Arial" w:cs="Arial"/>
          <w:color w:val="000000" w:themeColor="text1"/>
          <w:shd w:val="clear" w:color="auto" w:fill="FFFFFF"/>
        </w:rPr>
        <w:t>a number of</w:t>
      </w:r>
      <w:proofErr w:type="gramEnd"/>
      <w:r w:rsidRPr="00BC1463">
        <w:rPr>
          <w:rFonts w:ascii="Arial" w:hAnsi="Arial" w:cs="Arial"/>
          <w:color w:val="000000" w:themeColor="text1"/>
          <w:shd w:val="clear" w:color="auto" w:fill="FFFFFF"/>
        </w:rPr>
        <w:t xml:space="preserve"> recognised risk factors for increased involvement in SOCG’s such as familiar links, involvement in anti-social behaviour and crime, lack of authority figures, exclusions from school, poverty, and exposure to violence at home (Hurley &amp; Boulton, 2021).</w:t>
      </w:r>
    </w:p>
    <w:p w14:paraId="54993E03" w14:textId="77777777" w:rsidR="00F07903" w:rsidRPr="00BC1463" w:rsidRDefault="00F07903" w:rsidP="00BC1463">
      <w:pPr>
        <w:jc w:val="both"/>
        <w:rPr>
          <w:rFonts w:ascii="Arial" w:hAnsi="Arial" w:cs="Arial"/>
          <w:color w:val="000000" w:themeColor="text1"/>
        </w:rPr>
      </w:pPr>
    </w:p>
    <w:p w14:paraId="15ECDC86"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Gender is another factor that can contribute to increasing the risk of being exploited by SOCG’s with women often easier to target due to being targeted for sexual exploitation. </w:t>
      </w:r>
      <w:proofErr w:type="gramStart"/>
      <w:r w:rsidRPr="00BC1463">
        <w:rPr>
          <w:rFonts w:ascii="Arial" w:hAnsi="Arial" w:cs="Arial"/>
          <w:color w:val="000000" w:themeColor="text1"/>
        </w:rPr>
        <w:t>The majority of</w:t>
      </w:r>
      <w:proofErr w:type="gramEnd"/>
      <w:r w:rsidRPr="00BC1463">
        <w:rPr>
          <w:rFonts w:ascii="Arial" w:hAnsi="Arial" w:cs="Arial"/>
          <w:color w:val="000000" w:themeColor="text1"/>
        </w:rPr>
        <w:t xml:space="preserve"> males involved in SOCG’s are males with males taking the higher-ranking leading roles, there is increased participation of women within the organisation (UNSA Vienna, 2019; Europol, 2011). Women are documented as lower ranking individuals within SOCG’s so are more easily detected by police, however, there is increased participation of women in higher ranking roles within human smuggling, with 38% of convicted human traffic offenders being women (</w:t>
      </w:r>
      <w:proofErr w:type="spellStart"/>
      <w:r w:rsidRPr="00BC1463">
        <w:rPr>
          <w:rFonts w:ascii="Arial" w:hAnsi="Arial" w:cs="Arial"/>
          <w:color w:val="000000" w:themeColor="text1"/>
          <w:shd w:val="clear" w:color="auto" w:fill="FFFFFF"/>
        </w:rPr>
        <w:t>Bouché</w:t>
      </w:r>
      <w:proofErr w:type="spellEnd"/>
      <w:r w:rsidRPr="00BC1463">
        <w:rPr>
          <w:rFonts w:ascii="Arial" w:hAnsi="Arial" w:cs="Arial"/>
          <w:color w:val="000000" w:themeColor="text1"/>
          <w:shd w:val="clear" w:color="auto" w:fill="FFFFFF"/>
        </w:rPr>
        <w:t xml:space="preserve"> &amp; Bailey, 2020</w:t>
      </w:r>
      <w:r w:rsidRPr="00BC1463">
        <w:rPr>
          <w:rFonts w:ascii="Arial" w:hAnsi="Arial" w:cs="Arial"/>
          <w:color w:val="000000" w:themeColor="text1"/>
        </w:rPr>
        <w:t>; Zhang, Chin &amp; Miller, 2007). Women are often involved in less violent forms of SOCG’s such as human-trafficking due to gender ideologies about care-giving roles such as ‘minding’ other women involved in trafficking (Zhang, Chin &amp; Miller, 2007). Women are often used to recruit other women and younger girls into sexual exploitation are a much more likely than male counterparts to be recruited for this objective (</w:t>
      </w:r>
      <w:proofErr w:type="spellStart"/>
      <w:r w:rsidRPr="00BC1463">
        <w:rPr>
          <w:rFonts w:ascii="Arial" w:hAnsi="Arial" w:cs="Arial"/>
          <w:color w:val="000000" w:themeColor="text1"/>
          <w:shd w:val="clear" w:color="auto" w:fill="FFFFFF"/>
        </w:rPr>
        <w:t>Bouché</w:t>
      </w:r>
      <w:proofErr w:type="spellEnd"/>
      <w:r w:rsidRPr="00BC1463">
        <w:rPr>
          <w:rFonts w:ascii="Arial" w:hAnsi="Arial" w:cs="Arial"/>
          <w:color w:val="000000" w:themeColor="text1"/>
          <w:shd w:val="clear" w:color="auto" w:fill="FFFFFF"/>
        </w:rPr>
        <w:t xml:space="preserve"> &amp; Bailey, 2020).</w:t>
      </w:r>
    </w:p>
    <w:p w14:paraId="3AD4B594" w14:textId="77777777" w:rsidR="00F07903" w:rsidRPr="00BC1463" w:rsidRDefault="00F07903" w:rsidP="00BC1463">
      <w:pPr>
        <w:jc w:val="both"/>
        <w:rPr>
          <w:rFonts w:ascii="Arial" w:hAnsi="Arial" w:cs="Arial"/>
          <w:color w:val="000000" w:themeColor="text1"/>
        </w:rPr>
      </w:pPr>
    </w:p>
    <w:p w14:paraId="0D46D1C0"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Males are significantly more likely to be associated with SOGCs than their female counterparts, with young males at an increased risk to be attracted to the organisations due to their violent public image, attracting young males to the social identity of a SOCG (</w:t>
      </w:r>
      <w:proofErr w:type="spellStart"/>
      <w:r w:rsidRPr="00BC1463">
        <w:rPr>
          <w:rFonts w:ascii="Arial" w:hAnsi="Arial" w:cs="Arial"/>
          <w:color w:val="000000" w:themeColor="text1"/>
        </w:rPr>
        <w:t>Calderoni</w:t>
      </w:r>
      <w:proofErr w:type="spellEnd"/>
      <w:r w:rsidRPr="00BC1463">
        <w:rPr>
          <w:rFonts w:ascii="Arial" w:hAnsi="Arial" w:cs="Arial"/>
          <w:color w:val="000000" w:themeColor="text1"/>
        </w:rPr>
        <w:t xml:space="preserve"> et al, 2022). In particular, males who have previously been in criminal activity and violence are at a higher risk of joining SOCG’s, and when juveniles are involved they are substantially more likely to be incarcerated as adults (</w:t>
      </w:r>
      <w:proofErr w:type="gramStart"/>
      <w:r w:rsidRPr="00BC1463">
        <w:rPr>
          <w:rFonts w:ascii="Arial" w:hAnsi="Arial" w:cs="Arial"/>
          <w:color w:val="000000" w:themeColor="text1"/>
          <w:shd w:val="clear" w:color="auto" w:fill="FFFFFF"/>
        </w:rPr>
        <w:t xml:space="preserve">Thornberry,  </w:t>
      </w:r>
      <w:proofErr w:type="spellStart"/>
      <w:r w:rsidRPr="00BC1463">
        <w:rPr>
          <w:rFonts w:ascii="Arial" w:hAnsi="Arial" w:cs="Arial"/>
          <w:color w:val="000000" w:themeColor="text1"/>
          <w:shd w:val="clear" w:color="auto" w:fill="FFFFFF"/>
        </w:rPr>
        <w:t>Krohn</w:t>
      </w:r>
      <w:proofErr w:type="spellEnd"/>
      <w:proofErr w:type="gramEnd"/>
      <w:r w:rsidRPr="00BC1463">
        <w:rPr>
          <w:rFonts w:ascii="Arial" w:hAnsi="Arial" w:cs="Arial"/>
          <w:color w:val="000000" w:themeColor="text1"/>
          <w:shd w:val="clear" w:color="auto" w:fill="FFFFFF"/>
        </w:rPr>
        <w:t>, Lizotte &amp; Chard-</w:t>
      </w:r>
      <w:proofErr w:type="spellStart"/>
      <w:r w:rsidRPr="00BC1463">
        <w:rPr>
          <w:rFonts w:ascii="Arial" w:hAnsi="Arial" w:cs="Arial"/>
          <w:color w:val="000000" w:themeColor="text1"/>
          <w:shd w:val="clear" w:color="auto" w:fill="FFFFFF"/>
        </w:rPr>
        <w:t>Wierschem</w:t>
      </w:r>
      <w:proofErr w:type="spellEnd"/>
      <w:r w:rsidRPr="00BC1463">
        <w:rPr>
          <w:rFonts w:ascii="Arial" w:hAnsi="Arial" w:cs="Arial"/>
          <w:color w:val="000000" w:themeColor="text1"/>
          <w:shd w:val="clear" w:color="auto" w:fill="FFFFFF"/>
        </w:rPr>
        <w:t>, 1993)</w:t>
      </w:r>
    </w:p>
    <w:p w14:paraId="70E96433" w14:textId="77777777" w:rsidR="00F07903" w:rsidRPr="00BC1463" w:rsidRDefault="00F07903" w:rsidP="00BC1463">
      <w:pPr>
        <w:jc w:val="both"/>
        <w:rPr>
          <w:rFonts w:ascii="Arial" w:hAnsi="Arial" w:cs="Arial"/>
          <w:color w:val="000000" w:themeColor="text1"/>
        </w:rPr>
      </w:pPr>
    </w:p>
    <w:p w14:paraId="44B5F43C"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Any vulnerable individual, child or young person is at risk of being exploited by SOCG’s but there are specific psychological characteristics that increase their risk. Often SOCG’s will offer vulnerable individuals a way out of their situation by offering an opportunity to be a part of the organisation and a job, however, they are exploiting them for their own gain. </w:t>
      </w:r>
    </w:p>
    <w:p w14:paraId="4691CCFA" w14:textId="77777777" w:rsidR="00F07903" w:rsidRPr="00BC1463" w:rsidRDefault="00F07903" w:rsidP="00BC1463">
      <w:pPr>
        <w:jc w:val="both"/>
        <w:rPr>
          <w:rFonts w:ascii="Arial" w:hAnsi="Arial" w:cs="Arial"/>
          <w:b/>
          <w:bCs/>
          <w:color w:val="000000" w:themeColor="text1"/>
          <w:u w:val="single"/>
        </w:rPr>
      </w:pPr>
    </w:p>
    <w:p w14:paraId="353FB71C" w14:textId="77777777"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 xml:space="preserve">Many individuals who have been victims of previous trauma or abuse may have difficulty in trusting others and forming meaningful relationships, thus, more likely to engage with individuals who offer protection and support, such as SOCG’s. The SOCG’s initially engage with vulnerable individuals, by offering emotional support and a sense of belonging, resulting in the individual feeling a part of the group and then going onto engage in illegal activity.  </w:t>
      </w:r>
    </w:p>
    <w:p w14:paraId="68607C25" w14:textId="77777777" w:rsidR="00F07903" w:rsidRPr="00BC1463" w:rsidRDefault="00F07903" w:rsidP="00BC1463">
      <w:pPr>
        <w:jc w:val="both"/>
        <w:rPr>
          <w:rFonts w:ascii="Arial" w:hAnsi="Arial" w:cs="Arial"/>
          <w:color w:val="000000" w:themeColor="text1"/>
        </w:rPr>
      </w:pPr>
    </w:p>
    <w:p w14:paraId="56C9C942" w14:textId="77777777" w:rsidR="00F07903" w:rsidRPr="00BC1463" w:rsidRDefault="00F07903" w:rsidP="00BC1463">
      <w:pPr>
        <w:jc w:val="both"/>
        <w:rPr>
          <w:rFonts w:ascii="Arial" w:hAnsi="Arial" w:cs="Arial"/>
          <w:color w:val="000000" w:themeColor="text1"/>
          <w:shd w:val="clear" w:color="auto" w:fill="FFFFFF"/>
        </w:rPr>
      </w:pPr>
      <w:r w:rsidRPr="00BC1463">
        <w:rPr>
          <w:rFonts w:ascii="Arial" w:hAnsi="Arial" w:cs="Arial"/>
          <w:color w:val="000000" w:themeColor="text1"/>
        </w:rPr>
        <w:t>Low economic and socioeconomic status are identified as significant risk factors for facilitating recruitment into SOCG’s (</w:t>
      </w:r>
      <w:r w:rsidRPr="00BC1463">
        <w:rPr>
          <w:rFonts w:ascii="Arial" w:hAnsi="Arial" w:cs="Arial"/>
          <w:color w:val="000000" w:themeColor="text1"/>
          <w:shd w:val="clear" w:color="auto" w:fill="FFFFFF"/>
        </w:rPr>
        <w:t xml:space="preserve">Decker, </w:t>
      </w:r>
      <w:proofErr w:type="spellStart"/>
      <w:r w:rsidRPr="00BC1463">
        <w:rPr>
          <w:rFonts w:ascii="Arial" w:hAnsi="Arial" w:cs="Arial"/>
          <w:color w:val="000000" w:themeColor="text1"/>
          <w:shd w:val="clear" w:color="auto" w:fill="FFFFFF"/>
        </w:rPr>
        <w:t>Pyrooz</w:t>
      </w:r>
      <w:proofErr w:type="spellEnd"/>
      <w:r w:rsidRPr="00BC1463">
        <w:rPr>
          <w:rFonts w:ascii="Arial" w:hAnsi="Arial" w:cs="Arial"/>
          <w:color w:val="000000" w:themeColor="text1"/>
          <w:shd w:val="clear" w:color="auto" w:fill="FFFFFF"/>
        </w:rPr>
        <w:t>, Sweeten &amp; Moule, 2014).</w:t>
      </w:r>
      <w:r w:rsidRPr="00BC1463">
        <w:rPr>
          <w:rFonts w:ascii="Arial" w:hAnsi="Arial" w:cs="Arial"/>
          <w:color w:val="000000" w:themeColor="text1"/>
        </w:rPr>
        <w:t xml:space="preserve"> </w:t>
      </w:r>
      <w:r w:rsidRPr="00BC1463">
        <w:rPr>
          <w:rFonts w:ascii="Arial" w:hAnsi="Arial" w:cs="Arial"/>
          <w:color w:val="000000" w:themeColor="text1"/>
        </w:rPr>
        <w:lastRenderedPageBreak/>
        <w:t>Socioeconomical factors also play a large part in increasing the risk of exploitation by SOCG’s as individuals can feel like there is no other option due to their circumstances than to engage in criminal activity. Lack of education often goes hand in hand with another risk factor of increased risk of exploitation which is unemployment. When unemployed individuals have an increased desperation to earn money, which may increase their willing to engage in criminal activates. SOCG’s will use this desperation to exploit individuals to engage with illegal activities for money. SOCG’s attract individuals who are in poverty as they present as a way out of their desperate situation due to their glamourous riches and lifestyle, thus, this is an attractive pathway to gain employment and money (</w:t>
      </w:r>
      <w:r w:rsidRPr="00BC1463">
        <w:rPr>
          <w:rFonts w:ascii="Arial" w:hAnsi="Arial" w:cs="Arial"/>
          <w:color w:val="000000" w:themeColor="text1"/>
          <w:shd w:val="clear" w:color="auto" w:fill="FFFFFF"/>
        </w:rPr>
        <w:t>Rodgers &amp; Baird, 2016)</w:t>
      </w:r>
    </w:p>
    <w:p w14:paraId="163AC0A5" w14:textId="77777777" w:rsidR="00F07903" w:rsidRPr="00BC1463" w:rsidRDefault="00F07903" w:rsidP="00BC1463">
      <w:pPr>
        <w:jc w:val="both"/>
        <w:rPr>
          <w:rFonts w:ascii="Arial" w:hAnsi="Arial" w:cs="Arial"/>
          <w:color w:val="000000" w:themeColor="text1"/>
        </w:rPr>
      </w:pPr>
    </w:p>
    <w:p w14:paraId="66FD4159" w14:textId="74111EE2" w:rsidR="00F07903" w:rsidRPr="00BC1463" w:rsidRDefault="00F07903" w:rsidP="00BC1463">
      <w:pPr>
        <w:jc w:val="both"/>
        <w:rPr>
          <w:rFonts w:ascii="Arial" w:hAnsi="Arial" w:cs="Arial"/>
          <w:color w:val="000000" w:themeColor="text1"/>
        </w:rPr>
      </w:pPr>
      <w:r w:rsidRPr="00BC1463">
        <w:rPr>
          <w:rFonts w:ascii="Arial" w:hAnsi="Arial" w:cs="Arial"/>
          <w:color w:val="000000" w:themeColor="text1"/>
        </w:rPr>
        <w:t>Individuals who have been to prison without a history of employment prior to incarceration are three times higher to get involved with SOCG’s than individuals with employment history prior to incarceration (</w:t>
      </w:r>
      <w:proofErr w:type="spellStart"/>
      <w:r w:rsidRPr="00BC1463">
        <w:rPr>
          <w:rFonts w:ascii="Arial" w:hAnsi="Arial" w:cs="Arial"/>
          <w:color w:val="000000" w:themeColor="text1"/>
        </w:rPr>
        <w:t>Calderoni</w:t>
      </w:r>
      <w:proofErr w:type="spellEnd"/>
      <w:r w:rsidRPr="00BC1463">
        <w:rPr>
          <w:rFonts w:ascii="Arial" w:hAnsi="Arial" w:cs="Arial"/>
          <w:color w:val="000000" w:themeColor="text1"/>
        </w:rPr>
        <w:t xml:space="preserve">, </w:t>
      </w:r>
      <w:proofErr w:type="spellStart"/>
      <w:r w:rsidRPr="00BC1463">
        <w:rPr>
          <w:rFonts w:ascii="Arial" w:hAnsi="Arial" w:cs="Arial"/>
          <w:color w:val="000000" w:themeColor="text1"/>
        </w:rPr>
        <w:t>Campedelli</w:t>
      </w:r>
      <w:proofErr w:type="spellEnd"/>
      <w:r w:rsidRPr="00BC1463">
        <w:rPr>
          <w:rFonts w:ascii="Arial" w:hAnsi="Arial" w:cs="Arial"/>
          <w:color w:val="000000" w:themeColor="text1"/>
        </w:rPr>
        <w:t xml:space="preserve">, </w:t>
      </w:r>
      <w:proofErr w:type="spellStart"/>
      <w:r w:rsidRPr="00BC1463">
        <w:rPr>
          <w:rFonts w:ascii="Arial" w:hAnsi="Arial" w:cs="Arial"/>
          <w:color w:val="000000" w:themeColor="text1"/>
        </w:rPr>
        <w:t>Szekely</w:t>
      </w:r>
      <w:proofErr w:type="spellEnd"/>
      <w:r w:rsidRPr="00BC1463">
        <w:rPr>
          <w:rFonts w:ascii="Arial" w:hAnsi="Arial" w:cs="Arial"/>
          <w:color w:val="000000" w:themeColor="text1"/>
        </w:rPr>
        <w:t xml:space="preserve">, </w:t>
      </w:r>
      <w:proofErr w:type="spellStart"/>
      <w:r w:rsidRPr="00BC1463">
        <w:rPr>
          <w:rFonts w:ascii="Arial" w:hAnsi="Arial" w:cs="Arial"/>
          <w:color w:val="000000" w:themeColor="text1"/>
        </w:rPr>
        <w:t>Paolucci</w:t>
      </w:r>
      <w:proofErr w:type="spellEnd"/>
      <w:r w:rsidRPr="00BC1463">
        <w:rPr>
          <w:rFonts w:ascii="Arial" w:hAnsi="Arial" w:cs="Arial"/>
          <w:color w:val="000000" w:themeColor="text1"/>
        </w:rPr>
        <w:t xml:space="preserve"> &amp; Andrighetto, 2021). Linking with the concept that individuals who have an active criminal career are more likely to join SOCG’s due to the social relations they create, establishment of contacts an increased opportunity to be recruited (Murray, </w:t>
      </w:r>
      <w:proofErr w:type="gramStart"/>
      <w:r w:rsidRPr="00BC1463">
        <w:rPr>
          <w:rFonts w:ascii="Arial" w:hAnsi="Arial" w:cs="Arial"/>
          <w:color w:val="000000" w:themeColor="text1"/>
        </w:rPr>
        <w:t>Farrington  &amp;</w:t>
      </w:r>
      <w:proofErr w:type="gramEnd"/>
      <w:r w:rsidRPr="00BC1463">
        <w:rPr>
          <w:rFonts w:ascii="Arial" w:hAnsi="Arial" w:cs="Arial"/>
          <w:color w:val="000000" w:themeColor="text1"/>
        </w:rPr>
        <w:t xml:space="preserve"> Eisner, 2009; Blokland van </w:t>
      </w:r>
      <w:proofErr w:type="spellStart"/>
      <w:r w:rsidRPr="00BC1463">
        <w:rPr>
          <w:rFonts w:ascii="Arial" w:hAnsi="Arial" w:cs="Arial"/>
          <w:color w:val="000000" w:themeColor="text1"/>
        </w:rPr>
        <w:t>Hout</w:t>
      </w:r>
      <w:proofErr w:type="spellEnd"/>
      <w:r w:rsidRPr="00BC1463">
        <w:rPr>
          <w:rFonts w:ascii="Arial" w:hAnsi="Arial" w:cs="Arial"/>
          <w:color w:val="000000" w:themeColor="text1"/>
        </w:rPr>
        <w:t xml:space="preserve">, van der </w:t>
      </w:r>
      <w:proofErr w:type="spellStart"/>
      <w:r w:rsidRPr="00BC1463">
        <w:rPr>
          <w:rFonts w:ascii="Arial" w:hAnsi="Arial" w:cs="Arial"/>
          <w:color w:val="000000" w:themeColor="text1"/>
        </w:rPr>
        <w:t>Leest</w:t>
      </w:r>
      <w:proofErr w:type="spellEnd"/>
      <w:r w:rsidRPr="00BC1463">
        <w:rPr>
          <w:rFonts w:ascii="Arial" w:hAnsi="Arial" w:cs="Arial"/>
          <w:color w:val="000000" w:themeColor="text1"/>
        </w:rPr>
        <w:t xml:space="preserve"> &amp; </w:t>
      </w:r>
      <w:proofErr w:type="spellStart"/>
      <w:r w:rsidRPr="00BC1463">
        <w:rPr>
          <w:rFonts w:ascii="Arial" w:hAnsi="Arial" w:cs="Arial"/>
          <w:color w:val="000000" w:themeColor="text1"/>
        </w:rPr>
        <w:t>Soudijn</w:t>
      </w:r>
      <w:proofErr w:type="spellEnd"/>
      <w:r w:rsidRPr="00BC1463">
        <w:rPr>
          <w:rFonts w:ascii="Arial" w:hAnsi="Arial" w:cs="Arial"/>
          <w:color w:val="000000" w:themeColor="text1"/>
        </w:rPr>
        <w:t>, 2019). Lack of legitimate employment opportunities promotes recruitment into SOGC’s</w:t>
      </w:r>
      <w:r w:rsidRPr="00BC1463">
        <w:rPr>
          <w:rFonts w:ascii="Arial" w:hAnsi="Arial" w:cs="Arial"/>
          <w:color w:val="000000" w:themeColor="text1"/>
        </w:rPr>
        <w:t xml:space="preserve">, resulting in increased recruitment from deprived areas. </w:t>
      </w:r>
    </w:p>
    <w:p w14:paraId="718BEE44" w14:textId="77777777" w:rsidR="00F07903" w:rsidRPr="00BC1463" w:rsidRDefault="00F07903" w:rsidP="00BC1463">
      <w:pPr>
        <w:jc w:val="both"/>
        <w:rPr>
          <w:rFonts w:ascii="Arial" w:hAnsi="Arial" w:cs="Arial"/>
          <w:color w:val="000000" w:themeColor="text1"/>
        </w:rPr>
      </w:pPr>
    </w:p>
    <w:p w14:paraId="139BD943" w14:textId="77777777" w:rsidR="00F07903" w:rsidRPr="00BC1463" w:rsidRDefault="00F07903" w:rsidP="00BC1463">
      <w:pPr>
        <w:jc w:val="both"/>
        <w:rPr>
          <w:rFonts w:ascii="Arial" w:hAnsi="Arial" w:cs="Arial"/>
          <w:color w:val="000000" w:themeColor="text1"/>
        </w:rPr>
      </w:pPr>
    </w:p>
    <w:p w14:paraId="304B33DD" w14:textId="4EF9C706" w:rsidR="00F07903" w:rsidRPr="00BC1463" w:rsidRDefault="00F07903" w:rsidP="00BC1463">
      <w:pPr>
        <w:jc w:val="both"/>
        <w:rPr>
          <w:rFonts w:ascii="Arial" w:hAnsi="Arial" w:cs="Arial"/>
          <w:b/>
          <w:bCs/>
          <w:color w:val="000000" w:themeColor="text1"/>
        </w:rPr>
      </w:pPr>
      <w:r w:rsidRPr="00BC1463">
        <w:rPr>
          <w:rFonts w:ascii="Arial" w:hAnsi="Arial" w:cs="Arial"/>
          <w:b/>
          <w:bCs/>
          <w:color w:val="000000" w:themeColor="text1"/>
        </w:rPr>
        <w:t>Word count: 1032</w:t>
      </w:r>
    </w:p>
    <w:p w14:paraId="5E5ABC0E" w14:textId="77777777" w:rsidR="00F07903" w:rsidRPr="00BC1463" w:rsidRDefault="00F07903" w:rsidP="00BC1463">
      <w:pPr>
        <w:jc w:val="both"/>
        <w:rPr>
          <w:rFonts w:ascii="Arial" w:hAnsi="Arial" w:cs="Arial"/>
          <w:b/>
          <w:bCs/>
          <w:color w:val="000000" w:themeColor="text1"/>
        </w:rPr>
      </w:pPr>
    </w:p>
    <w:p w14:paraId="7DAADABB" w14:textId="77777777" w:rsidR="00F07903" w:rsidRPr="00BC1463" w:rsidRDefault="00F07903" w:rsidP="00BC1463">
      <w:pPr>
        <w:jc w:val="both"/>
        <w:rPr>
          <w:rFonts w:ascii="Arial" w:hAnsi="Arial" w:cs="Arial"/>
          <w:b/>
          <w:bCs/>
          <w:color w:val="000000" w:themeColor="text1"/>
        </w:rPr>
      </w:pPr>
    </w:p>
    <w:p w14:paraId="04B21FEE" w14:textId="36ABA9AB" w:rsidR="00F07903" w:rsidRPr="00BC1463" w:rsidRDefault="00F07903" w:rsidP="00BC1463">
      <w:pPr>
        <w:jc w:val="both"/>
        <w:rPr>
          <w:rFonts w:ascii="Arial" w:hAnsi="Arial" w:cs="Arial"/>
          <w:b/>
          <w:bCs/>
          <w:color w:val="000000" w:themeColor="text1"/>
          <w:u w:val="single"/>
        </w:rPr>
      </w:pPr>
      <w:r w:rsidRPr="00BC1463">
        <w:rPr>
          <w:rFonts w:ascii="Arial" w:hAnsi="Arial" w:cs="Arial"/>
          <w:b/>
          <w:bCs/>
          <w:color w:val="000000" w:themeColor="text1"/>
          <w:u w:val="single"/>
        </w:rPr>
        <w:t>References</w:t>
      </w:r>
    </w:p>
    <w:p w14:paraId="479D383A" w14:textId="77777777" w:rsidR="00675BD1" w:rsidRPr="00BC1463" w:rsidRDefault="00675BD1" w:rsidP="00BC1463">
      <w:pPr>
        <w:jc w:val="both"/>
        <w:rPr>
          <w:rFonts w:ascii="Arial" w:hAnsi="Arial" w:cs="Arial"/>
          <w:b/>
          <w:bCs/>
          <w:color w:val="000000" w:themeColor="text1"/>
          <w:u w:val="single"/>
        </w:rPr>
      </w:pPr>
    </w:p>
    <w:p w14:paraId="652FA8FF" w14:textId="77777777" w:rsidR="00675BD1" w:rsidRPr="00BC1463" w:rsidRDefault="00675BD1"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rPr>
        <w:t>‌</w:t>
      </w:r>
      <w:hyperlink r:id="rId5" w:tooltip="Martin A. Andresen" w:history="1">
        <w:r w:rsidRPr="00BC1463">
          <w:rPr>
            <w:rStyle w:val="Hyperlink"/>
            <w:rFonts w:ascii="Arial" w:hAnsi="Arial" w:cs="Arial"/>
            <w:color w:val="000000" w:themeColor="text1"/>
            <w:u w:val="none"/>
          </w:rPr>
          <w:t>And</w:t>
        </w:r>
        <w:r w:rsidRPr="00BC1463">
          <w:rPr>
            <w:rStyle w:val="Hyperlink"/>
            <w:rFonts w:ascii="Arial" w:hAnsi="Arial" w:cs="Arial"/>
            <w:color w:val="000000" w:themeColor="text1"/>
            <w:u w:val="none"/>
          </w:rPr>
          <w:t>r</w:t>
        </w:r>
        <w:r w:rsidRPr="00BC1463">
          <w:rPr>
            <w:rStyle w:val="Hyperlink"/>
            <w:rFonts w:ascii="Arial" w:hAnsi="Arial" w:cs="Arial"/>
            <w:color w:val="000000" w:themeColor="text1"/>
            <w:u w:val="none"/>
          </w:rPr>
          <w:t>esen, M.A.</w:t>
        </w:r>
      </w:hyperlink>
      <w:r w:rsidRPr="00BC1463">
        <w:rPr>
          <w:rStyle w:val="apple-converted-space"/>
          <w:rFonts w:ascii="Arial" w:hAnsi="Arial" w:cs="Arial"/>
          <w:color w:val="000000" w:themeColor="text1"/>
          <w:shd w:val="clear" w:color="auto" w:fill="FFFFFF"/>
        </w:rPr>
        <w:t> </w:t>
      </w:r>
      <w:r w:rsidRPr="00BC1463">
        <w:rPr>
          <w:rFonts w:ascii="Arial" w:hAnsi="Arial" w:cs="Arial"/>
          <w:color w:val="000000" w:themeColor="text1"/>
          <w:shd w:val="clear" w:color="auto" w:fill="FFFFFF"/>
        </w:rPr>
        <w:t>and</w:t>
      </w:r>
      <w:r w:rsidRPr="00BC1463">
        <w:rPr>
          <w:rStyle w:val="apple-converted-space"/>
          <w:rFonts w:ascii="Arial" w:hAnsi="Arial" w:cs="Arial"/>
          <w:color w:val="000000" w:themeColor="text1"/>
          <w:shd w:val="clear" w:color="auto" w:fill="FFFFFF"/>
        </w:rPr>
        <w:t> </w:t>
      </w:r>
      <w:hyperlink r:id="rId6" w:tooltip="David Weisburd" w:history="1">
        <w:r w:rsidRPr="00BC1463">
          <w:rPr>
            <w:rStyle w:val="Hyperlink"/>
            <w:rFonts w:ascii="Arial" w:hAnsi="Arial" w:cs="Arial"/>
            <w:color w:val="000000" w:themeColor="text1"/>
            <w:u w:val="none"/>
          </w:rPr>
          <w:t>Weisburd, D.</w:t>
        </w:r>
      </w:hyperlink>
      <w:r w:rsidRPr="00BC1463">
        <w:rPr>
          <w:rStyle w:val="apple-converted-space"/>
          <w:rFonts w:ascii="Arial" w:hAnsi="Arial" w:cs="Arial"/>
          <w:color w:val="000000" w:themeColor="text1"/>
          <w:shd w:val="clear" w:color="auto" w:fill="FFFFFF"/>
        </w:rPr>
        <w:t> </w:t>
      </w:r>
      <w:r w:rsidRPr="00BC1463">
        <w:rPr>
          <w:rFonts w:ascii="Arial" w:hAnsi="Arial" w:cs="Arial"/>
          <w:color w:val="000000" w:themeColor="text1"/>
          <w:shd w:val="clear" w:color="auto" w:fill="FFFFFF"/>
        </w:rPr>
        <w:t>(2018), "Place-based policing: new directions, new challenges",</w:t>
      </w:r>
      <w:r w:rsidRPr="00BC1463">
        <w:rPr>
          <w:rStyle w:val="apple-converted-space"/>
          <w:rFonts w:ascii="Arial" w:hAnsi="Arial" w:cs="Arial"/>
          <w:color w:val="000000" w:themeColor="text1"/>
          <w:shd w:val="clear" w:color="auto" w:fill="FFFFFF"/>
        </w:rPr>
        <w:t> </w:t>
      </w:r>
      <w:hyperlink r:id="rId7" w:history="1">
        <w:r w:rsidRPr="00BC1463">
          <w:rPr>
            <w:rStyle w:val="Hyperlink"/>
            <w:rFonts w:ascii="Arial" w:hAnsi="Arial" w:cs="Arial"/>
            <w:i/>
            <w:iCs/>
            <w:color w:val="000000" w:themeColor="text1"/>
            <w:u w:val="none"/>
          </w:rPr>
          <w:t>Policing: An International Journal</w:t>
        </w:r>
      </w:hyperlink>
      <w:r w:rsidRPr="00BC1463">
        <w:rPr>
          <w:rFonts w:ascii="Arial" w:hAnsi="Arial" w:cs="Arial"/>
          <w:color w:val="000000" w:themeColor="text1"/>
          <w:shd w:val="clear" w:color="auto" w:fill="FFFFFF"/>
        </w:rPr>
        <w:t>, Vol. 41 No. 3, pp. 310-313.</w:t>
      </w:r>
    </w:p>
    <w:p w14:paraId="493379CB" w14:textId="0FA69E28" w:rsidR="00675BD1" w:rsidRPr="00BC1463" w:rsidRDefault="00675BD1" w:rsidP="00BC1463">
      <w:pPr>
        <w:pStyle w:val="NormalWeb"/>
        <w:jc w:val="both"/>
        <w:rPr>
          <w:rFonts w:ascii="Arial" w:hAnsi="Arial" w:cs="Arial"/>
          <w:color w:val="000000" w:themeColor="text1"/>
        </w:rPr>
      </w:pPr>
      <w:r w:rsidRPr="00BC1463">
        <w:rPr>
          <w:rFonts w:ascii="Arial" w:hAnsi="Arial" w:cs="Arial"/>
          <w:color w:val="000000" w:themeColor="text1"/>
        </w:rPr>
        <w:t xml:space="preserve">Ask, K., &amp; </w:t>
      </w:r>
      <w:proofErr w:type="spellStart"/>
      <w:r w:rsidRPr="00BC1463">
        <w:rPr>
          <w:rFonts w:ascii="Arial" w:hAnsi="Arial" w:cs="Arial"/>
          <w:color w:val="000000" w:themeColor="text1"/>
        </w:rPr>
        <w:t>Granhag</w:t>
      </w:r>
      <w:proofErr w:type="spellEnd"/>
      <w:r w:rsidRPr="00BC1463">
        <w:rPr>
          <w:rFonts w:ascii="Arial" w:hAnsi="Arial" w:cs="Arial"/>
          <w:color w:val="000000" w:themeColor="text1"/>
        </w:rPr>
        <w:t xml:space="preserve">, P. A. (2007). Motivational bias in criminal investigators’ judgments of witness reliability. </w:t>
      </w:r>
      <w:r w:rsidRPr="00BC1463">
        <w:rPr>
          <w:rFonts w:ascii="Arial" w:hAnsi="Arial" w:cs="Arial"/>
          <w:i/>
          <w:iCs/>
          <w:color w:val="000000" w:themeColor="text1"/>
        </w:rPr>
        <w:t xml:space="preserve">Journal of Applied Social Psychology, 37, </w:t>
      </w:r>
      <w:r w:rsidRPr="00BC1463">
        <w:rPr>
          <w:rFonts w:ascii="Arial" w:hAnsi="Arial" w:cs="Arial"/>
          <w:color w:val="000000" w:themeColor="text1"/>
        </w:rPr>
        <w:t xml:space="preserve">561–591. </w:t>
      </w:r>
    </w:p>
    <w:p w14:paraId="6567691F" w14:textId="4E7BA30A"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roofErr w:type="spellStart"/>
      <w:r w:rsidRPr="00BC1463">
        <w:rPr>
          <w:rFonts w:ascii="Arial" w:hAnsi="Arial" w:cs="Arial"/>
          <w:color w:val="000000" w:themeColor="text1"/>
        </w:rPr>
        <w:t>Atiba</w:t>
      </w:r>
      <w:proofErr w:type="spellEnd"/>
      <w:r w:rsidRPr="00BC1463">
        <w:rPr>
          <w:rFonts w:ascii="Arial" w:hAnsi="Arial" w:cs="Arial"/>
          <w:color w:val="000000" w:themeColor="text1"/>
        </w:rPr>
        <w:t xml:space="preserve"> Goff, P. and </w:t>
      </w:r>
      <w:proofErr w:type="spellStart"/>
      <w:r w:rsidRPr="00BC1463">
        <w:rPr>
          <w:rFonts w:ascii="Arial" w:hAnsi="Arial" w:cs="Arial"/>
          <w:color w:val="000000" w:themeColor="text1"/>
        </w:rPr>
        <w:t>Barsamian</w:t>
      </w:r>
      <w:proofErr w:type="spellEnd"/>
      <w:r w:rsidRPr="00BC1463">
        <w:rPr>
          <w:rFonts w:ascii="Arial" w:hAnsi="Arial" w:cs="Arial"/>
          <w:color w:val="000000" w:themeColor="text1"/>
        </w:rPr>
        <w:t xml:space="preserve"> Kahn, K. (2012). Racial Bias in Policing: Why We Know Less Than We Should.</w:t>
      </w:r>
      <w:r w:rsidRPr="00BC1463">
        <w:rPr>
          <w:rStyle w:val="apple-converted-space"/>
          <w:rFonts w:ascii="Arial" w:hAnsi="Arial" w:cs="Arial"/>
          <w:color w:val="000000" w:themeColor="text1"/>
        </w:rPr>
        <w:t> </w:t>
      </w:r>
      <w:r w:rsidRPr="00BC1463">
        <w:rPr>
          <w:rFonts w:ascii="Arial" w:hAnsi="Arial" w:cs="Arial"/>
          <w:i/>
          <w:iCs/>
          <w:color w:val="000000" w:themeColor="text1"/>
        </w:rPr>
        <w:t>Social Issues and Policy Review</w:t>
      </w:r>
      <w:r w:rsidRPr="00BC1463">
        <w:rPr>
          <w:rFonts w:ascii="Arial" w:hAnsi="Arial" w:cs="Arial"/>
          <w:color w:val="000000" w:themeColor="text1"/>
        </w:rPr>
        <w:t>, 6(1), pp.177–210.</w:t>
      </w:r>
    </w:p>
    <w:p w14:paraId="164E089A"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4A9E007D" w14:textId="74CAC6F5" w:rsidR="00675BD1" w:rsidRPr="00BC1463" w:rsidRDefault="00675BD1" w:rsidP="00BC1463">
      <w:pPr>
        <w:pStyle w:val="NormalWeb"/>
        <w:jc w:val="both"/>
        <w:rPr>
          <w:rFonts w:ascii="Arial" w:hAnsi="Arial" w:cs="Arial"/>
          <w:color w:val="000000" w:themeColor="text1"/>
        </w:rPr>
      </w:pPr>
      <w:r w:rsidRPr="00BC1463">
        <w:rPr>
          <w:rFonts w:ascii="Arial" w:hAnsi="Arial" w:cs="Arial"/>
          <w:color w:val="000000" w:themeColor="text1"/>
        </w:rPr>
        <w:t>Baird, A. (2018). Becoming the ‘</w:t>
      </w:r>
      <w:proofErr w:type="spellStart"/>
      <w:r w:rsidRPr="00BC1463">
        <w:rPr>
          <w:rFonts w:ascii="Arial" w:hAnsi="Arial" w:cs="Arial"/>
          <w:color w:val="000000" w:themeColor="text1"/>
        </w:rPr>
        <w:t>baddest</w:t>
      </w:r>
      <w:proofErr w:type="spellEnd"/>
      <w:r w:rsidRPr="00BC1463">
        <w:rPr>
          <w:rFonts w:ascii="Arial" w:hAnsi="Arial" w:cs="Arial"/>
          <w:color w:val="000000" w:themeColor="text1"/>
        </w:rPr>
        <w:t xml:space="preserve">’: Masculine trajectories of gang violence in </w:t>
      </w:r>
      <w:proofErr w:type="spellStart"/>
      <w:r w:rsidRPr="00BC1463">
        <w:rPr>
          <w:rFonts w:ascii="Arial" w:hAnsi="Arial" w:cs="Arial"/>
          <w:color w:val="000000" w:themeColor="text1"/>
        </w:rPr>
        <w:t>Medellín</w:t>
      </w:r>
      <w:proofErr w:type="spellEnd"/>
      <w:r w:rsidRPr="00BC1463">
        <w:rPr>
          <w:rFonts w:ascii="Arial" w:hAnsi="Arial" w:cs="Arial"/>
          <w:color w:val="000000" w:themeColor="text1"/>
        </w:rPr>
        <w:t xml:space="preserve">. </w:t>
      </w:r>
      <w:r w:rsidRPr="00BC1463">
        <w:rPr>
          <w:rFonts w:ascii="Arial" w:hAnsi="Arial" w:cs="Arial"/>
          <w:i/>
          <w:iCs/>
          <w:color w:val="000000" w:themeColor="text1"/>
        </w:rPr>
        <w:t>Journal of Latin American Studies</w:t>
      </w:r>
      <w:r w:rsidRPr="00BC1463">
        <w:rPr>
          <w:rFonts w:ascii="Arial" w:hAnsi="Arial" w:cs="Arial"/>
          <w:color w:val="000000" w:themeColor="text1"/>
        </w:rPr>
        <w:t xml:space="preserve">, 50, 1, 183-210. </w:t>
      </w:r>
    </w:p>
    <w:p w14:paraId="1C6EF61D" w14:textId="51D78DBE" w:rsidR="00675BD1" w:rsidRPr="00BC1463" w:rsidRDefault="00675BD1" w:rsidP="00BC1463">
      <w:pPr>
        <w:pStyle w:val="NormalWeb"/>
        <w:shd w:val="clear" w:color="auto" w:fill="FFFFFF"/>
        <w:jc w:val="both"/>
        <w:rPr>
          <w:rFonts w:ascii="Arial" w:hAnsi="Arial" w:cs="Arial"/>
          <w:color w:val="000000" w:themeColor="text1"/>
        </w:rPr>
      </w:pPr>
      <w:r w:rsidRPr="00BC1463">
        <w:rPr>
          <w:rFonts w:ascii="Arial" w:hAnsi="Arial" w:cs="Arial"/>
          <w:color w:val="000000" w:themeColor="text1"/>
        </w:rPr>
        <w:t xml:space="preserve">Baroness Casey (2023). Final Report. An independent review into the standards of behaviour and internal culture of the Metropolitan Police Service: Available at: </w:t>
      </w:r>
      <w:hyperlink r:id="rId8" w:history="1">
        <w:r w:rsidRPr="00BC1463">
          <w:rPr>
            <w:rStyle w:val="Hyperlink"/>
            <w:rFonts w:ascii="Arial" w:hAnsi="Arial" w:cs="Arial"/>
            <w:color w:val="000000" w:themeColor="text1"/>
          </w:rPr>
          <w:t>https://www.met.police.uk/cy-GB/SysSiteAssets/media/downloads/met/about-us/baroness-casey-review/update-march-2023/baroness-casey-review-march-</w:t>
        </w:r>
        <w:r w:rsidRPr="00BC1463">
          <w:rPr>
            <w:rStyle w:val="Hyperlink"/>
            <w:rFonts w:ascii="Arial" w:hAnsi="Arial" w:cs="Arial"/>
            <w:color w:val="000000" w:themeColor="text1"/>
          </w:rPr>
          <w:t>2</w:t>
        </w:r>
        <w:r w:rsidRPr="00BC1463">
          <w:rPr>
            <w:rStyle w:val="Hyperlink"/>
            <w:rFonts w:ascii="Arial" w:hAnsi="Arial" w:cs="Arial"/>
            <w:color w:val="000000" w:themeColor="text1"/>
          </w:rPr>
          <w:t>023a.pdf</w:t>
        </w:r>
      </w:hyperlink>
      <w:r w:rsidRPr="00BC1463">
        <w:rPr>
          <w:rStyle w:val="Hyperlink"/>
          <w:rFonts w:ascii="Arial" w:hAnsi="Arial" w:cs="Arial"/>
          <w:color w:val="000000" w:themeColor="text1"/>
        </w:rPr>
        <w:t xml:space="preserve">  </w:t>
      </w:r>
      <w:r w:rsidRPr="00BC1463">
        <w:rPr>
          <w:rFonts w:ascii="Arial" w:hAnsi="Arial" w:cs="Arial"/>
          <w:color w:val="000000" w:themeColor="text1"/>
        </w:rPr>
        <w:t>(Accessed:12/05/2023)</w:t>
      </w:r>
    </w:p>
    <w:p w14:paraId="14BD85E6" w14:textId="77777777" w:rsidR="00BC1463" w:rsidRPr="00BC1463" w:rsidRDefault="00BC1463"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rPr>
        <w:t>‌</w:t>
      </w:r>
      <w:r w:rsidRPr="00BC1463">
        <w:rPr>
          <w:rFonts w:ascii="Arial" w:hAnsi="Arial" w:cs="Arial"/>
          <w:color w:val="000000" w:themeColor="text1"/>
          <w:shd w:val="clear" w:color="auto" w:fill="FFFFFF"/>
        </w:rPr>
        <w:t xml:space="preserve"> </w:t>
      </w:r>
      <w:proofErr w:type="spellStart"/>
      <w:r w:rsidRPr="00BC1463">
        <w:rPr>
          <w:rFonts w:ascii="Arial" w:hAnsi="Arial" w:cs="Arial"/>
          <w:color w:val="000000" w:themeColor="text1"/>
          <w:shd w:val="clear" w:color="auto" w:fill="FFFFFF"/>
        </w:rPr>
        <w:t>Bernasco</w:t>
      </w:r>
      <w:proofErr w:type="spellEnd"/>
      <w:r w:rsidRPr="00BC1463">
        <w:rPr>
          <w:rFonts w:ascii="Arial" w:hAnsi="Arial" w:cs="Arial"/>
          <w:color w:val="000000" w:themeColor="text1"/>
          <w:shd w:val="clear" w:color="auto" w:fill="FFFFFF"/>
        </w:rPr>
        <w:t>, W., 2008. Them again? Same-offender involvement in repeat and near repeat burglaries.</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European Journal of Criminology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5</w:t>
      </w:r>
      <w:r w:rsidRPr="00BC1463">
        <w:rPr>
          <w:rFonts w:ascii="Arial" w:hAnsi="Arial" w:cs="Arial"/>
          <w:color w:val="000000" w:themeColor="text1"/>
          <w:shd w:val="clear" w:color="auto" w:fill="FFFFFF"/>
        </w:rPr>
        <w:t>(4), pp.411-431.</w:t>
      </w:r>
    </w:p>
    <w:p w14:paraId="30144591" w14:textId="77777777" w:rsidR="00BC1463" w:rsidRPr="00BC1463" w:rsidRDefault="00BC1463" w:rsidP="00BC1463">
      <w:pPr>
        <w:pStyle w:val="NormalWeb"/>
        <w:shd w:val="clear" w:color="auto" w:fill="FFFFFF"/>
        <w:jc w:val="both"/>
        <w:rPr>
          <w:rFonts w:ascii="Arial" w:hAnsi="Arial" w:cs="Arial"/>
          <w:color w:val="000000" w:themeColor="text1"/>
          <w:u w:val="single"/>
        </w:rPr>
      </w:pPr>
    </w:p>
    <w:p w14:paraId="6ACDE267" w14:textId="32CB1A76" w:rsidR="00675BD1" w:rsidRPr="00BC1463" w:rsidRDefault="00675BD1" w:rsidP="00BC1463">
      <w:pPr>
        <w:pStyle w:val="NormalWeb"/>
        <w:shd w:val="clear" w:color="auto" w:fill="FFFFFF"/>
        <w:jc w:val="both"/>
        <w:rPr>
          <w:rFonts w:ascii="Arial" w:hAnsi="Arial" w:cs="Arial"/>
          <w:color w:val="000000" w:themeColor="text1"/>
          <w:shd w:val="clear" w:color="auto" w:fill="FCFCFC"/>
        </w:rPr>
      </w:pPr>
      <w:proofErr w:type="spellStart"/>
      <w:r w:rsidRPr="00BC1463">
        <w:rPr>
          <w:rFonts w:ascii="Arial" w:hAnsi="Arial" w:cs="Arial"/>
          <w:color w:val="000000" w:themeColor="text1"/>
          <w:shd w:val="clear" w:color="auto" w:fill="FCFCFC"/>
        </w:rPr>
        <w:t>Bernasco</w:t>
      </w:r>
      <w:proofErr w:type="spellEnd"/>
      <w:r w:rsidRPr="00BC1463">
        <w:rPr>
          <w:rFonts w:ascii="Arial" w:hAnsi="Arial" w:cs="Arial"/>
          <w:color w:val="000000" w:themeColor="text1"/>
          <w:shd w:val="clear" w:color="auto" w:fill="FCFCFC"/>
        </w:rPr>
        <w:t xml:space="preserve"> W, Johnson SD, Ruiter S (2015) Learning where to offend: effects of past on future burglary locations. </w:t>
      </w:r>
      <w:proofErr w:type="spellStart"/>
      <w:r w:rsidRPr="00BC1463">
        <w:rPr>
          <w:rFonts w:ascii="Arial" w:hAnsi="Arial" w:cs="Arial"/>
          <w:color w:val="000000" w:themeColor="text1"/>
          <w:shd w:val="clear" w:color="auto" w:fill="FCFCFC"/>
        </w:rPr>
        <w:t>Appl</w:t>
      </w:r>
      <w:proofErr w:type="spellEnd"/>
      <w:r w:rsidRPr="00BC1463">
        <w:rPr>
          <w:rFonts w:ascii="Arial" w:hAnsi="Arial" w:cs="Arial"/>
          <w:color w:val="000000" w:themeColor="text1"/>
          <w:shd w:val="clear" w:color="auto" w:fill="FCFCFC"/>
        </w:rPr>
        <w:t xml:space="preserve"> </w:t>
      </w:r>
      <w:proofErr w:type="spellStart"/>
      <w:r w:rsidRPr="00BC1463">
        <w:rPr>
          <w:rFonts w:ascii="Arial" w:hAnsi="Arial" w:cs="Arial"/>
          <w:color w:val="000000" w:themeColor="text1"/>
          <w:shd w:val="clear" w:color="auto" w:fill="FCFCFC"/>
        </w:rPr>
        <w:t>Geogr</w:t>
      </w:r>
      <w:proofErr w:type="spellEnd"/>
      <w:r w:rsidRPr="00BC1463">
        <w:rPr>
          <w:rFonts w:ascii="Arial" w:hAnsi="Arial" w:cs="Arial"/>
          <w:color w:val="000000" w:themeColor="text1"/>
          <w:shd w:val="clear" w:color="auto" w:fill="FCFCFC"/>
        </w:rPr>
        <w:t xml:space="preserve"> 60:120–129</w:t>
      </w:r>
      <w:r w:rsidRPr="00BC1463">
        <w:rPr>
          <w:rFonts w:ascii="Arial" w:hAnsi="Arial" w:cs="Arial"/>
          <w:color w:val="000000" w:themeColor="text1"/>
          <w:shd w:val="clear" w:color="auto" w:fill="FCFCFC"/>
        </w:rPr>
        <w:t>.</w:t>
      </w:r>
    </w:p>
    <w:p w14:paraId="7001E641" w14:textId="77777777" w:rsidR="00675BD1" w:rsidRPr="00BC1463" w:rsidRDefault="00675BD1" w:rsidP="00BC1463">
      <w:pPr>
        <w:pStyle w:val="NormalWeb"/>
        <w:jc w:val="both"/>
        <w:rPr>
          <w:rFonts w:ascii="Arial" w:hAnsi="Arial" w:cs="Arial"/>
          <w:color w:val="000000" w:themeColor="text1"/>
        </w:rPr>
      </w:pPr>
      <w:r w:rsidRPr="00BC1463">
        <w:rPr>
          <w:rFonts w:ascii="Arial" w:hAnsi="Arial" w:cs="Arial"/>
          <w:color w:val="000000" w:themeColor="text1"/>
        </w:rPr>
        <w:t xml:space="preserve">Blokland A, van </w:t>
      </w:r>
      <w:proofErr w:type="spellStart"/>
      <w:r w:rsidRPr="00BC1463">
        <w:rPr>
          <w:rFonts w:ascii="Arial" w:hAnsi="Arial" w:cs="Arial"/>
          <w:color w:val="000000" w:themeColor="text1"/>
        </w:rPr>
        <w:t>Hout</w:t>
      </w:r>
      <w:proofErr w:type="spellEnd"/>
      <w:r w:rsidRPr="00BC1463">
        <w:rPr>
          <w:rFonts w:ascii="Arial" w:hAnsi="Arial" w:cs="Arial"/>
          <w:color w:val="000000" w:themeColor="text1"/>
        </w:rPr>
        <w:t xml:space="preserve"> L, van der </w:t>
      </w:r>
      <w:proofErr w:type="spellStart"/>
      <w:r w:rsidRPr="00BC1463">
        <w:rPr>
          <w:rFonts w:ascii="Arial" w:hAnsi="Arial" w:cs="Arial"/>
          <w:color w:val="000000" w:themeColor="text1"/>
        </w:rPr>
        <w:t>Leest</w:t>
      </w:r>
      <w:proofErr w:type="spellEnd"/>
      <w:r w:rsidRPr="00BC1463">
        <w:rPr>
          <w:rFonts w:ascii="Arial" w:hAnsi="Arial" w:cs="Arial"/>
          <w:color w:val="000000" w:themeColor="text1"/>
        </w:rPr>
        <w:t xml:space="preserve"> W &amp; </w:t>
      </w:r>
      <w:proofErr w:type="spellStart"/>
      <w:r w:rsidRPr="00BC1463">
        <w:rPr>
          <w:rFonts w:ascii="Arial" w:hAnsi="Arial" w:cs="Arial"/>
          <w:color w:val="000000" w:themeColor="text1"/>
        </w:rPr>
        <w:t>Soudijn</w:t>
      </w:r>
      <w:proofErr w:type="spellEnd"/>
      <w:r w:rsidRPr="00BC1463">
        <w:rPr>
          <w:rFonts w:ascii="Arial" w:hAnsi="Arial" w:cs="Arial"/>
          <w:color w:val="000000" w:themeColor="text1"/>
        </w:rPr>
        <w:t xml:space="preserve"> M 2019. Not your average biker: Criminal careers of members of Dutch outlaw motorcycle gangs. </w:t>
      </w:r>
      <w:r w:rsidRPr="00BC1463">
        <w:rPr>
          <w:rFonts w:ascii="Arial" w:hAnsi="Arial" w:cs="Arial"/>
          <w:i/>
          <w:iCs/>
          <w:color w:val="000000" w:themeColor="text1"/>
        </w:rPr>
        <w:t xml:space="preserve">Trends in Organized Crime </w:t>
      </w:r>
      <w:r w:rsidRPr="00BC1463">
        <w:rPr>
          <w:rFonts w:ascii="Arial" w:hAnsi="Arial" w:cs="Arial"/>
          <w:color w:val="000000" w:themeColor="text1"/>
        </w:rPr>
        <w:t xml:space="preserve">22(1): 10–33. </w:t>
      </w:r>
    </w:p>
    <w:p w14:paraId="08B0192F"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shd w:val="clear" w:color="auto" w:fill="FFFFFF"/>
        </w:rPr>
      </w:pPr>
      <w:proofErr w:type="spellStart"/>
      <w:r w:rsidRPr="00BC1463">
        <w:rPr>
          <w:rFonts w:ascii="Arial" w:hAnsi="Arial" w:cs="Arial"/>
          <w:color w:val="000000" w:themeColor="text1"/>
          <w:shd w:val="clear" w:color="auto" w:fill="FFFFFF"/>
        </w:rPr>
        <w:t>Bouché</w:t>
      </w:r>
      <w:proofErr w:type="spellEnd"/>
      <w:r w:rsidRPr="00BC1463">
        <w:rPr>
          <w:rFonts w:ascii="Arial" w:hAnsi="Arial" w:cs="Arial"/>
          <w:color w:val="000000" w:themeColor="text1"/>
          <w:shd w:val="clear" w:color="auto" w:fill="FFFFFF"/>
        </w:rPr>
        <w:t>, V. and Bailey, M., 2020. The UNODC Global Report on Trafficking in Persons: An Aspirational Tool with Great Potential.</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The Palgrave International Handbook of Human Trafficking</w:t>
      </w:r>
      <w:r w:rsidRPr="00BC1463">
        <w:rPr>
          <w:rFonts w:ascii="Arial" w:hAnsi="Arial" w:cs="Arial"/>
          <w:color w:val="000000" w:themeColor="text1"/>
          <w:shd w:val="clear" w:color="auto" w:fill="FFFFFF"/>
        </w:rPr>
        <w:t>, pp.163-176.</w:t>
      </w:r>
    </w:p>
    <w:p w14:paraId="710033D9" w14:textId="147DDFCE" w:rsidR="00BC1463" w:rsidRPr="00BC1463" w:rsidRDefault="00BC1463"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Bowers, K.J., Johnson, S.D. and Pease, K., 2005. Victimisation and re-victimisation risk, housing type and area: a study of interactions.</w:t>
      </w:r>
    </w:p>
    <w:p w14:paraId="05E55CFC" w14:textId="1A6D5619" w:rsidR="00BC1463" w:rsidRPr="00BC1463" w:rsidRDefault="00BC1463"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Bowers, K.J. and Johnson, S.D., 2005. Domestic burglary repeats and space-time clusters: The dimensions of risk.</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European journal of criminology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2</w:t>
      </w:r>
      <w:r w:rsidRPr="00BC1463">
        <w:rPr>
          <w:rFonts w:ascii="Arial" w:hAnsi="Arial" w:cs="Arial"/>
          <w:color w:val="000000" w:themeColor="text1"/>
          <w:shd w:val="clear" w:color="auto" w:fill="FFFFFF"/>
        </w:rPr>
        <w:t>(1), pp.67-92.</w:t>
      </w:r>
    </w:p>
    <w:p w14:paraId="46962256" w14:textId="5B42325B" w:rsidR="00675BD1" w:rsidRPr="00BC1463" w:rsidRDefault="00BC1463"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Budd, T., 1999. Burglary of domestic dwellings: Findings from the British Crime Survey.</w:t>
      </w:r>
    </w:p>
    <w:p w14:paraId="34104A5F" w14:textId="03F9398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roofErr w:type="spellStart"/>
      <w:r w:rsidRPr="00BC1463">
        <w:rPr>
          <w:rFonts w:ascii="Arial" w:hAnsi="Arial" w:cs="Arial"/>
          <w:color w:val="000000" w:themeColor="text1"/>
        </w:rPr>
        <w:t>Calderoni</w:t>
      </w:r>
      <w:proofErr w:type="spellEnd"/>
      <w:r w:rsidRPr="00BC1463">
        <w:rPr>
          <w:rFonts w:ascii="Arial" w:hAnsi="Arial" w:cs="Arial"/>
          <w:color w:val="000000" w:themeColor="text1"/>
        </w:rPr>
        <w:t xml:space="preserve">, F., </w:t>
      </w:r>
      <w:proofErr w:type="spellStart"/>
      <w:r w:rsidRPr="00BC1463">
        <w:rPr>
          <w:rFonts w:ascii="Arial" w:hAnsi="Arial" w:cs="Arial"/>
          <w:color w:val="000000" w:themeColor="text1"/>
        </w:rPr>
        <w:t>Comunale</w:t>
      </w:r>
      <w:proofErr w:type="spellEnd"/>
      <w:r w:rsidRPr="00BC1463">
        <w:rPr>
          <w:rFonts w:ascii="Arial" w:hAnsi="Arial" w:cs="Arial"/>
          <w:color w:val="000000" w:themeColor="text1"/>
        </w:rPr>
        <w:t xml:space="preserve">, T., </w:t>
      </w:r>
      <w:proofErr w:type="spellStart"/>
      <w:r w:rsidRPr="00BC1463">
        <w:rPr>
          <w:rFonts w:ascii="Arial" w:hAnsi="Arial" w:cs="Arial"/>
          <w:color w:val="000000" w:themeColor="text1"/>
        </w:rPr>
        <w:t>Campedelli</w:t>
      </w:r>
      <w:proofErr w:type="spellEnd"/>
      <w:r w:rsidRPr="00BC1463">
        <w:rPr>
          <w:rFonts w:ascii="Arial" w:hAnsi="Arial" w:cs="Arial"/>
          <w:color w:val="000000" w:themeColor="text1"/>
        </w:rPr>
        <w:t xml:space="preserve">, G.M., Marchesi, M., </w:t>
      </w:r>
      <w:proofErr w:type="spellStart"/>
      <w:r w:rsidRPr="00BC1463">
        <w:rPr>
          <w:rFonts w:ascii="Arial" w:hAnsi="Arial" w:cs="Arial"/>
          <w:color w:val="000000" w:themeColor="text1"/>
        </w:rPr>
        <w:t>Manzi</w:t>
      </w:r>
      <w:proofErr w:type="spellEnd"/>
      <w:r w:rsidRPr="00BC1463">
        <w:rPr>
          <w:rFonts w:ascii="Arial" w:hAnsi="Arial" w:cs="Arial"/>
          <w:color w:val="000000" w:themeColor="text1"/>
        </w:rPr>
        <w:t xml:space="preserve">, D. and </w:t>
      </w:r>
      <w:proofErr w:type="spellStart"/>
      <w:r w:rsidRPr="00BC1463">
        <w:rPr>
          <w:rFonts w:ascii="Arial" w:hAnsi="Arial" w:cs="Arial"/>
          <w:color w:val="000000" w:themeColor="text1"/>
        </w:rPr>
        <w:t>Frualdo</w:t>
      </w:r>
      <w:proofErr w:type="spellEnd"/>
      <w:r w:rsidRPr="00BC1463">
        <w:rPr>
          <w:rFonts w:ascii="Arial" w:hAnsi="Arial" w:cs="Arial"/>
          <w:color w:val="000000" w:themeColor="text1"/>
        </w:rPr>
        <w:t>, N. (2022). Organized crime groups: A systematic review of individual</w:t>
      </w:r>
      <w:r w:rsidRPr="00BC1463">
        <w:rPr>
          <w:rFonts w:ascii="Cambria Math" w:hAnsi="Cambria Math" w:cs="Cambria Math"/>
          <w:color w:val="000000" w:themeColor="text1"/>
        </w:rPr>
        <w:t>‐</w:t>
      </w:r>
      <w:r w:rsidRPr="00BC1463">
        <w:rPr>
          <w:rFonts w:ascii="Arial" w:hAnsi="Arial" w:cs="Arial"/>
          <w:color w:val="000000" w:themeColor="text1"/>
        </w:rPr>
        <w:t>level risk factors related to recruitment.</w:t>
      </w:r>
      <w:r w:rsidRPr="00BC1463">
        <w:rPr>
          <w:rStyle w:val="apple-converted-space"/>
          <w:rFonts w:ascii="Arial" w:hAnsi="Arial" w:cs="Arial"/>
          <w:color w:val="000000" w:themeColor="text1"/>
        </w:rPr>
        <w:t> </w:t>
      </w:r>
      <w:r w:rsidRPr="00BC1463">
        <w:rPr>
          <w:rFonts w:ascii="Arial" w:hAnsi="Arial" w:cs="Arial"/>
          <w:i/>
          <w:iCs/>
          <w:color w:val="000000" w:themeColor="text1"/>
        </w:rPr>
        <w:t>Campbell Systematic Reviews</w:t>
      </w:r>
      <w:r w:rsidRPr="00BC1463">
        <w:rPr>
          <w:rFonts w:ascii="Arial" w:hAnsi="Arial" w:cs="Arial"/>
          <w:color w:val="000000" w:themeColor="text1"/>
        </w:rPr>
        <w:t>, 18(1).</w:t>
      </w:r>
    </w:p>
    <w:p w14:paraId="7EB23109"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0161274B" w14:textId="1905862D"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‌College of Policing (2021).</w:t>
      </w:r>
      <w:r w:rsidRPr="00BC1463">
        <w:rPr>
          <w:rStyle w:val="apple-converted-space"/>
          <w:rFonts w:ascii="Arial" w:hAnsi="Arial" w:cs="Arial"/>
          <w:color w:val="000000" w:themeColor="text1"/>
        </w:rPr>
        <w:t> </w:t>
      </w:r>
      <w:r w:rsidRPr="00BC1463">
        <w:rPr>
          <w:rFonts w:ascii="Arial" w:hAnsi="Arial" w:cs="Arial"/>
          <w:i/>
          <w:iCs/>
          <w:color w:val="000000" w:themeColor="text1"/>
        </w:rPr>
        <w:t>Body-worn cameras</w:t>
      </w:r>
      <w:r w:rsidRPr="00BC1463">
        <w:rPr>
          <w:rFonts w:ascii="Arial" w:hAnsi="Arial" w:cs="Arial"/>
          <w:color w:val="000000" w:themeColor="text1"/>
        </w:rPr>
        <w:t xml:space="preserve">. [online] College of Policing. Available at: </w:t>
      </w:r>
      <w:hyperlink r:id="rId9" w:history="1">
        <w:r w:rsidRPr="00BC1463">
          <w:rPr>
            <w:rStyle w:val="Hyperlink"/>
            <w:rFonts w:ascii="Arial" w:hAnsi="Arial" w:cs="Arial"/>
            <w:color w:val="000000" w:themeColor="text1"/>
          </w:rPr>
          <w:t>https://www.college.police.uk/research/crime-reduction-toolkit/body-worn-cameras</w:t>
        </w:r>
      </w:hyperlink>
      <w:r w:rsidRPr="00BC1463">
        <w:rPr>
          <w:rFonts w:ascii="Arial" w:hAnsi="Arial" w:cs="Arial"/>
          <w:color w:val="000000" w:themeColor="text1"/>
        </w:rPr>
        <w:t xml:space="preserve"> (Accessed</w:t>
      </w:r>
      <w:r w:rsidR="00BC1463" w:rsidRPr="00BC1463">
        <w:rPr>
          <w:rFonts w:ascii="Arial" w:hAnsi="Arial" w:cs="Arial"/>
          <w:color w:val="000000" w:themeColor="text1"/>
        </w:rPr>
        <w:t>: 20/04/2023</w:t>
      </w:r>
      <w:r w:rsidRPr="00BC1463">
        <w:rPr>
          <w:rFonts w:ascii="Arial" w:hAnsi="Arial" w:cs="Arial"/>
          <w:color w:val="000000" w:themeColor="text1"/>
        </w:rPr>
        <w:t>).</w:t>
      </w:r>
    </w:p>
    <w:p w14:paraId="2B49F8FE"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26C6EC5B" w14:textId="2A03CD26"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College of Policing (2021).</w:t>
      </w:r>
      <w:r w:rsidRPr="00BC1463">
        <w:rPr>
          <w:rStyle w:val="apple-converted-space"/>
          <w:rFonts w:ascii="Arial" w:hAnsi="Arial" w:cs="Arial"/>
          <w:color w:val="000000" w:themeColor="text1"/>
        </w:rPr>
        <w:t> </w:t>
      </w:r>
      <w:r w:rsidRPr="00BC1463">
        <w:rPr>
          <w:rFonts w:ascii="Arial" w:hAnsi="Arial" w:cs="Arial"/>
          <w:i/>
          <w:iCs/>
          <w:color w:val="000000" w:themeColor="text1"/>
        </w:rPr>
        <w:t>What Works in Policing to Reduce crime?</w:t>
      </w:r>
      <w:r w:rsidRPr="00BC1463">
        <w:rPr>
          <w:rStyle w:val="apple-converted-space"/>
          <w:rFonts w:ascii="Arial" w:hAnsi="Arial" w:cs="Arial"/>
          <w:color w:val="000000" w:themeColor="text1"/>
        </w:rPr>
        <w:t> </w:t>
      </w:r>
      <w:r w:rsidRPr="00BC1463">
        <w:rPr>
          <w:rFonts w:ascii="Arial" w:hAnsi="Arial" w:cs="Arial"/>
          <w:color w:val="000000" w:themeColor="text1"/>
        </w:rPr>
        <w:t xml:space="preserve">[online] College of Policing. Available at: </w:t>
      </w:r>
      <w:hyperlink r:id="rId10" w:history="1">
        <w:r w:rsidRPr="00BC1463">
          <w:rPr>
            <w:rStyle w:val="Hyperlink"/>
            <w:rFonts w:ascii="Arial" w:hAnsi="Arial" w:cs="Arial"/>
            <w:color w:val="000000" w:themeColor="text1"/>
          </w:rPr>
          <w:t>https://www.college.police.uk/research/what-works-policing-reduce-crime</w:t>
        </w:r>
      </w:hyperlink>
      <w:r w:rsidRPr="00BC1463">
        <w:rPr>
          <w:rFonts w:ascii="Arial" w:hAnsi="Arial" w:cs="Arial"/>
          <w:color w:val="000000" w:themeColor="text1"/>
        </w:rPr>
        <w:t>.</w:t>
      </w:r>
      <w:r w:rsidRPr="00BC1463">
        <w:rPr>
          <w:rFonts w:ascii="Arial" w:hAnsi="Arial" w:cs="Arial"/>
          <w:color w:val="000000" w:themeColor="text1"/>
        </w:rPr>
        <w:t xml:space="preserve"> (Accessed:17/04/2023).</w:t>
      </w:r>
    </w:p>
    <w:p w14:paraId="66A0D67E"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03A3DE6E" w14:textId="08F3AFE2"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College of Policing (2022).</w:t>
      </w:r>
      <w:r w:rsidRPr="00BC1463">
        <w:rPr>
          <w:rStyle w:val="apple-converted-space"/>
          <w:rFonts w:ascii="Arial" w:hAnsi="Arial" w:cs="Arial"/>
          <w:color w:val="000000" w:themeColor="text1"/>
        </w:rPr>
        <w:t> </w:t>
      </w:r>
      <w:r w:rsidRPr="00BC1463">
        <w:rPr>
          <w:rFonts w:ascii="Arial" w:hAnsi="Arial" w:cs="Arial"/>
          <w:i/>
          <w:iCs/>
          <w:color w:val="000000" w:themeColor="text1"/>
        </w:rPr>
        <w:t>Interventions for situational crime prevention</w:t>
      </w:r>
      <w:r w:rsidRPr="00BC1463">
        <w:rPr>
          <w:rFonts w:ascii="Arial" w:hAnsi="Arial" w:cs="Arial"/>
          <w:color w:val="000000" w:themeColor="text1"/>
        </w:rPr>
        <w:t xml:space="preserve">. [online] College of Policing. Available at: </w:t>
      </w:r>
      <w:hyperlink r:id="rId11" w:history="1">
        <w:r w:rsidRPr="00BC1463">
          <w:rPr>
            <w:rStyle w:val="Hyperlink"/>
            <w:rFonts w:ascii="Arial" w:hAnsi="Arial" w:cs="Arial"/>
            <w:color w:val="000000" w:themeColor="text1"/>
          </w:rPr>
          <w:t>https://www.college.police.uk/guidance/neighbourhood-crime/interventions-situational-crime-prevention</w:t>
        </w:r>
      </w:hyperlink>
      <w:r w:rsidRPr="00BC1463">
        <w:rPr>
          <w:rFonts w:ascii="Arial" w:hAnsi="Arial" w:cs="Arial"/>
          <w:color w:val="000000" w:themeColor="text1"/>
        </w:rPr>
        <w:t>.</w:t>
      </w:r>
      <w:r w:rsidRPr="00BC1463">
        <w:rPr>
          <w:rFonts w:ascii="Arial" w:hAnsi="Arial" w:cs="Arial"/>
          <w:color w:val="000000" w:themeColor="text1"/>
        </w:rPr>
        <w:t xml:space="preserve"> (Accessed: 28/04/2023).</w:t>
      </w:r>
    </w:p>
    <w:p w14:paraId="5EDA4797"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2B6D85CC" w14:textId="552ABD6F"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College of Policing (2022).</w:t>
      </w:r>
      <w:r w:rsidRPr="00BC1463">
        <w:rPr>
          <w:rStyle w:val="apple-converted-space"/>
          <w:rFonts w:ascii="Arial" w:hAnsi="Arial" w:cs="Arial"/>
          <w:color w:val="000000" w:themeColor="text1"/>
        </w:rPr>
        <w:t> </w:t>
      </w:r>
      <w:r w:rsidRPr="00BC1463">
        <w:rPr>
          <w:rFonts w:ascii="Arial" w:hAnsi="Arial" w:cs="Arial"/>
          <w:i/>
          <w:iCs/>
          <w:color w:val="000000" w:themeColor="text1"/>
        </w:rPr>
        <w:t>Problem-solving policing</w:t>
      </w:r>
      <w:r w:rsidRPr="00BC1463">
        <w:rPr>
          <w:rFonts w:ascii="Arial" w:hAnsi="Arial" w:cs="Arial"/>
          <w:color w:val="000000" w:themeColor="text1"/>
        </w:rPr>
        <w:t xml:space="preserve">. [online] College of Policing. Available at: </w:t>
      </w:r>
      <w:hyperlink r:id="rId12" w:history="1">
        <w:r w:rsidRPr="00BC1463">
          <w:rPr>
            <w:rStyle w:val="Hyperlink"/>
            <w:rFonts w:ascii="Arial" w:hAnsi="Arial" w:cs="Arial"/>
            <w:color w:val="000000" w:themeColor="text1"/>
          </w:rPr>
          <w:t>https://www.college.police.uk/guidance/problem-solving-policing#:~:text=Problem%2Dsolving%20policing%20is%20also</w:t>
        </w:r>
      </w:hyperlink>
      <w:r w:rsidRPr="00BC1463">
        <w:rPr>
          <w:rFonts w:ascii="Arial" w:hAnsi="Arial" w:cs="Arial"/>
          <w:color w:val="000000" w:themeColor="text1"/>
        </w:rPr>
        <w:t>.</w:t>
      </w:r>
      <w:r w:rsidRPr="00BC1463">
        <w:rPr>
          <w:rFonts w:ascii="Arial" w:hAnsi="Arial" w:cs="Arial"/>
          <w:color w:val="000000" w:themeColor="text1"/>
        </w:rPr>
        <w:t xml:space="preserve"> (Accessed: 04/05/2023). </w:t>
      </w:r>
    </w:p>
    <w:p w14:paraId="6060A0EB"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65B19B91" w14:textId="4E3556B8"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College of Policing (2022).</w:t>
      </w:r>
      <w:r w:rsidRPr="00BC1463">
        <w:rPr>
          <w:rStyle w:val="apple-converted-space"/>
          <w:rFonts w:ascii="Arial" w:hAnsi="Arial" w:cs="Arial"/>
          <w:color w:val="000000" w:themeColor="text1"/>
        </w:rPr>
        <w:t> </w:t>
      </w:r>
      <w:r w:rsidRPr="00BC1463">
        <w:rPr>
          <w:rFonts w:ascii="Arial" w:hAnsi="Arial" w:cs="Arial"/>
          <w:i/>
          <w:iCs/>
          <w:color w:val="000000" w:themeColor="text1"/>
        </w:rPr>
        <w:t>Hot Spots Policing</w:t>
      </w:r>
      <w:r w:rsidRPr="00BC1463">
        <w:rPr>
          <w:rFonts w:ascii="Arial" w:hAnsi="Arial" w:cs="Arial"/>
          <w:color w:val="000000" w:themeColor="text1"/>
        </w:rPr>
        <w:t xml:space="preserve">. [online] College of Policing. Available at: </w:t>
      </w:r>
      <w:hyperlink r:id="rId13" w:history="1">
        <w:r w:rsidRPr="00BC1463">
          <w:rPr>
            <w:rStyle w:val="Hyperlink"/>
            <w:rFonts w:ascii="Arial" w:hAnsi="Arial" w:cs="Arial"/>
            <w:color w:val="000000" w:themeColor="text1"/>
          </w:rPr>
          <w:t>https://www.college.police.uk/guidance/hot-spots-policing#:~:text=Hot%20spots%20policing%20is%20a</w:t>
        </w:r>
      </w:hyperlink>
      <w:r w:rsidRPr="00BC1463">
        <w:rPr>
          <w:rFonts w:ascii="Arial" w:hAnsi="Arial" w:cs="Arial"/>
          <w:color w:val="000000" w:themeColor="text1"/>
        </w:rPr>
        <w:t>.</w:t>
      </w:r>
      <w:r w:rsidRPr="00BC1463">
        <w:rPr>
          <w:rFonts w:ascii="Arial" w:hAnsi="Arial" w:cs="Arial"/>
          <w:color w:val="000000" w:themeColor="text1"/>
        </w:rPr>
        <w:t xml:space="preserve"> (Accessed: 19/05/2023).</w:t>
      </w:r>
    </w:p>
    <w:p w14:paraId="6DB530CB"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69AA06F4" w14:textId="05612DF8"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College of Policing. (2023).</w:t>
      </w:r>
      <w:r w:rsidRPr="00BC1463">
        <w:rPr>
          <w:rStyle w:val="apple-converted-space"/>
          <w:rFonts w:ascii="Arial" w:hAnsi="Arial" w:cs="Arial"/>
          <w:color w:val="000000" w:themeColor="text1"/>
        </w:rPr>
        <w:t> </w:t>
      </w:r>
      <w:r w:rsidRPr="00BC1463">
        <w:rPr>
          <w:rFonts w:ascii="Arial" w:hAnsi="Arial" w:cs="Arial"/>
          <w:i/>
          <w:iCs/>
          <w:color w:val="000000" w:themeColor="text1"/>
        </w:rPr>
        <w:t>Neighbourhood crime</w:t>
      </w:r>
      <w:r w:rsidRPr="00BC1463">
        <w:rPr>
          <w:rFonts w:ascii="Arial" w:hAnsi="Arial" w:cs="Arial"/>
          <w:color w:val="000000" w:themeColor="text1"/>
        </w:rPr>
        <w:t xml:space="preserve">. [online] Available at: </w:t>
      </w:r>
      <w:hyperlink r:id="rId14" w:history="1">
        <w:r w:rsidRPr="00BC1463">
          <w:rPr>
            <w:rStyle w:val="Hyperlink"/>
            <w:rFonts w:ascii="Arial" w:hAnsi="Arial" w:cs="Arial"/>
            <w:color w:val="000000" w:themeColor="text1"/>
          </w:rPr>
          <w:t>https://www.college.police.uk/guidance/neighbourhood-crime</w:t>
        </w:r>
      </w:hyperlink>
      <w:r w:rsidRPr="00BC1463">
        <w:rPr>
          <w:rFonts w:ascii="Arial" w:hAnsi="Arial" w:cs="Arial"/>
          <w:color w:val="000000" w:themeColor="text1"/>
        </w:rPr>
        <w:t>.</w:t>
      </w:r>
      <w:r w:rsidRPr="00BC1463">
        <w:rPr>
          <w:rFonts w:ascii="Arial" w:hAnsi="Arial" w:cs="Arial"/>
          <w:color w:val="000000" w:themeColor="text1"/>
        </w:rPr>
        <w:t xml:space="preserve"> (Accessed: 19/05/2023).</w:t>
      </w:r>
    </w:p>
    <w:p w14:paraId="58435DAC" w14:textId="107C7569" w:rsidR="00675BD1" w:rsidRPr="00BC1463" w:rsidRDefault="00BC1463"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Coupe, T. and Blake, L., 2006. Daylight and darkness targeting strategies and the risks of being seen at residential burglaries.</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Criminology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44</w:t>
      </w:r>
      <w:r w:rsidRPr="00BC1463">
        <w:rPr>
          <w:rFonts w:ascii="Arial" w:hAnsi="Arial" w:cs="Arial"/>
          <w:color w:val="000000" w:themeColor="text1"/>
          <w:shd w:val="clear" w:color="auto" w:fill="FFFFFF"/>
        </w:rPr>
        <w:t>(2), pp.431-464.</w:t>
      </w:r>
    </w:p>
    <w:p w14:paraId="12448580" w14:textId="77777777" w:rsidR="00675BD1" w:rsidRPr="00BC1463" w:rsidRDefault="00675BD1" w:rsidP="00BC1463">
      <w:pPr>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 xml:space="preserve">Decker, S.H., </w:t>
      </w:r>
      <w:proofErr w:type="spellStart"/>
      <w:r w:rsidRPr="00BC1463">
        <w:rPr>
          <w:rFonts w:ascii="Arial" w:hAnsi="Arial" w:cs="Arial"/>
          <w:color w:val="000000" w:themeColor="text1"/>
          <w:shd w:val="clear" w:color="auto" w:fill="FFFFFF"/>
        </w:rPr>
        <w:t>Pyrooz</w:t>
      </w:r>
      <w:proofErr w:type="spellEnd"/>
      <w:r w:rsidRPr="00BC1463">
        <w:rPr>
          <w:rFonts w:ascii="Arial" w:hAnsi="Arial" w:cs="Arial"/>
          <w:color w:val="000000" w:themeColor="text1"/>
          <w:shd w:val="clear" w:color="auto" w:fill="FFFFFF"/>
        </w:rPr>
        <w:t>, D.C., Sweeten, G. and Moule, R.K., 2014. Validating self-nomination in gang research: Assessing differences in gang embeddedness across non-, current, and former gang members.</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Journal of Quantitative Criminology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30</w:t>
      </w:r>
      <w:r w:rsidRPr="00BC1463">
        <w:rPr>
          <w:rFonts w:ascii="Arial" w:hAnsi="Arial" w:cs="Arial"/>
          <w:color w:val="000000" w:themeColor="text1"/>
          <w:shd w:val="clear" w:color="auto" w:fill="FFFFFF"/>
        </w:rPr>
        <w:t>, pp.577-598.</w:t>
      </w:r>
    </w:p>
    <w:p w14:paraId="65E4B6C5"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38172407" w14:textId="23ADC929" w:rsidR="00675BD1" w:rsidRPr="00BC1463" w:rsidRDefault="00675BD1" w:rsidP="00BC1463">
      <w:pPr>
        <w:pStyle w:val="NormalWeb"/>
        <w:shd w:val="clear" w:color="auto" w:fill="FFFFFF"/>
        <w:jc w:val="both"/>
        <w:rPr>
          <w:rFonts w:ascii="Arial" w:hAnsi="Arial" w:cs="Arial"/>
          <w:color w:val="000000" w:themeColor="text1"/>
          <w:shd w:val="clear" w:color="auto" w:fill="FFFFFF"/>
        </w:rPr>
      </w:pPr>
      <w:proofErr w:type="spellStart"/>
      <w:r w:rsidRPr="00BC1463">
        <w:rPr>
          <w:rFonts w:ascii="Arial" w:hAnsi="Arial" w:cs="Arial"/>
          <w:color w:val="000000" w:themeColor="text1"/>
          <w:shd w:val="clear" w:color="auto" w:fill="FFFFFF"/>
        </w:rPr>
        <w:t>Dror</w:t>
      </w:r>
      <w:proofErr w:type="spellEnd"/>
      <w:r w:rsidRPr="00BC1463">
        <w:rPr>
          <w:rFonts w:ascii="Arial" w:hAnsi="Arial" w:cs="Arial"/>
          <w:color w:val="000000" w:themeColor="text1"/>
          <w:shd w:val="clear" w:color="auto" w:fill="FFFFFF"/>
        </w:rPr>
        <w:t>, I.E., 2020. Cognitive and human factors in expert decision making: six fallacies and the eight sources of bias.</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Analytical Chemistry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92</w:t>
      </w:r>
      <w:r w:rsidRPr="00BC1463">
        <w:rPr>
          <w:rFonts w:ascii="Arial" w:hAnsi="Arial" w:cs="Arial"/>
          <w:color w:val="000000" w:themeColor="text1"/>
          <w:shd w:val="clear" w:color="auto" w:fill="FFFFFF"/>
        </w:rPr>
        <w:t>(12), pp.7998-8004.</w:t>
      </w:r>
    </w:p>
    <w:p w14:paraId="3D7A9B8B" w14:textId="77777777" w:rsidR="00BC1463" w:rsidRPr="00BC1463" w:rsidRDefault="00BC1463" w:rsidP="00BC1463">
      <w:pPr>
        <w:tabs>
          <w:tab w:val="left" w:pos="8223"/>
        </w:tabs>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Dutton MA, Goodman LA (2005) Coercion in Intimate partner violence: Toward a new conceptualization.</w:t>
      </w:r>
      <w:r w:rsidRPr="00BC1463">
        <w:rPr>
          <w:rStyle w:val="apple-converted-space"/>
          <w:rFonts w:ascii="Arial" w:hAnsi="Arial" w:cs="Arial"/>
          <w:color w:val="000000" w:themeColor="text1"/>
          <w:shd w:val="clear" w:color="auto" w:fill="FFFFFF"/>
        </w:rPr>
        <w:t> </w:t>
      </w:r>
      <w:r w:rsidRPr="00BC1463">
        <w:rPr>
          <w:rStyle w:val="Emphasis"/>
          <w:rFonts w:ascii="Arial" w:hAnsi="Arial" w:cs="Arial"/>
          <w:color w:val="000000" w:themeColor="text1"/>
        </w:rPr>
        <w:t>Sex Roles</w:t>
      </w:r>
      <w:r w:rsidRPr="00BC1463">
        <w:rPr>
          <w:rStyle w:val="apple-converted-space"/>
          <w:rFonts w:ascii="Arial" w:hAnsi="Arial" w:cs="Arial"/>
          <w:color w:val="000000" w:themeColor="text1"/>
          <w:shd w:val="clear" w:color="auto" w:fill="FFFFFF"/>
        </w:rPr>
        <w:t> </w:t>
      </w:r>
      <w:r w:rsidRPr="00BC1463">
        <w:rPr>
          <w:rFonts w:ascii="Arial" w:hAnsi="Arial" w:cs="Arial"/>
          <w:color w:val="000000" w:themeColor="text1"/>
          <w:shd w:val="clear" w:color="auto" w:fill="FFFFFF"/>
        </w:rPr>
        <w:t>52: 743–756.</w:t>
      </w:r>
    </w:p>
    <w:p w14:paraId="7BC0D633" w14:textId="77777777" w:rsidR="00675BD1" w:rsidRPr="00BC1463" w:rsidRDefault="00675BD1" w:rsidP="00BC1463">
      <w:pPr>
        <w:jc w:val="both"/>
        <w:rPr>
          <w:rFonts w:ascii="Arial" w:hAnsi="Arial" w:cs="Arial"/>
          <w:b/>
          <w:bCs/>
          <w:color w:val="000000" w:themeColor="text1"/>
          <w:u w:val="single"/>
        </w:rPr>
      </w:pPr>
    </w:p>
    <w:p w14:paraId="3308204E" w14:textId="6DD4362A"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Gaffney, H., Jolliffe, D. and White, H. (2022).</w:t>
      </w:r>
      <w:r w:rsidRPr="00BC1463">
        <w:rPr>
          <w:rStyle w:val="apple-converted-space"/>
          <w:rFonts w:ascii="Arial" w:hAnsi="Arial" w:cs="Arial"/>
          <w:color w:val="000000" w:themeColor="text1"/>
        </w:rPr>
        <w:t> </w:t>
      </w:r>
      <w:r w:rsidRPr="00BC1463">
        <w:rPr>
          <w:rFonts w:ascii="Arial" w:hAnsi="Arial" w:cs="Arial"/>
          <w:i/>
          <w:iCs/>
          <w:color w:val="000000" w:themeColor="text1"/>
        </w:rPr>
        <w:t>Hot Spot Policing Toolkit technical report</w:t>
      </w:r>
      <w:r w:rsidRPr="00BC1463">
        <w:rPr>
          <w:rFonts w:ascii="Arial" w:hAnsi="Arial" w:cs="Arial"/>
          <w:color w:val="000000" w:themeColor="text1"/>
        </w:rPr>
        <w:t xml:space="preserve">. [online] Available at: </w:t>
      </w:r>
      <w:hyperlink r:id="rId15" w:history="1">
        <w:r w:rsidRPr="00BC1463">
          <w:rPr>
            <w:rStyle w:val="Hyperlink"/>
            <w:rFonts w:ascii="Arial" w:hAnsi="Arial" w:cs="Arial"/>
            <w:color w:val="000000" w:themeColor="text1"/>
          </w:rPr>
          <w:t>https://youthendowmentfund.org.uk/wp-content/uploads/2022/07/YEF-Hot-Spots-Policing-Technical-Report_Final_July-2022.pdf</w:t>
        </w:r>
      </w:hyperlink>
      <w:r w:rsidRPr="00BC1463">
        <w:rPr>
          <w:rFonts w:ascii="Arial" w:hAnsi="Arial" w:cs="Arial"/>
          <w:color w:val="000000" w:themeColor="text1"/>
        </w:rPr>
        <w:t>.</w:t>
      </w:r>
      <w:r w:rsidRPr="00BC1463">
        <w:rPr>
          <w:rFonts w:ascii="Arial" w:hAnsi="Arial" w:cs="Arial"/>
          <w:color w:val="000000" w:themeColor="text1"/>
        </w:rPr>
        <w:t xml:space="preserve"> (Accessed: 01/05/2023). </w:t>
      </w:r>
    </w:p>
    <w:p w14:paraId="311397F6" w14:textId="77777777" w:rsidR="00675BD1" w:rsidRPr="00BC1463" w:rsidRDefault="00675BD1" w:rsidP="00BC1463">
      <w:pPr>
        <w:jc w:val="both"/>
        <w:rPr>
          <w:rFonts w:ascii="Arial" w:hAnsi="Arial" w:cs="Arial"/>
          <w:b/>
          <w:bCs/>
          <w:color w:val="000000" w:themeColor="text1"/>
          <w:u w:val="single"/>
        </w:rPr>
      </w:pPr>
    </w:p>
    <w:p w14:paraId="0357715A" w14:textId="3FA3DFBC"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 xml:space="preserve">Gerstner, D. (2018). Predictive Policing in the Context of Residential Burglary: An Empirical Illustration </w:t>
      </w:r>
      <w:proofErr w:type="gramStart"/>
      <w:r w:rsidRPr="00BC1463">
        <w:rPr>
          <w:rFonts w:ascii="Arial" w:hAnsi="Arial" w:cs="Arial"/>
          <w:color w:val="000000" w:themeColor="text1"/>
        </w:rPr>
        <w:t>on the Basis of</w:t>
      </w:r>
      <w:proofErr w:type="gramEnd"/>
      <w:r w:rsidRPr="00BC1463">
        <w:rPr>
          <w:rFonts w:ascii="Arial" w:hAnsi="Arial" w:cs="Arial"/>
          <w:color w:val="000000" w:themeColor="text1"/>
        </w:rPr>
        <w:t xml:space="preserve"> a Pilot Project in Baden-Württemberg, Germany.</w:t>
      </w:r>
      <w:r w:rsidRPr="00BC1463">
        <w:rPr>
          <w:rStyle w:val="apple-converted-space"/>
          <w:rFonts w:ascii="Arial" w:hAnsi="Arial" w:cs="Arial"/>
          <w:color w:val="000000" w:themeColor="text1"/>
        </w:rPr>
        <w:t> </w:t>
      </w:r>
      <w:r w:rsidRPr="00BC1463">
        <w:rPr>
          <w:rFonts w:ascii="Arial" w:hAnsi="Arial" w:cs="Arial"/>
          <w:i/>
          <w:iCs/>
          <w:color w:val="000000" w:themeColor="text1"/>
        </w:rPr>
        <w:t>European Journal for Security Research</w:t>
      </w:r>
      <w:r w:rsidRPr="00BC1463">
        <w:rPr>
          <w:rFonts w:ascii="Arial" w:hAnsi="Arial" w:cs="Arial"/>
          <w:color w:val="000000" w:themeColor="text1"/>
        </w:rPr>
        <w:t>, 3(2), pp.115–138.</w:t>
      </w:r>
    </w:p>
    <w:p w14:paraId="2BDD2C07"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54E59040" w14:textId="3D79C93C"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GOV.UK (1998).</w:t>
      </w:r>
      <w:r w:rsidRPr="00BC1463">
        <w:rPr>
          <w:rStyle w:val="apple-converted-space"/>
          <w:rFonts w:ascii="Arial" w:hAnsi="Arial" w:cs="Arial"/>
          <w:color w:val="000000" w:themeColor="text1"/>
        </w:rPr>
        <w:t> </w:t>
      </w:r>
      <w:r w:rsidRPr="00BC1463">
        <w:rPr>
          <w:rFonts w:ascii="Arial" w:hAnsi="Arial" w:cs="Arial"/>
          <w:i/>
          <w:iCs/>
          <w:color w:val="000000" w:themeColor="text1"/>
        </w:rPr>
        <w:t>Human Rights Act 1998</w:t>
      </w:r>
      <w:r w:rsidRPr="00BC1463">
        <w:rPr>
          <w:rFonts w:ascii="Arial" w:hAnsi="Arial" w:cs="Arial"/>
          <w:color w:val="000000" w:themeColor="text1"/>
        </w:rPr>
        <w:t xml:space="preserve">. [online] legislation.gov.uk. Available at: </w:t>
      </w:r>
      <w:hyperlink r:id="rId16" w:history="1">
        <w:r w:rsidRPr="00BC1463">
          <w:rPr>
            <w:rStyle w:val="Hyperlink"/>
            <w:rFonts w:ascii="Arial" w:hAnsi="Arial" w:cs="Arial"/>
            <w:color w:val="000000" w:themeColor="text1"/>
          </w:rPr>
          <w:t>https://www.legislation.gov.uk/ukpga/1998/42/contents</w:t>
        </w:r>
      </w:hyperlink>
      <w:r w:rsidRPr="00BC1463">
        <w:rPr>
          <w:rFonts w:ascii="Arial" w:hAnsi="Arial" w:cs="Arial"/>
          <w:color w:val="000000" w:themeColor="text1"/>
        </w:rPr>
        <w:t>. (Accessed</w:t>
      </w:r>
      <w:r w:rsidR="00BC1463" w:rsidRPr="00BC1463">
        <w:rPr>
          <w:rFonts w:ascii="Arial" w:hAnsi="Arial" w:cs="Arial"/>
          <w:color w:val="000000" w:themeColor="text1"/>
        </w:rPr>
        <w:t>: 17/05/2023).</w:t>
      </w:r>
    </w:p>
    <w:p w14:paraId="562A28C4"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w:t>
      </w:r>
    </w:p>
    <w:p w14:paraId="6BE3BF9A" w14:textId="52E9EC25"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GOV.UK. (2021).</w:t>
      </w:r>
      <w:r w:rsidRPr="00BC1463">
        <w:rPr>
          <w:rStyle w:val="apple-converted-space"/>
          <w:rFonts w:ascii="Arial" w:hAnsi="Arial" w:cs="Arial"/>
          <w:color w:val="000000" w:themeColor="text1"/>
        </w:rPr>
        <w:t> </w:t>
      </w:r>
      <w:r w:rsidRPr="00BC1463">
        <w:rPr>
          <w:rFonts w:ascii="Arial" w:hAnsi="Arial" w:cs="Arial"/>
          <w:i/>
          <w:iCs/>
          <w:color w:val="000000" w:themeColor="text1"/>
        </w:rPr>
        <w:t>Beating crime plan</w:t>
      </w:r>
      <w:r w:rsidRPr="00BC1463">
        <w:rPr>
          <w:rFonts w:ascii="Arial" w:hAnsi="Arial" w:cs="Arial"/>
          <w:color w:val="000000" w:themeColor="text1"/>
        </w:rPr>
        <w:t xml:space="preserve">. [online] Available at: https://www.gov.uk/government/publications/beating-crime-plan/beating-crime-plan#chapter-1--introduction </w:t>
      </w:r>
      <w:r w:rsidRPr="00BC1463">
        <w:rPr>
          <w:rFonts w:ascii="Arial" w:hAnsi="Arial" w:cs="Arial"/>
          <w:color w:val="000000" w:themeColor="text1"/>
        </w:rPr>
        <w:t>(</w:t>
      </w:r>
      <w:r w:rsidRPr="00BC1463">
        <w:rPr>
          <w:rFonts w:ascii="Arial" w:hAnsi="Arial" w:cs="Arial"/>
          <w:color w:val="000000" w:themeColor="text1"/>
        </w:rPr>
        <w:t>Accessed</w:t>
      </w:r>
      <w:r w:rsidRPr="00BC1463">
        <w:rPr>
          <w:rFonts w:ascii="Arial" w:hAnsi="Arial" w:cs="Arial"/>
          <w:color w:val="000000" w:themeColor="text1"/>
        </w:rPr>
        <w:t>: 20/04/2023).</w:t>
      </w:r>
    </w:p>
    <w:p w14:paraId="59F37531"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4F4DB3EF"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7AD1CD54" w14:textId="77777777" w:rsidR="00BC1463" w:rsidRPr="00BC1463" w:rsidRDefault="00BC1463" w:rsidP="00BC1463">
      <w:pPr>
        <w:tabs>
          <w:tab w:val="left" w:pos="8223"/>
        </w:tabs>
        <w:jc w:val="both"/>
        <w:rPr>
          <w:rFonts w:ascii="Arial" w:hAnsi="Arial" w:cs="Arial"/>
          <w:color w:val="000000" w:themeColor="text1"/>
          <w:shd w:val="clear" w:color="auto" w:fill="FFFFFF"/>
        </w:rPr>
      </w:pPr>
      <w:proofErr w:type="spellStart"/>
      <w:r w:rsidRPr="00BC1463">
        <w:rPr>
          <w:rFonts w:ascii="Arial" w:hAnsi="Arial" w:cs="Arial"/>
          <w:color w:val="000000" w:themeColor="text1"/>
          <w:shd w:val="clear" w:color="auto" w:fill="FFFFFF"/>
        </w:rPr>
        <w:lastRenderedPageBreak/>
        <w:t>Havard</w:t>
      </w:r>
      <w:proofErr w:type="spellEnd"/>
      <w:r w:rsidRPr="00BC1463">
        <w:rPr>
          <w:rFonts w:ascii="Arial" w:hAnsi="Arial" w:cs="Arial"/>
          <w:color w:val="000000" w:themeColor="text1"/>
          <w:shd w:val="clear" w:color="auto" w:fill="FFFFFF"/>
        </w:rPr>
        <w:t xml:space="preserve"> TE, Lefevre M (2020) Beyond the power and control wheel: How abusive men manipulate mobile phone technologies to facilitate coercive control.</w:t>
      </w:r>
      <w:r w:rsidRPr="00BC1463">
        <w:rPr>
          <w:rStyle w:val="apple-converted-space"/>
          <w:rFonts w:ascii="Arial" w:hAnsi="Arial" w:cs="Arial"/>
          <w:color w:val="000000" w:themeColor="text1"/>
          <w:shd w:val="clear" w:color="auto" w:fill="FFFFFF"/>
        </w:rPr>
        <w:t> </w:t>
      </w:r>
      <w:r w:rsidRPr="00BC1463">
        <w:rPr>
          <w:rStyle w:val="Emphasis"/>
          <w:rFonts w:ascii="Arial" w:hAnsi="Arial" w:cs="Arial"/>
          <w:color w:val="000000" w:themeColor="text1"/>
        </w:rPr>
        <w:t>Journal of Gender-based Violence</w:t>
      </w:r>
      <w:r w:rsidRPr="00BC1463">
        <w:rPr>
          <w:rStyle w:val="apple-converted-space"/>
          <w:rFonts w:ascii="Arial" w:hAnsi="Arial" w:cs="Arial"/>
          <w:color w:val="000000" w:themeColor="text1"/>
          <w:shd w:val="clear" w:color="auto" w:fill="FFFFFF"/>
        </w:rPr>
        <w:t> </w:t>
      </w:r>
      <w:r w:rsidRPr="00BC1463">
        <w:rPr>
          <w:rFonts w:ascii="Arial" w:hAnsi="Arial" w:cs="Arial"/>
          <w:color w:val="000000" w:themeColor="text1"/>
          <w:shd w:val="clear" w:color="auto" w:fill="FFFFFF"/>
        </w:rPr>
        <w:t>4: 223–239.</w:t>
      </w:r>
    </w:p>
    <w:p w14:paraId="5DBF14F6" w14:textId="77777777" w:rsidR="00BC1463" w:rsidRPr="00BC1463" w:rsidRDefault="00BC1463" w:rsidP="00BC1463">
      <w:pPr>
        <w:tabs>
          <w:tab w:val="left" w:pos="8223"/>
        </w:tabs>
        <w:jc w:val="both"/>
        <w:rPr>
          <w:rFonts w:ascii="Arial" w:hAnsi="Arial" w:cs="Arial"/>
          <w:color w:val="000000" w:themeColor="text1"/>
          <w:shd w:val="clear" w:color="auto" w:fill="FFFFFF"/>
        </w:rPr>
      </w:pPr>
    </w:p>
    <w:p w14:paraId="06940E8B"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roofErr w:type="spellStart"/>
      <w:r w:rsidRPr="00BC1463">
        <w:rPr>
          <w:rFonts w:ascii="Arial" w:hAnsi="Arial" w:cs="Arial"/>
          <w:color w:val="000000" w:themeColor="text1"/>
        </w:rPr>
        <w:t>Havard</w:t>
      </w:r>
      <w:proofErr w:type="spellEnd"/>
      <w:r w:rsidRPr="00BC1463">
        <w:rPr>
          <w:rFonts w:ascii="Arial" w:hAnsi="Arial" w:cs="Arial"/>
          <w:color w:val="000000" w:themeColor="text1"/>
        </w:rPr>
        <w:t xml:space="preserve">, T.E., </w:t>
      </w:r>
      <w:proofErr w:type="spellStart"/>
      <w:r w:rsidRPr="00BC1463">
        <w:rPr>
          <w:rFonts w:ascii="Arial" w:hAnsi="Arial" w:cs="Arial"/>
          <w:color w:val="000000" w:themeColor="text1"/>
        </w:rPr>
        <w:t>Densley</w:t>
      </w:r>
      <w:proofErr w:type="spellEnd"/>
      <w:r w:rsidRPr="00BC1463">
        <w:rPr>
          <w:rFonts w:ascii="Arial" w:hAnsi="Arial" w:cs="Arial"/>
          <w:color w:val="000000" w:themeColor="text1"/>
        </w:rPr>
        <w:t>, J.A., Whittaker, A. and Wills, J. (2021). Street gangs and coercive control: The gendered exploitation of young women and girls in county lines.</w:t>
      </w:r>
      <w:r w:rsidRPr="00BC1463">
        <w:rPr>
          <w:rStyle w:val="apple-converted-space"/>
          <w:rFonts w:ascii="Arial" w:hAnsi="Arial" w:cs="Arial"/>
          <w:color w:val="000000" w:themeColor="text1"/>
        </w:rPr>
        <w:t> </w:t>
      </w:r>
      <w:r w:rsidRPr="00BC1463">
        <w:rPr>
          <w:rFonts w:ascii="Arial" w:hAnsi="Arial" w:cs="Arial"/>
          <w:i/>
          <w:iCs/>
          <w:color w:val="000000" w:themeColor="text1"/>
        </w:rPr>
        <w:t>Criminology &amp; Criminal Justice</w:t>
      </w:r>
      <w:r w:rsidRPr="00BC1463">
        <w:rPr>
          <w:rFonts w:ascii="Arial" w:hAnsi="Arial" w:cs="Arial"/>
          <w:color w:val="000000" w:themeColor="text1"/>
        </w:rPr>
        <w:t xml:space="preserve">, pp.1–17. </w:t>
      </w:r>
    </w:p>
    <w:p w14:paraId="1FC244B0"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2CFCFFC7" w14:textId="7A79FFAF" w:rsidR="00675BD1" w:rsidRPr="00BC1463" w:rsidRDefault="00675BD1" w:rsidP="00BC1463">
      <w:pPr>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 xml:space="preserve">Hess, K.M., </w:t>
      </w:r>
      <w:proofErr w:type="spellStart"/>
      <w:r w:rsidRPr="00BC1463">
        <w:rPr>
          <w:rFonts w:ascii="Arial" w:hAnsi="Arial" w:cs="Arial"/>
          <w:color w:val="000000" w:themeColor="text1"/>
          <w:shd w:val="clear" w:color="auto" w:fill="FFFFFF"/>
        </w:rPr>
        <w:t>Orthmann</w:t>
      </w:r>
      <w:proofErr w:type="spellEnd"/>
      <w:r w:rsidRPr="00BC1463">
        <w:rPr>
          <w:rFonts w:ascii="Arial" w:hAnsi="Arial" w:cs="Arial"/>
          <w:color w:val="000000" w:themeColor="text1"/>
          <w:shd w:val="clear" w:color="auto" w:fill="FFFFFF"/>
        </w:rPr>
        <w:t>, C.H. and Cho, H.L., 2022.</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Criminal investigation</w:t>
      </w:r>
      <w:r w:rsidRPr="00BC1463">
        <w:rPr>
          <w:rFonts w:ascii="Arial" w:hAnsi="Arial" w:cs="Arial"/>
          <w:color w:val="000000" w:themeColor="text1"/>
          <w:shd w:val="clear" w:color="auto" w:fill="FFFFFF"/>
        </w:rPr>
        <w:t>. Cengage Learning.</w:t>
      </w:r>
      <w:r w:rsidRPr="00BC1463">
        <w:rPr>
          <w:rFonts w:ascii="Arial" w:hAnsi="Arial" w:cs="Arial"/>
          <w:color w:val="000000" w:themeColor="text1"/>
          <w:shd w:val="clear" w:color="auto" w:fill="FFFFFF"/>
        </w:rPr>
        <w:t xml:space="preserve"> Pp </w:t>
      </w:r>
      <w:r w:rsidRPr="00BC1463">
        <w:rPr>
          <w:rFonts w:ascii="Arial" w:hAnsi="Arial" w:cs="Arial"/>
          <w:color w:val="000000" w:themeColor="text1"/>
          <w:shd w:val="clear" w:color="auto" w:fill="FFFFFF"/>
        </w:rPr>
        <w:t xml:space="preserve">4 – 7 </w:t>
      </w:r>
    </w:p>
    <w:p w14:paraId="6E46CB95"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31E044DF" w14:textId="77AFCDE0"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HM Government (2018).</w:t>
      </w:r>
      <w:r w:rsidRPr="00BC1463">
        <w:rPr>
          <w:rStyle w:val="apple-converted-space"/>
          <w:rFonts w:ascii="Arial" w:hAnsi="Arial" w:cs="Arial"/>
          <w:color w:val="000000" w:themeColor="text1"/>
        </w:rPr>
        <w:t> </w:t>
      </w:r>
      <w:r w:rsidRPr="00BC1463">
        <w:rPr>
          <w:rFonts w:ascii="Arial" w:hAnsi="Arial" w:cs="Arial"/>
          <w:i/>
          <w:iCs/>
          <w:color w:val="000000" w:themeColor="text1"/>
        </w:rPr>
        <w:t>Serious and Organised Crime Strategy Cm 9718</w:t>
      </w:r>
      <w:r w:rsidRPr="00BC1463">
        <w:rPr>
          <w:rFonts w:ascii="Arial" w:hAnsi="Arial" w:cs="Arial"/>
          <w:color w:val="000000" w:themeColor="text1"/>
        </w:rPr>
        <w:t xml:space="preserve">. [online] Available at: </w:t>
      </w:r>
      <w:hyperlink r:id="rId17" w:history="1">
        <w:r w:rsidRPr="00BC1463">
          <w:rPr>
            <w:rStyle w:val="Hyperlink"/>
            <w:rFonts w:ascii="Arial" w:hAnsi="Arial" w:cs="Arial"/>
            <w:color w:val="000000" w:themeColor="text1"/>
          </w:rPr>
          <w:t>https://assets.publishing.service.gov.uk/government/uploads/system/uploads/attachment_data/file/752850/SOC-2018-web.pdf</w:t>
        </w:r>
      </w:hyperlink>
      <w:r w:rsidRPr="00BC1463">
        <w:rPr>
          <w:rFonts w:ascii="Arial" w:hAnsi="Arial" w:cs="Arial"/>
          <w:color w:val="000000" w:themeColor="text1"/>
        </w:rPr>
        <w:t>.</w:t>
      </w:r>
      <w:r w:rsidRPr="00BC1463">
        <w:rPr>
          <w:rFonts w:ascii="Arial" w:hAnsi="Arial" w:cs="Arial"/>
          <w:color w:val="000000" w:themeColor="text1"/>
        </w:rPr>
        <w:t xml:space="preserve"> (Accessed: 19/05/2023).</w:t>
      </w:r>
    </w:p>
    <w:p w14:paraId="2AF9A746"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36685265" w14:textId="4390794B"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HMICFRS (2022).</w:t>
      </w:r>
      <w:r w:rsidRPr="00BC1463">
        <w:rPr>
          <w:rStyle w:val="apple-converted-space"/>
          <w:rFonts w:ascii="Arial" w:hAnsi="Arial" w:cs="Arial"/>
          <w:color w:val="000000" w:themeColor="text1"/>
        </w:rPr>
        <w:t> </w:t>
      </w:r>
      <w:r w:rsidRPr="00BC1463">
        <w:rPr>
          <w:rFonts w:ascii="Arial" w:hAnsi="Arial" w:cs="Arial"/>
          <w:i/>
          <w:iCs/>
          <w:color w:val="000000" w:themeColor="text1"/>
        </w:rPr>
        <w:t xml:space="preserve">The police response to burglary, </w:t>
      </w:r>
      <w:proofErr w:type="gramStart"/>
      <w:r w:rsidRPr="00BC1463">
        <w:rPr>
          <w:rFonts w:ascii="Arial" w:hAnsi="Arial" w:cs="Arial"/>
          <w:i/>
          <w:iCs/>
          <w:color w:val="000000" w:themeColor="text1"/>
        </w:rPr>
        <w:t>robbery</w:t>
      </w:r>
      <w:proofErr w:type="gramEnd"/>
      <w:r w:rsidRPr="00BC1463">
        <w:rPr>
          <w:rFonts w:ascii="Arial" w:hAnsi="Arial" w:cs="Arial"/>
          <w:i/>
          <w:iCs/>
          <w:color w:val="000000" w:themeColor="text1"/>
        </w:rPr>
        <w:t xml:space="preserve"> and other acquisitive crime - Finding time for crime</w:t>
      </w:r>
      <w:r w:rsidRPr="00BC1463">
        <w:rPr>
          <w:rFonts w:ascii="Arial" w:hAnsi="Arial" w:cs="Arial"/>
          <w:color w:val="000000" w:themeColor="text1"/>
        </w:rPr>
        <w:t xml:space="preserve">. [online] HMICFRS. Available at: </w:t>
      </w:r>
      <w:hyperlink r:id="rId18" w:history="1">
        <w:r w:rsidRPr="00BC1463">
          <w:rPr>
            <w:rStyle w:val="Hyperlink"/>
            <w:rFonts w:ascii="Arial" w:hAnsi="Arial" w:cs="Arial"/>
            <w:color w:val="000000" w:themeColor="text1"/>
          </w:rPr>
          <w:t>https://www.justiceinspectorates.gov.uk/hmicfrs/publication-html/police-response-to-burglary-robbery-and-other-acquisitive-crime/</w:t>
        </w:r>
      </w:hyperlink>
      <w:r w:rsidRPr="00BC1463">
        <w:rPr>
          <w:rFonts w:ascii="Arial" w:hAnsi="Arial" w:cs="Arial"/>
          <w:color w:val="000000" w:themeColor="text1"/>
        </w:rPr>
        <w:t>.</w:t>
      </w:r>
      <w:r w:rsidRPr="00BC1463">
        <w:rPr>
          <w:rFonts w:ascii="Arial" w:hAnsi="Arial" w:cs="Arial"/>
          <w:color w:val="000000" w:themeColor="text1"/>
        </w:rPr>
        <w:t xml:space="preserve"> (Accessed: 19/05/2023).</w:t>
      </w:r>
    </w:p>
    <w:p w14:paraId="097A5DAC"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0E71769E"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71ECC532" w14:textId="26F8E1FF"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Home Office (2018).</w:t>
      </w:r>
      <w:r w:rsidRPr="00BC1463">
        <w:rPr>
          <w:rStyle w:val="apple-converted-space"/>
          <w:rFonts w:ascii="Arial" w:hAnsi="Arial" w:cs="Arial"/>
          <w:color w:val="000000" w:themeColor="text1"/>
        </w:rPr>
        <w:t> </w:t>
      </w:r>
      <w:r w:rsidRPr="00BC1463">
        <w:rPr>
          <w:rFonts w:ascii="Arial" w:hAnsi="Arial" w:cs="Arial"/>
          <w:i/>
          <w:iCs/>
          <w:color w:val="000000" w:themeColor="text1"/>
        </w:rPr>
        <w:t>Criminal Exploitation of Children and Vulnerable adults: County Lines Guidance</w:t>
      </w:r>
      <w:r w:rsidRPr="00BC1463">
        <w:rPr>
          <w:rFonts w:ascii="Arial" w:hAnsi="Arial" w:cs="Arial"/>
          <w:color w:val="000000" w:themeColor="text1"/>
        </w:rPr>
        <w:t xml:space="preserve">. [online] Home Office. Available at: </w:t>
      </w:r>
      <w:hyperlink r:id="rId19" w:history="1">
        <w:r w:rsidRPr="00BC1463">
          <w:rPr>
            <w:rStyle w:val="Hyperlink"/>
            <w:rFonts w:ascii="Arial" w:hAnsi="Arial" w:cs="Arial"/>
            <w:color w:val="000000" w:themeColor="text1"/>
          </w:rPr>
          <w:t>https://assets.publishing.service.gov.uk/government/uploads/system/uploads/attachment_data/file/863323/HOCountyLinesGuidance_-_Sept2018.pdf</w:t>
        </w:r>
      </w:hyperlink>
      <w:r w:rsidRPr="00BC1463">
        <w:rPr>
          <w:rFonts w:ascii="Arial" w:hAnsi="Arial" w:cs="Arial"/>
          <w:color w:val="000000" w:themeColor="text1"/>
        </w:rPr>
        <w:t>.</w:t>
      </w:r>
      <w:r w:rsidRPr="00BC1463">
        <w:rPr>
          <w:rFonts w:ascii="Arial" w:hAnsi="Arial" w:cs="Arial"/>
          <w:color w:val="000000" w:themeColor="text1"/>
        </w:rPr>
        <w:t xml:space="preserve"> (Accessed: 15/05/2023).</w:t>
      </w:r>
    </w:p>
    <w:p w14:paraId="15AEE751"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7AE3532D" w14:textId="4399702D" w:rsidR="00675BD1" w:rsidRPr="00BC1463" w:rsidRDefault="00675BD1" w:rsidP="00BC1463">
      <w:pPr>
        <w:pStyle w:val="NormalWeb"/>
        <w:shd w:val="clear" w:color="auto" w:fill="FFFFFF"/>
        <w:jc w:val="both"/>
        <w:rPr>
          <w:rFonts w:ascii="Arial" w:hAnsi="Arial" w:cs="Arial"/>
          <w:color w:val="000000" w:themeColor="text1"/>
        </w:rPr>
      </w:pPr>
      <w:r w:rsidRPr="00BC1463">
        <w:rPr>
          <w:rFonts w:ascii="Arial" w:hAnsi="Arial" w:cs="Arial"/>
          <w:color w:val="000000" w:themeColor="text1"/>
        </w:rPr>
        <w:t>‌</w:t>
      </w:r>
      <w:r w:rsidRPr="00BC1463">
        <w:rPr>
          <w:rFonts w:ascii="Arial" w:hAnsi="Arial" w:cs="Arial"/>
          <w:color w:val="000000" w:themeColor="text1"/>
          <w:shd w:val="clear" w:color="auto" w:fill="FFFFFF"/>
        </w:rPr>
        <w:t xml:space="preserve"> Hurley, M. and Boulton, L.J., 2021. Early identification and intervention with individuals at risk of becoming involved in serious and organised crime (SOC).</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Safer communities</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20</w:t>
      </w:r>
      <w:r w:rsidRPr="00BC1463">
        <w:rPr>
          <w:rFonts w:ascii="Arial" w:hAnsi="Arial" w:cs="Arial"/>
          <w:color w:val="000000" w:themeColor="text1"/>
          <w:shd w:val="clear" w:color="auto" w:fill="FFFFFF"/>
        </w:rPr>
        <w:t>(2), pp.73-84.</w:t>
      </w:r>
    </w:p>
    <w:p w14:paraId="5C6C6074" w14:textId="77777777" w:rsidR="00BC1463" w:rsidRPr="00BC1463" w:rsidRDefault="00BC1463"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Johnson, S.D., Bowers, K. and Hirschfield, A., 1997. New insights into the spatial and temporal distribution of repeat victimization.</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The British Journal of Criminology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37</w:t>
      </w:r>
      <w:r w:rsidRPr="00BC1463">
        <w:rPr>
          <w:rFonts w:ascii="Arial" w:hAnsi="Arial" w:cs="Arial"/>
          <w:color w:val="000000" w:themeColor="text1"/>
          <w:shd w:val="clear" w:color="auto" w:fill="FFFFFF"/>
        </w:rPr>
        <w:t>(2), pp.224-241.</w:t>
      </w:r>
    </w:p>
    <w:p w14:paraId="180B2076" w14:textId="142E6B68"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 xml:space="preserve">‌ Johnson, </w:t>
      </w:r>
      <w:proofErr w:type="gramStart"/>
      <w:r w:rsidRPr="00BC1463">
        <w:rPr>
          <w:rFonts w:ascii="Arial" w:hAnsi="Arial" w:cs="Arial"/>
          <w:color w:val="000000" w:themeColor="text1"/>
        </w:rPr>
        <w:t>S.D.</w:t>
      </w:r>
      <w:proofErr w:type="gramEnd"/>
      <w:r w:rsidRPr="00BC1463">
        <w:rPr>
          <w:rFonts w:ascii="Arial" w:hAnsi="Arial" w:cs="Arial"/>
          <w:color w:val="000000" w:themeColor="text1"/>
        </w:rPr>
        <w:t xml:space="preserve"> and Bowers, K.J. (2004). The Burglary as Clue to the Future.</w:t>
      </w:r>
      <w:r w:rsidRPr="00BC1463">
        <w:rPr>
          <w:rStyle w:val="apple-converted-space"/>
          <w:rFonts w:ascii="Arial" w:hAnsi="Arial" w:cs="Arial"/>
          <w:color w:val="000000" w:themeColor="text1"/>
        </w:rPr>
        <w:t> </w:t>
      </w:r>
      <w:r w:rsidRPr="00BC1463">
        <w:rPr>
          <w:rFonts w:ascii="Arial" w:hAnsi="Arial" w:cs="Arial"/>
          <w:i/>
          <w:iCs/>
          <w:color w:val="000000" w:themeColor="text1"/>
        </w:rPr>
        <w:t>European Journal of Criminology</w:t>
      </w:r>
      <w:r w:rsidRPr="00BC1463">
        <w:rPr>
          <w:rFonts w:ascii="Arial" w:hAnsi="Arial" w:cs="Arial"/>
          <w:color w:val="000000" w:themeColor="text1"/>
        </w:rPr>
        <w:t>, 1(2), pp.237–255.</w:t>
      </w:r>
    </w:p>
    <w:p w14:paraId="3995D1AB"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58C5759A" w14:textId="2A3D7E99" w:rsidR="00BC1463" w:rsidRPr="00BC1463" w:rsidRDefault="00675BD1"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lastRenderedPageBreak/>
        <w:t>Kahn, K.B., Steele, J.S., McMahon, J.M. and Stewart, G., 2017. How suspect race affects police use of force in an interaction over time.</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 xml:space="preserve">Law and human </w:t>
      </w:r>
      <w:proofErr w:type="spellStart"/>
      <w:r w:rsidRPr="00BC1463">
        <w:rPr>
          <w:rFonts w:ascii="Arial" w:hAnsi="Arial" w:cs="Arial"/>
          <w:i/>
          <w:iCs/>
          <w:color w:val="000000" w:themeColor="text1"/>
        </w:rPr>
        <w:t>behavior</w:t>
      </w:r>
      <w:proofErr w:type="spellEnd"/>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41</w:t>
      </w:r>
      <w:r w:rsidRPr="00BC1463">
        <w:rPr>
          <w:rFonts w:ascii="Arial" w:hAnsi="Arial" w:cs="Arial"/>
          <w:color w:val="000000" w:themeColor="text1"/>
          <w:shd w:val="clear" w:color="auto" w:fill="FFFFFF"/>
        </w:rPr>
        <w:t>(2), p.117.</w:t>
      </w:r>
    </w:p>
    <w:p w14:paraId="7ECB360D" w14:textId="6E77C605" w:rsidR="00675BD1" w:rsidRPr="00BC1463" w:rsidRDefault="00BC1463"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 xml:space="preserve">Kershaw, C. and </w:t>
      </w:r>
      <w:proofErr w:type="spellStart"/>
      <w:r w:rsidRPr="00BC1463">
        <w:rPr>
          <w:rFonts w:ascii="Arial" w:hAnsi="Arial" w:cs="Arial"/>
          <w:color w:val="000000" w:themeColor="text1"/>
          <w:shd w:val="clear" w:color="auto" w:fill="FFFFFF"/>
        </w:rPr>
        <w:t>Tseloni</w:t>
      </w:r>
      <w:proofErr w:type="spellEnd"/>
      <w:r w:rsidRPr="00BC1463">
        <w:rPr>
          <w:rFonts w:ascii="Arial" w:hAnsi="Arial" w:cs="Arial"/>
          <w:color w:val="000000" w:themeColor="text1"/>
          <w:shd w:val="clear" w:color="auto" w:fill="FFFFFF"/>
        </w:rPr>
        <w:t>, A., 2005. Predicting crime rates, fear and disorder based on area information: Evidence from the 2000 British Crime Survey.</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International Review of Victimology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12</w:t>
      </w:r>
      <w:r w:rsidRPr="00BC1463">
        <w:rPr>
          <w:rFonts w:ascii="Arial" w:hAnsi="Arial" w:cs="Arial"/>
          <w:color w:val="000000" w:themeColor="text1"/>
          <w:shd w:val="clear" w:color="auto" w:fill="FFFFFF"/>
        </w:rPr>
        <w:t>(3), pp.293-311.</w:t>
      </w:r>
    </w:p>
    <w:p w14:paraId="54EF5ABE" w14:textId="7DC1FF32"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 xml:space="preserve">‌ </w:t>
      </w:r>
      <w:proofErr w:type="spellStart"/>
      <w:r w:rsidRPr="00BC1463">
        <w:rPr>
          <w:rFonts w:ascii="Arial" w:hAnsi="Arial" w:cs="Arial"/>
          <w:color w:val="000000" w:themeColor="text1"/>
        </w:rPr>
        <w:t>Kitteringham</w:t>
      </w:r>
      <w:proofErr w:type="spellEnd"/>
      <w:r w:rsidRPr="00BC1463">
        <w:rPr>
          <w:rFonts w:ascii="Arial" w:hAnsi="Arial" w:cs="Arial"/>
          <w:color w:val="000000" w:themeColor="text1"/>
        </w:rPr>
        <w:t>, G. and Fennelly, L.J. (2020).</w:t>
      </w:r>
      <w:r w:rsidRPr="00BC1463">
        <w:rPr>
          <w:rStyle w:val="apple-converted-space"/>
          <w:rFonts w:ascii="Arial" w:hAnsi="Arial" w:cs="Arial"/>
          <w:color w:val="000000" w:themeColor="text1"/>
        </w:rPr>
        <w:t> </w:t>
      </w:r>
      <w:r w:rsidRPr="00BC1463">
        <w:rPr>
          <w:rFonts w:ascii="Arial" w:hAnsi="Arial" w:cs="Arial"/>
          <w:i/>
          <w:iCs/>
          <w:color w:val="000000" w:themeColor="text1"/>
        </w:rPr>
        <w:t>Routine Activity Theory - an overview | ScienceDirect Topics</w:t>
      </w:r>
      <w:r w:rsidRPr="00BC1463">
        <w:rPr>
          <w:rFonts w:ascii="Arial" w:hAnsi="Arial" w:cs="Arial"/>
          <w:color w:val="000000" w:themeColor="text1"/>
        </w:rPr>
        <w:t xml:space="preserve">. [online] www.sciencedirect.com. Available at: </w:t>
      </w:r>
      <w:hyperlink r:id="rId20" w:history="1">
        <w:r w:rsidRPr="00BC1463">
          <w:rPr>
            <w:rStyle w:val="Hyperlink"/>
            <w:rFonts w:ascii="Arial" w:hAnsi="Arial" w:cs="Arial"/>
            <w:color w:val="000000" w:themeColor="text1"/>
          </w:rPr>
          <w:t>https://www.sciencedirect.com/topics/social-sciences/routine-activity-theory</w:t>
        </w:r>
      </w:hyperlink>
      <w:r w:rsidRPr="00BC1463">
        <w:rPr>
          <w:rFonts w:ascii="Arial" w:hAnsi="Arial" w:cs="Arial"/>
          <w:color w:val="000000" w:themeColor="text1"/>
        </w:rPr>
        <w:t>.</w:t>
      </w:r>
      <w:r w:rsidRPr="00BC1463">
        <w:rPr>
          <w:rFonts w:ascii="Arial" w:hAnsi="Arial" w:cs="Arial"/>
          <w:color w:val="000000" w:themeColor="text1"/>
        </w:rPr>
        <w:t xml:space="preserve"> (Accessed:20/05/2023).</w:t>
      </w:r>
    </w:p>
    <w:p w14:paraId="04C15F72"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1F85175F" w14:textId="08102568"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Legislation.gov.uk. (2018).</w:t>
      </w:r>
      <w:r w:rsidRPr="00BC1463">
        <w:rPr>
          <w:rStyle w:val="apple-converted-space"/>
          <w:rFonts w:ascii="Arial" w:hAnsi="Arial" w:cs="Arial"/>
          <w:color w:val="000000" w:themeColor="text1"/>
        </w:rPr>
        <w:t> </w:t>
      </w:r>
      <w:r w:rsidRPr="00BC1463">
        <w:rPr>
          <w:rFonts w:ascii="Arial" w:hAnsi="Arial" w:cs="Arial"/>
          <w:i/>
          <w:iCs/>
          <w:color w:val="000000" w:themeColor="text1"/>
        </w:rPr>
        <w:t>Criminal Procedure and Investigations Act 1996</w:t>
      </w:r>
      <w:r w:rsidRPr="00BC1463">
        <w:rPr>
          <w:rFonts w:ascii="Arial" w:hAnsi="Arial" w:cs="Arial"/>
          <w:color w:val="000000" w:themeColor="text1"/>
        </w:rPr>
        <w:t xml:space="preserve">. [online] Available at: </w:t>
      </w:r>
      <w:hyperlink r:id="rId21" w:history="1">
        <w:r w:rsidRPr="00BC1463">
          <w:rPr>
            <w:rStyle w:val="Hyperlink"/>
            <w:rFonts w:ascii="Arial" w:hAnsi="Arial" w:cs="Arial"/>
            <w:color w:val="000000" w:themeColor="text1"/>
          </w:rPr>
          <w:t>https://www.legislation.gov.uk/ukpga/1996/25/part/II</w:t>
        </w:r>
      </w:hyperlink>
      <w:r w:rsidRPr="00BC1463">
        <w:rPr>
          <w:rFonts w:ascii="Arial" w:hAnsi="Arial" w:cs="Arial"/>
          <w:color w:val="000000" w:themeColor="text1"/>
        </w:rPr>
        <w:t xml:space="preserve"> </w:t>
      </w:r>
      <w:r w:rsidR="00BC1463" w:rsidRPr="00BC1463">
        <w:rPr>
          <w:rFonts w:ascii="Arial" w:hAnsi="Arial" w:cs="Arial"/>
          <w:color w:val="000000" w:themeColor="text1"/>
        </w:rPr>
        <w:t xml:space="preserve"> (Accessed: 19/05/2023).</w:t>
      </w:r>
    </w:p>
    <w:p w14:paraId="54CB8A4A"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57795AC2" w14:textId="051264E4"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Macpherson, W. (1999).</w:t>
      </w:r>
      <w:r w:rsidRPr="00BC1463">
        <w:rPr>
          <w:rStyle w:val="apple-converted-space"/>
          <w:rFonts w:ascii="Arial" w:hAnsi="Arial" w:cs="Arial"/>
          <w:color w:val="000000" w:themeColor="text1"/>
        </w:rPr>
        <w:t> </w:t>
      </w:r>
      <w:r w:rsidRPr="00BC1463">
        <w:rPr>
          <w:rFonts w:ascii="Arial" w:hAnsi="Arial" w:cs="Arial"/>
          <w:i/>
          <w:iCs/>
          <w:color w:val="000000" w:themeColor="text1"/>
        </w:rPr>
        <w:t>THE STEPHEN LAWRENCE INQUIRY</w:t>
      </w:r>
      <w:r w:rsidRPr="00BC1463">
        <w:rPr>
          <w:rFonts w:ascii="Arial" w:hAnsi="Arial" w:cs="Arial"/>
          <w:color w:val="000000" w:themeColor="text1"/>
        </w:rPr>
        <w:t>. [online]</w:t>
      </w:r>
      <w:r w:rsidRPr="00BC1463">
        <w:rPr>
          <w:rStyle w:val="apple-converted-space"/>
          <w:rFonts w:ascii="Arial" w:hAnsi="Arial" w:cs="Arial"/>
          <w:color w:val="000000" w:themeColor="text1"/>
        </w:rPr>
        <w:t> </w:t>
      </w:r>
      <w:r w:rsidRPr="00BC1463">
        <w:rPr>
          <w:rFonts w:ascii="Arial" w:hAnsi="Arial" w:cs="Arial"/>
          <w:i/>
          <w:iCs/>
          <w:color w:val="000000" w:themeColor="text1"/>
        </w:rPr>
        <w:t>Gov.Uk</w:t>
      </w:r>
      <w:r w:rsidRPr="00BC1463">
        <w:rPr>
          <w:rFonts w:ascii="Arial" w:hAnsi="Arial" w:cs="Arial"/>
          <w:color w:val="000000" w:themeColor="text1"/>
        </w:rPr>
        <w:t xml:space="preserve">. Available at: </w:t>
      </w:r>
      <w:hyperlink r:id="rId22" w:history="1">
        <w:r w:rsidRPr="00BC1463">
          <w:rPr>
            <w:rStyle w:val="Hyperlink"/>
            <w:rFonts w:ascii="Arial" w:hAnsi="Arial" w:cs="Arial"/>
            <w:color w:val="000000" w:themeColor="text1"/>
          </w:rPr>
          <w:t>https://assets.publishing.service.gov.uk/government/uploads/system/uploads/attachment_data/file/277111/4262.pdf</w:t>
        </w:r>
      </w:hyperlink>
      <w:r w:rsidRPr="00BC1463">
        <w:rPr>
          <w:rFonts w:ascii="Arial" w:hAnsi="Arial" w:cs="Arial"/>
          <w:color w:val="000000" w:themeColor="text1"/>
        </w:rPr>
        <w:t>.</w:t>
      </w:r>
      <w:r w:rsidRPr="00BC1463">
        <w:rPr>
          <w:rFonts w:ascii="Arial" w:hAnsi="Arial" w:cs="Arial"/>
          <w:color w:val="000000" w:themeColor="text1"/>
        </w:rPr>
        <w:t xml:space="preserve"> (Accessed: 2</w:t>
      </w:r>
      <w:r w:rsidR="00BC1463" w:rsidRPr="00BC1463">
        <w:rPr>
          <w:rFonts w:ascii="Arial" w:hAnsi="Arial" w:cs="Arial"/>
          <w:color w:val="000000" w:themeColor="text1"/>
        </w:rPr>
        <w:t>0</w:t>
      </w:r>
      <w:r w:rsidRPr="00BC1463">
        <w:rPr>
          <w:rFonts w:ascii="Arial" w:hAnsi="Arial" w:cs="Arial"/>
          <w:color w:val="000000" w:themeColor="text1"/>
        </w:rPr>
        <w:t>/05/2023).</w:t>
      </w:r>
    </w:p>
    <w:p w14:paraId="43315AE8"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7E998FC9" w14:textId="5E299E93"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roofErr w:type="spellStart"/>
      <w:r w:rsidRPr="00BC1463">
        <w:rPr>
          <w:rFonts w:ascii="Arial" w:hAnsi="Arial" w:cs="Arial"/>
          <w:color w:val="000000" w:themeColor="text1"/>
        </w:rPr>
        <w:t>M</w:t>
      </w:r>
      <w:r w:rsidRPr="00BC1463">
        <w:rPr>
          <w:rFonts w:ascii="Arial" w:hAnsi="Arial" w:cs="Arial"/>
          <w:color w:val="000000" w:themeColor="text1"/>
        </w:rPr>
        <w:t>adeodev</w:t>
      </w:r>
      <w:proofErr w:type="spellEnd"/>
      <w:r w:rsidRPr="00BC1463">
        <w:rPr>
          <w:rFonts w:ascii="Arial" w:hAnsi="Arial" w:cs="Arial"/>
          <w:color w:val="000000" w:themeColor="text1"/>
        </w:rPr>
        <w:t xml:space="preserve"> (2021).</w:t>
      </w:r>
      <w:r w:rsidRPr="00BC1463">
        <w:rPr>
          <w:rStyle w:val="apple-converted-space"/>
          <w:rFonts w:ascii="Arial" w:hAnsi="Arial" w:cs="Arial"/>
          <w:color w:val="000000" w:themeColor="text1"/>
        </w:rPr>
        <w:t> </w:t>
      </w:r>
      <w:r w:rsidRPr="00BC1463">
        <w:rPr>
          <w:rFonts w:ascii="Arial" w:hAnsi="Arial" w:cs="Arial"/>
          <w:i/>
          <w:iCs/>
          <w:color w:val="000000" w:themeColor="text1"/>
        </w:rPr>
        <w:t>What Is Cognitive Bias and How Does It Contribute to Wrongful Conviction</w:t>
      </w:r>
      <w:r w:rsidRPr="00BC1463">
        <w:rPr>
          <w:rFonts w:ascii="Arial" w:hAnsi="Arial" w:cs="Arial"/>
          <w:color w:val="000000" w:themeColor="text1"/>
        </w:rPr>
        <w:t xml:space="preserve">. [online] Innocence Project. Available at: </w:t>
      </w:r>
      <w:hyperlink r:id="rId23" w:history="1">
        <w:r w:rsidRPr="00BC1463">
          <w:rPr>
            <w:rStyle w:val="Hyperlink"/>
            <w:rFonts w:ascii="Arial" w:hAnsi="Arial" w:cs="Arial"/>
            <w:color w:val="000000" w:themeColor="text1"/>
          </w:rPr>
          <w:t>https://innocenceproject.org/news/what-is-cognitive-bias-how-it-contributes-to-wrongful-conviction/</w:t>
        </w:r>
      </w:hyperlink>
      <w:r w:rsidRPr="00BC1463">
        <w:rPr>
          <w:rFonts w:ascii="Arial" w:hAnsi="Arial" w:cs="Arial"/>
          <w:color w:val="000000" w:themeColor="text1"/>
        </w:rPr>
        <w:t xml:space="preserve"> </w:t>
      </w:r>
      <w:r w:rsidRPr="00BC1463">
        <w:rPr>
          <w:rFonts w:ascii="Arial" w:hAnsi="Arial" w:cs="Arial"/>
          <w:color w:val="000000" w:themeColor="text1"/>
        </w:rPr>
        <w:t>(</w:t>
      </w:r>
      <w:r w:rsidRPr="00BC1463">
        <w:rPr>
          <w:rFonts w:ascii="Arial" w:hAnsi="Arial" w:cs="Arial"/>
          <w:color w:val="000000" w:themeColor="text1"/>
        </w:rPr>
        <w:t>Accessed</w:t>
      </w:r>
      <w:r w:rsidRPr="00BC1463">
        <w:rPr>
          <w:rFonts w:ascii="Arial" w:hAnsi="Arial" w:cs="Arial"/>
          <w:color w:val="000000" w:themeColor="text1"/>
        </w:rPr>
        <w:t>: 20/05/2023).</w:t>
      </w:r>
    </w:p>
    <w:p w14:paraId="3145C91B" w14:textId="36E41092"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roofErr w:type="spellStart"/>
      <w:r w:rsidRPr="00BC1463">
        <w:rPr>
          <w:rFonts w:ascii="Arial" w:hAnsi="Arial" w:cs="Arial"/>
          <w:color w:val="000000" w:themeColor="text1"/>
        </w:rPr>
        <w:t>Meterko</w:t>
      </w:r>
      <w:proofErr w:type="spellEnd"/>
      <w:r w:rsidRPr="00BC1463">
        <w:rPr>
          <w:rFonts w:ascii="Arial" w:hAnsi="Arial" w:cs="Arial"/>
          <w:color w:val="000000" w:themeColor="text1"/>
        </w:rPr>
        <w:t>, V. and Cooper, G. (2021). Cognitive Biases in Criminal Case Evaluation: A Review of the Research.</w:t>
      </w:r>
      <w:r w:rsidRPr="00BC1463">
        <w:rPr>
          <w:rStyle w:val="apple-converted-space"/>
          <w:rFonts w:ascii="Arial" w:hAnsi="Arial" w:cs="Arial"/>
          <w:color w:val="000000" w:themeColor="text1"/>
        </w:rPr>
        <w:t> </w:t>
      </w:r>
      <w:r w:rsidRPr="00BC1463">
        <w:rPr>
          <w:rFonts w:ascii="Arial" w:hAnsi="Arial" w:cs="Arial"/>
          <w:i/>
          <w:iCs/>
          <w:color w:val="000000" w:themeColor="text1"/>
        </w:rPr>
        <w:t>Journal of Police and Criminal Psychology</w:t>
      </w:r>
      <w:r w:rsidRPr="00BC1463">
        <w:rPr>
          <w:rFonts w:ascii="Arial" w:hAnsi="Arial" w:cs="Arial"/>
          <w:color w:val="000000" w:themeColor="text1"/>
        </w:rPr>
        <w:t>, 37, pp.101–122.</w:t>
      </w:r>
    </w:p>
    <w:p w14:paraId="332913C9" w14:textId="77777777" w:rsidR="00675BD1" w:rsidRPr="00BC1463" w:rsidRDefault="00675BD1" w:rsidP="00BC1463">
      <w:pPr>
        <w:jc w:val="both"/>
        <w:rPr>
          <w:rFonts w:ascii="Arial" w:hAnsi="Arial" w:cs="Arial"/>
          <w:color w:val="000000" w:themeColor="text1"/>
          <w:shd w:val="clear" w:color="auto" w:fill="FFFFFF"/>
        </w:rPr>
      </w:pPr>
    </w:p>
    <w:p w14:paraId="49E8CB54" w14:textId="010041A0"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Ministry Of Justice (2020).</w:t>
      </w:r>
      <w:r w:rsidRPr="00BC1463">
        <w:rPr>
          <w:rStyle w:val="apple-converted-space"/>
          <w:rFonts w:ascii="Arial" w:hAnsi="Arial" w:cs="Arial"/>
          <w:color w:val="000000" w:themeColor="text1"/>
        </w:rPr>
        <w:t> </w:t>
      </w:r>
      <w:r w:rsidRPr="00BC1463">
        <w:rPr>
          <w:rFonts w:ascii="Arial" w:hAnsi="Arial" w:cs="Arial"/>
          <w:i/>
          <w:iCs/>
          <w:color w:val="000000" w:themeColor="text1"/>
        </w:rPr>
        <w:t>Criminal Procedure and Investigations Act 1996 (section 23(1)) Code of Practice Revised in accordance with section 25(4) of the Criminal Procedure and Investigations Act 1996 and presented to Parliament pursuant to section 25(2) of the Act</w:t>
      </w:r>
      <w:r w:rsidRPr="00BC1463">
        <w:rPr>
          <w:rFonts w:ascii="Arial" w:hAnsi="Arial" w:cs="Arial"/>
          <w:color w:val="000000" w:themeColor="text1"/>
        </w:rPr>
        <w:t xml:space="preserve">. [online] Available at: </w:t>
      </w:r>
      <w:hyperlink r:id="rId24" w:history="1">
        <w:r w:rsidRPr="00BC1463">
          <w:rPr>
            <w:rStyle w:val="Hyperlink"/>
            <w:rFonts w:ascii="Arial" w:hAnsi="Arial" w:cs="Arial"/>
            <w:color w:val="000000" w:themeColor="text1"/>
          </w:rPr>
          <w:t>https://assets.publishing.service.gov.uk/government/uploads/system/uploads/attachment_data/file/931173/Criminal-procedure-and-investigations-act-1996.pdf</w:t>
        </w:r>
      </w:hyperlink>
      <w:r w:rsidRPr="00BC1463">
        <w:rPr>
          <w:rFonts w:ascii="Arial" w:hAnsi="Arial" w:cs="Arial"/>
          <w:color w:val="000000" w:themeColor="text1"/>
        </w:rPr>
        <w:t>.</w:t>
      </w:r>
      <w:r w:rsidRPr="00BC1463">
        <w:rPr>
          <w:rFonts w:ascii="Arial" w:hAnsi="Arial" w:cs="Arial"/>
          <w:color w:val="000000" w:themeColor="text1"/>
        </w:rPr>
        <w:t xml:space="preserve"> (Accessed: 12/05/2023)</w:t>
      </w:r>
    </w:p>
    <w:p w14:paraId="7D42FD2D" w14:textId="16C041F5" w:rsidR="00675BD1" w:rsidRPr="00BC1463" w:rsidRDefault="00675BD1" w:rsidP="00BC1463">
      <w:pPr>
        <w:pStyle w:val="NormalWeb"/>
        <w:jc w:val="both"/>
        <w:rPr>
          <w:rFonts w:ascii="Arial" w:hAnsi="Arial" w:cs="Arial"/>
          <w:color w:val="000000" w:themeColor="text1"/>
        </w:rPr>
      </w:pPr>
      <w:r w:rsidRPr="00BC1463">
        <w:rPr>
          <w:rFonts w:ascii="Arial" w:hAnsi="Arial" w:cs="Arial"/>
          <w:color w:val="000000" w:themeColor="text1"/>
        </w:rPr>
        <w:br/>
        <w:t xml:space="preserve">Murray, J., Farrington, D. P., &amp; Eisner, M. P. (2009). Drawing conclusions about causes from systematic reviews of risk factors: The Cambridge quality checklists. Journal of Experimental Criminology, 5(1), 1–23.  </w:t>
      </w:r>
    </w:p>
    <w:p w14:paraId="607A00AC" w14:textId="18021AE1"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lastRenderedPageBreak/>
        <w:t>National Police Chiefs’ Council (NPCC). (2022).</w:t>
      </w:r>
      <w:r w:rsidRPr="00BC1463">
        <w:rPr>
          <w:rStyle w:val="apple-converted-space"/>
          <w:rFonts w:ascii="Arial" w:hAnsi="Arial" w:cs="Arial"/>
          <w:color w:val="000000" w:themeColor="text1"/>
        </w:rPr>
        <w:t> </w:t>
      </w:r>
      <w:r w:rsidRPr="00BC1463">
        <w:rPr>
          <w:rFonts w:ascii="Arial" w:hAnsi="Arial" w:cs="Arial"/>
          <w:i/>
          <w:iCs/>
          <w:color w:val="000000" w:themeColor="text1"/>
        </w:rPr>
        <w:t>All home burglaries in England and Wales will be attended by the police</w:t>
      </w:r>
      <w:r w:rsidRPr="00BC1463">
        <w:rPr>
          <w:rFonts w:ascii="Arial" w:hAnsi="Arial" w:cs="Arial"/>
          <w:color w:val="000000" w:themeColor="text1"/>
        </w:rPr>
        <w:t xml:space="preserve">. [online] Available at: </w:t>
      </w:r>
      <w:hyperlink r:id="rId25" w:history="1">
        <w:r w:rsidRPr="00BC1463">
          <w:rPr>
            <w:rStyle w:val="Hyperlink"/>
            <w:rFonts w:ascii="Arial" w:hAnsi="Arial" w:cs="Arial"/>
            <w:color w:val="000000" w:themeColor="text1"/>
          </w:rPr>
          <w:t>https://news.npcc.police.uk/releases/all-home-burglaries-in-england-and-wales-will-be-attended-by-the-police</w:t>
        </w:r>
      </w:hyperlink>
      <w:r w:rsidRPr="00BC1463">
        <w:rPr>
          <w:rFonts w:ascii="Arial" w:hAnsi="Arial" w:cs="Arial"/>
          <w:color w:val="000000" w:themeColor="text1"/>
        </w:rPr>
        <w:t>.</w:t>
      </w:r>
      <w:r w:rsidRPr="00BC1463">
        <w:rPr>
          <w:rFonts w:ascii="Arial" w:hAnsi="Arial" w:cs="Arial"/>
          <w:color w:val="000000" w:themeColor="text1"/>
        </w:rPr>
        <w:t xml:space="preserve"> (Accessed: 10/05/2023).</w:t>
      </w:r>
    </w:p>
    <w:p w14:paraId="06E5C324"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4CAAC0C8" w14:textId="4F5E6C98" w:rsidR="00675BD1" w:rsidRPr="00BC1463" w:rsidRDefault="00675BD1"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rPr>
        <w:t>‌</w:t>
      </w:r>
      <w:r w:rsidRPr="00BC1463">
        <w:rPr>
          <w:rFonts w:ascii="Arial" w:hAnsi="Arial" w:cs="Arial"/>
          <w:color w:val="000000" w:themeColor="text1"/>
          <w:shd w:val="clear" w:color="auto" w:fill="FFFFFF"/>
        </w:rPr>
        <w:t>Nickerson, R.S., 1998. Confirmation bias: A ubiquitous phenomenon in many guises.</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Review of general psychology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2</w:t>
      </w:r>
      <w:r w:rsidRPr="00BC1463">
        <w:rPr>
          <w:rFonts w:ascii="Arial" w:hAnsi="Arial" w:cs="Arial"/>
          <w:color w:val="000000" w:themeColor="text1"/>
          <w:shd w:val="clear" w:color="auto" w:fill="FFFFFF"/>
        </w:rPr>
        <w:t>(2), pp.175-220.</w:t>
      </w:r>
    </w:p>
    <w:p w14:paraId="3CED344F" w14:textId="414E1E82"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NSPCC (2022).</w:t>
      </w:r>
      <w:r w:rsidRPr="00BC1463">
        <w:rPr>
          <w:rStyle w:val="apple-converted-space"/>
          <w:rFonts w:ascii="Arial" w:hAnsi="Arial" w:cs="Arial"/>
          <w:color w:val="000000" w:themeColor="text1"/>
        </w:rPr>
        <w:t> </w:t>
      </w:r>
      <w:r w:rsidRPr="00BC1463">
        <w:rPr>
          <w:rFonts w:ascii="Arial" w:hAnsi="Arial" w:cs="Arial"/>
          <w:i/>
          <w:iCs/>
          <w:color w:val="000000" w:themeColor="text1"/>
        </w:rPr>
        <w:t>Criminal exploitation and gangs</w:t>
      </w:r>
      <w:r w:rsidRPr="00BC1463">
        <w:rPr>
          <w:rFonts w:ascii="Arial" w:hAnsi="Arial" w:cs="Arial"/>
          <w:color w:val="000000" w:themeColor="text1"/>
        </w:rPr>
        <w:t xml:space="preserve">. [online] NSPCC. Available at: </w:t>
      </w:r>
      <w:hyperlink r:id="rId26" w:history="1">
        <w:r w:rsidRPr="00BC1463">
          <w:rPr>
            <w:rStyle w:val="Hyperlink"/>
            <w:rFonts w:ascii="Arial" w:hAnsi="Arial" w:cs="Arial"/>
            <w:color w:val="000000" w:themeColor="text1"/>
          </w:rPr>
          <w:t>https://www.nspcc.org.uk/what-is-child-abuse/types-of-abuse/gangs-criminal-exploitation/#criminalexploitation</w:t>
        </w:r>
      </w:hyperlink>
      <w:r w:rsidRPr="00BC1463">
        <w:rPr>
          <w:rFonts w:ascii="Arial" w:hAnsi="Arial" w:cs="Arial"/>
          <w:color w:val="000000" w:themeColor="text1"/>
        </w:rPr>
        <w:t>.</w:t>
      </w:r>
      <w:r w:rsidRPr="00BC1463">
        <w:rPr>
          <w:rFonts w:ascii="Arial" w:hAnsi="Arial" w:cs="Arial"/>
          <w:color w:val="000000" w:themeColor="text1"/>
        </w:rPr>
        <w:t xml:space="preserve"> (Accessed: 20/05/2023).</w:t>
      </w:r>
    </w:p>
    <w:p w14:paraId="12AE8A98"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3AD30F18" w14:textId="6B7C21BB"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NSW Government (2011).</w:t>
      </w:r>
      <w:r w:rsidRPr="00BC1463">
        <w:rPr>
          <w:rStyle w:val="apple-converted-space"/>
          <w:rFonts w:ascii="Arial" w:hAnsi="Arial" w:cs="Arial"/>
          <w:color w:val="000000" w:themeColor="text1"/>
        </w:rPr>
        <w:t> </w:t>
      </w:r>
      <w:r w:rsidRPr="00BC1463">
        <w:rPr>
          <w:rFonts w:ascii="Arial" w:hAnsi="Arial" w:cs="Arial"/>
          <w:i/>
          <w:iCs/>
          <w:color w:val="000000" w:themeColor="text1"/>
        </w:rPr>
        <w:t>Routine activity theory crime prevention</w:t>
      </w:r>
      <w:r w:rsidRPr="00BC1463">
        <w:rPr>
          <w:rFonts w:ascii="Arial" w:hAnsi="Arial" w:cs="Arial"/>
          <w:color w:val="000000" w:themeColor="text1"/>
        </w:rPr>
        <w:t xml:space="preserve">. [online] Available at: </w:t>
      </w:r>
      <w:hyperlink r:id="rId27" w:history="1">
        <w:r w:rsidRPr="00BC1463">
          <w:rPr>
            <w:rStyle w:val="Hyperlink"/>
            <w:rFonts w:ascii="Arial" w:hAnsi="Arial" w:cs="Arial"/>
            <w:color w:val="000000" w:themeColor="text1"/>
          </w:rPr>
          <w:t>https://www.crimeprevention.nsw.gov.au/Documents/routine_activity_factsheet_nov2014.pdf</w:t>
        </w:r>
      </w:hyperlink>
      <w:r w:rsidRPr="00BC1463">
        <w:rPr>
          <w:rFonts w:ascii="Arial" w:hAnsi="Arial" w:cs="Arial"/>
          <w:color w:val="000000" w:themeColor="text1"/>
        </w:rPr>
        <w:t>.</w:t>
      </w:r>
      <w:r w:rsidRPr="00BC1463">
        <w:rPr>
          <w:rFonts w:ascii="Arial" w:hAnsi="Arial" w:cs="Arial"/>
          <w:color w:val="000000" w:themeColor="text1"/>
        </w:rPr>
        <w:t xml:space="preserve"> (Accessed: 21/05/2023)</w:t>
      </w:r>
    </w:p>
    <w:p w14:paraId="27BEF912" w14:textId="77777777" w:rsidR="00BC1463" w:rsidRPr="00BC1463" w:rsidRDefault="00BC1463" w:rsidP="00BC1463">
      <w:pPr>
        <w:pStyle w:val="NormalWeb"/>
        <w:shd w:val="clear" w:color="auto" w:fill="FFFFFF"/>
        <w:jc w:val="both"/>
        <w:rPr>
          <w:rFonts w:ascii="Arial" w:hAnsi="Arial" w:cs="Arial"/>
          <w:color w:val="000000" w:themeColor="text1"/>
          <w:shd w:val="clear" w:color="auto" w:fill="FFFFFF"/>
        </w:rPr>
      </w:pPr>
    </w:p>
    <w:p w14:paraId="21259DCA" w14:textId="77777777" w:rsidR="00675BD1" w:rsidRPr="00BC1463" w:rsidRDefault="00675BD1"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O'Brien, B., 2009. Prime suspect: An examination of factors that aggravate and counteract confirmation bias in criminal investigations.</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Psychology, Public Policy, and Law</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15</w:t>
      </w:r>
      <w:r w:rsidRPr="00BC1463">
        <w:rPr>
          <w:rFonts w:ascii="Arial" w:hAnsi="Arial" w:cs="Arial"/>
          <w:color w:val="000000" w:themeColor="text1"/>
          <w:shd w:val="clear" w:color="auto" w:fill="FFFFFF"/>
        </w:rPr>
        <w:t>(4), p.315.</w:t>
      </w:r>
    </w:p>
    <w:p w14:paraId="241EF3D5" w14:textId="2612BD85"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ONS (2022).</w:t>
      </w:r>
      <w:r w:rsidRPr="00BC1463">
        <w:rPr>
          <w:rStyle w:val="apple-converted-space"/>
          <w:rFonts w:ascii="Arial" w:hAnsi="Arial" w:cs="Arial"/>
          <w:color w:val="000000" w:themeColor="text1"/>
        </w:rPr>
        <w:t> </w:t>
      </w:r>
      <w:r w:rsidRPr="00BC1463">
        <w:rPr>
          <w:rFonts w:ascii="Arial" w:hAnsi="Arial" w:cs="Arial"/>
          <w:i/>
          <w:iCs/>
          <w:color w:val="000000" w:themeColor="text1"/>
        </w:rPr>
        <w:t>Crime in England and Wales - Office for National Statistics</w:t>
      </w:r>
      <w:r w:rsidRPr="00BC1463">
        <w:rPr>
          <w:rFonts w:ascii="Arial" w:hAnsi="Arial" w:cs="Arial"/>
          <w:color w:val="000000" w:themeColor="text1"/>
        </w:rPr>
        <w:t xml:space="preserve">. [online] Available at: </w:t>
      </w:r>
      <w:hyperlink r:id="rId28" w:history="1">
        <w:r w:rsidRPr="00BC1463">
          <w:rPr>
            <w:rStyle w:val="Hyperlink"/>
            <w:rFonts w:ascii="Arial" w:hAnsi="Arial" w:cs="Arial"/>
            <w:color w:val="000000" w:themeColor="text1"/>
          </w:rPr>
          <w:t>https://www.ons.gov.uk/peoplepopulationandcommunity/crimeandjustice/bulletins/crimeinenglandandwales/yearendingseptember2022#theft-offences</w:t>
        </w:r>
      </w:hyperlink>
      <w:r w:rsidRPr="00BC1463">
        <w:rPr>
          <w:rFonts w:ascii="Arial" w:hAnsi="Arial" w:cs="Arial"/>
          <w:color w:val="000000" w:themeColor="text1"/>
        </w:rPr>
        <w:t>.</w:t>
      </w:r>
      <w:r w:rsidRPr="00BC1463">
        <w:rPr>
          <w:rFonts w:ascii="Arial" w:hAnsi="Arial" w:cs="Arial"/>
          <w:color w:val="000000" w:themeColor="text1"/>
        </w:rPr>
        <w:t xml:space="preserve"> (Accessed: 20/05/2023)</w:t>
      </w:r>
    </w:p>
    <w:p w14:paraId="0B421E63"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61811409" w14:textId="64090B72" w:rsidR="00675BD1" w:rsidRPr="00BC1463" w:rsidRDefault="00675BD1"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Pearson, A.R., Dovidio, J.F. and Gaertner, S.L., 2009. The nature of contemporary prejudice: Insights from aversive racism.</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Social and personality psychology compass</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3</w:t>
      </w:r>
      <w:r w:rsidRPr="00BC1463">
        <w:rPr>
          <w:rFonts w:ascii="Arial" w:hAnsi="Arial" w:cs="Arial"/>
          <w:color w:val="000000" w:themeColor="text1"/>
          <w:shd w:val="clear" w:color="auto" w:fill="FFFFFF"/>
        </w:rPr>
        <w:t>(3), pp.314-338.</w:t>
      </w:r>
    </w:p>
    <w:p w14:paraId="435E1E16" w14:textId="720A8CFA" w:rsidR="00675BD1" w:rsidRPr="00BC1463" w:rsidRDefault="00675BD1" w:rsidP="00BC1463">
      <w:pPr>
        <w:pStyle w:val="NormalWeb"/>
        <w:jc w:val="both"/>
        <w:rPr>
          <w:rFonts w:ascii="Arial" w:hAnsi="Arial" w:cs="Arial"/>
          <w:color w:val="000000" w:themeColor="text1"/>
          <w:shd w:val="clear" w:color="auto" w:fill="FFFFFF"/>
        </w:rPr>
      </w:pPr>
      <w:proofErr w:type="spellStart"/>
      <w:r w:rsidRPr="00BC1463">
        <w:rPr>
          <w:rFonts w:ascii="Arial" w:hAnsi="Arial" w:cs="Arial"/>
          <w:color w:val="000000" w:themeColor="text1"/>
          <w:shd w:val="clear" w:color="auto" w:fill="FFFFFF"/>
        </w:rPr>
        <w:t>Rassin</w:t>
      </w:r>
      <w:proofErr w:type="spellEnd"/>
      <w:r w:rsidRPr="00BC1463">
        <w:rPr>
          <w:rFonts w:ascii="Arial" w:hAnsi="Arial" w:cs="Arial"/>
          <w:color w:val="000000" w:themeColor="text1"/>
          <w:shd w:val="clear" w:color="auto" w:fill="FFFFFF"/>
        </w:rPr>
        <w:t xml:space="preserve">, E., </w:t>
      </w:r>
      <w:proofErr w:type="spellStart"/>
      <w:r w:rsidRPr="00BC1463">
        <w:rPr>
          <w:rFonts w:ascii="Arial" w:hAnsi="Arial" w:cs="Arial"/>
          <w:color w:val="000000" w:themeColor="text1"/>
          <w:shd w:val="clear" w:color="auto" w:fill="FFFFFF"/>
        </w:rPr>
        <w:t>Eerland</w:t>
      </w:r>
      <w:proofErr w:type="spellEnd"/>
      <w:r w:rsidRPr="00BC1463">
        <w:rPr>
          <w:rFonts w:ascii="Arial" w:hAnsi="Arial" w:cs="Arial"/>
          <w:color w:val="000000" w:themeColor="text1"/>
          <w:shd w:val="clear" w:color="auto" w:fill="FFFFFF"/>
        </w:rPr>
        <w:t xml:space="preserve">, A. and </w:t>
      </w:r>
      <w:proofErr w:type="spellStart"/>
      <w:r w:rsidRPr="00BC1463">
        <w:rPr>
          <w:rFonts w:ascii="Arial" w:hAnsi="Arial" w:cs="Arial"/>
          <w:color w:val="000000" w:themeColor="text1"/>
          <w:shd w:val="clear" w:color="auto" w:fill="FFFFFF"/>
        </w:rPr>
        <w:t>Kuijpers</w:t>
      </w:r>
      <w:proofErr w:type="spellEnd"/>
      <w:r w:rsidRPr="00BC1463">
        <w:rPr>
          <w:rFonts w:ascii="Arial" w:hAnsi="Arial" w:cs="Arial"/>
          <w:color w:val="000000" w:themeColor="text1"/>
          <w:shd w:val="clear" w:color="auto" w:fill="FFFFFF"/>
        </w:rPr>
        <w:t>, I., 2010. Let's find the evidence: An analogue study of confirmation bias in criminal investigations.</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Journal of Investigative Psychology and Offender Profiling</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7</w:t>
      </w:r>
      <w:r w:rsidRPr="00BC1463">
        <w:rPr>
          <w:rFonts w:ascii="Arial" w:hAnsi="Arial" w:cs="Arial"/>
          <w:color w:val="000000" w:themeColor="text1"/>
          <w:shd w:val="clear" w:color="auto" w:fill="FFFFFF"/>
        </w:rPr>
        <w:t>(3), pp.231-246.</w:t>
      </w:r>
    </w:p>
    <w:p w14:paraId="6D3D6D58" w14:textId="57F4A931" w:rsidR="00BC1463" w:rsidRPr="00BC1463" w:rsidRDefault="00BC1463" w:rsidP="00BC1463">
      <w:pPr>
        <w:pStyle w:val="NormalWeb"/>
        <w:shd w:val="clear" w:color="auto" w:fill="FFFFFF"/>
        <w:jc w:val="both"/>
        <w:rPr>
          <w:rFonts w:ascii="Arial" w:hAnsi="Arial" w:cs="Arial"/>
          <w:color w:val="000000" w:themeColor="text1"/>
        </w:rPr>
      </w:pPr>
      <w:r w:rsidRPr="00BC1463">
        <w:rPr>
          <w:rFonts w:ascii="Arial" w:hAnsi="Arial" w:cs="Arial"/>
          <w:color w:val="000000" w:themeColor="text1"/>
        </w:rPr>
        <w:t>‌</w:t>
      </w:r>
      <w:r w:rsidRPr="00BC1463">
        <w:rPr>
          <w:rFonts w:ascii="Arial" w:hAnsi="Arial" w:cs="Arial"/>
          <w:color w:val="000000" w:themeColor="text1"/>
          <w:shd w:val="clear" w:color="auto" w:fill="FFFFFF"/>
        </w:rPr>
        <w:t xml:space="preserve"> Ratcliffe, J.H., Taniguchi, T., Groff, E.R. and Wood, J.D., 2011. The Philadelphia foot patrol experiment: A randomized controlled trial of police patrol effectiveness in violent crime hotspots.</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Criminology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49</w:t>
      </w:r>
      <w:r w:rsidRPr="00BC1463">
        <w:rPr>
          <w:rFonts w:ascii="Arial" w:hAnsi="Arial" w:cs="Arial"/>
          <w:color w:val="000000" w:themeColor="text1"/>
          <w:shd w:val="clear" w:color="auto" w:fill="FFFFFF"/>
        </w:rPr>
        <w:t>(3), pp.795-831.</w:t>
      </w:r>
    </w:p>
    <w:p w14:paraId="365DBA56" w14:textId="757E11C8" w:rsidR="00675BD1" w:rsidRPr="00BC1463" w:rsidRDefault="00675BD1"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lastRenderedPageBreak/>
        <w:t>Richardson, L.S., 2017. Systemic triage: Implicit racial bias in the criminal courtroom.</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Yale Law Journal</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126</w:t>
      </w:r>
      <w:r w:rsidRPr="00BC1463">
        <w:rPr>
          <w:rFonts w:ascii="Arial" w:hAnsi="Arial" w:cs="Arial"/>
          <w:color w:val="000000" w:themeColor="text1"/>
          <w:shd w:val="clear" w:color="auto" w:fill="FFFFFF"/>
        </w:rPr>
        <w:t>(3).</w:t>
      </w:r>
    </w:p>
    <w:p w14:paraId="175583DE" w14:textId="77777777" w:rsidR="00675BD1" w:rsidRPr="00BC1463" w:rsidRDefault="00675BD1" w:rsidP="00BC1463">
      <w:pPr>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Rodgers, D. and Baird, A., 2016. Understanding Gangs in Contemporary Latin America.</w:t>
      </w:r>
      <w:r w:rsidRPr="00BC1463">
        <w:rPr>
          <w:rStyle w:val="apple-converted-space"/>
          <w:rFonts w:ascii="Arial" w:hAnsi="Arial" w:cs="Arial"/>
          <w:color w:val="000000" w:themeColor="text1"/>
          <w:shd w:val="clear" w:color="auto" w:fill="FFFFFF"/>
        </w:rPr>
        <w:t> </w:t>
      </w:r>
      <w:proofErr w:type="spellStart"/>
      <w:r w:rsidRPr="00BC1463">
        <w:rPr>
          <w:rFonts w:ascii="Arial" w:hAnsi="Arial" w:cs="Arial"/>
          <w:i/>
          <w:iCs/>
          <w:color w:val="000000" w:themeColor="text1"/>
        </w:rPr>
        <w:t>Estudios</w:t>
      </w:r>
      <w:proofErr w:type="spellEnd"/>
      <w:r w:rsidRPr="00BC1463">
        <w:rPr>
          <w:rFonts w:ascii="Arial" w:hAnsi="Arial" w:cs="Arial"/>
          <w:i/>
          <w:iCs/>
          <w:color w:val="000000" w:themeColor="text1"/>
        </w:rPr>
        <w:t xml:space="preserve"> Socio-</w:t>
      </w:r>
      <w:proofErr w:type="spellStart"/>
      <w:r w:rsidRPr="00BC1463">
        <w:rPr>
          <w:rFonts w:ascii="Arial" w:hAnsi="Arial" w:cs="Arial"/>
          <w:i/>
          <w:iCs/>
          <w:color w:val="000000" w:themeColor="text1"/>
        </w:rPr>
        <w:t>Jurídicos</w:t>
      </w:r>
      <w:proofErr w:type="spellEnd"/>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18</w:t>
      </w:r>
      <w:r w:rsidRPr="00BC1463">
        <w:rPr>
          <w:rFonts w:ascii="Arial" w:hAnsi="Arial" w:cs="Arial"/>
          <w:color w:val="000000" w:themeColor="text1"/>
          <w:shd w:val="clear" w:color="auto" w:fill="FFFFFF"/>
        </w:rPr>
        <w:t>(1), pp.13-53.</w:t>
      </w:r>
    </w:p>
    <w:p w14:paraId="0EE1BC8A" w14:textId="77777777" w:rsidR="00BC1463" w:rsidRPr="00BC1463" w:rsidRDefault="00BC1463" w:rsidP="00BC1463">
      <w:pPr>
        <w:jc w:val="both"/>
        <w:rPr>
          <w:rFonts w:ascii="Arial" w:hAnsi="Arial" w:cs="Arial"/>
          <w:color w:val="000000" w:themeColor="text1"/>
          <w:shd w:val="clear" w:color="auto" w:fill="FFFFFF"/>
        </w:rPr>
      </w:pPr>
    </w:p>
    <w:p w14:paraId="247E17A4" w14:textId="5CAA41A2" w:rsidR="00BC1463" w:rsidRPr="00BC1463" w:rsidRDefault="00BC1463" w:rsidP="00BC1463">
      <w:pPr>
        <w:pStyle w:val="NormalWeb"/>
        <w:shd w:val="clear" w:color="auto" w:fill="FFFFFF"/>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 xml:space="preserve">Santos, </w:t>
      </w:r>
      <w:proofErr w:type="gramStart"/>
      <w:r w:rsidRPr="00BC1463">
        <w:rPr>
          <w:rFonts w:ascii="Arial" w:hAnsi="Arial" w:cs="Arial"/>
          <w:color w:val="000000" w:themeColor="text1"/>
          <w:shd w:val="clear" w:color="auto" w:fill="FFFFFF"/>
        </w:rPr>
        <w:t>R.G.</w:t>
      </w:r>
      <w:proofErr w:type="gramEnd"/>
      <w:r w:rsidRPr="00BC1463">
        <w:rPr>
          <w:rFonts w:ascii="Arial" w:hAnsi="Arial" w:cs="Arial"/>
          <w:color w:val="000000" w:themeColor="text1"/>
          <w:shd w:val="clear" w:color="auto" w:fill="FFFFFF"/>
        </w:rPr>
        <w:t xml:space="preserve"> and Santos, R.B., 2015. An ex post facto evaluation of tactical police response in residential theft from vehicle micro-time hot spots.</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Journal of Quantitative Criminology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31</w:t>
      </w:r>
      <w:r w:rsidRPr="00BC1463">
        <w:rPr>
          <w:rFonts w:ascii="Arial" w:hAnsi="Arial" w:cs="Arial"/>
          <w:color w:val="000000" w:themeColor="text1"/>
          <w:shd w:val="clear" w:color="auto" w:fill="FFFFFF"/>
        </w:rPr>
        <w:t>, pp.679-698.</w:t>
      </w:r>
    </w:p>
    <w:p w14:paraId="65270E00" w14:textId="715FFB30" w:rsid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 xml:space="preserve">Santos, </w:t>
      </w:r>
      <w:proofErr w:type="gramStart"/>
      <w:r w:rsidRPr="00BC1463">
        <w:rPr>
          <w:rFonts w:ascii="Arial" w:hAnsi="Arial" w:cs="Arial"/>
          <w:color w:val="000000" w:themeColor="text1"/>
        </w:rPr>
        <w:t>R.G.</w:t>
      </w:r>
      <w:proofErr w:type="gramEnd"/>
      <w:r w:rsidRPr="00BC1463">
        <w:rPr>
          <w:rFonts w:ascii="Arial" w:hAnsi="Arial" w:cs="Arial"/>
          <w:color w:val="000000" w:themeColor="text1"/>
        </w:rPr>
        <w:t xml:space="preserve"> and Santos, R.B. (2015). Practice-Based Research.</w:t>
      </w:r>
      <w:r w:rsidRPr="00BC1463">
        <w:rPr>
          <w:rStyle w:val="apple-converted-space"/>
          <w:rFonts w:ascii="Arial" w:hAnsi="Arial" w:cs="Arial"/>
          <w:color w:val="000000" w:themeColor="text1"/>
        </w:rPr>
        <w:t> </w:t>
      </w:r>
      <w:r w:rsidRPr="00BC1463">
        <w:rPr>
          <w:rFonts w:ascii="Arial" w:hAnsi="Arial" w:cs="Arial"/>
          <w:i/>
          <w:iCs/>
          <w:color w:val="000000" w:themeColor="text1"/>
        </w:rPr>
        <w:t>Evaluation Review</w:t>
      </w:r>
      <w:r w:rsidRPr="00BC1463">
        <w:rPr>
          <w:rFonts w:ascii="Arial" w:hAnsi="Arial" w:cs="Arial"/>
          <w:color w:val="000000" w:themeColor="text1"/>
        </w:rPr>
        <w:t xml:space="preserve">, 39(5), pp.451–479. </w:t>
      </w:r>
    </w:p>
    <w:p w14:paraId="7FE53115"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52C99596" w14:textId="050AAA04"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 xml:space="preserve">Staller, M.S. and Koerner, S. (2021). Evidence-based policing or reflexive policing: a commentary on </w:t>
      </w:r>
      <w:proofErr w:type="spellStart"/>
      <w:r w:rsidRPr="00BC1463">
        <w:rPr>
          <w:rFonts w:ascii="Arial" w:hAnsi="Arial" w:cs="Arial"/>
          <w:color w:val="000000" w:themeColor="text1"/>
        </w:rPr>
        <w:t>Koziarski</w:t>
      </w:r>
      <w:proofErr w:type="spellEnd"/>
      <w:r w:rsidRPr="00BC1463">
        <w:rPr>
          <w:rFonts w:ascii="Arial" w:hAnsi="Arial" w:cs="Arial"/>
          <w:color w:val="000000" w:themeColor="text1"/>
        </w:rPr>
        <w:t xml:space="preserve"> and Huey.</w:t>
      </w:r>
      <w:r w:rsidRPr="00BC1463">
        <w:rPr>
          <w:rStyle w:val="apple-converted-space"/>
          <w:rFonts w:ascii="Arial" w:hAnsi="Arial" w:cs="Arial"/>
          <w:color w:val="000000" w:themeColor="text1"/>
        </w:rPr>
        <w:t> </w:t>
      </w:r>
      <w:r w:rsidRPr="00BC1463">
        <w:rPr>
          <w:rFonts w:ascii="Arial" w:hAnsi="Arial" w:cs="Arial"/>
          <w:i/>
          <w:iCs/>
          <w:color w:val="000000" w:themeColor="text1"/>
        </w:rPr>
        <w:t>International Journal of Comparative and Applied Criminal Justice</w:t>
      </w:r>
      <w:r w:rsidRPr="00BC1463">
        <w:rPr>
          <w:rFonts w:ascii="Arial" w:hAnsi="Arial" w:cs="Arial"/>
          <w:color w:val="000000" w:themeColor="text1"/>
        </w:rPr>
        <w:t xml:space="preserve">, 45(4), pp.1–4. </w:t>
      </w:r>
    </w:p>
    <w:p w14:paraId="544E16B2" w14:textId="77777777" w:rsidR="00BC1463" w:rsidRPr="00BC1463" w:rsidRDefault="00BC1463" w:rsidP="00BC1463">
      <w:pPr>
        <w:jc w:val="both"/>
        <w:rPr>
          <w:rFonts w:ascii="Arial" w:hAnsi="Arial" w:cs="Arial"/>
          <w:color w:val="000000" w:themeColor="text1"/>
          <w:shd w:val="clear" w:color="auto" w:fill="FFFFFF"/>
        </w:rPr>
      </w:pPr>
    </w:p>
    <w:p w14:paraId="7B3E126B" w14:textId="1A87F5F5" w:rsidR="00675BD1" w:rsidRPr="00BC1463" w:rsidRDefault="00675BD1" w:rsidP="00BC1463">
      <w:pPr>
        <w:pStyle w:val="NormalWeb"/>
        <w:jc w:val="both"/>
        <w:rPr>
          <w:rFonts w:ascii="Arial" w:hAnsi="Arial" w:cs="Arial"/>
          <w:color w:val="000000" w:themeColor="text1"/>
        </w:rPr>
      </w:pPr>
      <w:r w:rsidRPr="00BC1463">
        <w:rPr>
          <w:rFonts w:ascii="Arial" w:hAnsi="Arial" w:cs="Arial"/>
          <w:color w:val="000000" w:themeColor="text1"/>
          <w:shd w:val="clear" w:color="auto" w:fill="FFFFFF"/>
        </w:rPr>
        <w:t xml:space="preserve">Thornberry, T.P., </w:t>
      </w:r>
      <w:proofErr w:type="spellStart"/>
      <w:r w:rsidRPr="00BC1463">
        <w:rPr>
          <w:rFonts w:ascii="Arial" w:hAnsi="Arial" w:cs="Arial"/>
          <w:color w:val="000000" w:themeColor="text1"/>
          <w:shd w:val="clear" w:color="auto" w:fill="FFFFFF"/>
        </w:rPr>
        <w:t>Krohn</w:t>
      </w:r>
      <w:proofErr w:type="spellEnd"/>
      <w:r w:rsidRPr="00BC1463">
        <w:rPr>
          <w:rFonts w:ascii="Arial" w:hAnsi="Arial" w:cs="Arial"/>
          <w:color w:val="000000" w:themeColor="text1"/>
          <w:shd w:val="clear" w:color="auto" w:fill="FFFFFF"/>
        </w:rPr>
        <w:t>, M.D., Lizotte, A.J. and Chard-</w:t>
      </w:r>
      <w:proofErr w:type="spellStart"/>
      <w:r w:rsidRPr="00BC1463">
        <w:rPr>
          <w:rFonts w:ascii="Arial" w:hAnsi="Arial" w:cs="Arial"/>
          <w:color w:val="000000" w:themeColor="text1"/>
          <w:shd w:val="clear" w:color="auto" w:fill="FFFFFF"/>
        </w:rPr>
        <w:t>Wierschem</w:t>
      </w:r>
      <w:proofErr w:type="spellEnd"/>
      <w:r w:rsidRPr="00BC1463">
        <w:rPr>
          <w:rFonts w:ascii="Arial" w:hAnsi="Arial" w:cs="Arial"/>
          <w:color w:val="000000" w:themeColor="text1"/>
          <w:shd w:val="clear" w:color="auto" w:fill="FFFFFF"/>
        </w:rPr>
        <w:t xml:space="preserve">, D., 1993. The role of juvenile gangs in facilitating delinquent </w:t>
      </w:r>
      <w:proofErr w:type="spellStart"/>
      <w:r w:rsidRPr="00BC1463">
        <w:rPr>
          <w:rFonts w:ascii="Arial" w:hAnsi="Arial" w:cs="Arial"/>
          <w:color w:val="000000" w:themeColor="text1"/>
          <w:shd w:val="clear" w:color="auto" w:fill="FFFFFF"/>
        </w:rPr>
        <w:t>behavior</w:t>
      </w:r>
      <w:proofErr w:type="spellEnd"/>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Journal of research in Crime and Delinquency</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30</w:t>
      </w:r>
      <w:r w:rsidRPr="00BC1463">
        <w:rPr>
          <w:rFonts w:ascii="Arial" w:hAnsi="Arial" w:cs="Arial"/>
          <w:color w:val="000000" w:themeColor="text1"/>
          <w:shd w:val="clear" w:color="auto" w:fill="FFFFFF"/>
        </w:rPr>
        <w:t>(1), pp.55-87.</w:t>
      </w:r>
    </w:p>
    <w:p w14:paraId="1DBC76D3" w14:textId="347E2513"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roofErr w:type="spellStart"/>
      <w:r w:rsidRPr="00BC1463">
        <w:rPr>
          <w:rFonts w:ascii="Arial" w:hAnsi="Arial" w:cs="Arial"/>
          <w:color w:val="000000" w:themeColor="text1"/>
        </w:rPr>
        <w:t>Tseloni</w:t>
      </w:r>
      <w:proofErr w:type="spellEnd"/>
      <w:r w:rsidRPr="00BC1463">
        <w:rPr>
          <w:rFonts w:ascii="Arial" w:hAnsi="Arial" w:cs="Arial"/>
          <w:color w:val="000000" w:themeColor="text1"/>
        </w:rPr>
        <w:t xml:space="preserve">, A., Farrell, G., Thompson, R., Evans, E. and Tilley, N. (2017). Domestic burglary </w:t>
      </w:r>
      <w:proofErr w:type="gramStart"/>
      <w:r w:rsidRPr="00BC1463">
        <w:rPr>
          <w:rFonts w:ascii="Arial" w:hAnsi="Arial" w:cs="Arial"/>
          <w:color w:val="000000" w:themeColor="text1"/>
        </w:rPr>
        <w:t>drop</w:t>
      </w:r>
      <w:proofErr w:type="gramEnd"/>
      <w:r w:rsidRPr="00BC1463">
        <w:rPr>
          <w:rFonts w:ascii="Arial" w:hAnsi="Arial" w:cs="Arial"/>
          <w:color w:val="000000" w:themeColor="text1"/>
        </w:rPr>
        <w:t xml:space="preserve"> and the security hypothesis.</w:t>
      </w:r>
      <w:r w:rsidRPr="00BC1463">
        <w:rPr>
          <w:rStyle w:val="apple-converted-space"/>
          <w:rFonts w:ascii="Arial" w:hAnsi="Arial" w:cs="Arial"/>
          <w:color w:val="000000" w:themeColor="text1"/>
        </w:rPr>
        <w:t> </w:t>
      </w:r>
      <w:r w:rsidRPr="00BC1463">
        <w:rPr>
          <w:rFonts w:ascii="Arial" w:hAnsi="Arial" w:cs="Arial"/>
          <w:i/>
          <w:iCs/>
          <w:color w:val="000000" w:themeColor="text1"/>
        </w:rPr>
        <w:t>Crime Science</w:t>
      </w:r>
      <w:r w:rsidRPr="00BC1463">
        <w:rPr>
          <w:rFonts w:ascii="Arial" w:hAnsi="Arial" w:cs="Arial"/>
          <w:color w:val="000000" w:themeColor="text1"/>
        </w:rPr>
        <w:t>, 6(1).</w:t>
      </w:r>
    </w:p>
    <w:p w14:paraId="166BDEDE" w14:textId="77777777" w:rsidR="00BC1463"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w:t>
      </w:r>
    </w:p>
    <w:p w14:paraId="57376EE1" w14:textId="5E283DFF"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Wales Safer Communities. (n.d.).</w:t>
      </w:r>
      <w:r w:rsidRPr="00BC1463">
        <w:rPr>
          <w:rStyle w:val="apple-converted-space"/>
          <w:rFonts w:ascii="Arial" w:hAnsi="Arial" w:cs="Arial"/>
          <w:color w:val="000000" w:themeColor="text1"/>
        </w:rPr>
        <w:t> </w:t>
      </w:r>
      <w:r w:rsidRPr="00BC1463">
        <w:rPr>
          <w:rFonts w:ascii="Arial" w:hAnsi="Arial" w:cs="Arial"/>
          <w:i/>
          <w:iCs/>
          <w:color w:val="000000" w:themeColor="text1"/>
        </w:rPr>
        <w:t>Criminal Exploitation</w:t>
      </w:r>
      <w:r w:rsidRPr="00BC1463">
        <w:rPr>
          <w:rFonts w:ascii="Arial" w:hAnsi="Arial" w:cs="Arial"/>
          <w:color w:val="000000" w:themeColor="text1"/>
        </w:rPr>
        <w:t xml:space="preserve">. [online] Available at: </w:t>
      </w:r>
      <w:hyperlink r:id="rId29" w:history="1">
        <w:r w:rsidRPr="00BC1463">
          <w:rPr>
            <w:rStyle w:val="Hyperlink"/>
            <w:rFonts w:ascii="Arial" w:hAnsi="Arial" w:cs="Arial"/>
            <w:color w:val="000000" w:themeColor="text1"/>
          </w:rPr>
          <w:t>https://safercommunities.wales/modern-slavery-exploitation/criminal-exploitation/</w:t>
        </w:r>
      </w:hyperlink>
      <w:r w:rsidRPr="00BC1463">
        <w:rPr>
          <w:rFonts w:ascii="Arial" w:hAnsi="Arial" w:cs="Arial"/>
          <w:color w:val="000000" w:themeColor="text1"/>
        </w:rPr>
        <w:t>.</w:t>
      </w:r>
      <w:r w:rsidRPr="00BC1463">
        <w:rPr>
          <w:rFonts w:ascii="Arial" w:hAnsi="Arial" w:cs="Arial"/>
          <w:color w:val="000000" w:themeColor="text1"/>
        </w:rPr>
        <w:t xml:space="preserve"> (Accessed: 28/05/2023).</w:t>
      </w:r>
    </w:p>
    <w:p w14:paraId="578DE311"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62272D94" w14:textId="29331870" w:rsidR="00675BD1" w:rsidRPr="00BC1463" w:rsidRDefault="00BC1463" w:rsidP="00BC1463">
      <w:pPr>
        <w:jc w:val="both"/>
        <w:rPr>
          <w:rFonts w:ascii="Arial" w:hAnsi="Arial" w:cs="Arial"/>
          <w:color w:val="000000" w:themeColor="text1"/>
          <w:shd w:val="clear" w:color="auto" w:fill="FFFFFF"/>
        </w:rPr>
      </w:pPr>
      <w:r w:rsidRPr="00BC1463">
        <w:rPr>
          <w:rFonts w:ascii="Arial" w:hAnsi="Arial" w:cs="Arial"/>
          <w:color w:val="000000" w:themeColor="text1"/>
          <w:shd w:val="clear" w:color="auto" w:fill="FFFFFF"/>
        </w:rPr>
        <w:t>Weisburd, D., 2008. Place-based policing.</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Ideas in American policing</w:t>
      </w:r>
      <w:r w:rsidRPr="00BC1463">
        <w:rPr>
          <w:rFonts w:ascii="Arial" w:hAnsi="Arial" w:cs="Arial"/>
          <w:color w:val="000000" w:themeColor="text1"/>
          <w:shd w:val="clear" w:color="auto" w:fill="FFFFFF"/>
        </w:rPr>
        <w:t>,</w:t>
      </w:r>
      <w:r w:rsidRPr="00BC1463">
        <w:rPr>
          <w:rStyle w:val="apple-converted-space"/>
          <w:rFonts w:ascii="Arial" w:hAnsi="Arial" w:cs="Arial"/>
          <w:color w:val="000000" w:themeColor="text1"/>
          <w:shd w:val="clear" w:color="auto" w:fill="FFFFFF"/>
        </w:rPr>
        <w:t> </w:t>
      </w:r>
      <w:r w:rsidRPr="00BC1463">
        <w:rPr>
          <w:rFonts w:ascii="Arial" w:hAnsi="Arial" w:cs="Arial"/>
          <w:i/>
          <w:iCs/>
          <w:color w:val="000000" w:themeColor="text1"/>
        </w:rPr>
        <w:t>9</w:t>
      </w:r>
      <w:r w:rsidRPr="00BC1463">
        <w:rPr>
          <w:rFonts w:ascii="Arial" w:hAnsi="Arial" w:cs="Arial"/>
          <w:color w:val="000000" w:themeColor="text1"/>
          <w:shd w:val="clear" w:color="auto" w:fill="FFFFFF"/>
        </w:rPr>
        <w:t>, pp.1-16.</w:t>
      </w:r>
    </w:p>
    <w:p w14:paraId="51D88078" w14:textId="77777777" w:rsidR="00BC1463" w:rsidRPr="00BC1463" w:rsidRDefault="00BC1463" w:rsidP="00BC1463">
      <w:pPr>
        <w:jc w:val="both"/>
        <w:rPr>
          <w:rFonts w:ascii="Arial" w:hAnsi="Arial" w:cs="Arial"/>
          <w:color w:val="000000" w:themeColor="text1"/>
          <w:shd w:val="clear" w:color="auto" w:fill="FFFFFF"/>
        </w:rPr>
      </w:pPr>
    </w:p>
    <w:p w14:paraId="4ECC0A78" w14:textId="413DB3DE"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 xml:space="preserve">UNSA Vienna, (2019). THE ROLE OF WOMEN IN ORGANISED CRIME: AN UNEXPLORED PHENOMENON. Available at: </w:t>
      </w:r>
      <w:hyperlink r:id="rId30" w:history="1">
        <w:r w:rsidRPr="00BC1463">
          <w:rPr>
            <w:rStyle w:val="Hyperlink"/>
            <w:rFonts w:ascii="Arial" w:hAnsi="Arial" w:cs="Arial"/>
            <w:color w:val="000000" w:themeColor="text1"/>
          </w:rPr>
          <w:t>https://www.unsavienna.org/sites/default/files/2020-01/Concept_Note.pdf</w:t>
        </w:r>
      </w:hyperlink>
    </w:p>
    <w:p w14:paraId="7A690E00" w14:textId="0A344ECF"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r w:rsidRPr="00BC1463">
        <w:rPr>
          <w:rFonts w:ascii="Arial" w:hAnsi="Arial" w:cs="Arial"/>
          <w:color w:val="000000" w:themeColor="text1"/>
        </w:rPr>
        <w:t>(</w:t>
      </w:r>
      <w:r w:rsidRPr="00BC1463">
        <w:rPr>
          <w:rFonts w:ascii="Arial" w:hAnsi="Arial" w:cs="Arial"/>
          <w:color w:val="000000" w:themeColor="text1"/>
        </w:rPr>
        <w:t>Accessed 14 May 2023</w:t>
      </w:r>
      <w:r w:rsidRPr="00BC1463">
        <w:rPr>
          <w:rFonts w:ascii="Arial" w:hAnsi="Arial" w:cs="Arial"/>
          <w:color w:val="000000" w:themeColor="text1"/>
        </w:rPr>
        <w:t>)</w:t>
      </w:r>
      <w:r w:rsidRPr="00BC1463">
        <w:rPr>
          <w:rFonts w:ascii="Arial" w:hAnsi="Arial" w:cs="Arial"/>
          <w:color w:val="000000" w:themeColor="text1"/>
        </w:rPr>
        <w:t>.</w:t>
      </w:r>
    </w:p>
    <w:p w14:paraId="4D35EF88" w14:textId="77777777" w:rsidR="00BC1463" w:rsidRPr="00BC1463" w:rsidRDefault="00BC1463"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2101941E" w14:textId="77777777" w:rsidR="00675BD1" w:rsidRPr="00BC1463" w:rsidRDefault="00675BD1" w:rsidP="00BC1463">
      <w:pPr>
        <w:pStyle w:val="NormalWeb"/>
        <w:jc w:val="both"/>
        <w:rPr>
          <w:rFonts w:ascii="Arial" w:hAnsi="Arial" w:cs="Arial"/>
          <w:color w:val="000000" w:themeColor="text1"/>
        </w:rPr>
      </w:pPr>
      <w:r w:rsidRPr="00BC1463">
        <w:rPr>
          <w:rFonts w:ascii="Arial" w:hAnsi="Arial" w:cs="Arial"/>
          <w:color w:val="000000" w:themeColor="text1"/>
        </w:rPr>
        <w:t xml:space="preserve">‌ Zhang, S., Chin, K. &amp; Miller, J. (2007). Women’s participation in Chinese transnational human smuggling: A gendered market perspective, </w:t>
      </w:r>
      <w:r w:rsidRPr="00BC1463">
        <w:rPr>
          <w:rFonts w:ascii="Arial" w:hAnsi="Arial" w:cs="Arial"/>
          <w:i/>
          <w:iCs/>
          <w:color w:val="000000" w:themeColor="text1"/>
        </w:rPr>
        <w:t xml:space="preserve">Criminology, </w:t>
      </w:r>
      <w:r w:rsidRPr="00BC1463">
        <w:rPr>
          <w:rFonts w:ascii="Arial" w:hAnsi="Arial" w:cs="Arial"/>
          <w:color w:val="000000" w:themeColor="text1"/>
        </w:rPr>
        <w:t xml:space="preserve">45, 3, 699-733. </w:t>
      </w:r>
    </w:p>
    <w:p w14:paraId="2D61EE59" w14:textId="77777777" w:rsidR="00675BD1" w:rsidRPr="00BC1463" w:rsidRDefault="00675BD1" w:rsidP="00BC1463">
      <w:pPr>
        <w:pStyle w:val="NormalWeb"/>
        <w:shd w:val="clear" w:color="auto" w:fill="FFFFFF"/>
        <w:jc w:val="both"/>
        <w:rPr>
          <w:rFonts w:ascii="Arial" w:hAnsi="Arial" w:cs="Arial"/>
          <w:color w:val="000000" w:themeColor="text1"/>
        </w:rPr>
      </w:pPr>
    </w:p>
    <w:p w14:paraId="537A813A" w14:textId="77777777" w:rsidR="00675BD1" w:rsidRPr="00BC1463" w:rsidRDefault="00675BD1" w:rsidP="00BC1463">
      <w:pPr>
        <w:pStyle w:val="NormalWeb"/>
        <w:shd w:val="clear" w:color="auto" w:fill="FFFFFF"/>
        <w:spacing w:before="0" w:beforeAutospacing="0" w:after="0" w:afterAutospacing="0" w:line="360" w:lineRule="atLeast"/>
        <w:jc w:val="both"/>
        <w:rPr>
          <w:rFonts w:ascii="Arial" w:hAnsi="Arial" w:cs="Arial"/>
          <w:color w:val="000000" w:themeColor="text1"/>
        </w:rPr>
      </w:pPr>
    </w:p>
    <w:p w14:paraId="04F9EF21" w14:textId="77777777" w:rsidR="00675BD1" w:rsidRPr="00F07903" w:rsidRDefault="00675BD1">
      <w:pPr>
        <w:rPr>
          <w:b/>
          <w:bCs/>
          <w:u w:val="single"/>
        </w:rPr>
      </w:pPr>
    </w:p>
    <w:sectPr w:rsidR="00675BD1" w:rsidRPr="00F07903" w:rsidSect="0018420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879366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903"/>
    <w:rsid w:val="000A652F"/>
    <w:rsid w:val="00184206"/>
    <w:rsid w:val="00575A65"/>
    <w:rsid w:val="00675BD1"/>
    <w:rsid w:val="008D24B2"/>
    <w:rsid w:val="00BC1463"/>
    <w:rsid w:val="00BC2145"/>
    <w:rsid w:val="00E72FAD"/>
    <w:rsid w:val="00F07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A8C97D"/>
  <w15:chartTrackingRefBased/>
  <w15:docId w15:val="{252D47ED-B661-A74C-B640-13AD7C3AF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790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F07903"/>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apple-converted-space">
    <w:name w:val="apple-converted-space"/>
    <w:basedOn w:val="DefaultParagraphFont"/>
    <w:rsid w:val="00F07903"/>
  </w:style>
  <w:style w:type="character" w:styleId="Hyperlink">
    <w:name w:val="Hyperlink"/>
    <w:basedOn w:val="DefaultParagraphFont"/>
    <w:uiPriority w:val="99"/>
    <w:unhideWhenUsed/>
    <w:rsid w:val="00675BD1"/>
    <w:rPr>
      <w:color w:val="0563C1" w:themeColor="hyperlink"/>
      <w:u w:val="single"/>
    </w:rPr>
  </w:style>
  <w:style w:type="character" w:styleId="UnresolvedMention">
    <w:name w:val="Unresolved Mention"/>
    <w:basedOn w:val="DefaultParagraphFont"/>
    <w:uiPriority w:val="99"/>
    <w:semiHidden/>
    <w:unhideWhenUsed/>
    <w:rsid w:val="00675BD1"/>
    <w:rPr>
      <w:color w:val="605E5C"/>
      <w:shd w:val="clear" w:color="auto" w:fill="E1DFDD"/>
    </w:rPr>
  </w:style>
  <w:style w:type="character" w:styleId="FollowedHyperlink">
    <w:name w:val="FollowedHyperlink"/>
    <w:basedOn w:val="DefaultParagraphFont"/>
    <w:uiPriority w:val="99"/>
    <w:semiHidden/>
    <w:unhideWhenUsed/>
    <w:rsid w:val="00675BD1"/>
    <w:rPr>
      <w:color w:val="954F72" w:themeColor="followedHyperlink"/>
      <w:u w:val="single"/>
    </w:rPr>
  </w:style>
  <w:style w:type="character" w:styleId="Emphasis">
    <w:name w:val="Emphasis"/>
    <w:basedOn w:val="DefaultParagraphFont"/>
    <w:uiPriority w:val="20"/>
    <w:qFormat/>
    <w:rsid w:val="00BC14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247826">
      <w:bodyDiv w:val="1"/>
      <w:marLeft w:val="0"/>
      <w:marRight w:val="0"/>
      <w:marTop w:val="0"/>
      <w:marBottom w:val="0"/>
      <w:divBdr>
        <w:top w:val="none" w:sz="0" w:space="0" w:color="auto"/>
        <w:left w:val="none" w:sz="0" w:space="0" w:color="auto"/>
        <w:bottom w:val="none" w:sz="0" w:space="0" w:color="auto"/>
        <w:right w:val="none" w:sz="0" w:space="0" w:color="auto"/>
      </w:divBdr>
      <w:divsChild>
        <w:div w:id="1045442975">
          <w:marLeft w:val="0"/>
          <w:marRight w:val="0"/>
          <w:marTop w:val="0"/>
          <w:marBottom w:val="0"/>
          <w:divBdr>
            <w:top w:val="none" w:sz="0" w:space="0" w:color="auto"/>
            <w:left w:val="none" w:sz="0" w:space="0" w:color="auto"/>
            <w:bottom w:val="none" w:sz="0" w:space="0" w:color="auto"/>
            <w:right w:val="none" w:sz="0" w:space="0" w:color="auto"/>
          </w:divBdr>
          <w:divsChild>
            <w:div w:id="878324971">
              <w:marLeft w:val="0"/>
              <w:marRight w:val="0"/>
              <w:marTop w:val="0"/>
              <w:marBottom w:val="0"/>
              <w:divBdr>
                <w:top w:val="none" w:sz="0" w:space="0" w:color="auto"/>
                <w:left w:val="none" w:sz="0" w:space="0" w:color="auto"/>
                <w:bottom w:val="none" w:sz="0" w:space="0" w:color="auto"/>
                <w:right w:val="none" w:sz="0" w:space="0" w:color="auto"/>
              </w:divBdr>
              <w:divsChild>
                <w:div w:id="1797486492">
                  <w:marLeft w:val="0"/>
                  <w:marRight w:val="0"/>
                  <w:marTop w:val="0"/>
                  <w:marBottom w:val="0"/>
                  <w:divBdr>
                    <w:top w:val="none" w:sz="0" w:space="0" w:color="auto"/>
                    <w:left w:val="none" w:sz="0" w:space="0" w:color="auto"/>
                    <w:bottom w:val="none" w:sz="0" w:space="0" w:color="auto"/>
                    <w:right w:val="none" w:sz="0" w:space="0" w:color="auto"/>
                  </w:divBdr>
                  <w:divsChild>
                    <w:div w:id="111379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police.uk/cy-GB/SysSiteAssets/media/downloads/met/about-us/baroness-casey-review/update-march-2023/baroness-casey-review-march-2023a.pdf" TargetMode="External"/><Relationship Id="rId13" Type="http://schemas.openxmlformats.org/officeDocument/2006/relationships/hyperlink" Target="https://www.college.police.uk/guidance/hot-spots-policing#:~:text=Hot%20spots%20policing%20is%20a" TargetMode="External"/><Relationship Id="rId18" Type="http://schemas.openxmlformats.org/officeDocument/2006/relationships/hyperlink" Target="https://www.justiceinspectorates.gov.uk/hmicfrs/publication-html/police-response-to-burglary-robbery-and-other-acquisitive-crime/" TargetMode="External"/><Relationship Id="rId26" Type="http://schemas.openxmlformats.org/officeDocument/2006/relationships/hyperlink" Target="https://www.nspcc.org.uk/what-is-child-abuse/types-of-abuse/gangs-criminal-exploitation/#criminalexploitation" TargetMode="External"/><Relationship Id="rId3" Type="http://schemas.openxmlformats.org/officeDocument/2006/relationships/settings" Target="settings.xml"/><Relationship Id="rId21" Type="http://schemas.openxmlformats.org/officeDocument/2006/relationships/hyperlink" Target="https://www.legislation.gov.uk/ukpga/1996/25/part/II" TargetMode="External"/><Relationship Id="rId7" Type="http://schemas.openxmlformats.org/officeDocument/2006/relationships/hyperlink" Target="https://www.emerald.com/insight/publication/issn/1363-951X" TargetMode="External"/><Relationship Id="rId12" Type="http://schemas.openxmlformats.org/officeDocument/2006/relationships/hyperlink" Target="https://www.college.police.uk/guidance/problem-solving-policing#:~:text=Problem%2Dsolving%20policing%20is%20also" TargetMode="External"/><Relationship Id="rId17" Type="http://schemas.openxmlformats.org/officeDocument/2006/relationships/hyperlink" Target="https://assets.publishing.service.gov.uk/government/uploads/system/uploads/attachment_data/file/752850/SOC-2018-web.pdf" TargetMode="External"/><Relationship Id="rId25" Type="http://schemas.openxmlformats.org/officeDocument/2006/relationships/hyperlink" Target="https://news.npcc.police.uk/releases/all-home-burglaries-in-england-and-wales-will-be-attended-by-the-police" TargetMode="External"/><Relationship Id="rId2" Type="http://schemas.openxmlformats.org/officeDocument/2006/relationships/styles" Target="styles.xml"/><Relationship Id="rId16" Type="http://schemas.openxmlformats.org/officeDocument/2006/relationships/hyperlink" Target="https://www.legislation.gov.uk/ukpga/1998/42/contents" TargetMode="External"/><Relationship Id="rId20" Type="http://schemas.openxmlformats.org/officeDocument/2006/relationships/hyperlink" Target="https://www.sciencedirect.com/topics/social-sciences/routine-activity-theory" TargetMode="External"/><Relationship Id="rId29" Type="http://schemas.openxmlformats.org/officeDocument/2006/relationships/hyperlink" Target="https://safercommunities.wales/modern-slavery-exploitation/criminal-exploitation/" TargetMode="External"/><Relationship Id="rId1" Type="http://schemas.openxmlformats.org/officeDocument/2006/relationships/numbering" Target="numbering.xml"/><Relationship Id="rId6" Type="http://schemas.openxmlformats.org/officeDocument/2006/relationships/hyperlink" Target="file:////insight/search%3fq=David%20Weisburd" TargetMode="External"/><Relationship Id="rId11" Type="http://schemas.openxmlformats.org/officeDocument/2006/relationships/hyperlink" Target="https://www.college.police.uk/guidance/neighbourhood-crime/interventions-situational-crime-prevention" TargetMode="External"/><Relationship Id="rId24" Type="http://schemas.openxmlformats.org/officeDocument/2006/relationships/hyperlink" Target="https://assets.publishing.service.gov.uk/government/uploads/system/uploads/attachment_data/file/931173/Criminal-procedure-and-investigations-act-1996.pdf" TargetMode="External"/><Relationship Id="rId32" Type="http://schemas.openxmlformats.org/officeDocument/2006/relationships/theme" Target="theme/theme1.xml"/><Relationship Id="rId5" Type="http://schemas.openxmlformats.org/officeDocument/2006/relationships/hyperlink" Target="file:////insight/search%3fq=Martin%20A.%20Andresen" TargetMode="External"/><Relationship Id="rId15" Type="http://schemas.openxmlformats.org/officeDocument/2006/relationships/hyperlink" Target="https://youthendowmentfund.org.uk/wp-content/uploads/2022/07/YEF-Hot-Spots-Policing-Technical-Report_Final_July-2022.pdf" TargetMode="External"/><Relationship Id="rId23" Type="http://schemas.openxmlformats.org/officeDocument/2006/relationships/hyperlink" Target="https://innocenceproject.org/news/what-is-cognitive-bias-how-it-contributes-to-wrongful-conviction/" TargetMode="External"/><Relationship Id="rId28" Type="http://schemas.openxmlformats.org/officeDocument/2006/relationships/hyperlink" Target="https://www.ons.gov.uk/peoplepopulationandcommunity/crimeandjustice/bulletins/crimeinenglandandwales/yearendingseptember2022#theft-offences" TargetMode="External"/><Relationship Id="rId10" Type="http://schemas.openxmlformats.org/officeDocument/2006/relationships/hyperlink" Target="https://www.college.police.uk/research/what-works-policing-reduce-crime" TargetMode="External"/><Relationship Id="rId19" Type="http://schemas.openxmlformats.org/officeDocument/2006/relationships/hyperlink" Target="https://assets.publishing.service.gov.uk/government/uploads/system/uploads/attachment_data/file/863323/HOCountyLinesGuidance_-_Sept2018.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llege.police.uk/research/crime-reduction-toolkit/body-worn-cameras" TargetMode="External"/><Relationship Id="rId14" Type="http://schemas.openxmlformats.org/officeDocument/2006/relationships/hyperlink" Target="https://www.college.police.uk/guidance/neighbourhood-crime" TargetMode="External"/><Relationship Id="rId22" Type="http://schemas.openxmlformats.org/officeDocument/2006/relationships/hyperlink" Target="https://assets.publishing.service.gov.uk/government/uploads/system/uploads/attachment_data/file/277111/4262.pdf" TargetMode="External"/><Relationship Id="rId27" Type="http://schemas.openxmlformats.org/officeDocument/2006/relationships/hyperlink" Target="https://www.crimeprevention.nsw.gov.au/Documents/routine_activity_factsheet_nov2014.pdf" TargetMode="External"/><Relationship Id="rId30" Type="http://schemas.openxmlformats.org/officeDocument/2006/relationships/hyperlink" Target="https://www.unsavienna.org/sites/default/files/2020-01/Concept_No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15</Pages>
  <Words>6023</Words>
  <Characters>34332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Williams</dc:creator>
  <cp:keywords/>
  <dc:description/>
  <cp:lastModifiedBy>Leah Williams</cp:lastModifiedBy>
  <cp:revision>2</cp:revision>
  <dcterms:created xsi:type="dcterms:W3CDTF">2023-05-22T10:18:00Z</dcterms:created>
  <dcterms:modified xsi:type="dcterms:W3CDTF">2023-05-22T19:41:00Z</dcterms:modified>
</cp:coreProperties>
</file>