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16ACA" w14:textId="325524AF" w:rsidR="00A0585C" w:rsidRDefault="00261418" w:rsidP="00602671">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t>Scholarly Reply to Allen’s ‘How prosperous were the Romans? Evidence from Diocletian’s Price Edict (AD 301).’</w:t>
      </w:r>
    </w:p>
    <w:p w14:paraId="076D26AB" w14:textId="0171207A" w:rsidR="00261418" w:rsidRDefault="00261418" w:rsidP="00602671">
      <w:pPr>
        <w:spacing w:line="360" w:lineRule="auto"/>
        <w:jc w:val="center"/>
        <w:rPr>
          <w:rFonts w:ascii="Times New Roman" w:hAnsi="Times New Roman" w:cs="Times New Roman"/>
          <w:b/>
          <w:sz w:val="24"/>
          <w:u w:val="single"/>
        </w:rPr>
      </w:pPr>
    </w:p>
    <w:p w14:paraId="6BF79E31" w14:textId="403DD8AB" w:rsidR="00261418" w:rsidRDefault="00261418" w:rsidP="00602671">
      <w:pPr>
        <w:spacing w:line="360" w:lineRule="auto"/>
        <w:rPr>
          <w:rFonts w:ascii="Times New Roman" w:hAnsi="Times New Roman" w:cs="Times New Roman"/>
          <w:sz w:val="24"/>
        </w:rPr>
      </w:pPr>
      <w:r>
        <w:rPr>
          <w:rFonts w:ascii="Times New Roman" w:hAnsi="Times New Roman" w:cs="Times New Roman"/>
          <w:sz w:val="24"/>
        </w:rPr>
        <w:t>Attempting to study the ancient economy has always been a difficult task for scholars. When one thinks of the study of economics</w:t>
      </w:r>
      <w:r w:rsidR="00AB4ED6">
        <w:rPr>
          <w:rFonts w:ascii="Times New Roman" w:hAnsi="Times New Roman" w:cs="Times New Roman"/>
          <w:sz w:val="24"/>
        </w:rPr>
        <w:t>, it can conjure images of</w:t>
      </w:r>
      <w:r w:rsidR="005754FC">
        <w:rPr>
          <w:rFonts w:ascii="Times New Roman" w:hAnsi="Times New Roman" w:cs="Times New Roman"/>
          <w:sz w:val="24"/>
        </w:rPr>
        <w:t xml:space="preserve"> a</w:t>
      </w:r>
      <w:r>
        <w:rPr>
          <w:rFonts w:ascii="Times New Roman" w:hAnsi="Times New Roman" w:cs="Times New Roman"/>
          <w:sz w:val="24"/>
        </w:rPr>
        <w:t xml:space="preserve"> series of charts, tables and graphs, show</w:t>
      </w:r>
      <w:r w:rsidR="00655E36">
        <w:rPr>
          <w:rFonts w:ascii="Times New Roman" w:hAnsi="Times New Roman" w:cs="Times New Roman"/>
          <w:sz w:val="24"/>
        </w:rPr>
        <w:t>ing</w:t>
      </w:r>
      <w:r>
        <w:rPr>
          <w:rFonts w:ascii="Times New Roman" w:hAnsi="Times New Roman" w:cs="Times New Roman"/>
          <w:sz w:val="24"/>
        </w:rPr>
        <w:t xml:space="preserve"> GDP and economic growth. However, with the study of the ancient economy it becomes a lot more problematic as people in antiquity did not record detailed economic figures like we have now for the study of economics. Or if they did they do not surviv</w:t>
      </w:r>
      <w:r w:rsidR="00655E36">
        <w:rPr>
          <w:rFonts w:ascii="Times New Roman" w:hAnsi="Times New Roman" w:cs="Times New Roman"/>
          <w:sz w:val="24"/>
        </w:rPr>
        <w:t>e</w:t>
      </w:r>
      <w:r>
        <w:rPr>
          <w:rFonts w:ascii="Times New Roman" w:hAnsi="Times New Roman" w:cs="Times New Roman"/>
          <w:sz w:val="24"/>
        </w:rPr>
        <w:t xml:space="preserve">. This </w:t>
      </w:r>
      <w:r w:rsidR="00655E36">
        <w:rPr>
          <w:rFonts w:ascii="Times New Roman" w:hAnsi="Times New Roman" w:cs="Times New Roman"/>
          <w:sz w:val="24"/>
        </w:rPr>
        <w:t xml:space="preserve">has </w:t>
      </w:r>
      <w:r>
        <w:rPr>
          <w:rFonts w:ascii="Times New Roman" w:hAnsi="Times New Roman" w:cs="Times New Roman"/>
          <w:sz w:val="24"/>
        </w:rPr>
        <w:t>mean</w:t>
      </w:r>
      <w:r w:rsidR="00655E36">
        <w:rPr>
          <w:rFonts w:ascii="Times New Roman" w:hAnsi="Times New Roman" w:cs="Times New Roman"/>
          <w:sz w:val="24"/>
        </w:rPr>
        <w:t>t</w:t>
      </w:r>
      <w:r>
        <w:rPr>
          <w:rFonts w:ascii="Times New Roman" w:hAnsi="Times New Roman" w:cs="Times New Roman"/>
          <w:sz w:val="24"/>
        </w:rPr>
        <w:t xml:space="preserve"> that when attempting to discuss</w:t>
      </w:r>
      <w:r w:rsidR="00655E36">
        <w:rPr>
          <w:rFonts w:ascii="Times New Roman" w:hAnsi="Times New Roman" w:cs="Times New Roman"/>
          <w:sz w:val="24"/>
        </w:rPr>
        <w:t xml:space="preserve"> various economic principles such as</w:t>
      </w:r>
      <w:r>
        <w:rPr>
          <w:rFonts w:ascii="Times New Roman" w:hAnsi="Times New Roman" w:cs="Times New Roman"/>
          <w:sz w:val="24"/>
        </w:rPr>
        <w:t xml:space="preserve"> the economic growth of the Roman Empire</w:t>
      </w:r>
      <w:r w:rsidR="006B32F7">
        <w:rPr>
          <w:rFonts w:ascii="Times New Roman" w:hAnsi="Times New Roman" w:cs="Times New Roman"/>
          <w:sz w:val="24"/>
        </w:rPr>
        <w:t>,</w:t>
      </w:r>
      <w:r>
        <w:rPr>
          <w:rFonts w:ascii="Times New Roman" w:hAnsi="Times New Roman" w:cs="Times New Roman"/>
          <w:sz w:val="24"/>
        </w:rPr>
        <w:t xml:space="preserve"> </w:t>
      </w:r>
      <w:r w:rsidR="00655E36">
        <w:rPr>
          <w:rFonts w:ascii="Times New Roman" w:hAnsi="Times New Roman" w:cs="Times New Roman"/>
          <w:sz w:val="24"/>
        </w:rPr>
        <w:t>ancient economic historians</w:t>
      </w:r>
      <w:r>
        <w:rPr>
          <w:rFonts w:ascii="Times New Roman" w:hAnsi="Times New Roman" w:cs="Times New Roman"/>
          <w:sz w:val="24"/>
        </w:rPr>
        <w:t xml:space="preserve"> have traditionally had to resort to more abstract ways to attempt to understand the nature of the ancient economy.</w:t>
      </w:r>
      <w:r>
        <w:rPr>
          <w:rStyle w:val="FootnoteReference"/>
          <w:rFonts w:ascii="Times New Roman" w:hAnsi="Times New Roman" w:cs="Times New Roman"/>
          <w:sz w:val="24"/>
        </w:rPr>
        <w:footnoteReference w:id="1"/>
      </w:r>
      <w:r w:rsidR="006B32F7">
        <w:rPr>
          <w:rFonts w:ascii="Times New Roman" w:hAnsi="Times New Roman" w:cs="Times New Roman"/>
          <w:sz w:val="24"/>
        </w:rPr>
        <w:t xml:space="preserve"> </w:t>
      </w:r>
    </w:p>
    <w:p w14:paraId="1121060F" w14:textId="77777777" w:rsidR="000F53C5" w:rsidRDefault="00655E36" w:rsidP="00602671">
      <w:pPr>
        <w:spacing w:line="360" w:lineRule="auto"/>
        <w:rPr>
          <w:rFonts w:ascii="Times New Roman" w:hAnsi="Times New Roman" w:cs="Times New Roman"/>
          <w:sz w:val="24"/>
        </w:rPr>
      </w:pPr>
      <w:r>
        <w:rPr>
          <w:rFonts w:ascii="Times New Roman" w:hAnsi="Times New Roman" w:cs="Times New Roman"/>
          <w:sz w:val="24"/>
        </w:rPr>
        <w:t xml:space="preserve">This leads me to Robert Allen’s article </w:t>
      </w:r>
      <w:r w:rsidR="00832520">
        <w:rPr>
          <w:rFonts w:ascii="Times New Roman" w:hAnsi="Times New Roman" w:cs="Times New Roman"/>
          <w:sz w:val="24"/>
        </w:rPr>
        <w:t xml:space="preserve">in Bowman and Wilson’s </w:t>
      </w:r>
      <w:r w:rsidR="00832520">
        <w:rPr>
          <w:rFonts w:ascii="Times New Roman" w:hAnsi="Times New Roman" w:cs="Times New Roman"/>
          <w:i/>
          <w:sz w:val="24"/>
        </w:rPr>
        <w:t>Quantifying the Roman Economy: Methods and Problems</w:t>
      </w:r>
      <w:r w:rsidR="00832520">
        <w:rPr>
          <w:rFonts w:ascii="Times New Roman" w:hAnsi="Times New Roman" w:cs="Times New Roman"/>
          <w:sz w:val="24"/>
        </w:rPr>
        <w:t xml:space="preserve"> in which he attempts to propose a new approach to ascertaining the level of living standards for the average worker in the Roman Empire. Allen begins his article by proposing a question. ‘How prosperous were the Romans?’</w:t>
      </w:r>
      <w:r w:rsidR="00832520">
        <w:rPr>
          <w:rStyle w:val="FootnoteReference"/>
          <w:rFonts w:ascii="Times New Roman" w:hAnsi="Times New Roman" w:cs="Times New Roman"/>
          <w:sz w:val="24"/>
        </w:rPr>
        <w:footnoteReference w:id="2"/>
      </w:r>
      <w:r w:rsidR="00832520">
        <w:rPr>
          <w:rFonts w:ascii="Times New Roman" w:hAnsi="Times New Roman" w:cs="Times New Roman"/>
          <w:sz w:val="24"/>
        </w:rPr>
        <w:t xml:space="preserve"> This question is one that in many different forms has long puzzled historians of the ancient economy, a fact that Allen acknowledges. He begins by outlining two methods previously used to attempt to understand the living standards of Roman workers and their families. </w:t>
      </w:r>
    </w:p>
    <w:p w14:paraId="7B4E30CE" w14:textId="1833AA82" w:rsidR="00376F0F" w:rsidRDefault="00832520" w:rsidP="00602671">
      <w:pPr>
        <w:spacing w:line="360" w:lineRule="auto"/>
        <w:rPr>
          <w:rFonts w:ascii="Times New Roman" w:hAnsi="Times New Roman" w:cs="Times New Roman"/>
          <w:sz w:val="24"/>
        </w:rPr>
      </w:pPr>
      <w:r>
        <w:rPr>
          <w:rFonts w:ascii="Times New Roman" w:hAnsi="Times New Roman" w:cs="Times New Roman"/>
          <w:sz w:val="24"/>
        </w:rPr>
        <w:t>Th</w:t>
      </w:r>
      <w:r w:rsidR="00D17582">
        <w:rPr>
          <w:rFonts w:ascii="Times New Roman" w:hAnsi="Times New Roman" w:cs="Times New Roman"/>
          <w:sz w:val="24"/>
        </w:rPr>
        <w:t>e first method he outlines is the attempt to calculate average income by taking Gross Domestic Product</w:t>
      </w:r>
      <w:r w:rsidR="00D17582">
        <w:rPr>
          <w:rStyle w:val="FootnoteReference"/>
          <w:rFonts w:ascii="Times New Roman" w:hAnsi="Times New Roman" w:cs="Times New Roman"/>
          <w:sz w:val="24"/>
        </w:rPr>
        <w:footnoteReference w:id="3"/>
      </w:r>
      <w:r w:rsidR="00D17582">
        <w:rPr>
          <w:rFonts w:ascii="Times New Roman" w:hAnsi="Times New Roman" w:cs="Times New Roman"/>
          <w:sz w:val="24"/>
        </w:rPr>
        <w:t xml:space="preserve"> and dividing it by population.</w:t>
      </w:r>
      <w:r w:rsidR="00D17582">
        <w:rPr>
          <w:rStyle w:val="FootnoteReference"/>
          <w:rFonts w:ascii="Times New Roman" w:hAnsi="Times New Roman" w:cs="Times New Roman"/>
          <w:sz w:val="24"/>
        </w:rPr>
        <w:footnoteReference w:id="4"/>
      </w:r>
      <w:r w:rsidR="00D17582">
        <w:rPr>
          <w:rFonts w:ascii="Times New Roman" w:hAnsi="Times New Roman" w:cs="Times New Roman"/>
          <w:sz w:val="24"/>
        </w:rPr>
        <w:t xml:space="preserve"> This approach however, as Allen points out has met with serious roadblocks when it comes to the Roman Empire and according to Allen these problems can be surmised as the fact that there is not enough economic data that exists from the period to accurately calculate the GDP of the Roman Empire.</w:t>
      </w:r>
      <w:r w:rsidR="00D17582">
        <w:rPr>
          <w:rStyle w:val="FootnoteReference"/>
          <w:rFonts w:ascii="Times New Roman" w:hAnsi="Times New Roman" w:cs="Times New Roman"/>
          <w:sz w:val="24"/>
        </w:rPr>
        <w:footnoteReference w:id="5"/>
      </w:r>
      <w:r w:rsidR="00D17582">
        <w:rPr>
          <w:rFonts w:ascii="Times New Roman" w:hAnsi="Times New Roman" w:cs="Times New Roman"/>
          <w:sz w:val="24"/>
        </w:rPr>
        <w:t xml:space="preserve"> This combined with a lack of accurate figures for the population of the Roman Empire</w:t>
      </w:r>
      <w:r w:rsidR="00D17582">
        <w:rPr>
          <w:rStyle w:val="FootnoteReference"/>
          <w:rFonts w:ascii="Times New Roman" w:hAnsi="Times New Roman" w:cs="Times New Roman"/>
          <w:sz w:val="24"/>
        </w:rPr>
        <w:footnoteReference w:id="6"/>
      </w:r>
      <w:r w:rsidR="00D17582">
        <w:rPr>
          <w:rFonts w:ascii="Times New Roman" w:hAnsi="Times New Roman" w:cs="Times New Roman"/>
          <w:sz w:val="24"/>
        </w:rPr>
        <w:t xml:space="preserve"> leads Allen to </w:t>
      </w:r>
      <w:r w:rsidR="00D17582">
        <w:rPr>
          <w:rFonts w:ascii="Times New Roman" w:hAnsi="Times New Roman" w:cs="Times New Roman"/>
          <w:sz w:val="24"/>
        </w:rPr>
        <w:lastRenderedPageBreak/>
        <w:t>conclude that any attempt to use this method to calculate living standards in the Roman Empire would be ‘problematic’.</w:t>
      </w:r>
      <w:r w:rsidR="00D17582">
        <w:rPr>
          <w:rStyle w:val="FootnoteReference"/>
          <w:rFonts w:ascii="Times New Roman" w:hAnsi="Times New Roman" w:cs="Times New Roman"/>
          <w:sz w:val="24"/>
        </w:rPr>
        <w:footnoteReference w:id="7"/>
      </w:r>
    </w:p>
    <w:p w14:paraId="090F217F" w14:textId="77777777" w:rsidR="009D5B9B" w:rsidRDefault="00B45BCA" w:rsidP="00602671">
      <w:pPr>
        <w:spacing w:line="360" w:lineRule="auto"/>
        <w:rPr>
          <w:rFonts w:ascii="Times New Roman" w:hAnsi="Times New Roman" w:cs="Times New Roman"/>
          <w:sz w:val="24"/>
        </w:rPr>
      </w:pPr>
      <w:r>
        <w:rPr>
          <w:rFonts w:ascii="Times New Roman" w:hAnsi="Times New Roman" w:cs="Times New Roman"/>
          <w:sz w:val="24"/>
        </w:rPr>
        <w:t>The second method that</w:t>
      </w:r>
      <w:r w:rsidR="00366396">
        <w:rPr>
          <w:rFonts w:ascii="Times New Roman" w:hAnsi="Times New Roman" w:cs="Times New Roman"/>
          <w:sz w:val="24"/>
        </w:rPr>
        <w:t xml:space="preserve"> Allen writes, has been used to attempt to understand Roman living standards, is through the use of skeletal evidence.</w:t>
      </w:r>
      <w:r w:rsidR="00366396">
        <w:rPr>
          <w:rStyle w:val="FootnoteReference"/>
          <w:rFonts w:ascii="Times New Roman" w:hAnsi="Times New Roman" w:cs="Times New Roman"/>
          <w:sz w:val="24"/>
        </w:rPr>
        <w:footnoteReference w:id="8"/>
      </w:r>
      <w:r w:rsidR="00366396">
        <w:rPr>
          <w:rFonts w:ascii="Times New Roman" w:hAnsi="Times New Roman" w:cs="Times New Roman"/>
          <w:sz w:val="24"/>
        </w:rPr>
        <w:t xml:space="preserve"> This method simply hinging on the idea that if one were to eat larger quantities of food as they were growing up they would grow to be taller.</w:t>
      </w:r>
      <w:r w:rsidR="00366396">
        <w:rPr>
          <w:rStyle w:val="FootnoteReference"/>
          <w:rFonts w:ascii="Times New Roman" w:hAnsi="Times New Roman" w:cs="Times New Roman"/>
          <w:sz w:val="24"/>
        </w:rPr>
        <w:footnoteReference w:id="9"/>
      </w:r>
      <w:r w:rsidR="00366396">
        <w:rPr>
          <w:rFonts w:ascii="Times New Roman" w:hAnsi="Times New Roman" w:cs="Times New Roman"/>
          <w:sz w:val="24"/>
        </w:rPr>
        <w:t xml:space="preserve"> Thus, if average height in the Roman Empire was found to be high then it would be possible to make </w:t>
      </w:r>
      <w:r w:rsidR="00075FBD">
        <w:rPr>
          <w:rFonts w:ascii="Times New Roman" w:hAnsi="Times New Roman" w:cs="Times New Roman"/>
          <w:sz w:val="24"/>
        </w:rPr>
        <w:t>educat</w:t>
      </w:r>
      <w:r w:rsidR="00366396">
        <w:rPr>
          <w:rFonts w:ascii="Times New Roman" w:hAnsi="Times New Roman" w:cs="Times New Roman"/>
          <w:sz w:val="24"/>
        </w:rPr>
        <w:t>ed assumptions on the living standards of the average population.</w:t>
      </w:r>
      <w:r w:rsidR="00366396">
        <w:rPr>
          <w:rStyle w:val="FootnoteReference"/>
          <w:rFonts w:ascii="Times New Roman" w:hAnsi="Times New Roman" w:cs="Times New Roman"/>
          <w:sz w:val="24"/>
        </w:rPr>
        <w:footnoteReference w:id="10"/>
      </w:r>
      <w:r w:rsidR="00366396">
        <w:rPr>
          <w:rFonts w:ascii="Times New Roman" w:hAnsi="Times New Roman" w:cs="Times New Roman"/>
          <w:sz w:val="24"/>
        </w:rPr>
        <w:t xml:space="preserve"> </w:t>
      </w:r>
    </w:p>
    <w:p w14:paraId="4852E6C5" w14:textId="2365596D" w:rsidR="00B45BCA" w:rsidRDefault="009D5B9B" w:rsidP="00602671">
      <w:pPr>
        <w:spacing w:line="360" w:lineRule="auto"/>
        <w:rPr>
          <w:rFonts w:ascii="Times New Roman" w:hAnsi="Times New Roman" w:cs="Times New Roman"/>
          <w:sz w:val="24"/>
        </w:rPr>
      </w:pPr>
      <w:proofErr w:type="spellStart"/>
      <w:r>
        <w:rPr>
          <w:rFonts w:ascii="Times New Roman" w:hAnsi="Times New Roman" w:cs="Times New Roman"/>
          <w:sz w:val="24"/>
        </w:rPr>
        <w:t>Jongman</w:t>
      </w:r>
      <w:proofErr w:type="spellEnd"/>
      <w:r>
        <w:rPr>
          <w:rFonts w:ascii="Times New Roman" w:hAnsi="Times New Roman" w:cs="Times New Roman"/>
          <w:sz w:val="24"/>
        </w:rPr>
        <w:t xml:space="preserve"> argues in his article on consumption and living standards in the Early Roman Empire, that stature is the best indicator of nutritional status as people grow taller the more they eat.</w:t>
      </w:r>
      <w:r>
        <w:rPr>
          <w:rStyle w:val="FootnoteReference"/>
          <w:rFonts w:ascii="Times New Roman" w:hAnsi="Times New Roman" w:cs="Times New Roman"/>
          <w:sz w:val="24"/>
        </w:rPr>
        <w:footnoteReference w:id="11"/>
      </w:r>
      <w:r>
        <w:rPr>
          <w:rFonts w:ascii="Times New Roman" w:hAnsi="Times New Roman" w:cs="Times New Roman"/>
          <w:sz w:val="24"/>
        </w:rPr>
        <w:t xml:space="preserve"> </w:t>
      </w:r>
      <w:proofErr w:type="spellStart"/>
      <w:r>
        <w:rPr>
          <w:rFonts w:ascii="Times New Roman" w:hAnsi="Times New Roman" w:cs="Times New Roman"/>
          <w:sz w:val="24"/>
        </w:rPr>
        <w:t>Jongman</w:t>
      </w:r>
      <w:proofErr w:type="spellEnd"/>
      <w:r>
        <w:rPr>
          <w:rFonts w:ascii="Times New Roman" w:hAnsi="Times New Roman" w:cs="Times New Roman"/>
          <w:sz w:val="24"/>
        </w:rPr>
        <w:t xml:space="preserve"> uses the average heights of skeletons from sites throughout the Roman Empire, such as Herculaneum,</w:t>
      </w:r>
      <w:r w:rsidR="0051040B">
        <w:rPr>
          <w:rStyle w:val="FootnoteReference"/>
          <w:rFonts w:ascii="Times New Roman" w:hAnsi="Times New Roman" w:cs="Times New Roman"/>
          <w:sz w:val="24"/>
        </w:rPr>
        <w:footnoteReference w:id="12"/>
      </w:r>
      <w:r>
        <w:rPr>
          <w:rFonts w:ascii="Times New Roman" w:hAnsi="Times New Roman" w:cs="Times New Roman"/>
          <w:sz w:val="24"/>
        </w:rPr>
        <w:t xml:space="preserve"> to suggest that living standards were in on average quite high for the tie period and suggests that they would not be matched for several centuries.</w:t>
      </w:r>
      <w:r w:rsidR="0051040B">
        <w:rPr>
          <w:rStyle w:val="FootnoteReference"/>
          <w:rFonts w:ascii="Times New Roman" w:hAnsi="Times New Roman" w:cs="Times New Roman"/>
          <w:sz w:val="24"/>
        </w:rPr>
        <w:footnoteReference w:id="13"/>
      </w:r>
      <w:r>
        <w:rPr>
          <w:rFonts w:ascii="Times New Roman" w:hAnsi="Times New Roman" w:cs="Times New Roman"/>
          <w:sz w:val="24"/>
        </w:rPr>
        <w:t xml:space="preserve"> </w:t>
      </w:r>
      <w:r w:rsidR="00366396">
        <w:rPr>
          <w:rFonts w:ascii="Times New Roman" w:hAnsi="Times New Roman" w:cs="Times New Roman"/>
          <w:sz w:val="24"/>
        </w:rPr>
        <w:t>However, this method again has major drawbacks that Allen again points out; it is incredibly difficult to estimate average height in the Roman Empire, due to factors such as the wide use of cremation and that measuring the height of a person from the length of their femur is not entirely reliable.</w:t>
      </w:r>
      <w:r w:rsidR="00366396">
        <w:rPr>
          <w:rStyle w:val="FootnoteReference"/>
          <w:rFonts w:ascii="Times New Roman" w:hAnsi="Times New Roman" w:cs="Times New Roman"/>
          <w:sz w:val="24"/>
        </w:rPr>
        <w:footnoteReference w:id="14"/>
      </w:r>
      <w:r w:rsidR="00366396">
        <w:rPr>
          <w:rFonts w:ascii="Times New Roman" w:hAnsi="Times New Roman" w:cs="Times New Roman"/>
          <w:sz w:val="24"/>
        </w:rPr>
        <w:t xml:space="preserve"> </w:t>
      </w:r>
      <w:r w:rsidR="00A22ED9">
        <w:rPr>
          <w:rFonts w:ascii="Times New Roman" w:hAnsi="Times New Roman" w:cs="Times New Roman"/>
          <w:sz w:val="24"/>
        </w:rPr>
        <w:t>Not to mention that there are questions as to whether height and living standards actually correlate with each other.</w:t>
      </w:r>
      <w:r w:rsidR="00A22ED9">
        <w:rPr>
          <w:rStyle w:val="FootnoteReference"/>
          <w:rFonts w:ascii="Times New Roman" w:hAnsi="Times New Roman" w:cs="Times New Roman"/>
          <w:sz w:val="24"/>
        </w:rPr>
        <w:footnoteReference w:id="15"/>
      </w:r>
      <w:r w:rsidR="00A22ED9">
        <w:rPr>
          <w:rFonts w:ascii="Times New Roman" w:hAnsi="Times New Roman" w:cs="Times New Roman"/>
          <w:sz w:val="24"/>
        </w:rPr>
        <w:t xml:space="preserve"> </w:t>
      </w:r>
      <w:r w:rsidR="00366396">
        <w:rPr>
          <w:rFonts w:ascii="Times New Roman" w:hAnsi="Times New Roman" w:cs="Times New Roman"/>
          <w:sz w:val="24"/>
        </w:rPr>
        <w:t xml:space="preserve">And as Allen again points out, even if we could accurately calculate the average height of </w:t>
      </w:r>
      <w:r w:rsidR="007F68AC">
        <w:rPr>
          <w:rFonts w:ascii="Times New Roman" w:hAnsi="Times New Roman" w:cs="Times New Roman"/>
          <w:sz w:val="24"/>
        </w:rPr>
        <w:t xml:space="preserve">the Roman population, what </w:t>
      </w:r>
      <w:proofErr w:type="spellStart"/>
      <w:r w:rsidR="007F68AC">
        <w:rPr>
          <w:rFonts w:ascii="Times New Roman" w:hAnsi="Times New Roman" w:cs="Times New Roman"/>
          <w:sz w:val="24"/>
        </w:rPr>
        <w:t>Koepke</w:t>
      </w:r>
      <w:proofErr w:type="spellEnd"/>
      <w:r w:rsidR="007F68AC">
        <w:rPr>
          <w:rFonts w:ascii="Times New Roman" w:hAnsi="Times New Roman" w:cs="Times New Roman"/>
          <w:sz w:val="24"/>
        </w:rPr>
        <w:t xml:space="preserve"> and </w:t>
      </w:r>
      <w:proofErr w:type="spellStart"/>
      <w:r w:rsidR="007F68AC">
        <w:rPr>
          <w:rFonts w:ascii="Times New Roman" w:hAnsi="Times New Roman" w:cs="Times New Roman"/>
          <w:sz w:val="24"/>
        </w:rPr>
        <w:t>Baten</w:t>
      </w:r>
      <w:proofErr w:type="spellEnd"/>
      <w:r w:rsidR="007F68AC">
        <w:rPr>
          <w:rFonts w:ascii="Times New Roman" w:hAnsi="Times New Roman" w:cs="Times New Roman"/>
          <w:sz w:val="24"/>
        </w:rPr>
        <w:t xml:space="preserve"> termed ‘the biological standard of living’</w:t>
      </w:r>
      <w:r w:rsidR="007F68AC">
        <w:rPr>
          <w:rStyle w:val="FootnoteReference"/>
          <w:rFonts w:ascii="Times New Roman" w:hAnsi="Times New Roman" w:cs="Times New Roman"/>
          <w:sz w:val="24"/>
        </w:rPr>
        <w:footnoteReference w:id="16"/>
      </w:r>
      <w:r w:rsidR="007F68AC">
        <w:rPr>
          <w:rFonts w:ascii="Times New Roman" w:hAnsi="Times New Roman" w:cs="Times New Roman"/>
          <w:sz w:val="24"/>
        </w:rPr>
        <w:t xml:space="preserve"> does not equate to an economic standard of living.</w:t>
      </w:r>
      <w:r w:rsidR="007F68AC">
        <w:rPr>
          <w:rStyle w:val="FootnoteReference"/>
          <w:rFonts w:ascii="Times New Roman" w:hAnsi="Times New Roman" w:cs="Times New Roman"/>
          <w:sz w:val="24"/>
        </w:rPr>
        <w:footnoteReference w:id="17"/>
      </w:r>
    </w:p>
    <w:p w14:paraId="7916510A" w14:textId="6CD47325" w:rsidR="000F53C5" w:rsidRPr="00832520" w:rsidRDefault="000F53C5" w:rsidP="00602671">
      <w:pPr>
        <w:spacing w:line="360" w:lineRule="auto"/>
        <w:rPr>
          <w:rFonts w:ascii="Times New Roman" w:hAnsi="Times New Roman" w:cs="Times New Roman"/>
          <w:sz w:val="24"/>
        </w:rPr>
      </w:pPr>
      <w:r>
        <w:rPr>
          <w:rFonts w:ascii="Times New Roman" w:hAnsi="Times New Roman" w:cs="Times New Roman"/>
          <w:sz w:val="24"/>
        </w:rPr>
        <w:t xml:space="preserve">The cautionary approach that Allen takes to these to previous methods for understanding Roman living standards is one that I would also choose to adopt. Attempts to estimate the size of the Roman economy are always going to be underlined by the lack of concrete figures to base calculations off. And thus, broad sweeping generalisations made from these estimates </w:t>
      </w:r>
      <w:r>
        <w:rPr>
          <w:rFonts w:ascii="Times New Roman" w:hAnsi="Times New Roman" w:cs="Times New Roman"/>
          <w:sz w:val="24"/>
        </w:rPr>
        <w:lastRenderedPageBreak/>
        <w:t xml:space="preserve">are always going to be difficult to accept due to the number of questionable assumptions that would have to be made, such as population estimates necessary to calculate per capita GDP. As far as the attempt to calculate a ‘biological standard of living’ from skeletal evidence, the problems Allen raises such as the prevalence of cremation and the difficulties of accurately measuring height from </w:t>
      </w:r>
      <w:r w:rsidR="004D3559">
        <w:rPr>
          <w:rFonts w:ascii="Times New Roman" w:hAnsi="Times New Roman" w:cs="Times New Roman"/>
          <w:sz w:val="24"/>
        </w:rPr>
        <w:t>the length of the femur bone</w:t>
      </w:r>
      <w:r w:rsidR="004D3559">
        <w:rPr>
          <w:rStyle w:val="FootnoteReference"/>
          <w:rFonts w:ascii="Times New Roman" w:hAnsi="Times New Roman" w:cs="Times New Roman"/>
          <w:sz w:val="24"/>
        </w:rPr>
        <w:footnoteReference w:id="18"/>
      </w:r>
      <w:r w:rsidR="004D3559">
        <w:rPr>
          <w:rFonts w:ascii="Times New Roman" w:hAnsi="Times New Roman" w:cs="Times New Roman"/>
          <w:sz w:val="24"/>
        </w:rPr>
        <w:t xml:space="preserve"> seem sufficient enough to be sceptical of such an approach to understanding living standards in the Roman Empire.</w:t>
      </w:r>
    </w:p>
    <w:p w14:paraId="0BFF7C19" w14:textId="11024E5E" w:rsidR="006B32F7" w:rsidRDefault="00345BFF" w:rsidP="00602671">
      <w:pPr>
        <w:spacing w:line="360" w:lineRule="auto"/>
        <w:rPr>
          <w:rFonts w:ascii="Times New Roman" w:hAnsi="Times New Roman" w:cs="Times New Roman"/>
          <w:sz w:val="24"/>
        </w:rPr>
      </w:pPr>
      <w:r>
        <w:rPr>
          <w:rFonts w:ascii="Times New Roman" w:hAnsi="Times New Roman" w:cs="Times New Roman"/>
          <w:sz w:val="24"/>
        </w:rPr>
        <w:t>Thus, due to the problems with these two approaches to the answering the question of living standards in the Roman Empire, Allen proposes a new method. This Allen sums up as investigating ‘the purchasing power of an unskilled, free male labourer’,</w:t>
      </w:r>
      <w:r>
        <w:rPr>
          <w:rStyle w:val="FootnoteReference"/>
          <w:rFonts w:ascii="Times New Roman" w:hAnsi="Times New Roman" w:cs="Times New Roman"/>
          <w:sz w:val="24"/>
        </w:rPr>
        <w:footnoteReference w:id="19"/>
      </w:r>
      <w:r>
        <w:rPr>
          <w:rFonts w:ascii="Times New Roman" w:hAnsi="Times New Roman" w:cs="Times New Roman"/>
          <w:sz w:val="24"/>
        </w:rPr>
        <w:t xml:space="preserve"> which he refers to as ‘real wages’.</w:t>
      </w:r>
      <w:r>
        <w:rPr>
          <w:rStyle w:val="FootnoteReference"/>
          <w:rFonts w:ascii="Times New Roman" w:hAnsi="Times New Roman" w:cs="Times New Roman"/>
          <w:sz w:val="24"/>
        </w:rPr>
        <w:footnoteReference w:id="20"/>
      </w:r>
      <w:r>
        <w:rPr>
          <w:rFonts w:ascii="Times New Roman" w:hAnsi="Times New Roman" w:cs="Times New Roman"/>
          <w:sz w:val="24"/>
        </w:rPr>
        <w:t xml:space="preserve"> This he argues is a method of approaching the question of living standards in the Roman Empire which includes information previously unused in such studies, and allows for comparison between the Roman world and other famous historical economies where similar studies have been undertaken.</w:t>
      </w:r>
      <w:r w:rsidR="005E29C6">
        <w:rPr>
          <w:rStyle w:val="FootnoteReference"/>
          <w:rFonts w:ascii="Times New Roman" w:hAnsi="Times New Roman" w:cs="Times New Roman"/>
          <w:sz w:val="24"/>
        </w:rPr>
        <w:footnoteReference w:id="21"/>
      </w:r>
      <w:r w:rsidR="005E29C6">
        <w:rPr>
          <w:rFonts w:ascii="Times New Roman" w:hAnsi="Times New Roman" w:cs="Times New Roman"/>
          <w:sz w:val="24"/>
        </w:rPr>
        <w:t xml:space="preserve"> </w:t>
      </w:r>
    </w:p>
    <w:p w14:paraId="6A7A19B9" w14:textId="41175A4F" w:rsidR="00DC12F7" w:rsidRDefault="005E29C6" w:rsidP="00602671">
      <w:pPr>
        <w:spacing w:line="360" w:lineRule="auto"/>
        <w:rPr>
          <w:rFonts w:ascii="Times New Roman" w:hAnsi="Times New Roman" w:cs="Times New Roman"/>
          <w:sz w:val="24"/>
        </w:rPr>
      </w:pPr>
      <w:r>
        <w:rPr>
          <w:rFonts w:ascii="Times New Roman" w:hAnsi="Times New Roman" w:cs="Times New Roman"/>
          <w:sz w:val="24"/>
        </w:rPr>
        <w:t xml:space="preserve">Allen’s new approach to the study of living standards in the Roman Empire hinges primarily on information gained from Diocletian’s Edict on Maximum Prices from the early fourth century. Through wage and price information recorded in this document Allen calculates both the </w:t>
      </w:r>
      <w:r w:rsidR="00FF068B">
        <w:rPr>
          <w:rFonts w:ascii="Times New Roman" w:hAnsi="Times New Roman" w:cs="Times New Roman"/>
          <w:sz w:val="24"/>
        </w:rPr>
        <w:t>wage of an unskilled labourer and the amount of money it would have cost to feed themselves and their family</w:t>
      </w:r>
      <w:r w:rsidR="00DC12F7">
        <w:rPr>
          <w:rFonts w:ascii="Times New Roman" w:hAnsi="Times New Roman" w:cs="Times New Roman"/>
          <w:sz w:val="24"/>
        </w:rPr>
        <w:t>, which he calls a ‘consumption basket’, and he presents two versions for comparison.</w:t>
      </w:r>
      <w:r w:rsidR="00DC12F7">
        <w:rPr>
          <w:rStyle w:val="FootnoteReference"/>
          <w:rFonts w:ascii="Times New Roman" w:hAnsi="Times New Roman" w:cs="Times New Roman"/>
          <w:sz w:val="24"/>
        </w:rPr>
        <w:footnoteReference w:id="22"/>
      </w:r>
      <w:r w:rsidR="00DC12F7">
        <w:rPr>
          <w:rFonts w:ascii="Times New Roman" w:hAnsi="Times New Roman" w:cs="Times New Roman"/>
          <w:sz w:val="24"/>
        </w:rPr>
        <w:t xml:space="preserve"> Then he simply compares the wage of the worker to the price of the basket. In essence, could the worker afford the amount of food and other necessary commodities to support a family.</w:t>
      </w:r>
      <w:r w:rsidR="004D3559">
        <w:rPr>
          <w:rFonts w:ascii="Times New Roman" w:hAnsi="Times New Roman" w:cs="Times New Roman"/>
          <w:sz w:val="24"/>
        </w:rPr>
        <w:t xml:space="preserve"> This however, leaves questions of how universal the model Allen presents can really be for understanding Roman living standards, as Diocletian’s Edict on Maximum Prices provides information on wages and prices for only a very short period of Roman history. However, I shall address this later in this essay.</w:t>
      </w:r>
    </w:p>
    <w:p w14:paraId="5477A299" w14:textId="70F1D445" w:rsidR="00F01948" w:rsidRPr="00F01948" w:rsidRDefault="004D3559" w:rsidP="00602671">
      <w:pPr>
        <w:spacing w:line="360" w:lineRule="auto"/>
        <w:rPr>
          <w:rFonts w:ascii="Times New Roman" w:hAnsi="Times New Roman" w:cs="Times New Roman"/>
          <w:sz w:val="24"/>
        </w:rPr>
      </w:pPr>
      <w:r>
        <w:rPr>
          <w:rFonts w:ascii="Times New Roman" w:hAnsi="Times New Roman" w:cs="Times New Roman"/>
          <w:sz w:val="24"/>
        </w:rPr>
        <w:t xml:space="preserve">Using the data from the edict then, </w:t>
      </w:r>
      <w:r w:rsidR="00DC12F7">
        <w:rPr>
          <w:rFonts w:ascii="Times New Roman" w:hAnsi="Times New Roman" w:cs="Times New Roman"/>
          <w:sz w:val="24"/>
        </w:rPr>
        <w:t>Allen calculates the wage for the Roman unskilled labourer to</w:t>
      </w:r>
      <w:r w:rsidR="0025399F">
        <w:rPr>
          <w:rFonts w:ascii="Times New Roman" w:hAnsi="Times New Roman" w:cs="Times New Roman"/>
          <w:sz w:val="24"/>
        </w:rPr>
        <w:t xml:space="preserve"> 36.1 </w:t>
      </w:r>
      <w:r w:rsidR="0025399F" w:rsidRPr="0025399F">
        <w:rPr>
          <w:rFonts w:ascii="Times New Roman" w:hAnsi="Times New Roman" w:cs="Times New Roman"/>
          <w:i/>
          <w:sz w:val="24"/>
        </w:rPr>
        <w:t>denarii</w:t>
      </w:r>
      <w:r w:rsidR="0025399F">
        <w:rPr>
          <w:rFonts w:ascii="Times New Roman" w:hAnsi="Times New Roman" w:cs="Times New Roman"/>
          <w:sz w:val="24"/>
        </w:rPr>
        <w:t xml:space="preserve"> per day, this being the 25 denarii per day stipulated in Diocletian’s edict, plus the food allowance of </w:t>
      </w:r>
      <w:r w:rsidR="00F01948">
        <w:rPr>
          <w:rFonts w:ascii="Times New Roman" w:hAnsi="Times New Roman" w:cs="Times New Roman"/>
          <w:sz w:val="24"/>
        </w:rPr>
        <w:t>five</w:t>
      </w:r>
      <w:r w:rsidR="0025399F">
        <w:rPr>
          <w:rFonts w:ascii="Times New Roman" w:hAnsi="Times New Roman" w:cs="Times New Roman"/>
          <w:sz w:val="24"/>
        </w:rPr>
        <w:t xml:space="preserve"> Italic </w:t>
      </w:r>
      <w:r w:rsidR="0025399F">
        <w:rPr>
          <w:rFonts w:ascii="Times New Roman" w:hAnsi="Times New Roman" w:cs="Times New Roman"/>
          <w:i/>
          <w:sz w:val="24"/>
        </w:rPr>
        <w:t>Modii</w:t>
      </w:r>
      <w:r w:rsidR="0025399F">
        <w:rPr>
          <w:rFonts w:ascii="Times New Roman" w:hAnsi="Times New Roman" w:cs="Times New Roman"/>
          <w:sz w:val="24"/>
        </w:rPr>
        <w:t xml:space="preserve"> of wheat per month, which was worth 11.1 </w:t>
      </w:r>
      <w:r w:rsidR="0025399F" w:rsidRPr="0025399F">
        <w:rPr>
          <w:rFonts w:ascii="Times New Roman" w:hAnsi="Times New Roman" w:cs="Times New Roman"/>
          <w:i/>
          <w:sz w:val="24"/>
        </w:rPr>
        <w:lastRenderedPageBreak/>
        <w:t>denarii</w:t>
      </w:r>
      <w:r w:rsidR="0025399F">
        <w:rPr>
          <w:rFonts w:ascii="Times New Roman" w:hAnsi="Times New Roman" w:cs="Times New Roman"/>
          <w:sz w:val="24"/>
        </w:rPr>
        <w:t xml:space="preserve"> per day.</w:t>
      </w:r>
      <w:r w:rsidR="0025399F">
        <w:rPr>
          <w:rStyle w:val="FootnoteReference"/>
          <w:rFonts w:ascii="Times New Roman" w:hAnsi="Times New Roman" w:cs="Times New Roman"/>
          <w:sz w:val="24"/>
        </w:rPr>
        <w:footnoteReference w:id="23"/>
      </w:r>
      <w:r w:rsidR="0025399F">
        <w:rPr>
          <w:rFonts w:ascii="Times New Roman" w:hAnsi="Times New Roman" w:cs="Times New Roman"/>
          <w:sz w:val="24"/>
        </w:rPr>
        <w:t xml:space="preserve"> </w:t>
      </w:r>
      <w:r w:rsidR="00F01948">
        <w:rPr>
          <w:rFonts w:ascii="Times New Roman" w:hAnsi="Times New Roman" w:cs="Times New Roman"/>
          <w:sz w:val="24"/>
        </w:rPr>
        <w:t>The use of a food allowance as part of the wage of the worker comes from Duncan-Jones, who argues based on evidence from literary sources that it would be expected for workers throughout the Roman Empire to be payed not only a wage, but also receive a food allowance.</w:t>
      </w:r>
      <w:r w:rsidR="00F01948">
        <w:rPr>
          <w:rStyle w:val="FootnoteReference"/>
          <w:rFonts w:ascii="Times New Roman" w:hAnsi="Times New Roman" w:cs="Times New Roman"/>
          <w:sz w:val="24"/>
        </w:rPr>
        <w:footnoteReference w:id="24"/>
      </w:r>
      <w:r w:rsidR="00F01948">
        <w:rPr>
          <w:rFonts w:ascii="Times New Roman" w:hAnsi="Times New Roman" w:cs="Times New Roman"/>
          <w:sz w:val="24"/>
        </w:rPr>
        <w:t xml:space="preserve"> Allen then uses five </w:t>
      </w:r>
      <w:r w:rsidR="00F01948">
        <w:rPr>
          <w:rFonts w:ascii="Times New Roman" w:hAnsi="Times New Roman" w:cs="Times New Roman"/>
          <w:i/>
          <w:sz w:val="24"/>
        </w:rPr>
        <w:t>Modii</w:t>
      </w:r>
      <w:r w:rsidR="00F01948">
        <w:rPr>
          <w:rFonts w:ascii="Times New Roman" w:hAnsi="Times New Roman" w:cs="Times New Roman"/>
          <w:sz w:val="24"/>
        </w:rPr>
        <w:t xml:space="preserve"> per month to represent this, which Duncan-Jones writes was the amount of grain that the </w:t>
      </w:r>
      <w:r w:rsidR="00F01948">
        <w:rPr>
          <w:rFonts w:ascii="Times New Roman" w:hAnsi="Times New Roman" w:cs="Times New Roman"/>
          <w:i/>
          <w:sz w:val="24"/>
        </w:rPr>
        <w:t xml:space="preserve">plebs </w:t>
      </w:r>
      <w:proofErr w:type="spellStart"/>
      <w:r w:rsidR="00F01948">
        <w:rPr>
          <w:rFonts w:ascii="Times New Roman" w:hAnsi="Times New Roman" w:cs="Times New Roman"/>
          <w:i/>
          <w:sz w:val="24"/>
        </w:rPr>
        <w:t>frumentaria</w:t>
      </w:r>
      <w:proofErr w:type="spellEnd"/>
      <w:r w:rsidR="00F01948">
        <w:rPr>
          <w:rFonts w:ascii="Times New Roman" w:hAnsi="Times New Roman" w:cs="Times New Roman"/>
          <w:sz w:val="24"/>
        </w:rPr>
        <w:t xml:space="preserve"> received as the grain dole.</w:t>
      </w:r>
      <w:r w:rsidR="00F01948">
        <w:rPr>
          <w:rStyle w:val="FootnoteReference"/>
          <w:rFonts w:ascii="Times New Roman" w:hAnsi="Times New Roman" w:cs="Times New Roman"/>
          <w:sz w:val="24"/>
        </w:rPr>
        <w:footnoteReference w:id="25"/>
      </w:r>
      <w:r w:rsidR="00F01948">
        <w:rPr>
          <w:rFonts w:ascii="Times New Roman" w:hAnsi="Times New Roman" w:cs="Times New Roman"/>
          <w:sz w:val="24"/>
        </w:rPr>
        <w:t xml:space="preserve"> </w:t>
      </w:r>
    </w:p>
    <w:p w14:paraId="4405BA75" w14:textId="7E217897" w:rsidR="00DC12F7" w:rsidRDefault="0025399F" w:rsidP="00602671">
      <w:pPr>
        <w:spacing w:line="360" w:lineRule="auto"/>
        <w:rPr>
          <w:rFonts w:ascii="Times New Roman" w:hAnsi="Times New Roman" w:cs="Times New Roman"/>
          <w:sz w:val="24"/>
        </w:rPr>
      </w:pPr>
      <w:r>
        <w:rPr>
          <w:rFonts w:ascii="Times New Roman" w:hAnsi="Times New Roman" w:cs="Times New Roman"/>
          <w:sz w:val="24"/>
        </w:rPr>
        <w:t>He then transfers this into wage in actual weight of silver to allow for comparison with wages from other time periods,</w:t>
      </w:r>
      <w:r>
        <w:rPr>
          <w:rStyle w:val="FootnoteReference"/>
          <w:rFonts w:ascii="Times New Roman" w:hAnsi="Times New Roman" w:cs="Times New Roman"/>
          <w:sz w:val="24"/>
        </w:rPr>
        <w:footnoteReference w:id="26"/>
      </w:r>
      <w:r>
        <w:rPr>
          <w:rFonts w:ascii="Times New Roman" w:hAnsi="Times New Roman" w:cs="Times New Roman"/>
          <w:sz w:val="24"/>
        </w:rPr>
        <w:t xml:space="preserve"> which works out to 1.16g of silver per day.</w:t>
      </w:r>
      <w:r>
        <w:rPr>
          <w:rStyle w:val="FootnoteReference"/>
          <w:rFonts w:ascii="Times New Roman" w:hAnsi="Times New Roman" w:cs="Times New Roman"/>
          <w:sz w:val="24"/>
        </w:rPr>
        <w:footnoteReference w:id="27"/>
      </w:r>
      <w:r w:rsidR="00DF057F">
        <w:rPr>
          <w:rFonts w:ascii="Times New Roman" w:hAnsi="Times New Roman" w:cs="Times New Roman"/>
          <w:sz w:val="24"/>
        </w:rPr>
        <w:t xml:space="preserve"> Then to calculate the yearly income of such a worker, he multiples this number by 250, which Allen argues is a reasonable estimate of the amount of days per year that a labourer would have worked for, given the large number of festivals that often took place in Roman civic society.</w:t>
      </w:r>
      <w:r w:rsidR="00DF057F">
        <w:rPr>
          <w:rStyle w:val="FootnoteReference"/>
          <w:rFonts w:ascii="Times New Roman" w:hAnsi="Times New Roman" w:cs="Times New Roman"/>
          <w:sz w:val="24"/>
        </w:rPr>
        <w:footnoteReference w:id="28"/>
      </w:r>
      <w:r w:rsidR="00234BA6">
        <w:rPr>
          <w:rFonts w:ascii="Times New Roman" w:hAnsi="Times New Roman" w:cs="Times New Roman"/>
          <w:sz w:val="24"/>
        </w:rPr>
        <w:t xml:space="preserve"> So it works out using the methods of calculations presented by Allen that a Roman unskilled labourer would have earned 289g of silver per year.</w:t>
      </w:r>
      <w:r w:rsidR="00A85440">
        <w:rPr>
          <w:rStyle w:val="FootnoteReference"/>
          <w:rFonts w:ascii="Times New Roman" w:hAnsi="Times New Roman" w:cs="Times New Roman"/>
          <w:sz w:val="24"/>
        </w:rPr>
        <w:footnoteReference w:id="29"/>
      </w:r>
      <w:r w:rsidR="007C25FE">
        <w:rPr>
          <w:rFonts w:ascii="Times New Roman" w:hAnsi="Times New Roman" w:cs="Times New Roman"/>
          <w:sz w:val="24"/>
        </w:rPr>
        <w:t xml:space="preserve"> </w:t>
      </w:r>
      <w:proofErr w:type="spellStart"/>
      <w:r w:rsidR="00075FBD">
        <w:rPr>
          <w:rFonts w:ascii="Times New Roman" w:hAnsi="Times New Roman" w:cs="Times New Roman"/>
          <w:sz w:val="24"/>
        </w:rPr>
        <w:t>Scheidel</w:t>
      </w:r>
      <w:proofErr w:type="spellEnd"/>
      <w:r w:rsidR="00075FBD">
        <w:rPr>
          <w:rFonts w:ascii="Times New Roman" w:hAnsi="Times New Roman" w:cs="Times New Roman"/>
          <w:sz w:val="24"/>
        </w:rPr>
        <w:t xml:space="preserve"> however points out that this simply for one single worker to allow for comparison with other cultures and time periods, and does not account for income gained by wives and children.</w:t>
      </w:r>
      <w:r w:rsidR="00075FBD">
        <w:rPr>
          <w:rStyle w:val="FootnoteReference"/>
          <w:rFonts w:ascii="Times New Roman" w:hAnsi="Times New Roman" w:cs="Times New Roman"/>
          <w:sz w:val="24"/>
        </w:rPr>
        <w:footnoteReference w:id="30"/>
      </w:r>
      <w:r w:rsidR="00075FBD">
        <w:rPr>
          <w:rFonts w:ascii="Times New Roman" w:hAnsi="Times New Roman" w:cs="Times New Roman"/>
          <w:sz w:val="24"/>
        </w:rPr>
        <w:t xml:space="preserve"> He argues, and I would agree, that for a more accurate assessment of total household income, it should include estimations of the income provided by the family as a whole rather than just a single breadwinner.</w:t>
      </w:r>
      <w:r w:rsidR="00075FBD">
        <w:rPr>
          <w:rStyle w:val="FootnoteReference"/>
          <w:rFonts w:ascii="Times New Roman" w:hAnsi="Times New Roman" w:cs="Times New Roman"/>
          <w:sz w:val="24"/>
        </w:rPr>
        <w:footnoteReference w:id="31"/>
      </w:r>
    </w:p>
    <w:p w14:paraId="02CC31FE" w14:textId="533921FD" w:rsidR="00A85440" w:rsidRDefault="00A85440" w:rsidP="00602671">
      <w:pPr>
        <w:spacing w:line="360" w:lineRule="auto"/>
        <w:rPr>
          <w:rFonts w:ascii="Times New Roman" w:hAnsi="Times New Roman" w:cs="Times New Roman"/>
          <w:sz w:val="24"/>
        </w:rPr>
      </w:pPr>
      <w:r>
        <w:rPr>
          <w:rFonts w:ascii="Times New Roman" w:hAnsi="Times New Roman" w:cs="Times New Roman"/>
          <w:sz w:val="24"/>
        </w:rPr>
        <w:t>This moves us to the second part of Allen’s new methodology, and that is the calculation of the ‘consumption basket’. The first basket that he uses is what he calls a ‘respectability’ basket, and the basis he uses for this is what workers in northern Europe would have lived off of if one would deem their lifestyle as respectable, rather than barely subsisting as people did in poorer regions.</w:t>
      </w:r>
      <w:r>
        <w:rPr>
          <w:rStyle w:val="FootnoteReference"/>
          <w:rFonts w:ascii="Times New Roman" w:hAnsi="Times New Roman" w:cs="Times New Roman"/>
          <w:sz w:val="24"/>
        </w:rPr>
        <w:footnoteReference w:id="32"/>
      </w:r>
      <w:r w:rsidR="002E452B">
        <w:rPr>
          <w:rFonts w:ascii="Times New Roman" w:hAnsi="Times New Roman" w:cs="Times New Roman"/>
          <w:sz w:val="24"/>
        </w:rPr>
        <w:t xml:space="preserve"> Allen then scales the cost of this list of items to the prices listed on </w:t>
      </w:r>
      <w:r w:rsidR="002E452B">
        <w:rPr>
          <w:rFonts w:ascii="Times New Roman" w:hAnsi="Times New Roman" w:cs="Times New Roman"/>
          <w:sz w:val="24"/>
        </w:rPr>
        <w:lastRenderedPageBreak/>
        <w:t>Diocletian’s Edict on Maximum Prices</w:t>
      </w:r>
      <w:r w:rsidR="002E452B">
        <w:rPr>
          <w:rStyle w:val="FootnoteReference"/>
          <w:rFonts w:ascii="Times New Roman" w:hAnsi="Times New Roman" w:cs="Times New Roman"/>
          <w:sz w:val="24"/>
        </w:rPr>
        <w:footnoteReference w:id="33"/>
      </w:r>
      <w:r w:rsidR="002E452B">
        <w:rPr>
          <w:rFonts w:ascii="Times New Roman" w:hAnsi="Times New Roman" w:cs="Times New Roman"/>
          <w:sz w:val="24"/>
        </w:rPr>
        <w:t xml:space="preserve"> and estimates that the respectability basket, for just one person, was worth 163.921g of silver per year. However, in order to factor in the cost of rent and feeding not just one Roman male labourer, but also if it were possible to support a family. To do this he adds 5% of the original cost to account for the cost of housing</w:t>
      </w:r>
      <w:r w:rsidR="002E452B">
        <w:rPr>
          <w:rStyle w:val="FootnoteReference"/>
          <w:rFonts w:ascii="Times New Roman" w:hAnsi="Times New Roman" w:cs="Times New Roman"/>
          <w:sz w:val="24"/>
        </w:rPr>
        <w:footnoteReference w:id="34"/>
      </w:r>
      <w:r w:rsidR="002E452B">
        <w:rPr>
          <w:rFonts w:ascii="Times New Roman" w:hAnsi="Times New Roman" w:cs="Times New Roman"/>
          <w:sz w:val="24"/>
        </w:rPr>
        <w:t xml:space="preserve"> and then multiplies the cost again by three to account for a family.</w:t>
      </w:r>
      <w:r w:rsidR="00860DB8">
        <w:rPr>
          <w:rFonts w:ascii="Times New Roman" w:hAnsi="Times New Roman" w:cs="Times New Roman"/>
          <w:sz w:val="24"/>
        </w:rPr>
        <w:t xml:space="preserve"> This brings the cost of the basket to 516.352g of silver,</w:t>
      </w:r>
      <w:r w:rsidR="00860DB8">
        <w:rPr>
          <w:rStyle w:val="FootnoteReference"/>
          <w:rFonts w:ascii="Times New Roman" w:hAnsi="Times New Roman" w:cs="Times New Roman"/>
          <w:sz w:val="24"/>
        </w:rPr>
        <w:footnoteReference w:id="35"/>
      </w:r>
      <w:r w:rsidR="00860DB8">
        <w:rPr>
          <w:rFonts w:ascii="Times New Roman" w:hAnsi="Times New Roman" w:cs="Times New Roman"/>
          <w:sz w:val="24"/>
        </w:rPr>
        <w:t xml:space="preserve"> meaning that the Roman male, unskilled labourer would not have been able to afford the ‘respectability’ basket of consumption that Allen outlines. This leads Allen to lower the standard of the consumption basket to what he calls a ‘bare-bones’ basket.</w:t>
      </w:r>
    </w:p>
    <w:p w14:paraId="38A0C809" w14:textId="7F42A173" w:rsidR="00F51973" w:rsidRDefault="00E14208" w:rsidP="00602671">
      <w:pPr>
        <w:spacing w:line="360" w:lineRule="auto"/>
        <w:rPr>
          <w:rFonts w:ascii="Times New Roman" w:hAnsi="Times New Roman" w:cs="Times New Roman"/>
          <w:sz w:val="24"/>
        </w:rPr>
      </w:pPr>
      <w:r>
        <w:rPr>
          <w:rFonts w:ascii="Times New Roman" w:hAnsi="Times New Roman" w:cs="Times New Roman"/>
          <w:sz w:val="24"/>
        </w:rPr>
        <w:t>Th</w:t>
      </w:r>
      <w:r w:rsidR="00CE5205">
        <w:rPr>
          <w:rFonts w:ascii="Times New Roman" w:hAnsi="Times New Roman" w:cs="Times New Roman"/>
          <w:sz w:val="24"/>
        </w:rPr>
        <w:t>is basket includes the same level of calories and protein necessary to support human life, but</w:t>
      </w:r>
      <w:r w:rsidR="00534B6A">
        <w:rPr>
          <w:rFonts w:ascii="Times New Roman" w:hAnsi="Times New Roman" w:cs="Times New Roman"/>
          <w:sz w:val="24"/>
        </w:rPr>
        <w:t>,</w:t>
      </w:r>
      <w:r w:rsidR="00CE5205">
        <w:rPr>
          <w:rFonts w:ascii="Times New Roman" w:hAnsi="Times New Roman" w:cs="Times New Roman"/>
          <w:sz w:val="24"/>
        </w:rPr>
        <w:t xml:space="preserve"> removes the processed food and animal protein</w:t>
      </w:r>
      <w:r w:rsidR="00534B6A">
        <w:rPr>
          <w:rFonts w:ascii="Times New Roman" w:hAnsi="Times New Roman" w:cs="Times New Roman"/>
          <w:sz w:val="24"/>
        </w:rPr>
        <w:t xml:space="preserve"> to replace them with cheaper alternatives. This he bases off of the diets that people in poorer regions of the world throughout history ate, such as Scottish highlanders eating oatmeal rather than bread, and Asian populations eating primarily rice-based diets.</w:t>
      </w:r>
      <w:r w:rsidR="00534B6A">
        <w:rPr>
          <w:rStyle w:val="FootnoteReference"/>
          <w:rFonts w:ascii="Times New Roman" w:hAnsi="Times New Roman" w:cs="Times New Roman"/>
          <w:sz w:val="24"/>
        </w:rPr>
        <w:footnoteReference w:id="36"/>
      </w:r>
      <w:r w:rsidR="00534B6A">
        <w:rPr>
          <w:rFonts w:ascii="Times New Roman" w:hAnsi="Times New Roman" w:cs="Times New Roman"/>
          <w:sz w:val="24"/>
        </w:rPr>
        <w:t xml:space="preserve"> This cost of this basket in silver was thus lowered to 83.163g of silver and so the cost of supporting a family based on Allen’s calculations would have been 261.963g of silver,</w:t>
      </w:r>
      <w:r w:rsidR="00534B6A">
        <w:rPr>
          <w:rStyle w:val="FootnoteReference"/>
          <w:rFonts w:ascii="Times New Roman" w:hAnsi="Times New Roman" w:cs="Times New Roman"/>
          <w:sz w:val="24"/>
        </w:rPr>
        <w:footnoteReference w:id="37"/>
      </w:r>
      <w:r w:rsidR="00534B6A">
        <w:rPr>
          <w:rFonts w:ascii="Times New Roman" w:hAnsi="Times New Roman" w:cs="Times New Roman"/>
          <w:sz w:val="24"/>
        </w:rPr>
        <w:t xml:space="preserve"> which the Roman labourer would have been able to afford with a small amount of excess income. </w:t>
      </w:r>
      <w:r w:rsidR="00CF2D27">
        <w:rPr>
          <w:rFonts w:ascii="Times New Roman" w:hAnsi="Times New Roman" w:cs="Times New Roman"/>
          <w:sz w:val="24"/>
        </w:rPr>
        <w:t>Using this method of assessing Roman living standards by looking at real wages, Allen concludes that the standard Roman worker in Diocletian’s reign would have been living at a very basic subsistence level, similar to the standard of living shared by workers in eighteenth century Asia and Europe.</w:t>
      </w:r>
      <w:r w:rsidR="00CF2D27">
        <w:rPr>
          <w:rStyle w:val="FootnoteReference"/>
          <w:rFonts w:ascii="Times New Roman" w:hAnsi="Times New Roman" w:cs="Times New Roman"/>
          <w:sz w:val="24"/>
        </w:rPr>
        <w:footnoteReference w:id="38"/>
      </w:r>
    </w:p>
    <w:p w14:paraId="3A38A580" w14:textId="223EBF28" w:rsidR="00326F09" w:rsidRDefault="00326F09" w:rsidP="00602671">
      <w:pPr>
        <w:spacing w:line="360" w:lineRule="auto"/>
        <w:rPr>
          <w:rFonts w:ascii="Times New Roman" w:hAnsi="Times New Roman" w:cs="Times New Roman"/>
          <w:sz w:val="24"/>
        </w:rPr>
      </w:pPr>
      <w:r>
        <w:rPr>
          <w:rFonts w:ascii="Times New Roman" w:hAnsi="Times New Roman" w:cs="Times New Roman"/>
          <w:sz w:val="24"/>
        </w:rPr>
        <w:t xml:space="preserve">This then is the model that Allen has proposed for answering the question of living standards in the Roman Empire. The model I would argue, is certainly a valid alternative to others proposed by Roman economic historians such as the GDP and skeletal based studies that were mentioned earlier. However, </w:t>
      </w:r>
      <w:r w:rsidR="002671D0">
        <w:rPr>
          <w:rFonts w:ascii="Times New Roman" w:hAnsi="Times New Roman" w:cs="Times New Roman"/>
          <w:sz w:val="24"/>
        </w:rPr>
        <w:t xml:space="preserve">one could argue that </w:t>
      </w:r>
      <w:r>
        <w:rPr>
          <w:rFonts w:ascii="Times New Roman" w:hAnsi="Times New Roman" w:cs="Times New Roman"/>
          <w:sz w:val="24"/>
        </w:rPr>
        <w:t xml:space="preserve">it is not without its problems. The </w:t>
      </w:r>
      <w:r w:rsidR="002671D0">
        <w:rPr>
          <w:rFonts w:ascii="Times New Roman" w:hAnsi="Times New Roman" w:cs="Times New Roman"/>
          <w:sz w:val="24"/>
        </w:rPr>
        <w:t>major</w:t>
      </w:r>
      <w:r>
        <w:rPr>
          <w:rFonts w:ascii="Times New Roman" w:hAnsi="Times New Roman" w:cs="Times New Roman"/>
          <w:sz w:val="24"/>
        </w:rPr>
        <w:t xml:space="preserve"> problem </w:t>
      </w:r>
      <w:r w:rsidR="002671D0">
        <w:rPr>
          <w:rFonts w:ascii="Times New Roman" w:hAnsi="Times New Roman" w:cs="Times New Roman"/>
          <w:sz w:val="24"/>
        </w:rPr>
        <w:t xml:space="preserve">that one could have with Allen’s analysis of real wages in the Roman Empire </w:t>
      </w:r>
      <w:r>
        <w:rPr>
          <w:rFonts w:ascii="Times New Roman" w:hAnsi="Times New Roman" w:cs="Times New Roman"/>
          <w:sz w:val="24"/>
        </w:rPr>
        <w:t>stems from the primary piece of evidence that the model is predicated on; Diocletian’s Edict on Maximum Prices.</w:t>
      </w:r>
      <w:r w:rsidR="000A3162">
        <w:rPr>
          <w:rFonts w:ascii="Times New Roman" w:hAnsi="Times New Roman" w:cs="Times New Roman"/>
          <w:sz w:val="24"/>
        </w:rPr>
        <w:t xml:space="preserve"> </w:t>
      </w:r>
      <w:r w:rsidR="00654BB3">
        <w:rPr>
          <w:rFonts w:ascii="Times New Roman" w:hAnsi="Times New Roman" w:cs="Times New Roman"/>
          <w:sz w:val="24"/>
        </w:rPr>
        <w:t xml:space="preserve">The </w:t>
      </w:r>
      <w:r w:rsidR="00C34D6F">
        <w:rPr>
          <w:rFonts w:ascii="Times New Roman" w:hAnsi="Times New Roman" w:cs="Times New Roman"/>
          <w:sz w:val="24"/>
        </w:rPr>
        <w:t xml:space="preserve">main problem being the limited window of time in which the edict was in effect. The edict was implemented in 301AD but as Allen himself acknowledges we </w:t>
      </w:r>
      <w:r w:rsidR="00C34D6F">
        <w:rPr>
          <w:rFonts w:ascii="Times New Roman" w:hAnsi="Times New Roman" w:cs="Times New Roman"/>
          <w:sz w:val="24"/>
        </w:rPr>
        <w:lastRenderedPageBreak/>
        <w:t xml:space="preserve">do not </w:t>
      </w:r>
      <w:r w:rsidR="002671D0">
        <w:rPr>
          <w:rFonts w:ascii="Times New Roman" w:hAnsi="Times New Roman" w:cs="Times New Roman"/>
          <w:sz w:val="24"/>
        </w:rPr>
        <w:t xml:space="preserve">really </w:t>
      </w:r>
      <w:r w:rsidR="00C34D6F">
        <w:rPr>
          <w:rFonts w:ascii="Times New Roman" w:hAnsi="Times New Roman" w:cs="Times New Roman"/>
          <w:sz w:val="24"/>
        </w:rPr>
        <w:t>know for how long it was in effect.</w:t>
      </w:r>
      <w:r w:rsidR="00C34D6F">
        <w:rPr>
          <w:rStyle w:val="FootnoteReference"/>
          <w:rFonts w:ascii="Times New Roman" w:hAnsi="Times New Roman" w:cs="Times New Roman"/>
          <w:sz w:val="24"/>
        </w:rPr>
        <w:footnoteReference w:id="39"/>
      </w:r>
      <w:r w:rsidR="00C34D6F">
        <w:rPr>
          <w:rFonts w:ascii="Times New Roman" w:hAnsi="Times New Roman" w:cs="Times New Roman"/>
          <w:sz w:val="24"/>
        </w:rPr>
        <w:t xml:space="preserve"> Williams argues that it was obsolete and ignored only a few years after its original issuing</w:t>
      </w:r>
      <w:r w:rsidR="000C3CB4">
        <w:rPr>
          <w:rFonts w:ascii="Times New Roman" w:hAnsi="Times New Roman" w:cs="Times New Roman"/>
          <w:sz w:val="24"/>
        </w:rPr>
        <w:t>.</w:t>
      </w:r>
      <w:r w:rsidR="00C34D6F">
        <w:rPr>
          <w:rStyle w:val="FootnoteReference"/>
          <w:rFonts w:ascii="Times New Roman" w:hAnsi="Times New Roman" w:cs="Times New Roman"/>
          <w:sz w:val="24"/>
        </w:rPr>
        <w:footnoteReference w:id="40"/>
      </w:r>
      <w:r w:rsidR="000C3CB4">
        <w:rPr>
          <w:rFonts w:ascii="Times New Roman" w:hAnsi="Times New Roman" w:cs="Times New Roman"/>
          <w:sz w:val="24"/>
        </w:rPr>
        <w:t xml:space="preserve"> He also argues that unless the prices stipulated in the edict followed the real world fluctuations in prices at the time it would have been ‘all but unenforceable’,</w:t>
      </w:r>
      <w:r w:rsidR="000C3CB4">
        <w:rPr>
          <w:rStyle w:val="FootnoteReference"/>
          <w:rFonts w:ascii="Times New Roman" w:hAnsi="Times New Roman" w:cs="Times New Roman"/>
          <w:sz w:val="24"/>
        </w:rPr>
        <w:footnoteReference w:id="41"/>
      </w:r>
      <w:r w:rsidR="000C3CB4">
        <w:rPr>
          <w:rFonts w:ascii="Times New Roman" w:hAnsi="Times New Roman" w:cs="Times New Roman"/>
          <w:sz w:val="24"/>
        </w:rPr>
        <w:t xml:space="preserve"> This is because the people expected to enforce the prices at their value in the edict, would have also been property owners and involved in transactions themselves, meaning that they would have only obeyed the regulation prices when it suited them.</w:t>
      </w:r>
      <w:r w:rsidR="000C3CB4">
        <w:rPr>
          <w:rStyle w:val="FootnoteReference"/>
          <w:rFonts w:ascii="Times New Roman" w:hAnsi="Times New Roman" w:cs="Times New Roman"/>
          <w:sz w:val="24"/>
        </w:rPr>
        <w:footnoteReference w:id="42"/>
      </w:r>
      <w:r w:rsidR="000C3CB4">
        <w:rPr>
          <w:rFonts w:ascii="Times New Roman" w:hAnsi="Times New Roman" w:cs="Times New Roman"/>
          <w:sz w:val="24"/>
        </w:rPr>
        <w:t xml:space="preserve"> This coupled with the fact that an economy in kind, being alongside a money economy would have made evading the fixed prices stipulated in the edict </w:t>
      </w:r>
      <w:r w:rsidR="00520857">
        <w:rPr>
          <w:rFonts w:ascii="Times New Roman" w:hAnsi="Times New Roman" w:cs="Times New Roman"/>
          <w:sz w:val="24"/>
        </w:rPr>
        <w:t>even easier than it would have been anyway.</w:t>
      </w:r>
      <w:r w:rsidR="00520857">
        <w:rPr>
          <w:rStyle w:val="FootnoteReference"/>
          <w:rFonts w:ascii="Times New Roman" w:hAnsi="Times New Roman" w:cs="Times New Roman"/>
          <w:sz w:val="24"/>
        </w:rPr>
        <w:footnoteReference w:id="43"/>
      </w:r>
      <w:r w:rsidR="00F07284">
        <w:rPr>
          <w:rFonts w:ascii="Times New Roman" w:hAnsi="Times New Roman" w:cs="Times New Roman"/>
          <w:sz w:val="24"/>
        </w:rPr>
        <w:t xml:space="preserve"> So if this model presented for the study of Roman living standards hinges on flimsy and unreliable price and wage information, then surely it faces similar problems to attempts at calculating the GDP of the Roman Empire. With the edict as the primary evidence used, it also poses the problem, that due to the short amount of time the Edict on Maximum Prices was in effect, we can potentially see what Roman living standards may have been, but only for a tiny fraction of the history of the Roman Empire.</w:t>
      </w:r>
    </w:p>
    <w:p w14:paraId="1B500CDA" w14:textId="4EEFABF7" w:rsidR="00F07284" w:rsidRDefault="002671D0" w:rsidP="00602671">
      <w:pPr>
        <w:spacing w:line="360" w:lineRule="auto"/>
        <w:rPr>
          <w:rFonts w:ascii="Times New Roman" w:hAnsi="Times New Roman" w:cs="Times New Roman"/>
          <w:sz w:val="24"/>
        </w:rPr>
      </w:pPr>
      <w:r>
        <w:rPr>
          <w:rFonts w:ascii="Times New Roman" w:hAnsi="Times New Roman" w:cs="Times New Roman"/>
          <w:sz w:val="24"/>
        </w:rPr>
        <w:t>However, I would argue</w:t>
      </w:r>
      <w:r w:rsidR="00F07284">
        <w:rPr>
          <w:rFonts w:ascii="Times New Roman" w:hAnsi="Times New Roman" w:cs="Times New Roman"/>
          <w:sz w:val="24"/>
        </w:rPr>
        <w:t xml:space="preserve"> that the problems of Diocletian’s edict do not </w:t>
      </w:r>
      <w:r w:rsidR="00AB18BB">
        <w:rPr>
          <w:rFonts w:ascii="Times New Roman" w:hAnsi="Times New Roman" w:cs="Times New Roman"/>
          <w:sz w:val="24"/>
        </w:rPr>
        <w:t>invalidate</w:t>
      </w:r>
      <w:r w:rsidR="00F07284">
        <w:rPr>
          <w:rFonts w:ascii="Times New Roman" w:hAnsi="Times New Roman" w:cs="Times New Roman"/>
          <w:sz w:val="24"/>
        </w:rPr>
        <w:t xml:space="preserve"> Allen’s proposed method</w:t>
      </w:r>
      <w:r w:rsidR="00A0585C">
        <w:rPr>
          <w:rFonts w:ascii="Times New Roman" w:hAnsi="Times New Roman" w:cs="Times New Roman"/>
          <w:sz w:val="24"/>
        </w:rPr>
        <w:t xml:space="preserve"> for understanding Roman living standards. The model would work very well to help us understand living standards for Roman workers if we had more reliable information on prices and wages, and if this were the case then we would also be able to look at a larger range of time, rather than just the beginning of the fourth century. Attempts to do this have been made following the publication of Allen’s proposal, notably</w:t>
      </w:r>
      <w:r>
        <w:rPr>
          <w:rFonts w:ascii="Times New Roman" w:hAnsi="Times New Roman" w:cs="Times New Roman"/>
          <w:sz w:val="24"/>
        </w:rPr>
        <w:t>, and rather successfully I would argue,</w:t>
      </w:r>
      <w:r w:rsidR="00A0585C">
        <w:rPr>
          <w:rFonts w:ascii="Times New Roman" w:hAnsi="Times New Roman" w:cs="Times New Roman"/>
          <w:sz w:val="24"/>
        </w:rPr>
        <w:t xml:space="preserve"> by </w:t>
      </w:r>
      <w:proofErr w:type="spellStart"/>
      <w:r w:rsidR="00A0585C">
        <w:rPr>
          <w:rFonts w:ascii="Times New Roman" w:hAnsi="Times New Roman" w:cs="Times New Roman"/>
          <w:sz w:val="24"/>
        </w:rPr>
        <w:t>Scheidel</w:t>
      </w:r>
      <w:proofErr w:type="spellEnd"/>
      <w:r w:rsidR="00A0585C">
        <w:rPr>
          <w:rFonts w:ascii="Times New Roman" w:hAnsi="Times New Roman" w:cs="Times New Roman"/>
          <w:sz w:val="24"/>
        </w:rPr>
        <w:t xml:space="preserve">, who attempted to use the same method but for </w:t>
      </w:r>
      <w:r w:rsidR="00AB18BB">
        <w:rPr>
          <w:rFonts w:ascii="Times New Roman" w:hAnsi="Times New Roman" w:cs="Times New Roman"/>
          <w:sz w:val="24"/>
        </w:rPr>
        <w:t>Roman Egypt</w:t>
      </w:r>
      <w:r w:rsidR="00A0585C">
        <w:rPr>
          <w:rFonts w:ascii="Times New Roman" w:hAnsi="Times New Roman" w:cs="Times New Roman"/>
          <w:sz w:val="24"/>
        </w:rPr>
        <w:t>.</w:t>
      </w:r>
      <w:r w:rsidR="00A0585C">
        <w:rPr>
          <w:rStyle w:val="FootnoteReference"/>
          <w:rFonts w:ascii="Times New Roman" w:hAnsi="Times New Roman" w:cs="Times New Roman"/>
          <w:sz w:val="24"/>
        </w:rPr>
        <w:footnoteReference w:id="44"/>
      </w:r>
      <w:r w:rsidR="00AB18BB">
        <w:rPr>
          <w:rFonts w:ascii="Times New Roman" w:hAnsi="Times New Roman" w:cs="Times New Roman"/>
          <w:sz w:val="24"/>
        </w:rPr>
        <w:t xml:space="preserve"> As we can see from </w:t>
      </w:r>
      <w:proofErr w:type="spellStart"/>
      <w:r w:rsidR="00AB18BB">
        <w:rPr>
          <w:rFonts w:ascii="Times New Roman" w:hAnsi="Times New Roman" w:cs="Times New Roman"/>
          <w:sz w:val="24"/>
        </w:rPr>
        <w:t>Scheidel’s</w:t>
      </w:r>
      <w:proofErr w:type="spellEnd"/>
      <w:r w:rsidR="00AB18BB">
        <w:rPr>
          <w:rFonts w:ascii="Times New Roman" w:hAnsi="Times New Roman" w:cs="Times New Roman"/>
          <w:sz w:val="24"/>
        </w:rPr>
        <w:t xml:space="preserve"> article, this method of studying real wages and consumption baskets seems to be able to provide a picture of living standards in the Roman Empire </w:t>
      </w:r>
      <w:r w:rsidR="00AB4ED6">
        <w:rPr>
          <w:rFonts w:ascii="Times New Roman" w:hAnsi="Times New Roman" w:cs="Times New Roman"/>
          <w:sz w:val="24"/>
        </w:rPr>
        <w:t xml:space="preserve">for more </w:t>
      </w:r>
      <w:r w:rsidR="00AB18BB">
        <w:rPr>
          <w:rFonts w:ascii="Times New Roman" w:hAnsi="Times New Roman" w:cs="Times New Roman"/>
          <w:sz w:val="24"/>
        </w:rPr>
        <w:t>than just a few years at the beginning of the fourth century</w:t>
      </w:r>
      <w:r w:rsidR="00AB4ED6">
        <w:rPr>
          <w:rFonts w:ascii="Times New Roman" w:hAnsi="Times New Roman" w:cs="Times New Roman"/>
          <w:sz w:val="24"/>
        </w:rPr>
        <w:t xml:space="preserve">. </w:t>
      </w:r>
      <w:r w:rsidR="00105661">
        <w:rPr>
          <w:rFonts w:ascii="Times New Roman" w:hAnsi="Times New Roman" w:cs="Times New Roman"/>
          <w:sz w:val="24"/>
        </w:rPr>
        <w:t>Of course,</w:t>
      </w:r>
      <w:r w:rsidR="00AB18BB">
        <w:rPr>
          <w:rFonts w:ascii="Times New Roman" w:hAnsi="Times New Roman" w:cs="Times New Roman"/>
          <w:sz w:val="24"/>
        </w:rPr>
        <w:t xml:space="preserve"> the use of this method will always be limited by a lack of data, but </w:t>
      </w:r>
      <w:r w:rsidR="00A22ED9">
        <w:rPr>
          <w:rFonts w:ascii="Times New Roman" w:hAnsi="Times New Roman" w:cs="Times New Roman"/>
          <w:sz w:val="24"/>
        </w:rPr>
        <w:t xml:space="preserve">I would argue that </w:t>
      </w:r>
      <w:r w:rsidR="00AB18BB">
        <w:rPr>
          <w:rFonts w:ascii="Times New Roman" w:hAnsi="Times New Roman" w:cs="Times New Roman"/>
          <w:sz w:val="24"/>
        </w:rPr>
        <w:t>that is simply the nature of studying the ancient economy.</w:t>
      </w:r>
      <w:r w:rsidR="00E66B5B">
        <w:rPr>
          <w:rFonts w:ascii="Times New Roman" w:hAnsi="Times New Roman" w:cs="Times New Roman"/>
          <w:sz w:val="24"/>
        </w:rPr>
        <w:t xml:space="preserve"> </w:t>
      </w:r>
    </w:p>
    <w:p w14:paraId="7A73EF36" w14:textId="350BA9AB" w:rsidR="00A22ED9" w:rsidRDefault="00A22ED9" w:rsidP="00602671">
      <w:pPr>
        <w:spacing w:line="360" w:lineRule="auto"/>
        <w:rPr>
          <w:rFonts w:ascii="Times New Roman" w:hAnsi="Times New Roman" w:cs="Times New Roman"/>
          <w:sz w:val="24"/>
        </w:rPr>
      </w:pPr>
      <w:r>
        <w:rPr>
          <w:rFonts w:ascii="Times New Roman" w:hAnsi="Times New Roman" w:cs="Times New Roman"/>
          <w:sz w:val="24"/>
        </w:rPr>
        <w:t xml:space="preserve">In conclusion then, I would say that Allen’s proposed method for the study of living standards in the Roman Empire is a welcome addition to the study of the Roman economy. It </w:t>
      </w:r>
      <w:r>
        <w:rPr>
          <w:rFonts w:ascii="Times New Roman" w:hAnsi="Times New Roman" w:cs="Times New Roman"/>
          <w:sz w:val="24"/>
        </w:rPr>
        <w:lastRenderedPageBreak/>
        <w:t>certainly fills the void of a reliable method by which to answer the question of Roman living standards, as previous methods have been met with large scepticism. The attempt to calculate GDP and use that to calculate living standards is simply based too heavily on speculation and assumptions to provide a satisfactory answer, while attempts to use skeletal evidence are also problematic. This due to the lack of large and diverse samples of skeletal evidence available from the Roman Empire,</w:t>
      </w:r>
      <w:r w:rsidR="00A21BEB">
        <w:rPr>
          <w:rFonts w:ascii="Times New Roman" w:hAnsi="Times New Roman" w:cs="Times New Roman"/>
          <w:sz w:val="24"/>
        </w:rPr>
        <w:t xml:space="preserve"> the problems of estimating average height from skeletal remains and the fact that average height does not necessarily correlate with the standard of living.</w:t>
      </w:r>
    </w:p>
    <w:p w14:paraId="1B78CE54" w14:textId="41941405" w:rsidR="00A21BEB" w:rsidRDefault="00A21BEB" w:rsidP="00602671">
      <w:pPr>
        <w:spacing w:line="360" w:lineRule="auto"/>
        <w:rPr>
          <w:rFonts w:ascii="Times New Roman" w:hAnsi="Times New Roman" w:cs="Times New Roman"/>
          <w:sz w:val="24"/>
        </w:rPr>
      </w:pPr>
      <w:r>
        <w:rPr>
          <w:rFonts w:ascii="Times New Roman" w:hAnsi="Times New Roman" w:cs="Times New Roman"/>
          <w:sz w:val="24"/>
        </w:rPr>
        <w:t xml:space="preserve">The study of real wages in the Roman Empire that Allen proposes also, I would argue, does a better job of dealing with a lack of economic data that the study of the ancient economy is often plagued by. Because the model does not attempt to make broad sweeping statements about economic principals and concepts, but instead focuses in on certain times and places, it can provide a more detailed picture of these </w:t>
      </w:r>
      <w:r w:rsidR="004E7E67">
        <w:rPr>
          <w:rFonts w:ascii="Times New Roman" w:hAnsi="Times New Roman" w:cs="Times New Roman"/>
          <w:sz w:val="24"/>
        </w:rPr>
        <w:t xml:space="preserve">places and </w:t>
      </w:r>
      <w:r>
        <w:rPr>
          <w:rFonts w:ascii="Times New Roman" w:hAnsi="Times New Roman" w:cs="Times New Roman"/>
          <w:sz w:val="24"/>
        </w:rPr>
        <w:t>times than previous methods have been able to do</w:t>
      </w:r>
      <w:r w:rsidR="004E7E67">
        <w:rPr>
          <w:rFonts w:ascii="Times New Roman" w:hAnsi="Times New Roman" w:cs="Times New Roman"/>
          <w:sz w:val="24"/>
        </w:rPr>
        <w:t>, and whilst the method is more restricted in scope than many economic historians would like, it avoids a lot of the problems that the study of ancient economics often faces. So</w:t>
      </w:r>
      <w:r w:rsidR="009338D8">
        <w:rPr>
          <w:rFonts w:ascii="Times New Roman" w:hAnsi="Times New Roman" w:cs="Times New Roman"/>
          <w:sz w:val="24"/>
        </w:rPr>
        <w:t>,</w:t>
      </w:r>
      <w:r w:rsidR="004E7E67">
        <w:rPr>
          <w:rFonts w:ascii="Times New Roman" w:hAnsi="Times New Roman" w:cs="Times New Roman"/>
          <w:sz w:val="24"/>
        </w:rPr>
        <w:t xml:space="preserve"> in conclusion I would argue that the study of real wages in the Roman Empire to understand the living standards of workers is a welcome addition to the study of the Roman Empire’s economy and is certainly a better alternative than previously proposed methods.</w:t>
      </w:r>
      <w:r>
        <w:rPr>
          <w:rFonts w:ascii="Times New Roman" w:hAnsi="Times New Roman" w:cs="Times New Roman"/>
          <w:sz w:val="24"/>
        </w:rPr>
        <w:t xml:space="preserve"> </w:t>
      </w:r>
    </w:p>
    <w:p w14:paraId="68D0CEE4" w14:textId="2D9E012F" w:rsidR="009338D8" w:rsidRDefault="009338D8" w:rsidP="00602671">
      <w:pPr>
        <w:spacing w:line="360" w:lineRule="auto"/>
        <w:rPr>
          <w:rFonts w:ascii="Times New Roman" w:hAnsi="Times New Roman" w:cs="Times New Roman"/>
          <w:sz w:val="24"/>
        </w:rPr>
      </w:pPr>
    </w:p>
    <w:p w14:paraId="21A02152" w14:textId="5C2110C5" w:rsidR="009338D8" w:rsidRDefault="009338D8" w:rsidP="00602671">
      <w:pPr>
        <w:spacing w:line="360" w:lineRule="auto"/>
        <w:rPr>
          <w:rFonts w:ascii="Times New Roman" w:hAnsi="Times New Roman" w:cs="Times New Roman"/>
          <w:sz w:val="24"/>
        </w:rPr>
      </w:pPr>
      <w:r>
        <w:rPr>
          <w:rFonts w:ascii="Times New Roman" w:hAnsi="Times New Roman" w:cs="Times New Roman"/>
          <w:b/>
          <w:sz w:val="24"/>
        </w:rPr>
        <w:t>Word Count: 2</w:t>
      </w:r>
      <w:r w:rsidR="000518D9">
        <w:rPr>
          <w:rFonts w:ascii="Times New Roman" w:hAnsi="Times New Roman" w:cs="Times New Roman"/>
          <w:b/>
          <w:sz w:val="24"/>
        </w:rPr>
        <w:t>937</w:t>
      </w:r>
    </w:p>
    <w:p w14:paraId="77A48600" w14:textId="6D36CD79" w:rsidR="009338D8" w:rsidRDefault="009338D8" w:rsidP="00261418">
      <w:pPr>
        <w:rPr>
          <w:rFonts w:ascii="Times New Roman" w:hAnsi="Times New Roman" w:cs="Times New Roman"/>
          <w:sz w:val="24"/>
        </w:rPr>
      </w:pPr>
    </w:p>
    <w:p w14:paraId="6A759F94" w14:textId="3D77DE16" w:rsidR="00AD0FA9" w:rsidRDefault="00AD0FA9" w:rsidP="00261418">
      <w:pPr>
        <w:rPr>
          <w:rFonts w:ascii="Times New Roman" w:hAnsi="Times New Roman" w:cs="Times New Roman"/>
          <w:sz w:val="24"/>
        </w:rPr>
      </w:pPr>
    </w:p>
    <w:p w14:paraId="3A8FCC5B" w14:textId="399F9B25" w:rsidR="00AD0FA9" w:rsidRDefault="00AD0FA9" w:rsidP="00261418">
      <w:pPr>
        <w:rPr>
          <w:rFonts w:ascii="Times New Roman" w:hAnsi="Times New Roman" w:cs="Times New Roman"/>
          <w:sz w:val="24"/>
        </w:rPr>
      </w:pPr>
    </w:p>
    <w:p w14:paraId="3B0FBD59" w14:textId="65DFD02D" w:rsidR="00AD0FA9" w:rsidRDefault="00AD0FA9" w:rsidP="00261418">
      <w:pPr>
        <w:rPr>
          <w:rFonts w:ascii="Times New Roman" w:hAnsi="Times New Roman" w:cs="Times New Roman"/>
          <w:sz w:val="24"/>
        </w:rPr>
      </w:pPr>
    </w:p>
    <w:p w14:paraId="56424E2D" w14:textId="48BDE98A" w:rsidR="00AD0FA9" w:rsidRDefault="00AD0FA9" w:rsidP="00261418">
      <w:pPr>
        <w:rPr>
          <w:rFonts w:ascii="Times New Roman" w:hAnsi="Times New Roman" w:cs="Times New Roman"/>
          <w:sz w:val="24"/>
        </w:rPr>
      </w:pPr>
    </w:p>
    <w:p w14:paraId="00815903" w14:textId="049FC414" w:rsidR="00AD0FA9" w:rsidRPr="00093E19" w:rsidRDefault="00AD0FA9" w:rsidP="00602671">
      <w:pPr>
        <w:spacing w:line="480" w:lineRule="auto"/>
        <w:rPr>
          <w:rFonts w:ascii="Times New Roman" w:hAnsi="Times New Roman" w:cs="Times New Roman"/>
          <w:b/>
          <w:sz w:val="24"/>
          <w:u w:val="single"/>
        </w:rPr>
      </w:pPr>
      <w:r>
        <w:rPr>
          <w:rFonts w:ascii="Times New Roman" w:hAnsi="Times New Roman" w:cs="Times New Roman"/>
          <w:b/>
          <w:sz w:val="24"/>
          <w:u w:val="single"/>
        </w:rPr>
        <w:t>Bibliography</w:t>
      </w:r>
    </w:p>
    <w:p w14:paraId="6E8F2C69" w14:textId="59CBAC51" w:rsidR="00AD0FA9" w:rsidRDefault="00AD0FA9" w:rsidP="00602671">
      <w:pPr>
        <w:spacing w:line="480" w:lineRule="auto"/>
        <w:rPr>
          <w:rFonts w:ascii="Times New Roman" w:hAnsi="Times New Roman" w:cs="Times New Roman"/>
          <w:b/>
          <w:sz w:val="24"/>
        </w:rPr>
      </w:pPr>
      <w:r>
        <w:rPr>
          <w:rFonts w:ascii="Times New Roman" w:hAnsi="Times New Roman" w:cs="Times New Roman"/>
          <w:b/>
          <w:sz w:val="24"/>
        </w:rPr>
        <w:t>Modern Sources:</w:t>
      </w:r>
    </w:p>
    <w:p w14:paraId="759E7F7B" w14:textId="592F514A" w:rsidR="00AD0FA9" w:rsidRDefault="00AD0FA9" w:rsidP="00602671">
      <w:pPr>
        <w:spacing w:line="480" w:lineRule="auto"/>
        <w:rPr>
          <w:rFonts w:ascii="Times New Roman" w:hAnsi="Times New Roman" w:cs="Times New Roman"/>
          <w:sz w:val="24"/>
        </w:rPr>
      </w:pPr>
      <w:r>
        <w:rPr>
          <w:rFonts w:ascii="Times New Roman" w:hAnsi="Times New Roman" w:cs="Times New Roman"/>
          <w:sz w:val="24"/>
        </w:rPr>
        <w:t>Allen, R.C. 2009. ‘How Prosperous were the Romans? Evidence from Diocletian’s Pr</w:t>
      </w:r>
      <w:r w:rsidR="002363B5">
        <w:rPr>
          <w:rFonts w:ascii="Times New Roman" w:hAnsi="Times New Roman" w:cs="Times New Roman"/>
          <w:sz w:val="24"/>
        </w:rPr>
        <w:t>i</w:t>
      </w:r>
      <w:r>
        <w:rPr>
          <w:rFonts w:ascii="Times New Roman" w:hAnsi="Times New Roman" w:cs="Times New Roman"/>
          <w:sz w:val="24"/>
        </w:rPr>
        <w:t xml:space="preserve">ce </w:t>
      </w:r>
      <w:r w:rsidR="00093E19">
        <w:rPr>
          <w:rFonts w:ascii="Times New Roman" w:hAnsi="Times New Roman" w:cs="Times New Roman"/>
          <w:sz w:val="24"/>
        </w:rPr>
        <w:tab/>
      </w:r>
      <w:r>
        <w:rPr>
          <w:rFonts w:ascii="Times New Roman" w:hAnsi="Times New Roman" w:cs="Times New Roman"/>
          <w:sz w:val="24"/>
        </w:rPr>
        <w:t>Edict</w:t>
      </w:r>
      <w:r w:rsidR="002363B5">
        <w:rPr>
          <w:rFonts w:ascii="Times New Roman" w:hAnsi="Times New Roman" w:cs="Times New Roman"/>
          <w:sz w:val="24"/>
        </w:rPr>
        <w:t xml:space="preserve"> (AD 301)’, in A. Bowman, A. Wilson (ed.), </w:t>
      </w:r>
      <w:r w:rsidR="002363B5">
        <w:rPr>
          <w:rFonts w:ascii="Times New Roman" w:hAnsi="Times New Roman" w:cs="Times New Roman"/>
          <w:i/>
          <w:sz w:val="24"/>
        </w:rPr>
        <w:t xml:space="preserve">Quantifying the Roman Economy: </w:t>
      </w:r>
      <w:r w:rsidR="00093E19">
        <w:rPr>
          <w:rFonts w:ascii="Times New Roman" w:hAnsi="Times New Roman" w:cs="Times New Roman"/>
          <w:i/>
          <w:sz w:val="24"/>
        </w:rPr>
        <w:tab/>
      </w:r>
      <w:r w:rsidR="002363B5">
        <w:rPr>
          <w:rFonts w:ascii="Times New Roman" w:hAnsi="Times New Roman" w:cs="Times New Roman"/>
          <w:i/>
          <w:sz w:val="24"/>
        </w:rPr>
        <w:t>Methods and Problems</w:t>
      </w:r>
      <w:r w:rsidR="002363B5">
        <w:rPr>
          <w:rFonts w:ascii="Times New Roman" w:hAnsi="Times New Roman" w:cs="Times New Roman"/>
          <w:sz w:val="24"/>
        </w:rPr>
        <w:t>. Oxford: Oxford University Press, 327-345.</w:t>
      </w:r>
    </w:p>
    <w:p w14:paraId="2A4639A6" w14:textId="249F10AD" w:rsidR="002363B5" w:rsidRDefault="002363B5" w:rsidP="00602671">
      <w:pPr>
        <w:spacing w:line="480" w:lineRule="auto"/>
        <w:rPr>
          <w:rFonts w:ascii="Times New Roman" w:hAnsi="Times New Roman" w:cs="Times New Roman"/>
          <w:sz w:val="24"/>
        </w:rPr>
      </w:pPr>
      <w:proofErr w:type="spellStart"/>
      <w:r>
        <w:rPr>
          <w:rFonts w:ascii="Times New Roman" w:hAnsi="Times New Roman" w:cs="Times New Roman"/>
          <w:sz w:val="24"/>
        </w:rPr>
        <w:lastRenderedPageBreak/>
        <w:t>Baten</w:t>
      </w:r>
      <w:proofErr w:type="spellEnd"/>
      <w:r>
        <w:rPr>
          <w:rFonts w:ascii="Times New Roman" w:hAnsi="Times New Roman" w:cs="Times New Roman"/>
          <w:sz w:val="24"/>
        </w:rPr>
        <w:t xml:space="preserve">, J., </w:t>
      </w:r>
      <w:proofErr w:type="spellStart"/>
      <w:r>
        <w:rPr>
          <w:rFonts w:ascii="Times New Roman" w:hAnsi="Times New Roman" w:cs="Times New Roman"/>
          <w:sz w:val="24"/>
        </w:rPr>
        <w:t>Koepke</w:t>
      </w:r>
      <w:proofErr w:type="spellEnd"/>
      <w:r w:rsidRPr="002363B5">
        <w:rPr>
          <w:rFonts w:ascii="Times New Roman" w:hAnsi="Times New Roman" w:cs="Times New Roman"/>
          <w:sz w:val="24"/>
        </w:rPr>
        <w:t xml:space="preserve">, </w:t>
      </w:r>
      <w:r>
        <w:rPr>
          <w:rFonts w:ascii="Times New Roman" w:hAnsi="Times New Roman" w:cs="Times New Roman"/>
          <w:sz w:val="24"/>
        </w:rPr>
        <w:t>N</w:t>
      </w:r>
      <w:r w:rsidRPr="002363B5">
        <w:rPr>
          <w:rFonts w:ascii="Times New Roman" w:hAnsi="Times New Roman" w:cs="Times New Roman"/>
          <w:sz w:val="24"/>
        </w:rPr>
        <w:t>.</w:t>
      </w:r>
      <w:r>
        <w:rPr>
          <w:rFonts w:ascii="Times New Roman" w:hAnsi="Times New Roman" w:cs="Times New Roman"/>
          <w:sz w:val="24"/>
        </w:rPr>
        <w:t xml:space="preserve"> 2005</w:t>
      </w:r>
      <w:r w:rsidRPr="002363B5">
        <w:rPr>
          <w:rFonts w:ascii="Times New Roman" w:hAnsi="Times New Roman" w:cs="Times New Roman"/>
          <w:sz w:val="24"/>
        </w:rPr>
        <w:t>. ‘</w:t>
      </w:r>
      <w:r>
        <w:rPr>
          <w:rFonts w:ascii="Times New Roman" w:hAnsi="Times New Roman" w:cs="Times New Roman"/>
          <w:sz w:val="24"/>
        </w:rPr>
        <w:t xml:space="preserve">The Biological Standard of Living in Europe during the las two </w:t>
      </w:r>
      <w:r w:rsidR="00093E19">
        <w:rPr>
          <w:rFonts w:ascii="Times New Roman" w:hAnsi="Times New Roman" w:cs="Times New Roman"/>
          <w:sz w:val="24"/>
        </w:rPr>
        <w:tab/>
      </w:r>
      <w:r>
        <w:rPr>
          <w:rFonts w:ascii="Times New Roman" w:hAnsi="Times New Roman" w:cs="Times New Roman"/>
          <w:sz w:val="24"/>
        </w:rPr>
        <w:t>Millennia</w:t>
      </w:r>
      <w:r w:rsidRPr="002363B5">
        <w:rPr>
          <w:rFonts w:ascii="Times New Roman" w:hAnsi="Times New Roman" w:cs="Times New Roman"/>
          <w:sz w:val="24"/>
        </w:rPr>
        <w:t xml:space="preserve">’, </w:t>
      </w:r>
      <w:r>
        <w:rPr>
          <w:rFonts w:ascii="Times New Roman" w:hAnsi="Times New Roman" w:cs="Times New Roman"/>
          <w:i/>
          <w:sz w:val="24"/>
        </w:rPr>
        <w:t>European Review of Economic History</w:t>
      </w:r>
      <w:r w:rsidRPr="002363B5">
        <w:rPr>
          <w:rFonts w:ascii="Times New Roman" w:hAnsi="Times New Roman" w:cs="Times New Roman"/>
          <w:sz w:val="24"/>
        </w:rPr>
        <w:t xml:space="preserve">, </w:t>
      </w:r>
      <w:r>
        <w:rPr>
          <w:rFonts w:ascii="Times New Roman" w:hAnsi="Times New Roman" w:cs="Times New Roman"/>
          <w:sz w:val="24"/>
        </w:rPr>
        <w:t>9</w:t>
      </w:r>
      <w:r w:rsidRPr="002363B5">
        <w:rPr>
          <w:rFonts w:ascii="Times New Roman" w:hAnsi="Times New Roman" w:cs="Times New Roman"/>
          <w:sz w:val="24"/>
        </w:rPr>
        <w:t xml:space="preserve">. </w:t>
      </w:r>
      <w:r>
        <w:rPr>
          <w:rFonts w:ascii="Times New Roman" w:hAnsi="Times New Roman" w:cs="Times New Roman"/>
          <w:sz w:val="24"/>
        </w:rPr>
        <w:t>1</w:t>
      </w:r>
      <w:r w:rsidRPr="002363B5">
        <w:rPr>
          <w:rFonts w:ascii="Times New Roman" w:hAnsi="Times New Roman" w:cs="Times New Roman"/>
          <w:sz w:val="24"/>
        </w:rPr>
        <w:t xml:space="preserve">, </w:t>
      </w:r>
      <w:proofErr w:type="gramStart"/>
      <w:r>
        <w:rPr>
          <w:rFonts w:ascii="Times New Roman" w:hAnsi="Times New Roman" w:cs="Times New Roman"/>
          <w:sz w:val="24"/>
        </w:rPr>
        <w:t>April</w:t>
      </w:r>
      <w:r w:rsidRPr="002363B5">
        <w:rPr>
          <w:rFonts w:ascii="Times New Roman" w:hAnsi="Times New Roman" w:cs="Times New Roman"/>
          <w:sz w:val="24"/>
        </w:rPr>
        <w:t>,</w:t>
      </w:r>
      <w:proofErr w:type="gramEnd"/>
      <w:r w:rsidRPr="002363B5">
        <w:rPr>
          <w:rFonts w:ascii="Times New Roman" w:hAnsi="Times New Roman" w:cs="Times New Roman"/>
          <w:sz w:val="24"/>
        </w:rPr>
        <w:t xml:space="preserve"> </w:t>
      </w:r>
      <w:r>
        <w:rPr>
          <w:rFonts w:ascii="Times New Roman" w:hAnsi="Times New Roman" w:cs="Times New Roman"/>
          <w:sz w:val="24"/>
        </w:rPr>
        <w:t>61-95</w:t>
      </w:r>
      <w:r w:rsidRPr="002363B5">
        <w:rPr>
          <w:rFonts w:ascii="Times New Roman" w:hAnsi="Times New Roman" w:cs="Times New Roman"/>
          <w:sz w:val="24"/>
        </w:rPr>
        <w:t>.</w:t>
      </w:r>
    </w:p>
    <w:p w14:paraId="72128A5A" w14:textId="6DEFDD9C" w:rsidR="002363B5" w:rsidRDefault="00B817E0" w:rsidP="00602671">
      <w:pPr>
        <w:spacing w:line="480" w:lineRule="auto"/>
        <w:rPr>
          <w:rFonts w:ascii="Times New Roman" w:hAnsi="Times New Roman" w:cs="Times New Roman"/>
          <w:sz w:val="24"/>
        </w:rPr>
      </w:pPr>
      <w:r>
        <w:rPr>
          <w:rFonts w:ascii="Times New Roman" w:hAnsi="Times New Roman" w:cs="Times New Roman"/>
          <w:sz w:val="24"/>
        </w:rPr>
        <w:t xml:space="preserve">Duncan-Jones, R. 1982. </w:t>
      </w:r>
      <w:r>
        <w:rPr>
          <w:rFonts w:ascii="Times New Roman" w:hAnsi="Times New Roman" w:cs="Times New Roman"/>
          <w:i/>
          <w:sz w:val="24"/>
        </w:rPr>
        <w:t>The Economy of the Roman Empire: Quantitative Studies</w:t>
      </w:r>
      <w:r>
        <w:rPr>
          <w:rFonts w:ascii="Times New Roman" w:hAnsi="Times New Roman" w:cs="Times New Roman"/>
          <w:sz w:val="24"/>
        </w:rPr>
        <w:t xml:space="preserve">. </w:t>
      </w:r>
      <w:r w:rsidR="00093E19">
        <w:rPr>
          <w:rFonts w:ascii="Times New Roman" w:hAnsi="Times New Roman" w:cs="Times New Roman"/>
          <w:sz w:val="24"/>
        </w:rPr>
        <w:tab/>
      </w:r>
      <w:r>
        <w:rPr>
          <w:rFonts w:ascii="Times New Roman" w:hAnsi="Times New Roman" w:cs="Times New Roman"/>
          <w:sz w:val="24"/>
        </w:rPr>
        <w:t>Cambridge: Cambridge University Press.</w:t>
      </w:r>
    </w:p>
    <w:p w14:paraId="454DEC96" w14:textId="2615926C" w:rsidR="00B817E0" w:rsidRDefault="00B817E0" w:rsidP="00602671">
      <w:pPr>
        <w:spacing w:line="480" w:lineRule="auto"/>
        <w:rPr>
          <w:rFonts w:ascii="Times New Roman" w:hAnsi="Times New Roman" w:cs="Times New Roman"/>
          <w:sz w:val="24"/>
        </w:rPr>
      </w:pPr>
      <w:r>
        <w:rPr>
          <w:rFonts w:ascii="Times New Roman" w:hAnsi="Times New Roman" w:cs="Times New Roman"/>
          <w:sz w:val="24"/>
        </w:rPr>
        <w:t>Hopkins</w:t>
      </w:r>
      <w:r w:rsidRPr="002363B5">
        <w:rPr>
          <w:rFonts w:ascii="Times New Roman" w:hAnsi="Times New Roman" w:cs="Times New Roman"/>
          <w:sz w:val="24"/>
        </w:rPr>
        <w:t xml:space="preserve">, </w:t>
      </w:r>
      <w:r>
        <w:rPr>
          <w:rFonts w:ascii="Times New Roman" w:hAnsi="Times New Roman" w:cs="Times New Roman"/>
          <w:sz w:val="24"/>
        </w:rPr>
        <w:t>K</w:t>
      </w:r>
      <w:r w:rsidRPr="002363B5">
        <w:rPr>
          <w:rFonts w:ascii="Times New Roman" w:hAnsi="Times New Roman" w:cs="Times New Roman"/>
          <w:sz w:val="24"/>
        </w:rPr>
        <w:t>.</w:t>
      </w:r>
      <w:r>
        <w:rPr>
          <w:rFonts w:ascii="Times New Roman" w:hAnsi="Times New Roman" w:cs="Times New Roman"/>
          <w:sz w:val="24"/>
        </w:rPr>
        <w:t xml:space="preserve"> 1980</w:t>
      </w:r>
      <w:r w:rsidRPr="002363B5">
        <w:rPr>
          <w:rFonts w:ascii="Times New Roman" w:hAnsi="Times New Roman" w:cs="Times New Roman"/>
          <w:sz w:val="24"/>
        </w:rPr>
        <w:t>. ‘</w:t>
      </w:r>
      <w:r>
        <w:rPr>
          <w:rFonts w:ascii="Times New Roman" w:hAnsi="Times New Roman" w:cs="Times New Roman"/>
          <w:sz w:val="24"/>
        </w:rPr>
        <w:t>Taxes and Trade in the Roman Empire (200 B.C. – A.D. 400)</w:t>
      </w:r>
      <w:r w:rsidRPr="002363B5">
        <w:rPr>
          <w:rFonts w:ascii="Times New Roman" w:hAnsi="Times New Roman" w:cs="Times New Roman"/>
          <w:sz w:val="24"/>
        </w:rPr>
        <w:t xml:space="preserve">’, </w:t>
      </w:r>
      <w:r>
        <w:rPr>
          <w:rFonts w:ascii="Times New Roman" w:hAnsi="Times New Roman" w:cs="Times New Roman"/>
          <w:i/>
          <w:sz w:val="24"/>
        </w:rPr>
        <w:t xml:space="preserve">The </w:t>
      </w:r>
      <w:r w:rsidR="00093E19">
        <w:rPr>
          <w:rFonts w:ascii="Times New Roman" w:hAnsi="Times New Roman" w:cs="Times New Roman"/>
          <w:i/>
          <w:sz w:val="24"/>
        </w:rPr>
        <w:tab/>
      </w:r>
      <w:r>
        <w:rPr>
          <w:rFonts w:ascii="Times New Roman" w:hAnsi="Times New Roman" w:cs="Times New Roman"/>
          <w:i/>
          <w:sz w:val="24"/>
        </w:rPr>
        <w:t>Journal of Roman Studies</w:t>
      </w:r>
      <w:r w:rsidRPr="002363B5">
        <w:rPr>
          <w:rFonts w:ascii="Times New Roman" w:hAnsi="Times New Roman" w:cs="Times New Roman"/>
          <w:sz w:val="24"/>
        </w:rPr>
        <w:t xml:space="preserve">, </w:t>
      </w:r>
      <w:r>
        <w:rPr>
          <w:rFonts w:ascii="Times New Roman" w:hAnsi="Times New Roman" w:cs="Times New Roman"/>
          <w:sz w:val="24"/>
        </w:rPr>
        <w:t>70</w:t>
      </w:r>
      <w:r w:rsidRPr="002363B5">
        <w:rPr>
          <w:rFonts w:ascii="Times New Roman" w:hAnsi="Times New Roman" w:cs="Times New Roman"/>
          <w:sz w:val="24"/>
        </w:rPr>
        <w:t xml:space="preserve">. </w:t>
      </w:r>
      <w:r>
        <w:rPr>
          <w:rFonts w:ascii="Times New Roman" w:hAnsi="Times New Roman" w:cs="Times New Roman"/>
          <w:sz w:val="24"/>
        </w:rPr>
        <w:t>101-125</w:t>
      </w:r>
      <w:r w:rsidRPr="002363B5">
        <w:rPr>
          <w:rFonts w:ascii="Times New Roman" w:hAnsi="Times New Roman" w:cs="Times New Roman"/>
          <w:sz w:val="24"/>
        </w:rPr>
        <w:t>.</w:t>
      </w:r>
    </w:p>
    <w:p w14:paraId="1309943F" w14:textId="4462F9DB" w:rsidR="00093E19" w:rsidRPr="00093E19" w:rsidRDefault="00093E19" w:rsidP="00602671">
      <w:pPr>
        <w:spacing w:line="480" w:lineRule="auto"/>
        <w:rPr>
          <w:rFonts w:ascii="Times New Roman" w:hAnsi="Times New Roman" w:cs="Times New Roman"/>
          <w:sz w:val="24"/>
        </w:rPr>
      </w:pPr>
      <w:proofErr w:type="spellStart"/>
      <w:r>
        <w:rPr>
          <w:rFonts w:ascii="Times New Roman" w:hAnsi="Times New Roman" w:cs="Times New Roman"/>
          <w:sz w:val="24"/>
        </w:rPr>
        <w:t>Jongman</w:t>
      </w:r>
      <w:proofErr w:type="spellEnd"/>
      <w:r>
        <w:rPr>
          <w:rFonts w:ascii="Times New Roman" w:hAnsi="Times New Roman" w:cs="Times New Roman"/>
          <w:sz w:val="24"/>
        </w:rPr>
        <w:t xml:space="preserve">, W. M. 2007. ‘The Early Roman Empire: Consumption’, in W. </w:t>
      </w:r>
      <w:proofErr w:type="spellStart"/>
      <w:r>
        <w:rPr>
          <w:rFonts w:ascii="Times New Roman" w:hAnsi="Times New Roman" w:cs="Times New Roman"/>
          <w:sz w:val="24"/>
        </w:rPr>
        <w:t>Scheidel</w:t>
      </w:r>
      <w:proofErr w:type="spellEnd"/>
      <w:r>
        <w:rPr>
          <w:rFonts w:ascii="Times New Roman" w:hAnsi="Times New Roman" w:cs="Times New Roman"/>
          <w:sz w:val="24"/>
        </w:rPr>
        <w:t xml:space="preserve">, I. Morris, </w:t>
      </w:r>
      <w:r>
        <w:rPr>
          <w:rFonts w:ascii="Times New Roman" w:hAnsi="Times New Roman" w:cs="Times New Roman"/>
          <w:sz w:val="24"/>
        </w:rPr>
        <w:tab/>
        <w:t xml:space="preserve">R.P. </w:t>
      </w:r>
      <w:proofErr w:type="spellStart"/>
      <w:r>
        <w:rPr>
          <w:rFonts w:ascii="Times New Roman" w:hAnsi="Times New Roman" w:cs="Times New Roman"/>
          <w:sz w:val="24"/>
        </w:rPr>
        <w:t>Saller</w:t>
      </w:r>
      <w:proofErr w:type="spellEnd"/>
      <w:r>
        <w:rPr>
          <w:rFonts w:ascii="Times New Roman" w:hAnsi="Times New Roman" w:cs="Times New Roman"/>
          <w:sz w:val="24"/>
        </w:rPr>
        <w:t xml:space="preserve"> (eds.), </w:t>
      </w:r>
      <w:r>
        <w:rPr>
          <w:rFonts w:ascii="Times New Roman" w:hAnsi="Times New Roman" w:cs="Times New Roman"/>
          <w:i/>
          <w:sz w:val="24"/>
        </w:rPr>
        <w:t>The Cambridge Economic History of the Greco-Roman World</w:t>
      </w:r>
      <w:r>
        <w:rPr>
          <w:rFonts w:ascii="Times New Roman" w:hAnsi="Times New Roman" w:cs="Times New Roman"/>
          <w:sz w:val="24"/>
        </w:rPr>
        <w:t xml:space="preserve">. </w:t>
      </w:r>
      <w:r>
        <w:rPr>
          <w:rFonts w:ascii="Times New Roman" w:hAnsi="Times New Roman" w:cs="Times New Roman"/>
          <w:sz w:val="24"/>
        </w:rPr>
        <w:tab/>
        <w:t>Cambridge: Cambridge University Press.</w:t>
      </w:r>
    </w:p>
    <w:p w14:paraId="24B53AF4" w14:textId="4B1E8C0E" w:rsidR="00B817E0" w:rsidRDefault="005F1A23" w:rsidP="00602671">
      <w:pPr>
        <w:spacing w:line="480" w:lineRule="auto"/>
        <w:rPr>
          <w:rFonts w:ascii="Times New Roman" w:hAnsi="Times New Roman" w:cs="Times New Roman"/>
          <w:color w:val="000000"/>
          <w:sz w:val="24"/>
          <w:szCs w:val="20"/>
          <w:shd w:val="clear" w:color="auto" w:fill="FFFFFF"/>
        </w:rPr>
      </w:pPr>
      <w:r w:rsidRPr="005F1A23">
        <w:rPr>
          <w:rFonts w:ascii="Times New Roman" w:hAnsi="Times New Roman" w:cs="Times New Roman"/>
          <w:color w:val="000000"/>
          <w:sz w:val="24"/>
          <w:szCs w:val="20"/>
          <w:shd w:val="clear" w:color="auto" w:fill="FFFFFF"/>
        </w:rPr>
        <w:t xml:space="preserve">King, C. E. 1993. ‘The fourth century coinage’, in L. </w:t>
      </w:r>
      <w:proofErr w:type="spellStart"/>
      <w:r w:rsidRPr="005F1A23">
        <w:rPr>
          <w:rFonts w:ascii="Times New Roman" w:hAnsi="Times New Roman" w:cs="Times New Roman"/>
          <w:color w:val="000000"/>
          <w:sz w:val="24"/>
          <w:szCs w:val="20"/>
          <w:shd w:val="clear" w:color="auto" w:fill="FFFFFF"/>
        </w:rPr>
        <w:t>Camilli</w:t>
      </w:r>
      <w:proofErr w:type="spellEnd"/>
      <w:r>
        <w:rPr>
          <w:rFonts w:ascii="Times New Roman" w:hAnsi="Times New Roman" w:cs="Times New Roman"/>
          <w:color w:val="000000"/>
          <w:sz w:val="24"/>
          <w:szCs w:val="20"/>
          <w:shd w:val="clear" w:color="auto" w:fill="FFFFFF"/>
        </w:rPr>
        <w:t>,</w:t>
      </w:r>
      <w:r w:rsidRPr="005F1A23">
        <w:rPr>
          <w:rFonts w:ascii="Times New Roman" w:hAnsi="Times New Roman" w:cs="Times New Roman"/>
          <w:color w:val="000000"/>
          <w:sz w:val="24"/>
          <w:szCs w:val="20"/>
          <w:shd w:val="clear" w:color="auto" w:fill="FFFFFF"/>
        </w:rPr>
        <w:t xml:space="preserve"> S. </w:t>
      </w:r>
      <w:proofErr w:type="spellStart"/>
      <w:r w:rsidRPr="005F1A23">
        <w:rPr>
          <w:rFonts w:ascii="Times New Roman" w:hAnsi="Times New Roman" w:cs="Times New Roman"/>
          <w:color w:val="000000"/>
          <w:sz w:val="24"/>
          <w:szCs w:val="20"/>
          <w:shd w:val="clear" w:color="auto" w:fill="FFFFFF"/>
        </w:rPr>
        <w:t>Sorda</w:t>
      </w:r>
      <w:proofErr w:type="spellEnd"/>
      <w:r w:rsidRPr="005F1A23">
        <w:rPr>
          <w:rFonts w:ascii="Times New Roman" w:hAnsi="Times New Roman" w:cs="Times New Roman"/>
          <w:color w:val="000000"/>
          <w:sz w:val="24"/>
          <w:szCs w:val="20"/>
          <w:shd w:val="clear" w:color="auto" w:fill="FFFFFF"/>
        </w:rPr>
        <w:t xml:space="preserve"> (ed.), </w:t>
      </w:r>
      <w:r w:rsidRPr="005F1A23">
        <w:rPr>
          <w:rFonts w:ascii="Times New Roman" w:hAnsi="Times New Roman" w:cs="Times New Roman"/>
          <w:i/>
          <w:iCs/>
          <w:color w:val="000000"/>
          <w:sz w:val="24"/>
          <w:szCs w:val="20"/>
          <w:shd w:val="clear" w:color="auto" w:fill="FFFFFF"/>
        </w:rPr>
        <w:t>L'‘</w:t>
      </w:r>
      <w:proofErr w:type="spellStart"/>
      <w:r w:rsidRPr="005F1A23">
        <w:rPr>
          <w:rFonts w:ascii="Times New Roman" w:hAnsi="Times New Roman" w:cs="Times New Roman"/>
          <w:i/>
          <w:iCs/>
          <w:color w:val="000000"/>
          <w:sz w:val="24"/>
          <w:szCs w:val="20"/>
          <w:shd w:val="clear" w:color="auto" w:fill="FFFFFF"/>
        </w:rPr>
        <w:t>inflazione</w:t>
      </w:r>
      <w:proofErr w:type="spellEnd"/>
      <w:r w:rsidRPr="005F1A23">
        <w:rPr>
          <w:rFonts w:ascii="Times New Roman" w:hAnsi="Times New Roman" w:cs="Times New Roman"/>
          <w:i/>
          <w:iCs/>
          <w:color w:val="000000"/>
          <w:sz w:val="24"/>
          <w:szCs w:val="20"/>
          <w:shd w:val="clear" w:color="auto" w:fill="FFFFFF"/>
        </w:rPr>
        <w:t xml:space="preserve">’ </w:t>
      </w:r>
      <w:r w:rsidR="00093E19">
        <w:rPr>
          <w:rFonts w:ascii="Times New Roman" w:hAnsi="Times New Roman" w:cs="Times New Roman"/>
          <w:i/>
          <w:iCs/>
          <w:color w:val="000000"/>
          <w:sz w:val="24"/>
          <w:szCs w:val="20"/>
          <w:shd w:val="clear" w:color="auto" w:fill="FFFFFF"/>
        </w:rPr>
        <w:tab/>
      </w:r>
      <w:proofErr w:type="spellStart"/>
      <w:r w:rsidRPr="005F1A23">
        <w:rPr>
          <w:rFonts w:ascii="Times New Roman" w:hAnsi="Times New Roman" w:cs="Times New Roman"/>
          <w:i/>
          <w:iCs/>
          <w:color w:val="000000"/>
          <w:sz w:val="24"/>
          <w:szCs w:val="20"/>
          <w:shd w:val="clear" w:color="auto" w:fill="FFFFFF"/>
        </w:rPr>
        <w:t>nel</w:t>
      </w:r>
      <w:proofErr w:type="spellEnd"/>
      <w:r w:rsidRPr="005F1A23">
        <w:rPr>
          <w:rFonts w:ascii="Times New Roman" w:hAnsi="Times New Roman" w:cs="Times New Roman"/>
          <w:i/>
          <w:iCs/>
          <w:color w:val="000000"/>
          <w:sz w:val="24"/>
          <w:szCs w:val="20"/>
          <w:shd w:val="clear" w:color="auto" w:fill="FFFFFF"/>
        </w:rPr>
        <w:t xml:space="preserve"> quarto </w:t>
      </w:r>
      <w:proofErr w:type="spellStart"/>
      <w:r w:rsidRPr="005F1A23">
        <w:rPr>
          <w:rFonts w:ascii="Times New Roman" w:hAnsi="Times New Roman" w:cs="Times New Roman"/>
          <w:i/>
          <w:iCs/>
          <w:color w:val="000000"/>
          <w:sz w:val="24"/>
          <w:szCs w:val="20"/>
          <w:shd w:val="clear" w:color="auto" w:fill="FFFFFF"/>
        </w:rPr>
        <w:t>secolo</w:t>
      </w:r>
      <w:proofErr w:type="spellEnd"/>
      <w:r w:rsidRPr="005F1A23">
        <w:rPr>
          <w:rFonts w:ascii="Times New Roman" w:hAnsi="Times New Roman" w:cs="Times New Roman"/>
          <w:i/>
          <w:iCs/>
          <w:color w:val="000000"/>
          <w:sz w:val="24"/>
          <w:szCs w:val="20"/>
          <w:shd w:val="clear" w:color="auto" w:fill="FFFFFF"/>
        </w:rPr>
        <w:t xml:space="preserve"> </w:t>
      </w:r>
      <w:proofErr w:type="spellStart"/>
      <w:r w:rsidRPr="005F1A23">
        <w:rPr>
          <w:rFonts w:ascii="Times New Roman" w:hAnsi="Times New Roman" w:cs="Times New Roman"/>
          <w:i/>
          <w:iCs/>
          <w:color w:val="000000"/>
          <w:sz w:val="24"/>
          <w:szCs w:val="20"/>
          <w:shd w:val="clear" w:color="auto" w:fill="FFFFFF"/>
        </w:rPr>
        <w:t>d.c.</w:t>
      </w:r>
      <w:proofErr w:type="spellEnd"/>
      <w:r w:rsidRPr="005F1A23">
        <w:rPr>
          <w:rFonts w:ascii="Times New Roman" w:hAnsi="Times New Roman" w:cs="Times New Roman"/>
          <w:i/>
          <w:iCs/>
          <w:color w:val="000000"/>
          <w:sz w:val="24"/>
          <w:szCs w:val="20"/>
          <w:shd w:val="clear" w:color="auto" w:fill="FFFFFF"/>
        </w:rPr>
        <w:t xml:space="preserve"> </w:t>
      </w:r>
      <w:proofErr w:type="spellStart"/>
      <w:r w:rsidRPr="005F1A23">
        <w:rPr>
          <w:rFonts w:ascii="Times New Roman" w:hAnsi="Times New Roman" w:cs="Times New Roman"/>
          <w:i/>
          <w:iCs/>
          <w:color w:val="000000"/>
          <w:sz w:val="24"/>
          <w:szCs w:val="20"/>
          <w:shd w:val="clear" w:color="auto" w:fill="FFFFFF"/>
        </w:rPr>
        <w:t>Atti</w:t>
      </w:r>
      <w:proofErr w:type="spellEnd"/>
      <w:r w:rsidRPr="005F1A23">
        <w:rPr>
          <w:rFonts w:ascii="Times New Roman" w:hAnsi="Times New Roman" w:cs="Times New Roman"/>
          <w:i/>
          <w:iCs/>
          <w:color w:val="000000"/>
          <w:sz w:val="24"/>
          <w:szCs w:val="20"/>
          <w:shd w:val="clear" w:color="auto" w:fill="FFFFFF"/>
        </w:rPr>
        <w:t xml:space="preserve"> </w:t>
      </w:r>
      <w:proofErr w:type="spellStart"/>
      <w:r w:rsidRPr="005F1A23">
        <w:rPr>
          <w:rFonts w:ascii="Times New Roman" w:hAnsi="Times New Roman" w:cs="Times New Roman"/>
          <w:i/>
          <w:iCs/>
          <w:color w:val="000000"/>
          <w:sz w:val="24"/>
          <w:szCs w:val="20"/>
          <w:shd w:val="clear" w:color="auto" w:fill="FFFFFF"/>
        </w:rPr>
        <w:t>dell'Incontro</w:t>
      </w:r>
      <w:proofErr w:type="spellEnd"/>
      <w:r w:rsidRPr="005F1A23">
        <w:rPr>
          <w:rFonts w:ascii="Times New Roman" w:hAnsi="Times New Roman" w:cs="Times New Roman"/>
          <w:i/>
          <w:iCs/>
          <w:color w:val="000000"/>
          <w:sz w:val="24"/>
          <w:szCs w:val="20"/>
          <w:shd w:val="clear" w:color="auto" w:fill="FFFFFF"/>
        </w:rPr>
        <w:t xml:space="preserve"> di Studio</w:t>
      </w:r>
      <w:r w:rsidRPr="005F1A23">
        <w:rPr>
          <w:rFonts w:ascii="Times New Roman" w:hAnsi="Times New Roman" w:cs="Times New Roman"/>
          <w:color w:val="000000"/>
          <w:sz w:val="24"/>
          <w:szCs w:val="20"/>
          <w:shd w:val="clear" w:color="auto" w:fill="FFFFFF"/>
        </w:rPr>
        <w:t>. Rome</w:t>
      </w:r>
      <w:r>
        <w:rPr>
          <w:rFonts w:ascii="Times New Roman" w:hAnsi="Times New Roman" w:cs="Times New Roman"/>
          <w:color w:val="000000"/>
          <w:sz w:val="24"/>
          <w:szCs w:val="20"/>
          <w:shd w:val="clear" w:color="auto" w:fill="FFFFFF"/>
        </w:rPr>
        <w:t>:</w:t>
      </w:r>
      <w:r w:rsidRPr="005F1A23">
        <w:rPr>
          <w:rFonts w:ascii="Arial" w:hAnsi="Arial" w:cs="Arial"/>
          <w:color w:val="000000"/>
          <w:sz w:val="20"/>
          <w:szCs w:val="20"/>
          <w:shd w:val="clear" w:color="auto" w:fill="FFFFFF"/>
        </w:rPr>
        <w:t xml:space="preserve"> </w:t>
      </w:r>
      <w:proofErr w:type="spellStart"/>
      <w:r w:rsidRPr="005F1A23">
        <w:rPr>
          <w:rFonts w:ascii="Times New Roman" w:hAnsi="Times New Roman" w:cs="Times New Roman"/>
          <w:color w:val="000000"/>
          <w:sz w:val="24"/>
          <w:szCs w:val="20"/>
          <w:shd w:val="clear" w:color="auto" w:fill="FFFFFF"/>
        </w:rPr>
        <w:t>Istituto</w:t>
      </w:r>
      <w:proofErr w:type="spellEnd"/>
      <w:r w:rsidRPr="005F1A23">
        <w:rPr>
          <w:rFonts w:ascii="Times New Roman" w:hAnsi="Times New Roman" w:cs="Times New Roman"/>
          <w:color w:val="000000"/>
          <w:sz w:val="24"/>
          <w:szCs w:val="20"/>
          <w:shd w:val="clear" w:color="auto" w:fill="FFFFFF"/>
        </w:rPr>
        <w:t xml:space="preserve"> </w:t>
      </w:r>
      <w:proofErr w:type="spellStart"/>
      <w:r>
        <w:rPr>
          <w:rFonts w:ascii="Times New Roman" w:hAnsi="Times New Roman" w:cs="Times New Roman"/>
          <w:color w:val="000000"/>
          <w:sz w:val="24"/>
          <w:szCs w:val="20"/>
          <w:shd w:val="clear" w:color="auto" w:fill="FFFFFF"/>
        </w:rPr>
        <w:t>I</w:t>
      </w:r>
      <w:r w:rsidRPr="005F1A23">
        <w:rPr>
          <w:rFonts w:ascii="Times New Roman" w:hAnsi="Times New Roman" w:cs="Times New Roman"/>
          <w:color w:val="000000"/>
          <w:sz w:val="24"/>
          <w:szCs w:val="20"/>
          <w:shd w:val="clear" w:color="auto" w:fill="FFFFFF"/>
        </w:rPr>
        <w:t>taliano</w:t>
      </w:r>
      <w:proofErr w:type="spellEnd"/>
      <w:r w:rsidRPr="005F1A23">
        <w:rPr>
          <w:rFonts w:ascii="Times New Roman" w:hAnsi="Times New Roman" w:cs="Times New Roman"/>
          <w:color w:val="000000"/>
          <w:sz w:val="24"/>
          <w:szCs w:val="20"/>
          <w:shd w:val="clear" w:color="auto" w:fill="FFFFFF"/>
        </w:rPr>
        <w:t xml:space="preserve"> di </w:t>
      </w:r>
      <w:r w:rsidR="00093E19">
        <w:rPr>
          <w:rFonts w:ascii="Times New Roman" w:hAnsi="Times New Roman" w:cs="Times New Roman"/>
          <w:color w:val="000000"/>
          <w:sz w:val="24"/>
          <w:szCs w:val="20"/>
          <w:shd w:val="clear" w:color="auto" w:fill="FFFFFF"/>
        </w:rPr>
        <w:tab/>
      </w:r>
      <w:proofErr w:type="spellStart"/>
      <w:r>
        <w:rPr>
          <w:rFonts w:ascii="Times New Roman" w:hAnsi="Times New Roman" w:cs="Times New Roman"/>
          <w:color w:val="000000"/>
          <w:sz w:val="24"/>
          <w:szCs w:val="20"/>
          <w:shd w:val="clear" w:color="auto" w:fill="FFFFFF"/>
        </w:rPr>
        <w:t>N</w:t>
      </w:r>
      <w:r w:rsidRPr="005F1A23">
        <w:rPr>
          <w:rFonts w:ascii="Times New Roman" w:hAnsi="Times New Roman" w:cs="Times New Roman"/>
          <w:color w:val="000000"/>
          <w:sz w:val="24"/>
          <w:szCs w:val="20"/>
          <w:shd w:val="clear" w:color="auto" w:fill="FFFFFF"/>
        </w:rPr>
        <w:t>umismatica</w:t>
      </w:r>
      <w:proofErr w:type="spellEnd"/>
      <w:r w:rsidRPr="005F1A23">
        <w:rPr>
          <w:rFonts w:ascii="Times New Roman" w:hAnsi="Times New Roman" w:cs="Times New Roman"/>
          <w:color w:val="000000"/>
          <w:sz w:val="24"/>
          <w:szCs w:val="20"/>
          <w:shd w:val="clear" w:color="auto" w:fill="FFFFFF"/>
        </w:rPr>
        <w:t>, 1–87.</w:t>
      </w:r>
    </w:p>
    <w:p w14:paraId="34CD6B8E" w14:textId="66A49A66" w:rsidR="005F1A23" w:rsidRDefault="005F1A23" w:rsidP="00602671">
      <w:pPr>
        <w:spacing w:line="480" w:lineRule="auto"/>
        <w:rPr>
          <w:rFonts w:ascii="Times New Roman" w:hAnsi="Times New Roman" w:cs="Times New Roman"/>
          <w:sz w:val="24"/>
        </w:rPr>
      </w:pPr>
      <w:proofErr w:type="spellStart"/>
      <w:r>
        <w:rPr>
          <w:rFonts w:ascii="Times New Roman" w:hAnsi="Times New Roman" w:cs="Times New Roman"/>
          <w:sz w:val="24"/>
        </w:rPr>
        <w:t>Schiedel</w:t>
      </w:r>
      <w:proofErr w:type="spellEnd"/>
      <w:r>
        <w:rPr>
          <w:rFonts w:ascii="Times New Roman" w:hAnsi="Times New Roman" w:cs="Times New Roman"/>
          <w:sz w:val="24"/>
        </w:rPr>
        <w:t xml:space="preserve">, W. 2010. ‘Real Wages in Early Economies: Evidence for Living Standards from </w:t>
      </w:r>
      <w:r w:rsidR="00093E19">
        <w:rPr>
          <w:rFonts w:ascii="Times New Roman" w:hAnsi="Times New Roman" w:cs="Times New Roman"/>
          <w:sz w:val="24"/>
        </w:rPr>
        <w:tab/>
      </w:r>
      <w:r>
        <w:rPr>
          <w:rFonts w:ascii="Times New Roman" w:hAnsi="Times New Roman" w:cs="Times New Roman"/>
          <w:sz w:val="24"/>
        </w:rPr>
        <w:t xml:space="preserve">1800 BCE to 1300 CE’, </w:t>
      </w:r>
      <w:r>
        <w:rPr>
          <w:rFonts w:ascii="Times New Roman" w:hAnsi="Times New Roman" w:cs="Times New Roman"/>
          <w:i/>
          <w:sz w:val="24"/>
        </w:rPr>
        <w:t>Journal of the Economic and Social History of the Orient</w:t>
      </w:r>
      <w:r>
        <w:rPr>
          <w:rFonts w:ascii="Times New Roman" w:hAnsi="Times New Roman" w:cs="Times New Roman"/>
          <w:sz w:val="24"/>
        </w:rPr>
        <w:t xml:space="preserve">, 53. </w:t>
      </w:r>
      <w:r w:rsidR="00093E19">
        <w:rPr>
          <w:rFonts w:ascii="Times New Roman" w:hAnsi="Times New Roman" w:cs="Times New Roman"/>
          <w:sz w:val="24"/>
        </w:rPr>
        <w:tab/>
      </w:r>
      <w:bookmarkStart w:id="0" w:name="_GoBack"/>
      <w:bookmarkEnd w:id="0"/>
      <w:r>
        <w:rPr>
          <w:rFonts w:ascii="Times New Roman" w:hAnsi="Times New Roman" w:cs="Times New Roman"/>
          <w:sz w:val="24"/>
        </w:rPr>
        <w:t>3, 425-462.</w:t>
      </w:r>
    </w:p>
    <w:p w14:paraId="0E1834EF" w14:textId="262D539A" w:rsidR="005F1A23" w:rsidRDefault="005F1A23" w:rsidP="00602671">
      <w:pPr>
        <w:spacing w:line="480" w:lineRule="auto"/>
        <w:rPr>
          <w:rFonts w:ascii="Times New Roman" w:hAnsi="Times New Roman" w:cs="Times New Roman"/>
          <w:sz w:val="24"/>
        </w:rPr>
      </w:pPr>
      <w:r>
        <w:rPr>
          <w:rFonts w:ascii="Times New Roman" w:hAnsi="Times New Roman" w:cs="Times New Roman"/>
          <w:sz w:val="24"/>
        </w:rPr>
        <w:t xml:space="preserve">Temin, P. 2013. </w:t>
      </w:r>
      <w:r>
        <w:rPr>
          <w:rFonts w:ascii="Times New Roman" w:hAnsi="Times New Roman" w:cs="Times New Roman"/>
          <w:i/>
          <w:sz w:val="24"/>
        </w:rPr>
        <w:t>The Roman Market Economy</w:t>
      </w:r>
      <w:r>
        <w:rPr>
          <w:rFonts w:ascii="Times New Roman" w:hAnsi="Times New Roman" w:cs="Times New Roman"/>
          <w:sz w:val="24"/>
        </w:rPr>
        <w:t>. Princeton: Princeton University Press.</w:t>
      </w:r>
    </w:p>
    <w:p w14:paraId="33ED14B6" w14:textId="39E198D9" w:rsidR="005F1A23" w:rsidRPr="005F1A23" w:rsidRDefault="005F1A23" w:rsidP="00602671">
      <w:pPr>
        <w:spacing w:line="480" w:lineRule="auto"/>
        <w:rPr>
          <w:rFonts w:ascii="Times New Roman" w:hAnsi="Times New Roman" w:cs="Times New Roman"/>
          <w:sz w:val="24"/>
        </w:rPr>
      </w:pPr>
      <w:r>
        <w:rPr>
          <w:rFonts w:ascii="Times New Roman" w:hAnsi="Times New Roman" w:cs="Times New Roman"/>
          <w:sz w:val="24"/>
        </w:rPr>
        <w:t xml:space="preserve">Williams, S. 1985. </w:t>
      </w:r>
      <w:r>
        <w:rPr>
          <w:rFonts w:ascii="Times New Roman" w:hAnsi="Times New Roman" w:cs="Times New Roman"/>
          <w:i/>
          <w:sz w:val="24"/>
        </w:rPr>
        <w:t>Diocletian and the Roman Recovery</w:t>
      </w:r>
      <w:r>
        <w:rPr>
          <w:rFonts w:ascii="Times New Roman" w:hAnsi="Times New Roman" w:cs="Times New Roman"/>
          <w:sz w:val="24"/>
        </w:rPr>
        <w:t xml:space="preserve">. London: B T </w:t>
      </w:r>
      <w:proofErr w:type="spellStart"/>
      <w:r>
        <w:rPr>
          <w:rFonts w:ascii="Times New Roman" w:hAnsi="Times New Roman" w:cs="Times New Roman"/>
          <w:sz w:val="24"/>
        </w:rPr>
        <w:t>Batsford</w:t>
      </w:r>
      <w:proofErr w:type="spellEnd"/>
      <w:r>
        <w:rPr>
          <w:rFonts w:ascii="Times New Roman" w:hAnsi="Times New Roman" w:cs="Times New Roman"/>
          <w:sz w:val="24"/>
        </w:rPr>
        <w:t xml:space="preserve"> Ltd.</w:t>
      </w:r>
    </w:p>
    <w:p w14:paraId="1E96E2CC" w14:textId="77777777" w:rsidR="00B817E0" w:rsidRPr="005F1A23" w:rsidRDefault="00B817E0" w:rsidP="00261418">
      <w:pPr>
        <w:rPr>
          <w:rFonts w:ascii="Times New Roman" w:hAnsi="Times New Roman" w:cs="Times New Roman"/>
          <w:sz w:val="32"/>
        </w:rPr>
      </w:pPr>
    </w:p>
    <w:sectPr w:rsidR="00B817E0" w:rsidRPr="005F1A2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54D5C" w14:textId="77777777" w:rsidR="00B462D9" w:rsidRDefault="00B462D9" w:rsidP="00261418">
      <w:pPr>
        <w:spacing w:after="0" w:line="240" w:lineRule="auto"/>
      </w:pPr>
      <w:r>
        <w:separator/>
      </w:r>
    </w:p>
  </w:endnote>
  <w:endnote w:type="continuationSeparator" w:id="0">
    <w:p w14:paraId="3C6A7987" w14:textId="77777777" w:rsidR="00B462D9" w:rsidRDefault="00B462D9" w:rsidP="00261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8537119"/>
      <w:docPartObj>
        <w:docPartGallery w:val="Page Numbers (Bottom of Page)"/>
        <w:docPartUnique/>
      </w:docPartObj>
    </w:sdtPr>
    <w:sdtEndPr>
      <w:rPr>
        <w:noProof/>
      </w:rPr>
    </w:sdtEndPr>
    <w:sdtContent>
      <w:p w14:paraId="6974BC38" w14:textId="5BA639E3" w:rsidR="00370B06" w:rsidRDefault="00370B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EF8343" w14:textId="77777777" w:rsidR="00370B06" w:rsidRDefault="00370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5A3F1" w14:textId="77777777" w:rsidR="00B462D9" w:rsidRDefault="00B462D9" w:rsidP="00261418">
      <w:pPr>
        <w:spacing w:after="0" w:line="240" w:lineRule="auto"/>
      </w:pPr>
      <w:r>
        <w:separator/>
      </w:r>
    </w:p>
  </w:footnote>
  <w:footnote w:type="continuationSeparator" w:id="0">
    <w:p w14:paraId="4E19D4ED" w14:textId="77777777" w:rsidR="00B462D9" w:rsidRDefault="00B462D9" w:rsidP="00261418">
      <w:pPr>
        <w:spacing w:after="0" w:line="240" w:lineRule="auto"/>
      </w:pPr>
      <w:r>
        <w:continuationSeparator/>
      </w:r>
    </w:p>
  </w:footnote>
  <w:footnote w:id="1">
    <w:p w14:paraId="7905B059" w14:textId="66E50009" w:rsidR="00A0585C" w:rsidRPr="006B32F7" w:rsidRDefault="00A0585C">
      <w:pPr>
        <w:pStyle w:val="FootnoteText"/>
      </w:pPr>
      <w:r>
        <w:rPr>
          <w:rStyle w:val="FootnoteReference"/>
        </w:rPr>
        <w:footnoteRef/>
      </w:r>
      <w:r>
        <w:t xml:space="preserve"> Hopkins article ‘Taxes and Trade in the Roman Empire (200BC- 200AD), discusses a number of different ways to ascertain the rate of economic growth in the Roman economy. For an overview of different ways in which scholars have tried to measure the Roman economy see chapter 9 of Peter Temin’s </w:t>
      </w:r>
      <w:r>
        <w:rPr>
          <w:i/>
        </w:rPr>
        <w:t>The Roman Market Economy</w:t>
      </w:r>
      <w:r>
        <w:t>.</w:t>
      </w:r>
    </w:p>
  </w:footnote>
  <w:footnote w:id="2">
    <w:p w14:paraId="0BE67C8A" w14:textId="060FEAED" w:rsidR="00A0585C" w:rsidRDefault="00A0585C">
      <w:pPr>
        <w:pStyle w:val="FootnoteText"/>
      </w:pPr>
      <w:r>
        <w:rPr>
          <w:rStyle w:val="FootnoteReference"/>
        </w:rPr>
        <w:footnoteRef/>
      </w:r>
      <w:r>
        <w:t xml:space="preserve"> Allen 2009: 327.</w:t>
      </w:r>
    </w:p>
  </w:footnote>
  <w:footnote w:id="3">
    <w:p w14:paraId="6866CEF8" w14:textId="699D8F74" w:rsidR="00A0585C" w:rsidRDefault="00A0585C">
      <w:pPr>
        <w:pStyle w:val="FootnoteText"/>
      </w:pPr>
      <w:r>
        <w:rPr>
          <w:rStyle w:val="FootnoteReference"/>
        </w:rPr>
        <w:footnoteRef/>
      </w:r>
      <w:r>
        <w:t xml:space="preserve"> Later referred to as GDP.</w:t>
      </w:r>
    </w:p>
  </w:footnote>
  <w:footnote w:id="4">
    <w:p w14:paraId="0B0116D2" w14:textId="7F5398A5" w:rsidR="00A0585C" w:rsidRDefault="00A0585C">
      <w:pPr>
        <w:pStyle w:val="FootnoteText"/>
      </w:pPr>
      <w:r>
        <w:rPr>
          <w:rStyle w:val="FootnoteReference"/>
        </w:rPr>
        <w:footnoteRef/>
      </w:r>
      <w:r>
        <w:t xml:space="preserve"> Allen 2009: 327-328.</w:t>
      </w:r>
    </w:p>
  </w:footnote>
  <w:footnote w:id="5">
    <w:p w14:paraId="09FA3DAC" w14:textId="2926BBC8" w:rsidR="00A0585C" w:rsidRDefault="00A0585C">
      <w:pPr>
        <w:pStyle w:val="FootnoteText"/>
      </w:pPr>
      <w:r>
        <w:rPr>
          <w:rStyle w:val="FootnoteReference"/>
        </w:rPr>
        <w:footnoteRef/>
      </w:r>
      <w:r>
        <w:t xml:space="preserve"> Allen 2009: 327.</w:t>
      </w:r>
    </w:p>
  </w:footnote>
  <w:footnote w:id="6">
    <w:p w14:paraId="68C717DF" w14:textId="10421B9C" w:rsidR="00A0585C" w:rsidRDefault="00A0585C">
      <w:pPr>
        <w:pStyle w:val="FootnoteText"/>
      </w:pPr>
      <w:r>
        <w:rPr>
          <w:rStyle w:val="FootnoteReference"/>
        </w:rPr>
        <w:footnoteRef/>
      </w:r>
      <w:r>
        <w:t xml:space="preserve"> Allen 2009: 327.328.</w:t>
      </w:r>
    </w:p>
  </w:footnote>
  <w:footnote w:id="7">
    <w:p w14:paraId="2390113B" w14:textId="1FD57483" w:rsidR="00A0585C" w:rsidRDefault="00A0585C">
      <w:pPr>
        <w:pStyle w:val="FootnoteText"/>
      </w:pPr>
      <w:r>
        <w:rPr>
          <w:rStyle w:val="FootnoteReference"/>
        </w:rPr>
        <w:footnoteRef/>
      </w:r>
      <w:r>
        <w:t xml:space="preserve"> Allen 2009: 328.</w:t>
      </w:r>
    </w:p>
  </w:footnote>
  <w:footnote w:id="8">
    <w:p w14:paraId="7D036ECD" w14:textId="19E8427D" w:rsidR="00A0585C" w:rsidRDefault="00A0585C">
      <w:pPr>
        <w:pStyle w:val="FootnoteText"/>
      </w:pPr>
      <w:r>
        <w:rPr>
          <w:rStyle w:val="FootnoteReference"/>
        </w:rPr>
        <w:footnoteRef/>
      </w:r>
      <w:r>
        <w:t xml:space="preserve"> Allen 2009: 328.; </w:t>
      </w:r>
      <w:proofErr w:type="spellStart"/>
      <w:r>
        <w:t>Koepke</w:t>
      </w:r>
      <w:proofErr w:type="spellEnd"/>
      <w:r>
        <w:t xml:space="preserve"> and </w:t>
      </w:r>
      <w:proofErr w:type="spellStart"/>
      <w:r>
        <w:t>Baten’s</w:t>
      </w:r>
      <w:proofErr w:type="spellEnd"/>
      <w:r>
        <w:t xml:space="preserve"> 2005 article ‘The biological standard of living in Europe during the last two millennia’ attempts to answer the question of Roman living standards using this method.</w:t>
      </w:r>
    </w:p>
  </w:footnote>
  <w:footnote w:id="9">
    <w:p w14:paraId="618B16F2" w14:textId="29314141" w:rsidR="00A0585C" w:rsidRDefault="00A0585C">
      <w:pPr>
        <w:pStyle w:val="FootnoteText"/>
      </w:pPr>
      <w:r>
        <w:rPr>
          <w:rStyle w:val="FootnoteReference"/>
        </w:rPr>
        <w:footnoteRef/>
      </w:r>
      <w:r>
        <w:t xml:space="preserve"> Allen 2009: 238.</w:t>
      </w:r>
    </w:p>
  </w:footnote>
  <w:footnote w:id="10">
    <w:p w14:paraId="565BAE87" w14:textId="5092E479" w:rsidR="00A0585C" w:rsidRDefault="00A0585C">
      <w:pPr>
        <w:pStyle w:val="FootnoteText"/>
      </w:pPr>
      <w:r>
        <w:rPr>
          <w:rStyle w:val="FootnoteReference"/>
        </w:rPr>
        <w:footnoteRef/>
      </w:r>
      <w:r>
        <w:t xml:space="preserve"> Allen 2009: 328.</w:t>
      </w:r>
    </w:p>
  </w:footnote>
  <w:footnote w:id="11">
    <w:p w14:paraId="565758F4" w14:textId="3FB41125" w:rsidR="009D5B9B" w:rsidRDefault="009D5B9B">
      <w:pPr>
        <w:pStyle w:val="FootnoteText"/>
      </w:pPr>
      <w:r>
        <w:rPr>
          <w:rStyle w:val="FootnoteReference"/>
        </w:rPr>
        <w:footnoteRef/>
      </w:r>
      <w:r>
        <w:t xml:space="preserve"> </w:t>
      </w:r>
      <w:proofErr w:type="spellStart"/>
      <w:r>
        <w:t>Jongman</w:t>
      </w:r>
      <w:proofErr w:type="spellEnd"/>
      <w:r>
        <w:t xml:space="preserve"> 2007: 607.</w:t>
      </w:r>
    </w:p>
  </w:footnote>
  <w:footnote w:id="12">
    <w:p w14:paraId="02246B57" w14:textId="5F510401" w:rsidR="0051040B" w:rsidRDefault="0051040B">
      <w:pPr>
        <w:pStyle w:val="FootnoteText"/>
      </w:pPr>
      <w:r>
        <w:rPr>
          <w:rStyle w:val="FootnoteReference"/>
        </w:rPr>
        <w:footnoteRef/>
      </w:r>
      <w:r>
        <w:t xml:space="preserve"> </w:t>
      </w:r>
      <w:proofErr w:type="spellStart"/>
      <w:r>
        <w:t>Jongman</w:t>
      </w:r>
      <w:proofErr w:type="spellEnd"/>
      <w:r>
        <w:t xml:space="preserve"> 2007: 607-608.</w:t>
      </w:r>
    </w:p>
  </w:footnote>
  <w:footnote w:id="13">
    <w:p w14:paraId="734C3545" w14:textId="1CA5E595" w:rsidR="0051040B" w:rsidRDefault="0051040B">
      <w:pPr>
        <w:pStyle w:val="FootnoteText"/>
      </w:pPr>
      <w:r>
        <w:rPr>
          <w:rStyle w:val="FootnoteReference"/>
        </w:rPr>
        <w:footnoteRef/>
      </w:r>
      <w:r>
        <w:t xml:space="preserve"> </w:t>
      </w:r>
      <w:proofErr w:type="spellStart"/>
      <w:r>
        <w:t>Jongman</w:t>
      </w:r>
      <w:proofErr w:type="spellEnd"/>
      <w:r>
        <w:t xml:space="preserve"> 2007: 617-618.</w:t>
      </w:r>
    </w:p>
  </w:footnote>
  <w:footnote w:id="14">
    <w:p w14:paraId="323357F4" w14:textId="1532BDDC" w:rsidR="00A0585C" w:rsidRDefault="00A0585C">
      <w:pPr>
        <w:pStyle w:val="FootnoteText"/>
      </w:pPr>
      <w:r>
        <w:rPr>
          <w:rStyle w:val="FootnoteReference"/>
        </w:rPr>
        <w:footnoteRef/>
      </w:r>
      <w:r>
        <w:t xml:space="preserve"> Allen 2009: 328.</w:t>
      </w:r>
    </w:p>
  </w:footnote>
  <w:footnote w:id="15">
    <w:p w14:paraId="0A4904C2" w14:textId="55410786" w:rsidR="00A22ED9" w:rsidRDefault="00A22ED9">
      <w:pPr>
        <w:pStyle w:val="FootnoteText"/>
      </w:pPr>
      <w:r>
        <w:rPr>
          <w:rStyle w:val="FootnoteReference"/>
        </w:rPr>
        <w:footnoteRef/>
      </w:r>
      <w:r>
        <w:t xml:space="preserve"> Allen 2009: 328.</w:t>
      </w:r>
    </w:p>
  </w:footnote>
  <w:footnote w:id="16">
    <w:p w14:paraId="6824D0DF" w14:textId="57317541" w:rsidR="00A0585C" w:rsidRDefault="00A0585C">
      <w:pPr>
        <w:pStyle w:val="FootnoteText"/>
      </w:pPr>
      <w:r>
        <w:rPr>
          <w:rStyle w:val="FootnoteReference"/>
        </w:rPr>
        <w:footnoteRef/>
      </w:r>
      <w:r>
        <w:t xml:space="preserve"> </w:t>
      </w:r>
      <w:proofErr w:type="spellStart"/>
      <w:r>
        <w:t>Koepke</w:t>
      </w:r>
      <w:proofErr w:type="spellEnd"/>
      <w:r>
        <w:t xml:space="preserve"> and </w:t>
      </w:r>
      <w:proofErr w:type="spellStart"/>
      <w:r>
        <w:t>Baten</w:t>
      </w:r>
      <w:proofErr w:type="spellEnd"/>
      <w:r>
        <w:t xml:space="preserve"> 2005: 61.</w:t>
      </w:r>
    </w:p>
  </w:footnote>
  <w:footnote w:id="17">
    <w:p w14:paraId="4C1228FC" w14:textId="2FF87F5D" w:rsidR="00A0585C" w:rsidRDefault="00A0585C">
      <w:pPr>
        <w:pStyle w:val="FootnoteText"/>
      </w:pPr>
      <w:r>
        <w:rPr>
          <w:rStyle w:val="FootnoteReference"/>
        </w:rPr>
        <w:footnoteRef/>
      </w:r>
      <w:r>
        <w:t xml:space="preserve"> Allen 2009: 328.</w:t>
      </w:r>
    </w:p>
  </w:footnote>
  <w:footnote w:id="18">
    <w:p w14:paraId="2D523D97" w14:textId="28432088" w:rsidR="00A0585C" w:rsidRDefault="00A0585C">
      <w:pPr>
        <w:pStyle w:val="FootnoteText"/>
      </w:pPr>
      <w:r>
        <w:rPr>
          <w:rStyle w:val="FootnoteReference"/>
        </w:rPr>
        <w:footnoteRef/>
      </w:r>
      <w:r>
        <w:t xml:space="preserve"> Allen 2009: 328.</w:t>
      </w:r>
    </w:p>
  </w:footnote>
  <w:footnote w:id="19">
    <w:p w14:paraId="16777F88" w14:textId="396CE190" w:rsidR="00A0585C" w:rsidRDefault="00A0585C">
      <w:pPr>
        <w:pStyle w:val="FootnoteText"/>
      </w:pPr>
      <w:r>
        <w:rPr>
          <w:rStyle w:val="FootnoteReference"/>
        </w:rPr>
        <w:footnoteRef/>
      </w:r>
      <w:r>
        <w:t xml:space="preserve"> Allen 2009: 328.</w:t>
      </w:r>
    </w:p>
  </w:footnote>
  <w:footnote w:id="20">
    <w:p w14:paraId="2BC7E273" w14:textId="47995F9F" w:rsidR="00A0585C" w:rsidRDefault="00A0585C">
      <w:pPr>
        <w:pStyle w:val="FootnoteText"/>
      </w:pPr>
      <w:r>
        <w:rPr>
          <w:rStyle w:val="FootnoteReference"/>
        </w:rPr>
        <w:footnoteRef/>
      </w:r>
      <w:r>
        <w:t xml:space="preserve"> Allen 2009: 328.</w:t>
      </w:r>
    </w:p>
  </w:footnote>
  <w:footnote w:id="21">
    <w:p w14:paraId="1C7FCE15" w14:textId="6C97A783" w:rsidR="00A0585C" w:rsidRDefault="00A0585C">
      <w:pPr>
        <w:pStyle w:val="FootnoteText"/>
      </w:pPr>
      <w:r>
        <w:rPr>
          <w:rStyle w:val="FootnoteReference"/>
        </w:rPr>
        <w:footnoteRef/>
      </w:r>
      <w:r>
        <w:t xml:space="preserve"> Allen 2009: 328-329. Such as Han China, Medieval and Early modern Europe and India.</w:t>
      </w:r>
    </w:p>
  </w:footnote>
  <w:footnote w:id="22">
    <w:p w14:paraId="54C6A661" w14:textId="2810BFB7" w:rsidR="00A0585C" w:rsidRDefault="00A0585C">
      <w:pPr>
        <w:pStyle w:val="FootnoteText"/>
      </w:pPr>
      <w:r>
        <w:rPr>
          <w:rStyle w:val="FootnoteReference"/>
        </w:rPr>
        <w:footnoteRef/>
      </w:r>
      <w:r>
        <w:t xml:space="preserve"> Allen 2009: 329-330. He first uses a ‘respectability’ basket taken from similar studies of ‘real wages’ in Early Modern Northern Europe. Allen 2009: 333-334. He also calculates what he calls a ‘bare-bones’ basket to represent the most basic level of subsistence. Allen 2009: 339-341.</w:t>
      </w:r>
    </w:p>
  </w:footnote>
  <w:footnote w:id="23">
    <w:p w14:paraId="37F98E5B" w14:textId="4BF99123" w:rsidR="00A0585C" w:rsidRDefault="00A0585C">
      <w:pPr>
        <w:pStyle w:val="FootnoteText"/>
      </w:pPr>
      <w:r>
        <w:rPr>
          <w:rStyle w:val="FootnoteReference"/>
        </w:rPr>
        <w:footnoteRef/>
      </w:r>
      <w:r>
        <w:t xml:space="preserve"> Allen 2009: 330.</w:t>
      </w:r>
    </w:p>
  </w:footnote>
  <w:footnote w:id="24">
    <w:p w14:paraId="45035825" w14:textId="1F99EE76" w:rsidR="00A0585C" w:rsidRDefault="00A0585C">
      <w:pPr>
        <w:pStyle w:val="FootnoteText"/>
      </w:pPr>
      <w:r>
        <w:rPr>
          <w:rStyle w:val="FootnoteReference"/>
        </w:rPr>
        <w:footnoteRef/>
      </w:r>
      <w:r>
        <w:t xml:space="preserve"> Duncan-Jones 1982: 146-147</w:t>
      </w:r>
    </w:p>
  </w:footnote>
  <w:footnote w:id="25">
    <w:p w14:paraId="7443D8CC" w14:textId="386AEB70" w:rsidR="00A0585C" w:rsidRDefault="00A0585C">
      <w:pPr>
        <w:pStyle w:val="FootnoteText"/>
      </w:pPr>
      <w:r>
        <w:rPr>
          <w:rStyle w:val="FootnoteReference"/>
        </w:rPr>
        <w:footnoteRef/>
      </w:r>
      <w:r>
        <w:t xml:space="preserve"> Duncan-Jones 1982: 146.</w:t>
      </w:r>
    </w:p>
  </w:footnote>
  <w:footnote w:id="26">
    <w:p w14:paraId="598052D1" w14:textId="5901902E" w:rsidR="00A0585C" w:rsidRDefault="00A0585C">
      <w:pPr>
        <w:pStyle w:val="FootnoteText"/>
      </w:pPr>
      <w:r>
        <w:rPr>
          <w:rStyle w:val="FootnoteReference"/>
        </w:rPr>
        <w:footnoteRef/>
      </w:r>
      <w:r>
        <w:t xml:space="preserve"> Allen 2009: 330-332.</w:t>
      </w:r>
    </w:p>
  </w:footnote>
  <w:footnote w:id="27">
    <w:p w14:paraId="17FA9AE3" w14:textId="31D9CA1E" w:rsidR="00A0585C" w:rsidRPr="00DF057F" w:rsidRDefault="00A0585C">
      <w:pPr>
        <w:pStyle w:val="FootnoteText"/>
      </w:pPr>
      <w:r>
        <w:rPr>
          <w:rStyle w:val="FootnoteReference"/>
        </w:rPr>
        <w:footnoteRef/>
      </w:r>
      <w:r>
        <w:t xml:space="preserve"> Allen 2009: 331. This is predicated on the silver content of a </w:t>
      </w:r>
      <w:r w:rsidRPr="00DF057F">
        <w:rPr>
          <w:i/>
        </w:rPr>
        <w:t>denarius</w:t>
      </w:r>
      <w:r>
        <w:t xml:space="preserve"> at the time to be 0.032g, based off of King’s (1993) belief that the </w:t>
      </w:r>
      <w:r>
        <w:rPr>
          <w:i/>
        </w:rPr>
        <w:t>argenteus</w:t>
      </w:r>
      <w:r>
        <w:t xml:space="preserve"> (100x a </w:t>
      </w:r>
      <w:r>
        <w:rPr>
          <w:i/>
        </w:rPr>
        <w:t>Denarius</w:t>
      </w:r>
      <w:r>
        <w:t xml:space="preserve">) was worth 3.38g of silver, which Allen appears to believe is slightly inflated. Thus, after he lowered the value to what he believes to be more correct, he came to the conclusion of 0.032g of silver in a </w:t>
      </w:r>
      <w:r>
        <w:rPr>
          <w:i/>
        </w:rPr>
        <w:t>denarius</w:t>
      </w:r>
      <w:r>
        <w:t>.</w:t>
      </w:r>
    </w:p>
  </w:footnote>
  <w:footnote w:id="28">
    <w:p w14:paraId="1FB1A4EA" w14:textId="1996035E" w:rsidR="00A0585C" w:rsidRDefault="00A0585C">
      <w:pPr>
        <w:pStyle w:val="FootnoteText"/>
      </w:pPr>
      <w:r>
        <w:rPr>
          <w:rStyle w:val="FootnoteReference"/>
        </w:rPr>
        <w:footnoteRef/>
      </w:r>
      <w:r>
        <w:t xml:space="preserve"> Allen 2009: </w:t>
      </w:r>
    </w:p>
  </w:footnote>
  <w:footnote w:id="29">
    <w:p w14:paraId="0AE9C2C4" w14:textId="733B6B8C" w:rsidR="00A0585C" w:rsidRDefault="00A0585C">
      <w:pPr>
        <w:pStyle w:val="FootnoteText"/>
      </w:pPr>
      <w:r>
        <w:rPr>
          <w:rStyle w:val="FootnoteReference"/>
        </w:rPr>
        <w:footnoteRef/>
      </w:r>
      <w:r>
        <w:t xml:space="preserve"> Allen 2009: 337.</w:t>
      </w:r>
    </w:p>
  </w:footnote>
  <w:footnote w:id="30">
    <w:p w14:paraId="53C78565" w14:textId="47A0BAFA" w:rsidR="00075FBD" w:rsidRDefault="00075FBD">
      <w:pPr>
        <w:pStyle w:val="FootnoteText"/>
      </w:pPr>
      <w:r>
        <w:rPr>
          <w:rStyle w:val="FootnoteReference"/>
        </w:rPr>
        <w:footnoteRef/>
      </w:r>
      <w:r>
        <w:t xml:space="preserve"> </w:t>
      </w:r>
      <w:proofErr w:type="spellStart"/>
      <w:r>
        <w:t>Scheidel</w:t>
      </w:r>
      <w:proofErr w:type="spellEnd"/>
      <w:r>
        <w:t xml:space="preserve"> 2010: 433.</w:t>
      </w:r>
    </w:p>
  </w:footnote>
  <w:footnote w:id="31">
    <w:p w14:paraId="651C37DC" w14:textId="68900171" w:rsidR="00075FBD" w:rsidRDefault="00075FBD">
      <w:pPr>
        <w:pStyle w:val="FootnoteText"/>
      </w:pPr>
      <w:r>
        <w:rPr>
          <w:rStyle w:val="FootnoteReference"/>
        </w:rPr>
        <w:footnoteRef/>
      </w:r>
      <w:r>
        <w:t xml:space="preserve"> </w:t>
      </w:r>
      <w:proofErr w:type="spellStart"/>
      <w:r>
        <w:t>Scheidel</w:t>
      </w:r>
      <w:proofErr w:type="spellEnd"/>
      <w:r>
        <w:t xml:space="preserve"> 2010: 433. For more on his efforts at calculating this see his article </w:t>
      </w:r>
      <w:r w:rsidRPr="00075FBD">
        <w:rPr>
          <w:rFonts w:cstheme="minorHAnsi"/>
        </w:rPr>
        <w:t>‘Real Wages in Early Economies: Evidence for Living Standards from 1800 BCE to 1300 CE’</w:t>
      </w:r>
      <w:r>
        <w:rPr>
          <w:rFonts w:cstheme="minorHAnsi"/>
        </w:rPr>
        <w:t>.</w:t>
      </w:r>
    </w:p>
  </w:footnote>
  <w:footnote w:id="32">
    <w:p w14:paraId="13188E46" w14:textId="40074955" w:rsidR="00A0585C" w:rsidRDefault="00A0585C">
      <w:pPr>
        <w:pStyle w:val="FootnoteText"/>
      </w:pPr>
      <w:r>
        <w:rPr>
          <w:rStyle w:val="FootnoteReference"/>
        </w:rPr>
        <w:footnoteRef/>
      </w:r>
      <w:r>
        <w:t xml:space="preserve"> Allen 2009: 332-335. Allen’s ‘respectability’ basket includes the amount and variety of food that would be necessary to sustain the human body but includes items that would be considered more luxurious than basic subsistence, such as meat, bread. It also includes non-food items that the average person and family would need to live such as soap, linen and lamp oil.</w:t>
      </w:r>
    </w:p>
  </w:footnote>
  <w:footnote w:id="33">
    <w:p w14:paraId="51473864" w14:textId="490DEC35" w:rsidR="00A0585C" w:rsidRDefault="00A0585C">
      <w:pPr>
        <w:pStyle w:val="FootnoteText"/>
      </w:pPr>
      <w:r>
        <w:rPr>
          <w:rStyle w:val="FootnoteReference"/>
        </w:rPr>
        <w:footnoteRef/>
      </w:r>
      <w:r>
        <w:t xml:space="preserve"> Allen 2009: 334-336.</w:t>
      </w:r>
    </w:p>
  </w:footnote>
  <w:footnote w:id="34">
    <w:p w14:paraId="5D17A36E" w14:textId="41516BAA" w:rsidR="00A0585C" w:rsidRDefault="00A0585C">
      <w:pPr>
        <w:pStyle w:val="FootnoteText"/>
      </w:pPr>
      <w:r>
        <w:rPr>
          <w:rStyle w:val="FootnoteReference"/>
        </w:rPr>
        <w:footnoteRef/>
      </w:r>
      <w:r>
        <w:t xml:space="preserve"> Allen 2009: 334. Allen bases this off of budget studies that suggest that housing accounts for 5-10% of a budget.</w:t>
      </w:r>
    </w:p>
  </w:footnote>
  <w:footnote w:id="35">
    <w:p w14:paraId="706FCD83" w14:textId="420ACFEB" w:rsidR="00A0585C" w:rsidRDefault="00A0585C">
      <w:pPr>
        <w:pStyle w:val="FootnoteText"/>
      </w:pPr>
      <w:r>
        <w:rPr>
          <w:rStyle w:val="FootnoteReference"/>
        </w:rPr>
        <w:footnoteRef/>
      </w:r>
      <w:r>
        <w:t xml:space="preserve"> Allen 2009: 337.</w:t>
      </w:r>
    </w:p>
  </w:footnote>
  <w:footnote w:id="36">
    <w:p w14:paraId="24B052D2" w14:textId="22AACACC" w:rsidR="00A0585C" w:rsidRDefault="00A0585C">
      <w:pPr>
        <w:pStyle w:val="FootnoteText"/>
      </w:pPr>
      <w:r>
        <w:rPr>
          <w:rStyle w:val="FootnoteReference"/>
        </w:rPr>
        <w:footnoteRef/>
      </w:r>
      <w:r>
        <w:t xml:space="preserve"> Allen 2009: 339.</w:t>
      </w:r>
    </w:p>
  </w:footnote>
  <w:footnote w:id="37">
    <w:p w14:paraId="2EE45982" w14:textId="45995775" w:rsidR="00A0585C" w:rsidRDefault="00A0585C">
      <w:pPr>
        <w:pStyle w:val="FootnoteText"/>
      </w:pPr>
      <w:r>
        <w:rPr>
          <w:rStyle w:val="FootnoteReference"/>
        </w:rPr>
        <w:footnoteRef/>
      </w:r>
      <w:r>
        <w:t xml:space="preserve"> Allen 2009: 340.</w:t>
      </w:r>
    </w:p>
  </w:footnote>
  <w:footnote w:id="38">
    <w:p w14:paraId="02F243C8" w14:textId="31585C99" w:rsidR="00A0585C" w:rsidRDefault="00A0585C">
      <w:pPr>
        <w:pStyle w:val="FootnoteText"/>
      </w:pPr>
      <w:r>
        <w:rPr>
          <w:rStyle w:val="FootnoteReference"/>
        </w:rPr>
        <w:footnoteRef/>
      </w:r>
      <w:r>
        <w:t xml:space="preserve"> Allen 2009: 342-343.</w:t>
      </w:r>
    </w:p>
  </w:footnote>
  <w:footnote w:id="39">
    <w:p w14:paraId="00AC4976" w14:textId="0E98DF79" w:rsidR="00A0585C" w:rsidRDefault="00A0585C">
      <w:pPr>
        <w:pStyle w:val="FootnoteText"/>
      </w:pPr>
      <w:r>
        <w:rPr>
          <w:rStyle w:val="FootnoteReference"/>
        </w:rPr>
        <w:footnoteRef/>
      </w:r>
      <w:r>
        <w:t xml:space="preserve"> Allen 2009: 329.</w:t>
      </w:r>
    </w:p>
  </w:footnote>
  <w:footnote w:id="40">
    <w:p w14:paraId="665F1F96" w14:textId="0CA1ED2A" w:rsidR="00A0585C" w:rsidRDefault="00A0585C">
      <w:pPr>
        <w:pStyle w:val="FootnoteText"/>
      </w:pPr>
      <w:r>
        <w:rPr>
          <w:rStyle w:val="FootnoteReference"/>
        </w:rPr>
        <w:footnoteRef/>
      </w:r>
      <w:r>
        <w:t xml:space="preserve"> Williams 1985: 132.</w:t>
      </w:r>
    </w:p>
  </w:footnote>
  <w:footnote w:id="41">
    <w:p w14:paraId="0CC8EAE6" w14:textId="1C99139F" w:rsidR="00A0585C" w:rsidRDefault="00A0585C">
      <w:pPr>
        <w:pStyle w:val="FootnoteText"/>
      </w:pPr>
      <w:r>
        <w:rPr>
          <w:rStyle w:val="FootnoteReference"/>
        </w:rPr>
        <w:footnoteRef/>
      </w:r>
      <w:r>
        <w:t xml:space="preserve"> Williams 1985: 131.</w:t>
      </w:r>
    </w:p>
  </w:footnote>
  <w:footnote w:id="42">
    <w:p w14:paraId="5BE7D4AC" w14:textId="64870A6B" w:rsidR="00A0585C" w:rsidRDefault="00A0585C">
      <w:pPr>
        <w:pStyle w:val="FootnoteText"/>
      </w:pPr>
      <w:r>
        <w:rPr>
          <w:rStyle w:val="FootnoteReference"/>
        </w:rPr>
        <w:footnoteRef/>
      </w:r>
      <w:r>
        <w:t xml:space="preserve"> Williams 1985: 131-132.</w:t>
      </w:r>
    </w:p>
  </w:footnote>
  <w:footnote w:id="43">
    <w:p w14:paraId="1A96ADC6" w14:textId="621F3A1B" w:rsidR="00A0585C" w:rsidRDefault="00A0585C">
      <w:pPr>
        <w:pStyle w:val="FootnoteText"/>
      </w:pPr>
      <w:r>
        <w:rPr>
          <w:rStyle w:val="FootnoteReference"/>
        </w:rPr>
        <w:footnoteRef/>
      </w:r>
      <w:r>
        <w:t xml:space="preserve"> William</w:t>
      </w:r>
      <w:r w:rsidR="00E66B5B">
        <w:t>s</w:t>
      </w:r>
      <w:r>
        <w:t xml:space="preserve"> 1985: 132.</w:t>
      </w:r>
    </w:p>
  </w:footnote>
  <w:footnote w:id="44">
    <w:p w14:paraId="176E561F" w14:textId="1489B9C5" w:rsidR="00A0585C" w:rsidRDefault="00A0585C">
      <w:pPr>
        <w:pStyle w:val="FootnoteText"/>
      </w:pPr>
      <w:r>
        <w:rPr>
          <w:rStyle w:val="FootnoteReference"/>
        </w:rPr>
        <w:footnoteRef/>
      </w:r>
      <w:r>
        <w:t xml:space="preserve"> See </w:t>
      </w:r>
      <w:proofErr w:type="spellStart"/>
      <w:r>
        <w:t>Scheidel’s</w:t>
      </w:r>
      <w:proofErr w:type="spellEnd"/>
      <w:r>
        <w:t xml:space="preserve"> 2010 article ‘Real Wages in Early Economies: Evidence for Living Standards from 1800BCE to 1300CE’.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99937A" w14:textId="675554CC" w:rsidR="00370B06" w:rsidRDefault="00370B06">
    <w:pPr>
      <w:pStyle w:val="Header"/>
    </w:pPr>
    <w:r>
      <w:t>Chris Kearney 1400107 CLCL7005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418"/>
    <w:rsid w:val="00033602"/>
    <w:rsid w:val="000518D9"/>
    <w:rsid w:val="00070339"/>
    <w:rsid w:val="00075FBD"/>
    <w:rsid w:val="00093E19"/>
    <w:rsid w:val="000A3162"/>
    <w:rsid w:val="000C3CB4"/>
    <w:rsid w:val="000F53C5"/>
    <w:rsid w:val="00105661"/>
    <w:rsid w:val="00217205"/>
    <w:rsid w:val="00234BA6"/>
    <w:rsid w:val="002363B5"/>
    <w:rsid w:val="0025399F"/>
    <w:rsid w:val="00261418"/>
    <w:rsid w:val="002671D0"/>
    <w:rsid w:val="002E452B"/>
    <w:rsid w:val="00325CEE"/>
    <w:rsid w:val="00326F09"/>
    <w:rsid w:val="00345BFF"/>
    <w:rsid w:val="00366396"/>
    <w:rsid w:val="00370B06"/>
    <w:rsid w:val="00376F0F"/>
    <w:rsid w:val="004024E5"/>
    <w:rsid w:val="004065B5"/>
    <w:rsid w:val="00450143"/>
    <w:rsid w:val="004D3559"/>
    <w:rsid w:val="004E7E67"/>
    <w:rsid w:val="0051040B"/>
    <w:rsid w:val="00520857"/>
    <w:rsid w:val="00534B6A"/>
    <w:rsid w:val="005754FC"/>
    <w:rsid w:val="005A3D3C"/>
    <w:rsid w:val="005E29C6"/>
    <w:rsid w:val="005F1A23"/>
    <w:rsid w:val="00602671"/>
    <w:rsid w:val="00652DBC"/>
    <w:rsid w:val="00654BB3"/>
    <w:rsid w:val="00655E36"/>
    <w:rsid w:val="006B32F7"/>
    <w:rsid w:val="006B4B5B"/>
    <w:rsid w:val="00764F4D"/>
    <w:rsid w:val="007C25FE"/>
    <w:rsid w:val="007F68AC"/>
    <w:rsid w:val="00832520"/>
    <w:rsid w:val="00860DB8"/>
    <w:rsid w:val="008C7032"/>
    <w:rsid w:val="009338D8"/>
    <w:rsid w:val="009D5B9B"/>
    <w:rsid w:val="00A0585C"/>
    <w:rsid w:val="00A21BEB"/>
    <w:rsid w:val="00A22ED9"/>
    <w:rsid w:val="00A81CEF"/>
    <w:rsid w:val="00A85440"/>
    <w:rsid w:val="00AB18BB"/>
    <w:rsid w:val="00AB4ED6"/>
    <w:rsid w:val="00AD0FA9"/>
    <w:rsid w:val="00AE4DED"/>
    <w:rsid w:val="00B45BCA"/>
    <w:rsid w:val="00B462D9"/>
    <w:rsid w:val="00B817E0"/>
    <w:rsid w:val="00C34D6F"/>
    <w:rsid w:val="00CA551F"/>
    <w:rsid w:val="00CE5205"/>
    <w:rsid w:val="00CF2D27"/>
    <w:rsid w:val="00D17582"/>
    <w:rsid w:val="00DC12F7"/>
    <w:rsid w:val="00DF057F"/>
    <w:rsid w:val="00E14208"/>
    <w:rsid w:val="00E66B5B"/>
    <w:rsid w:val="00F01948"/>
    <w:rsid w:val="00F07284"/>
    <w:rsid w:val="00F51973"/>
    <w:rsid w:val="00F71CF5"/>
    <w:rsid w:val="00FF0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9E8F9"/>
  <w15:chartTrackingRefBased/>
  <w15:docId w15:val="{568B0F8F-F205-4235-B3AD-C751ACA16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1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1418"/>
    <w:rPr>
      <w:sz w:val="20"/>
      <w:szCs w:val="20"/>
    </w:rPr>
  </w:style>
  <w:style w:type="character" w:styleId="FootnoteReference">
    <w:name w:val="footnote reference"/>
    <w:basedOn w:val="DefaultParagraphFont"/>
    <w:uiPriority w:val="99"/>
    <w:semiHidden/>
    <w:unhideWhenUsed/>
    <w:rsid w:val="00261418"/>
    <w:rPr>
      <w:vertAlign w:val="superscript"/>
    </w:rPr>
  </w:style>
  <w:style w:type="paragraph" w:styleId="Header">
    <w:name w:val="header"/>
    <w:basedOn w:val="Normal"/>
    <w:link w:val="HeaderChar"/>
    <w:uiPriority w:val="99"/>
    <w:unhideWhenUsed/>
    <w:rsid w:val="00370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B06"/>
  </w:style>
  <w:style w:type="paragraph" w:styleId="Footer">
    <w:name w:val="footer"/>
    <w:basedOn w:val="Normal"/>
    <w:link w:val="FooterChar"/>
    <w:uiPriority w:val="99"/>
    <w:unhideWhenUsed/>
    <w:rsid w:val="00370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9115</TotalTime>
  <Pages>8</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Kearney</dc:creator>
  <cp:keywords/>
  <dc:description/>
  <cp:lastModifiedBy>Andrea Kearney</cp:lastModifiedBy>
  <cp:revision>23</cp:revision>
  <dcterms:created xsi:type="dcterms:W3CDTF">2018-05-01T12:49:00Z</dcterms:created>
  <dcterms:modified xsi:type="dcterms:W3CDTF">2018-05-24T21:39:00Z</dcterms:modified>
</cp:coreProperties>
</file>