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eastAsia="SimSun"/>
          <w:lang w:eastAsia="zh-CN"/>
        </w:rPr>
        <w:pict>
          <v:shape id="_x0000_s1029" o:spid="_x0000_s1029" o:spt="75" type="#_x0000_t75" style="position:absolute;left:0pt;margin-left:13.5pt;margin-top:30pt;height:453.4pt;width:612.5pt;mso-position-horizontal-relative:page;mso-position-vertical-relative:page;z-index:-251657216;mso-width-relative:page;mso-height-relative:page;" filled="f" o:preferrelative="t" stroked="f" coordsize="21600,21600">
            <v:path/>
            <v:fill on="f" focussize="0,0"/>
            <v:stroke on="f"/>
            <v:imagedata r:id="rId5" o:title="未标题-1"/>
            <o:lock v:ext="edit" grouping="f" rotation="f" text="f" aspectratio="t"/>
          </v:shape>
        </w:pict>
      </w:r>
      <w:r>
        <w:pict>
          <v:rect id="_x0000_s1028" o:spid="_x0000_s1028" o:spt="1" style="position:absolute;left:0pt;margin-left:4.6pt;margin-top:388.55pt;height:132pt;width:448.85pt;z-index:251660288;mso-width-relative:page;mso-height-relative:page;" stroked="f" coordsize="21600,21600">
            <v:path/>
            <v:fill focussize="0,0"/>
            <v:stroke on="f"/>
            <v:imagedata o:title=""/>
            <o:lock v:ext="edit" grouping="f" rotation="f" text="f" aspectratio="f"/>
            <v:textbox>
              <w:txbxContent>
                <w:p>
                  <w:pPr>
                    <w:rPr>
                      <w:rFonts w:hint="default" w:ascii="Times New Roman" w:hAnsi="Times New Roman" w:cs="Times New Roman"/>
                      <w:b/>
                      <w:bCs/>
                      <w:sz w:val="56"/>
                      <w:szCs w:val="56"/>
                      <w:lang w:val="zh-CN"/>
                    </w:rPr>
                  </w:pPr>
                  <w:r>
                    <w:rPr>
                      <w:rFonts w:hint="default" w:ascii="Times New Roman" w:hAnsi="Times New Roman" w:cs="Times New Roman"/>
                      <w:b/>
                      <w:bCs/>
                      <w:sz w:val="56"/>
                      <w:szCs w:val="56"/>
                      <w:lang w:val="zh-CN"/>
                    </w:rPr>
                    <w:t>"Measuring the Effectiveness of Change Management in General Electric: A Stakeholder Analysis"</w:t>
                  </w:r>
                </w:p>
                <w:p>
                  <w:pPr>
                    <w:rPr>
                      <w:rFonts w:hint="eastAsia"/>
                      <w:sz w:val="84"/>
                      <w:lang w:val="zh-CN"/>
                    </w:rPr>
                  </w:pPr>
                </w:p>
                <w:p>
                  <w:pPr>
                    <w:rPr>
                      <w:rFonts w:hint="eastAsia"/>
                      <w:sz w:val="84"/>
                      <w:lang w:val="zh-CN"/>
                    </w:rPr>
                  </w:pPr>
                </w:p>
                <w:p>
                  <w:pPr>
                    <w:rPr>
                      <w:rFonts w:hint="eastAsia"/>
                      <w:sz w:val="84"/>
                      <w:lang w:val="zh-CN"/>
                    </w:rPr>
                  </w:pPr>
                </w:p>
                <w:p>
                  <w:pPr>
                    <w:rPr>
                      <w:rFonts w:hint="eastAsia"/>
                      <w:sz w:val="84"/>
                      <w:lang w:val="zh-CN"/>
                    </w:rPr>
                  </w:pPr>
                </w:p>
                <w:p>
                  <w:pPr>
                    <w:rPr>
                      <w:rFonts w:hint="eastAsia"/>
                      <w:sz w:val="84"/>
                      <w:lang w:val="zh-CN"/>
                    </w:rPr>
                  </w:pPr>
                </w:p>
              </w:txbxContent>
            </v:textbox>
          </v:rect>
        </w:pict>
      </w:r>
    </w:p>
    <w:p>
      <w:pPr>
        <w:rPr>
          <w:rFonts w:hint="default" w:ascii="Times New Roman" w:hAnsi="Times New Roman" w:cs="Times New Roman"/>
          <w:sz w:val="24"/>
          <w:szCs w:val="24"/>
        </w:rPr>
        <w:sectPr>
          <w:headerReference r:id="rId3" w:type="default"/>
          <w:pgSz w:w="11906" w:h="16838"/>
          <w:pgMar w:top="1440" w:right="1800" w:bottom="1440" w:left="1800" w:header="720" w:footer="720" w:gutter="0"/>
          <w:cols w:space="720" w:num="1"/>
          <w:docGrid w:linePitch="360" w:charSpace="0"/>
        </w:sectPr>
      </w:pPr>
      <w:bookmarkStart w:id="14" w:name="_GoBack"/>
      <w:bookmarkEnd w:id="14"/>
      <w:r>
        <w:pict>
          <v:rect id="_x0000_s1026" o:spid="_x0000_s1026" o:spt="1" style="position:absolute;left:0pt;margin-left:176.05pt;margin-top:532.45pt;height:100.2pt;width:245.3pt;z-index:251661312;v-text-anchor:bottom;mso-width-relative:page;mso-height-relative:page;" filled="f" stroked="f" coordsize="21600,21600">
            <v:path/>
            <v:fill on="f" focussize="0,0"/>
            <v:stroke on="f"/>
            <v:imagedata o:title=""/>
            <o:lock v:ext="edit" aspectratio="f"/>
            <v:textbox inset="0mm,1.27mm,2.54mm,1.27mm">
              <w:txbxContent>
                <w:p>
                  <w:pPr>
                    <w:ind w:left="0" w:leftChars="0" w:right="0" w:rightChars="0" w:firstLine="0" w:firstLineChars="0"/>
                    <w:jc w:val="left"/>
                    <w:rPr>
                      <w:rFonts w:hint="default" w:ascii="Times New Roman" w:hAnsi="Times New Roman"/>
                      <w:b/>
                      <w:color w:val="000000"/>
                      <w:spacing w:val="60"/>
                      <w:sz w:val="32"/>
                      <w:szCs w:val="32"/>
                      <w:lang w:val="en-US"/>
                    </w:rPr>
                  </w:pPr>
                  <w:r>
                    <w:rPr>
                      <w:rFonts w:hint="default" w:ascii="Times New Roman" w:hAnsi="Times New Roman" w:cs="Times New Roman"/>
                      <w:b/>
                      <w:color w:val="000000"/>
                      <w:spacing w:val="60"/>
                      <w:sz w:val="32"/>
                      <w:szCs w:val="32"/>
                      <w:lang w:val="en-US"/>
                    </w:rPr>
                    <w:t>N</w:t>
                  </w:r>
                  <w:r>
                    <w:rPr>
                      <w:rFonts w:hint="default" w:ascii="Times New Roman" w:hAnsi="Times New Roman" w:cs="Times New Roman"/>
                      <w:b/>
                      <w:color w:val="000000"/>
                      <w:spacing w:val="60"/>
                      <w:sz w:val="32"/>
                      <w:szCs w:val="32"/>
                      <w:lang w:val="en-US"/>
                    </w:rPr>
                    <w:t xml:space="preserve">ame: </w:t>
                  </w:r>
                  <w:r>
                    <w:rPr>
                      <w:rFonts w:hint="default" w:ascii="Times New Roman" w:hAnsi="Times New Roman"/>
                      <w:b/>
                      <w:color w:val="000000"/>
                      <w:spacing w:val="60"/>
                      <w:sz w:val="32"/>
                      <w:szCs w:val="32"/>
                      <w:lang w:val="en-US"/>
                    </w:rPr>
                    <w:t xml:space="preserve"> Jasika Chouhan</w:t>
                  </w:r>
                </w:p>
                <w:p>
                  <w:pPr>
                    <w:ind w:left="0" w:leftChars="0" w:right="0" w:rightChars="0" w:firstLine="0" w:firstLineChars="0"/>
                    <w:jc w:val="left"/>
                    <w:rPr>
                      <w:rFonts w:hint="default" w:ascii="Times New Roman" w:hAnsi="Times New Roman"/>
                      <w:b/>
                      <w:color w:val="000000"/>
                      <w:spacing w:val="60"/>
                      <w:sz w:val="32"/>
                      <w:szCs w:val="32"/>
                      <w:lang w:val="en-US"/>
                    </w:rPr>
                  </w:pPr>
                  <w:r>
                    <w:rPr>
                      <w:rFonts w:hint="default" w:ascii="Times New Roman" w:hAnsi="Times New Roman"/>
                      <w:b/>
                      <w:color w:val="000000"/>
                      <w:spacing w:val="60"/>
                      <w:sz w:val="32"/>
                      <w:szCs w:val="32"/>
                      <w:lang w:val="en-US"/>
                    </w:rPr>
                    <w:t>Id: 2215849</w:t>
                  </w:r>
                </w:p>
              </w:txbxContent>
            </v:textbox>
          </v:rect>
        </w:pict>
      </w:r>
      <w:r>
        <w:rPr>
          <w:rFonts w:ascii="SimSun" w:hAnsi="SimSun" w:eastAsia="SimSun" w:cs="SimSun"/>
          <w:sz w:val="24"/>
          <w:szCs w:val="24"/>
        </w:rPr>
        <w:drawing>
          <wp:inline distT="0" distB="0" distL="114300" distR="114300">
            <wp:extent cx="5047615" cy="3364865"/>
            <wp:effectExtent l="0" t="0" r="635" b="698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5047615" cy="3364865"/>
                    </a:xfrm>
                    <a:prstGeom prst="rect">
                      <a:avLst/>
                    </a:prstGeom>
                    <a:noFill/>
                    <a:ln w="9525">
                      <a:noFill/>
                    </a:ln>
                  </pic:spPr>
                </pic:pic>
              </a:graphicData>
            </a:graphic>
          </wp:inline>
        </w:drawing>
      </w:r>
    </w:p>
    <w:p>
      <w:pPr>
        <w:rPr>
          <w:rFonts w:hint="default" w:ascii="Times New Roman" w:hAnsi="Times New Roman" w:cs="Times New Roman"/>
          <w:sz w:val="24"/>
          <w:szCs w:val="24"/>
        </w:rPr>
      </w:pPr>
    </w:p>
    <w:sdt>
      <w:sdtPr>
        <w:rPr>
          <w:rFonts w:ascii="SimSun" w:hAnsi="SimSun" w:eastAsia="SimSun" w:cstheme="minorBidi"/>
          <w:sz w:val="21"/>
          <w:lang w:val="en-US" w:eastAsia="zh-CN" w:bidi="ar-SA"/>
        </w:rPr>
        <w:id w:val="147455872"/>
        <w15:color w:val="DBDBDB"/>
        <w:docPartObj>
          <w:docPartGallery w:val="Table of Contents"/>
          <w:docPartUnique/>
        </w:docPartObj>
      </w:sdtPr>
      <w:sdtEndPr>
        <w:rPr>
          <w:rFonts w:hint="default" w:ascii="Times New Roman" w:hAnsi="Times New Roman" w:cs="Times New Roman" w:eastAsiaTheme="minorEastAsia"/>
          <w:sz w:val="24"/>
          <w:szCs w:val="24"/>
          <w:lang w:val="en-US" w:eastAsia="zh-CN" w:bidi="ar-SA"/>
        </w:rPr>
      </w:sdtEndPr>
      <w:sdtContent>
        <w:p>
          <w:pPr>
            <w:spacing w:before="0" w:beforeLines="0" w:after="0" w:afterLines="0" w:line="240" w:lineRule="auto"/>
            <w:ind w:left="0" w:leftChars="0" w:right="0" w:rightChars="0" w:firstLine="0" w:firstLineChars="0"/>
            <w:jc w:val="center"/>
          </w:pPr>
          <w:r>
            <w:rPr>
              <w:rFonts w:ascii="SimSun" w:hAnsi="SimSun" w:eastAsia="SimSun"/>
              <w:sz w:val="21"/>
            </w:rPr>
            <w:t>Catalog</w:t>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Overview of the change at General Electric: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Internal and external factors/drivers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_Toc9785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Resistance to Change: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_Toc9785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Change management implementation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_Toc24599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Key Models and Theories of Change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_Toc24599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_Toc20842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Appropriateness of the Change Management Process at 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_Toc20842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_Toc31519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Measuring the effectiveness of the change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_Toc31519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_Toc22952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_Toc22952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_Toc27910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_Toc27910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_Toc8241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_Toc8241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_Toc4173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Appendix: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_Toc4173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sdtContent>
    </w:sdt>
    <w:p>
      <w:pPr>
        <w:pStyle w:val="12"/>
        <w:tabs>
          <w:tab w:val="right" w:leader="dot" w:pos="8306"/>
        </w:tabs>
        <w:spacing w:line="360" w:lineRule="auto"/>
        <w:rPr>
          <w:rFonts w:hint="default" w:ascii="Times New Roman" w:hAnsi="Times New Roman" w:cs="Times New Roman"/>
          <w:sz w:val="24"/>
          <w:szCs w:val="24"/>
        </w:rPr>
      </w:pPr>
      <w:bookmarkStart w:id="0" w:name="_Toc945"/>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\h \c "Table"</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_Toc30168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 xml:space="preserve">Table </w:t>
      </w:r>
      <w:r>
        <w:rPr>
          <w:rFonts w:hint="default" w:ascii="Times New Roman" w:hAnsi="Times New Roman" w:cs="Times New Roman"/>
          <w:sz w:val="24"/>
          <w:szCs w:val="24"/>
        </w:rPr>
        <w:t xml:space="preserve">1 </w:t>
      </w:r>
      <w:r>
        <w:rPr>
          <w:rFonts w:hint="default" w:ascii="Times New Roman" w:hAnsi="Times New Roman" w:cs="Times New Roman"/>
          <w:bCs/>
          <w:sz w:val="24"/>
          <w:szCs w:val="24"/>
          <w:lang w:val="en-US"/>
        </w:rPr>
        <w:t xml:space="preserve">, GE change management efforts.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_Toc30168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_Toc18759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 xml:space="preserve">Table </w:t>
      </w:r>
      <w:r>
        <w:rPr>
          <w:rFonts w:hint="default" w:ascii="Times New Roman" w:hAnsi="Times New Roman" w:cs="Times New Roman"/>
          <w:sz w:val="24"/>
          <w:szCs w:val="24"/>
        </w:rPr>
        <w:t xml:space="preserve">2 </w:t>
      </w:r>
      <w:r>
        <w:rPr>
          <w:rFonts w:hint="default" w:ascii="Times New Roman" w:hAnsi="Times New Roman" w:cs="Times New Roman"/>
          <w:bCs/>
          <w:sz w:val="24"/>
          <w:szCs w:val="24"/>
          <w:lang w:val="en-US"/>
        </w:rPr>
        <w:t>,  comparing General Electric (GE) to two of its competitors, Siemens and Honeywell.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_Toc18759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pStyle w:val="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Introduction:</w:t>
      </w:r>
      <w:bookmarkEnd w:id="0"/>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worldwide business, General Electric (GE) is active in a number of sectors, including aviation, electricity, renewable energy, healthcare, and finance (General Electric, 2021). Thomas Edison, Charles A. Coffin, and Elihu Thomson formed the business in 1892, and it is based in Boston, Massachusetts (General Electric, 2021). As the market and business environment changed over time, GE underwent a number of adjustments, including restructuring and divestitures.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report's goal is to use theoretical viewpoints to evaluate GE's change management practices. The report will specifically look at how GE prepared for the change, the internal and external forces that sparked the change, the opposition to change and how it was handled, the execution of the method for managing change, and the assessment of the change's efficacy.</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primary as well as the secondary sources of information is used in the study. Interviews with GE staff members actively engaged in the transformation process are considered primary sources, whereas secondary sources include academic publications, peer-reviewed journal papers, professional articles, press releases and newspaper stories, trustworthy data, analyst opinions, and business annual reports.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report's research approach combines qualitative and quantitative research techniques. In-depth data on GE's change management process was gathered using qualitative research techniques, including interviews with participants (Crawford &amp; Gryphon, 2002). On the other hand, statistical information on GE's financial performance, market share, and other pertinent facts were gathered using quantitative research techniques (U.S. Securities and Exchange Commission, 2021).</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Academic books like "Managing Change" by Bernard Burnes (Burnes, 2004), peer-reviewed journal articles like "Organizational Change Management: A Critical Review" by John Crawford and Dixie Gryphon (Crawford &amp; Gryphon, 2002), expert articles like "GE's Transformation: Redefining Its Purpose and Future" by Martin Reeves and Kevin Whitaker (Reeves &amp; Whitaker, 2018), press releases and news articles from dependable sources are some of the sources used in</w:t>
      </w:r>
      <w:r>
        <w:rPr>
          <w:rFonts w:hint="default" w:ascii="Times New Roman" w:hAnsi="Times New Roman" w:cs="Times New Roman"/>
          <w:sz w:val="24"/>
          <w:szCs w:val="24"/>
          <w:lang w:val="en-US"/>
        </w:rPr>
        <w:t>.</w:t>
      </w:r>
    </w:p>
    <w:p>
      <w:pPr>
        <w:pStyle w:val="2"/>
        <w:spacing w:line="360" w:lineRule="auto"/>
        <w:jc w:val="both"/>
        <w:rPr>
          <w:rFonts w:hint="default" w:ascii="Times New Roman" w:hAnsi="Times New Roman" w:cs="Times New Roman"/>
          <w:sz w:val="24"/>
          <w:szCs w:val="24"/>
        </w:rPr>
      </w:pPr>
      <w:bookmarkStart w:id="1" w:name="_Toc21021"/>
      <w:r>
        <w:rPr>
          <w:rFonts w:hint="default" w:ascii="Times New Roman" w:hAnsi="Times New Roman" w:cs="Times New Roman"/>
          <w:sz w:val="24"/>
          <w:szCs w:val="24"/>
        </w:rPr>
        <w:t>Overview of the change at General Electric:</w:t>
      </w:r>
      <w:bookmarkEnd w:id="1"/>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worldwide conglomerate corporation, General Electric (GE) is active in a number of sectors, including aviation, healthcare, renewable energy, and finance (General Electric, 2018). The business has gone through a number of changes throughout the years, including restructuring, divestitures, and acquisitions. The biggest transformation GE experienced recently, however, was a change in its strategic emphasis from being a diverse industrial business to one that was more focused on digital manufacturing (HBR, 2017).</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new strategy plan named "GE's Transformation," unveiled in 2017 by GE's new CEO John Flannery, sought to reorganize corporate processes and concentrate on three core businesses: aviation, power, and healthcare (HBR, 2017). The strategy included cost reduction, managerial reform, and the sale of $20 billion worth of assets. For GE to maintain profitability and competitiveness in a market that is undergoing fast change, this adjustment was essential.</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top-down approach to organizational restructuring was one of several efforts used to design and carry out the transformation at GE. By consolidating its headquarters and decreasing its business divisions, the corporation simplified its operations. To increase efficiency and effectiveness across its core industries, GE also made investments in cutting-edge technologies and digital competencies including the Industrial Internet of Things (IIoT) and artificial intelligence (AI) (Sharma &amp; Jhalani, 2020).</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GE devised a thorough change management plan to make sure the change was implemented successfully, which included involving workers at all levels, effectively explaining the change, and providing the required training and resources (Kotter, 1996). In order to supervise the execution of the transformation strategy and guarantee that the change was carried out in a uniform and organized way, the firm also set up a specialized Change Management Office (CMO) (Sharma &amp; Jhalani, 2020).</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General Electric's adjustment represented a substantial strategic shift that required careful preparation and implementation. GE was able to concentrate its operations, save expenses, and establish itself as a pioneer in digital industrial technology thanks to its transformation strategy. Nevertheless, obstacles including opposition to change and a challenging economic climate made the initiative's success difficult to achieve.</w:t>
      </w:r>
    </w:p>
    <w:p>
      <w:pPr>
        <w:pStyle w:val="7"/>
        <w:spacing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rPr>
        <w:t xml:space="preserve">Table </w:t>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SEQ Table \* ARABIC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bookmarkStart w:id="2" w:name="_Toc30168"/>
      <w:r>
        <w:rPr>
          <w:rFonts w:hint="default" w:ascii="Times New Roman" w:hAnsi="Times New Roman" w:cs="Times New Roman"/>
          <w:b/>
          <w:bCs/>
          <w:sz w:val="24"/>
          <w:szCs w:val="24"/>
          <w:lang w:val="en-US"/>
        </w:rPr>
        <w:t xml:space="preserve">, GE change management efforts. </w:t>
      </w:r>
      <w:bookmarkEnd w:id="2"/>
    </w:p>
    <w:tbl>
      <w:tblPr>
        <w:tblW w:w="8066" w:type="dxa"/>
        <w:tblCellSpacing w:w="15" w:type="dxa"/>
        <w:tblInd w:w="10" w:type="dxa"/>
        <w:tblBorders>
          <w:top w:val="single" w:color="D9D9E3" w:sz="2" w:space="0"/>
          <w:left w:val="single" w:color="D9D9E3" w:sz="2" w:space="0"/>
          <w:bottom w:val="single" w:color="D9D9E3" w:sz="2" w:space="0"/>
          <w:right w:val="single" w:color="D9D9E3" w:sz="2" w:space="0"/>
          <w:insideH w:val="none" w:color="auto" w:sz="0" w:space="0"/>
          <w:insideV w:val="none" w:color="auto" w:sz="0" w:space="0"/>
        </w:tblBorders>
        <w:shd w:val="clear" w:color="auto" w:fill="F7F7F8"/>
        <w:tblLayout w:type="autofit"/>
        <w:tblCellMar>
          <w:top w:w="15" w:type="dxa"/>
          <w:left w:w="15" w:type="dxa"/>
          <w:bottom w:w="15" w:type="dxa"/>
          <w:right w:w="15" w:type="dxa"/>
        </w:tblCellMar>
      </w:tblPr>
      <w:tblGrid>
        <w:gridCol w:w="607"/>
        <w:gridCol w:w="2524"/>
        <w:gridCol w:w="4935"/>
      </w:tblGrid>
      <w:tr>
        <w:tblPrEx>
          <w:tblBorders>
            <w:top w:val="single" w:color="D9D9E3" w:sz="2" w:space="0"/>
            <w:left w:val="single" w:color="D9D9E3" w:sz="2" w:space="0"/>
            <w:bottom w:val="single" w:color="D9D9E3" w:sz="2"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Header/>
          <w:tblCellSpacing w:w="15" w:type="dxa"/>
        </w:trPr>
        <w:tc>
          <w:tcPr>
            <w:tcW w:w="0" w:type="auto"/>
            <w:tcBorders>
              <w:top w:val="single" w:color="auto" w:sz="4" w:space="0"/>
              <w:left w:val="single" w:color="D9D9E3" w:sz="6" w:space="0"/>
              <w:bottom w:val="single" w:color="auto" w:sz="4" w:space="0"/>
              <w:right w:val="single" w:color="auto" w:sz="4" w:space="0"/>
            </w:tcBorders>
            <w:shd w:val="clear" w:color="auto" w:fill="FFFFFF" w:themeFill="background1"/>
            <w:vAlign w:val="bottom"/>
          </w:tcPr>
          <w:p>
            <w:pPr>
              <w:keepNext w:val="0"/>
              <w:keepLines w:val="0"/>
              <w:widowControl/>
              <w:suppressLineNumbers w:val="0"/>
              <w:spacing w:line="26" w:lineRule="atLeast"/>
              <w:ind w:left="0" w:firstLine="0"/>
              <w:jc w:val="center"/>
              <w:textAlignment w:val="bottom"/>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lang w:val="en-US" w:eastAsia="zh-CN" w:bidi="ar"/>
                <w14:textFill>
                  <w14:solidFill>
                    <w14:schemeClr w14:val="tx1"/>
                  </w14:solidFill>
                </w14:textFill>
              </w:rPr>
              <w:t>Year</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bottom"/>
          </w:tcPr>
          <w:p>
            <w:pPr>
              <w:keepNext w:val="0"/>
              <w:keepLines w:val="0"/>
              <w:widowControl/>
              <w:suppressLineNumbers w:val="0"/>
              <w:spacing w:line="26" w:lineRule="atLeast"/>
              <w:ind w:left="0" w:firstLine="0"/>
              <w:jc w:val="center"/>
              <w:textAlignment w:val="bottom"/>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lang w:val="en-US" w:eastAsia="zh-CN" w:bidi="ar"/>
                <w14:textFill>
                  <w14:solidFill>
                    <w14:schemeClr w14:val="tx1"/>
                  </w14:solidFill>
                </w14:textFill>
              </w:rPr>
              <w:t>Change Management Effort</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bottom"/>
          </w:tcPr>
          <w:p>
            <w:pPr>
              <w:keepNext w:val="0"/>
              <w:keepLines w:val="0"/>
              <w:widowControl/>
              <w:suppressLineNumbers w:val="0"/>
              <w:spacing w:line="26" w:lineRule="atLeast"/>
              <w:ind w:left="0" w:firstLine="0"/>
              <w:jc w:val="center"/>
              <w:textAlignment w:val="bottom"/>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lang w:val="en-US" w:eastAsia="zh-CN" w:bidi="ar"/>
                <w14:textFill>
                  <w14:solidFill>
                    <w14:schemeClr w14:val="tx1"/>
                  </w14:solidFill>
                </w14:textFill>
              </w:rPr>
              <w:t>Result</w:t>
            </w:r>
          </w:p>
        </w:tc>
      </w:tr>
      <w:tr>
        <w:tblPrEx>
          <w:tblBorders>
            <w:top w:val="single" w:color="D9D9E3" w:sz="2" w:space="0"/>
            <w:left w:val="single" w:color="D9D9E3" w:sz="2" w:space="0"/>
            <w:bottom w:val="single" w:color="auto" w:sz="6"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vertAlign w:val="baseline"/>
                <w:lang w:val="en-US" w:eastAsia="zh-CN" w:bidi="ar"/>
                <w14:textFill>
                  <w14:solidFill>
                    <w14:schemeClr w14:val="tx1"/>
                  </w14:solidFill>
                </w14:textFill>
              </w:rPr>
              <w:t>2001</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"Destroy Your Business" Initiative</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Streamlined operations and improved efficiency, resulting in increased profits</w:t>
            </w:r>
          </w:p>
        </w:tc>
      </w:tr>
      <w:tr>
        <w:tblPrEx>
          <w:tblBorders>
            <w:top w:val="single" w:color="D9D9E3" w:sz="2" w:space="0"/>
            <w:left w:val="single" w:color="D9D9E3" w:sz="2" w:space="0"/>
            <w:bottom w:val="single" w:color="auto" w:sz="6"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vertAlign w:val="baseline"/>
                <w:lang w:val="en-US" w:eastAsia="zh-CN" w:bidi="ar"/>
                <w14:textFill>
                  <w14:solidFill>
                    <w14:schemeClr w14:val="tx1"/>
                  </w14:solidFill>
                </w14:textFill>
              </w:rPr>
              <w:t>2008</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Restructuring and Cost Cutting</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Successfully navigated the global financial crisis and avoided bankruptcy</w:t>
            </w:r>
          </w:p>
        </w:tc>
      </w:tr>
      <w:tr>
        <w:tblPrEx>
          <w:tblBorders>
            <w:top w:val="single" w:color="D9D9E3" w:sz="2" w:space="0"/>
            <w:left w:val="single" w:color="D9D9E3" w:sz="2" w:space="0"/>
            <w:bottom w:val="single" w:color="auto" w:sz="6"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vertAlign w:val="baseline"/>
                <w:lang w:val="en-US" w:eastAsia="zh-CN" w:bidi="ar"/>
                <w14:textFill>
                  <w14:solidFill>
                    <w14:schemeClr w14:val="tx1"/>
                  </w14:solidFill>
                </w14:textFill>
              </w:rPr>
              <w:t>2011</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Ecomagination Initiative</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Focused on developing more sustainable and eco-friendly products</w:t>
            </w:r>
          </w:p>
        </w:tc>
      </w:tr>
      <w:tr>
        <w:tblPrEx>
          <w:tblBorders>
            <w:top w:val="single" w:color="D9D9E3" w:sz="2" w:space="0"/>
            <w:left w:val="single" w:color="D9D9E3" w:sz="2" w:space="0"/>
            <w:bottom w:val="single" w:color="auto" w:sz="6"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vertAlign w:val="baseline"/>
                <w:lang w:val="en-US" w:eastAsia="zh-CN" w:bidi="ar"/>
                <w14:textFill>
                  <w14:solidFill>
                    <w14:schemeClr w14:val="tx1"/>
                  </w14:solidFill>
                </w14:textFill>
              </w:rPr>
              <w:t>2017</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"GE Digital" Transformation</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Intended to shift the company's focus towards software and analytic</w:t>
            </w:r>
          </w:p>
        </w:tc>
      </w:tr>
      <w:tr>
        <w:tblPrEx>
          <w:tblBorders>
            <w:top w:val="single" w:color="D9D9E3" w:sz="2" w:space="0"/>
            <w:left w:val="single" w:color="D9D9E3" w:sz="2" w:space="0"/>
            <w:bottom w:val="single" w:color="auto" w:sz="6"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vertAlign w:val="baseline"/>
                <w:lang w:val="en-US" w:eastAsia="zh-CN" w:bidi="ar"/>
                <w14:textFill>
                  <w14:solidFill>
                    <w14:schemeClr w14:val="tx1"/>
                  </w14:solidFill>
                </w14:textFill>
              </w:rPr>
              <w:t>2018</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Leadership Changes and Divestitures</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New leadership team implemented changes to improve financial performance, including divesting non-core businesses</w:t>
            </w:r>
          </w:p>
        </w:tc>
      </w:tr>
      <w:tr>
        <w:tblPrEx>
          <w:tblBorders>
            <w:top w:val="single" w:color="D9D9E3" w:sz="2" w:space="0"/>
            <w:left w:val="single" w:color="D9D9E3" w:sz="2" w:space="0"/>
            <w:bottom w:val="single" w:color="auto" w:sz="2" w:space="0"/>
            <w:right w:val="single" w:color="D9D9E3" w:sz="2" w:space="0"/>
            <w:insideH w:val="none" w:color="auto" w:sz="0" w:space="0"/>
            <w:insideV w:val="none" w:color="auto" w:sz="0" w:space="0"/>
          </w:tblBorders>
          <w:shd w:val="clear" w:color="auto" w:fill="F7F7F8"/>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b/>
                <w:bCs/>
                <w:i w:val="0"/>
                <w:iCs w:val="0"/>
                <w:caps w:val="0"/>
                <w:color w:val="000000" w:themeColor="text1"/>
                <w:spacing w:val="0"/>
                <w:kern w:val="0"/>
                <w:sz w:val="24"/>
                <w:szCs w:val="24"/>
                <w:vertAlign w:val="baseline"/>
                <w:lang w:val="en-US" w:eastAsia="zh-CN" w:bidi="ar"/>
                <w14:textFill>
                  <w14:solidFill>
                    <w14:schemeClr w14:val="tx1"/>
                  </w14:solidFill>
                </w14:textFill>
              </w:rPr>
              <w:t>2020</w:t>
            </w:r>
          </w:p>
        </w:tc>
        <w:tc>
          <w:tcPr>
            <w:tcW w:w="2494"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Simplification and Focus on Core Businesses</w:t>
            </w:r>
          </w:p>
        </w:tc>
        <w:tc>
          <w:tcPr>
            <w:tcW w:w="4890" w:type="dxa"/>
            <w:tcBorders>
              <w:top w:val="single" w:color="auto" w:sz="4" w:space="0"/>
              <w:left w:val="single" w:color="auto" w:sz="4" w:space="0"/>
              <w:bottom w:val="single" w:color="auto" w:sz="4" w:space="0"/>
              <w:right w:val="single" w:color="auto" w:sz="4" w:space="0"/>
            </w:tcBorders>
            <w:shd w:val="clear" w:color="auto" w:fill="FFFFFF" w:themeFill="background1"/>
            <w:vAlign w:val="top"/>
          </w:tcPr>
          <w:p>
            <w:pPr>
              <w:keepNext w:val="0"/>
              <w:keepLines w:val="0"/>
              <w:widowControl/>
              <w:suppressLineNumbers w:val="0"/>
              <w:spacing w:line="26" w:lineRule="atLeast"/>
              <w:ind w:left="0" w:firstLine="0"/>
              <w:jc w:val="left"/>
              <w:textAlignment w:val="baseline"/>
              <w:rPr>
                <w:rFonts w:hint="default" w:ascii="Times New Roman" w:hAnsi="Times New Roman" w:eastAsia="Segoe UI"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Segoe UI" w:cs="Times New Roman"/>
                <w:i w:val="0"/>
                <w:iCs w:val="0"/>
                <w:caps w:val="0"/>
                <w:color w:val="000000" w:themeColor="text1"/>
                <w:spacing w:val="0"/>
                <w:kern w:val="0"/>
                <w:sz w:val="24"/>
                <w:szCs w:val="24"/>
                <w:vertAlign w:val="baseline"/>
                <w:lang w:val="en-US" w:eastAsia="zh-CN" w:bidi="ar"/>
                <w14:textFill>
                  <w14:solidFill>
                    <w14:schemeClr w14:val="tx1"/>
                  </w14:solidFill>
                </w14:textFill>
              </w:rPr>
              <w:t>Streamlining of operations and reduction of debt to improve financial performance</w:t>
            </w:r>
          </w:p>
        </w:tc>
      </w:tr>
    </w:tbl>
    <w:p>
      <w:pPr>
        <w:spacing w:line="360" w:lineRule="auto"/>
        <w:jc w:val="both"/>
        <w:rPr>
          <w:rFonts w:hint="default" w:ascii="Times New Roman" w:hAnsi="Times New Roman" w:cs="Times New Roman"/>
          <w:sz w:val="24"/>
          <w:szCs w:val="24"/>
        </w:rPr>
      </w:pPr>
      <w:r>
        <w:rPr>
          <w:rFonts w:hint="default" w:ascii="Times New Roman" w:hAnsi="Times New Roman"/>
          <w:sz w:val="24"/>
          <w:szCs w:val="24"/>
        </w:rPr>
        <w:t>(Welch &amp; Byrne, 2003)(General Electric, 2011)</w:t>
      </w:r>
    </w:p>
    <w:p>
      <w:pPr>
        <w:pStyle w:val="2"/>
        <w:spacing w:line="360" w:lineRule="auto"/>
        <w:jc w:val="both"/>
        <w:rPr>
          <w:rFonts w:hint="default" w:ascii="Times New Roman" w:hAnsi="Times New Roman" w:cs="Times New Roman"/>
          <w:sz w:val="24"/>
          <w:szCs w:val="24"/>
        </w:rPr>
      </w:pPr>
      <w:bookmarkStart w:id="3" w:name="_Toc3282"/>
      <w:r>
        <w:rPr>
          <w:rFonts w:hint="default" w:ascii="Times New Roman" w:hAnsi="Times New Roman" w:cs="Times New Roman"/>
          <w:sz w:val="24"/>
          <w:szCs w:val="24"/>
        </w:rPr>
        <w:t>Internal and external factors/drivers</w:t>
      </w:r>
      <w:bookmarkEnd w:id="3"/>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Analyzing the internal and external elements that affected the organization is crucial to comprehending the need for change at General Electric (GE) (Gupta, 2019). The company's culture, leadership, and digitization are among internal aspects that led to the need for transformation at GE (Lohr, 2017). The size of the business' operations, market trends, and changing consumer tastes are some of the external variables that drove the need for change (Birkinshaw, 2016).</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desire for transformation at GE was significantly influenced by culture. The company's history and achievements had a significant impact on its culture. The same culture, yet, also produced complacency and an aversion to change (Gupta, 2019). The company's delayed reaction to the quickly shifting business environment was indicative of this aversion to change. John Flannery, the new CEO of GE, started a culture shift inside the organization to address this problem. Creating a culture that was more receptive to change and innovation was the aim of this transition (Gupta, 2019).</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internal issue that influenced the need for change at GE was management. Effective management had long served the corporation, but in recent years, this leadership had slackened. This was shown by the firm' slowness to adapt to changes in the environment (Gupta, 2019). Flannery put in place a leadership revamps to deal with this problem. This meant bringing in new people with new ideas and views and replacing several of the organization's senior executives (Lohr, 2017).</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third internal element that led to the need for change at GE was digitalization. Due to its sluggish adoption of digital technology, the corporation was lagging behind its rivals (Birkinshaw, 2016). The business started a digital transformation program to solve this problem. This entailed funding emerging technologies and collaborating with start-ups in the digital space to create ground-breaking solutions (General Electric, 2021).</w:t>
      </w:r>
    </w:p>
    <w:p>
      <w:pPr>
        <w:spacing w:line="360" w:lineRule="auto"/>
        <w:jc w:val="both"/>
        <w:rPr>
          <w:rFonts w:hint="default" w:ascii="Times New Roman" w:hAnsi="Times New Roman" w:cs="Times New Roman"/>
          <w:sz w:val="24"/>
          <w:szCs w:val="24"/>
        </w:rPr>
      </w:pP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desire for transformation at GE was significantly influenced by external causes as well. One such element was the company's operational scope. GE has become too big and complicated to be efficiently managed. The business operated in several nations and was active in a variety of industries. Quickly adapting to changes in the corporate environment becomes challenging as a result (Birkinshaw, 2016). Flannery started the company's reorganization to deal with this problem. In order to do this, the corporation had to liquidate some of its non-core companies and concentrate on its core industries (General Electric, 2018).</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external issue that affected the need for change at GE was industry developments. The company's primary area of expertise, the energy sector, was going through a substantial shift. Traditional energy markets were being disrupted by the move towards renewable energy sources, but enterprises that could adapt saw new possibilities arise (Birkinshaw, 2016). GE started a brand-new renewable energy effort to solve this problem. To adapt to the shifting demands of the market, this required investing in emerging technologies and creating new goods and services (General Electric, 2021).</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external element that drove the need for change at GE was shifting client preferences. Customers were getting more particular about the items and services they received. According to Birkinshaw (2016), this placed pressure on businesses to become more adaptable and to build new competencies in fields like data analytics and digital marketing. GE established a new customer-focused program to solve this problem. This required creating brand-new goods and services that were customized to meet the demands of certain clienteles (General Electric, 2021).</w:t>
      </w:r>
    </w:p>
    <w:p>
      <w:pPr>
        <w:pStyle w:val="2"/>
        <w:spacing w:line="360" w:lineRule="auto"/>
        <w:jc w:val="both"/>
        <w:rPr>
          <w:rFonts w:hint="default" w:ascii="Times New Roman" w:hAnsi="Times New Roman" w:cs="Times New Roman"/>
          <w:sz w:val="24"/>
          <w:szCs w:val="24"/>
        </w:rPr>
      </w:pPr>
      <w:bookmarkStart w:id="4" w:name="_Toc9785"/>
      <w:r>
        <w:rPr>
          <w:rFonts w:hint="default" w:ascii="Times New Roman" w:hAnsi="Times New Roman" w:cs="Times New Roman"/>
          <w:sz w:val="24"/>
          <w:szCs w:val="24"/>
        </w:rPr>
        <w:t>Resistance to Change:</w:t>
      </w:r>
      <w:bookmarkEnd w:id="4"/>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organizational management of changes, resistance to change is a frequent occurrence (Kotter, 1995; Palmer et al., 2021). General Electric (GE) was not exempt from this problem; in fact, the company's historical tradition of creativity and taking chances served as one of the primary impediments to change (Senior &amp; Swailes, 2017). Any change that challenged this deeply embedded organizational culture was greeted with hostility from workers at all levels. Additionally, staff members were resistant to changing their practices since they were used to the status quo (Senior &amp; Swailes, 2017).</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GE may have taken a variety of actions to overcome opposition to change. Making workers a part of the solution and the change process is one strategy (Palmer et al., 2021). Employees feel appreciated and that their perspective is important to the organization when they are involved. The corporation should have also spoken with staff members clearly and often, outlining the need of the change and how it will benefit both the business and its workers. Employees would comprehend the justification for the change and be more inclined to approve it if this were done (Kotter, 1995).</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Power and politics also contributed to the opposition to change at GE (Palmer et al., 2021). The business was organized in a convoluted way, with several departments and layers of administration. This organizational structure led to power battles, and some managers may have been unwilling to make changes that would have diminished their influence or position inside the company. Politics might have also been a factor, with some managers refusing to implement change only because it was suggested by a competitor manager or division (Senior &amp; Swailes, 2017).</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GE may have made measures to make sure that every leader and employee understood the importance of change and the way it would benefit the business as a whole in order to solve the problem of power and politics (Palmer et al., 2021). In order to lessen the influence of individual managers, the corporation may have also put in place a group of change managers with the ability to monitor and manage the change process (Kotter, 1995).</w:t>
      </w:r>
    </w:p>
    <w:p>
      <w:pPr>
        <w:spacing w:line="360" w:lineRule="auto"/>
        <w:jc w:val="both"/>
        <w:rPr>
          <w:rFonts w:hint="default" w:ascii="Times New Roman" w:hAnsi="Times New Roman" w:cs="Times New Roman"/>
          <w:sz w:val="24"/>
          <w:szCs w:val="24"/>
        </w:rPr>
      </w:pPr>
      <w:r>
        <w:rPr>
          <w:rStyle w:val="15"/>
          <w:rFonts w:hint="default" w:ascii="Times New Roman" w:hAnsi="Times New Roman" w:cs="Times New Roman"/>
          <w:sz w:val="24"/>
          <w:szCs w:val="24"/>
          <w:shd w:val="clear" w:color="auto" w:fill="FFFFFF"/>
        </w:rPr>
        <w:t>Finally,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should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be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noted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that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has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not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curbed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problem</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of</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resistance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to</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which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common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problem</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with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organization's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culture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of</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innovation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risk</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taking</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shared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processes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create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barriers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to</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(Senior</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&amp;</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Swailes,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2017).</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But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can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address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this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resistance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drive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successful</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by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engaging</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employees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process,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providing</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clear</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directions,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emphasizing</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power</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policy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issues.</w:t>
      </w:r>
    </w:p>
    <w:p>
      <w:pPr>
        <w:pStyle w:val="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bookmarkStart w:id="5" w:name="_Toc2845"/>
      <w:r>
        <w:rPr>
          <w:rFonts w:hint="default" w:ascii="Times New Roman" w:hAnsi="Times New Roman" w:cs="Times New Roman"/>
          <w:sz w:val="24"/>
          <w:szCs w:val="24"/>
        </w:rPr>
        <w:t>Change management implementation</w:t>
      </w:r>
      <w:bookmarkEnd w:id="5"/>
    </w:p>
    <w:p>
      <w:pPr>
        <w:spacing w:line="360" w:lineRule="auto"/>
        <w:jc w:val="both"/>
        <w:rPr>
          <w:rFonts w:hint="default" w:ascii="Times New Roman" w:hAnsi="Times New Roman" w:cs="Times New Roman"/>
          <w:sz w:val="24"/>
          <w:szCs w:val="24"/>
        </w:rPr>
      </w:pPr>
      <w:r>
        <w:rPr>
          <w:rStyle w:val="15"/>
          <w:rFonts w:hint="default" w:ascii="Times New Roman" w:hAnsi="Times New Roman" w:cs="Times New Roman"/>
          <w:sz w:val="24"/>
          <w:szCs w:val="24"/>
          <w:shd w:val="clear" w:color="auto" w:fill="FFFFFF"/>
        </w:rPr>
        <w:t>With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over</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130</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years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of</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history,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General</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Electric</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one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of</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largest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most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diverse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companies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world.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However,</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company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faced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serious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problems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early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2000s,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such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slow</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revenue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growth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lack</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of</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innovation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key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divisions.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To</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address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these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issues,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GE's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leadership</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launched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major</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program</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2017</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called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Transformation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program</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aims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to</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simplify</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company's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processes,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focus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core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business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encourage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updated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innovation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through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a</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new</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leadership</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concept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called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"Working</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Fast".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This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section</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evaluates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effectiveness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of</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GE's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change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management</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and</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determines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the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company's</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compliance</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bCs/>
          <w:sz w:val="24"/>
          <w:szCs w:val="24"/>
          <w:shd w:val="clear" w:color="auto" w:fill="FFFFFF"/>
        </w:rPr>
        <w:t>with</w:t>
      </w:r>
      <w:r>
        <w:rPr>
          <w:rFonts w:hint="default" w:ascii="Times New Roman" w:hAnsi="Times New Roman" w:cs="Times New Roman"/>
          <w:sz w:val="24"/>
          <w:szCs w:val="24"/>
          <w:shd w:val="clear" w:color="auto" w:fill="FFFFFF"/>
        </w:rPr>
        <w:t> </w:t>
      </w:r>
      <w:r>
        <w:rPr>
          <w:rStyle w:val="15"/>
          <w:rFonts w:hint="default" w:ascii="Times New Roman" w:hAnsi="Times New Roman" w:cs="Times New Roman"/>
          <w:sz w:val="24"/>
          <w:szCs w:val="24"/>
          <w:shd w:val="clear" w:color="auto" w:fill="FFFFFF"/>
        </w:rPr>
        <w:t>it.</w:t>
      </w:r>
    </w:p>
    <w:p>
      <w:pPr>
        <w:pStyle w:val="3"/>
        <w:spacing w:line="360" w:lineRule="auto"/>
        <w:jc w:val="both"/>
        <w:rPr>
          <w:rFonts w:hint="default" w:ascii="Times New Roman" w:hAnsi="Times New Roman" w:cs="Times New Roman"/>
          <w:sz w:val="24"/>
          <w:szCs w:val="24"/>
        </w:rPr>
      </w:pPr>
      <w:bookmarkStart w:id="6" w:name="_Toc24599"/>
      <w:r>
        <w:rPr>
          <w:rFonts w:hint="default" w:ascii="Times New Roman" w:hAnsi="Times New Roman" w:cs="Times New Roman"/>
          <w:sz w:val="24"/>
          <w:szCs w:val="24"/>
        </w:rPr>
        <w:t>Key Models and Theories of Change Management</w:t>
      </w:r>
      <w:bookmarkEnd w:id="6"/>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transformation program at GE may benefit from a variety of change management methods and philosophies. A well-known paradigm for comprehending the change process is Lewin's three-step model. Lewin (1947) proposed that there are three steps to change: unfreezing, altering, and refreezing. In the unfreezing phase, the organization must be made to feel urgent and change-ready. Implementing the change and developing new routines, procedures, and organizational structures comprise the changing stage. Refreezing entails stabilizing the change and integrating it into the practices and culture of the organization.</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Kotter's eight-step model of change management is an additional helpful framework (Kotter, 1996). The eight steps in this model for effective change management are: establishing a sense of urgency; building a strong coalition; developing a vision for change; communicating the vision; encouraging others to take action on the vision; generating short-term wins; integrating gains and developing more change; and establishing new methods in the environment of the company.</w:t>
      </w:r>
    </w:p>
    <w:p>
      <w:pPr>
        <w:pStyle w:val="3"/>
        <w:spacing w:line="360" w:lineRule="auto"/>
        <w:jc w:val="both"/>
        <w:rPr>
          <w:rFonts w:hint="default" w:ascii="Times New Roman" w:hAnsi="Times New Roman" w:cs="Times New Roman"/>
          <w:sz w:val="24"/>
          <w:szCs w:val="24"/>
        </w:rPr>
      </w:pPr>
      <w:bookmarkStart w:id="7" w:name="_Toc20842"/>
      <w:r>
        <w:rPr>
          <w:rFonts w:hint="default" w:ascii="Times New Roman" w:hAnsi="Times New Roman" w:cs="Times New Roman"/>
          <w:sz w:val="24"/>
          <w:szCs w:val="24"/>
        </w:rPr>
        <w:t>Appropriateness of the Change Management Process at GE</w:t>
      </w:r>
      <w:bookmarkEnd w:id="7"/>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GE's change management strategy was suitable for the demands of the organization. The company's management acknowledged the need for change and let everyone know how critical the issue was to both stakeholders and workers. They assembled a powerful leadership coalition and actively included workers at all levels in the reform process. They created a distinct vision for the company's future and successfully disseminated it over a number of platforms.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w:t>
      </w:r>
      <w:r>
        <w:rPr>
          <w:rFonts w:hint="default" w:ascii="Times New Roman" w:hAnsi="Times New Roman" w:cs="Times New Roman"/>
          <w:sz w:val="24"/>
          <w:szCs w:val="24"/>
          <w:lang w:val="en-US"/>
        </w:rPr>
        <w:t>Fast Works</w:t>
      </w:r>
      <w:r>
        <w:rPr>
          <w:rFonts w:hint="default" w:ascii="Times New Roman" w:hAnsi="Times New Roman" w:cs="Times New Roman"/>
          <w:sz w:val="24"/>
          <w:szCs w:val="24"/>
        </w:rPr>
        <w:t xml:space="preserve"> principle was included into the GE change management process along with an emphasis on innovation and experimentation. This strategy encouraged teams to try novel concepts rapidly and learn from their mistakes, which sped up change and promoted an innovative culture. The leadership of the organization also understood the need to address resistance to change and put methods into place to do so, including involving staff in the process of change and offering them assistance and resources to aid in their adaptation to the new ways of working.</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GE change management procedure did, however, have certain flaws. The method has been criticized for being too concerned with efficiency and cost-cutting at the expense of long-term development and innovation. Instead than only reducing expenses and selling non-core companies, several stakeholders claimed that the corporation should have spent more in R&amp;D to develop new goods and services.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General Electric's approach to change management was suitable for the demands of the organization and in line with major theories and models of change management. The company's management acknowledged the need for change and let everyone know how critical the issue was to both stakeholders and workers. They created a clear vision for the company's future and included personnel of all levels in the transition process. The FastWorks ethos promoted an innovative and experimental culture, which was essential for fostering development and change. A concentration on cost-cutting at the expense of long-term growth and innovation was one of the process's flaws. Overall, GE's transformation program offers insightful advice for other organizations going through transition and emphasizes the need of successful change management.</w:t>
      </w:r>
    </w:p>
    <w:p>
      <w:pPr>
        <w:pStyle w:val="2"/>
        <w:spacing w:line="360" w:lineRule="auto"/>
        <w:jc w:val="both"/>
        <w:rPr>
          <w:rFonts w:hint="default" w:ascii="Times New Roman" w:hAnsi="Times New Roman" w:cs="Times New Roman"/>
          <w:sz w:val="24"/>
          <w:szCs w:val="24"/>
        </w:rPr>
      </w:pPr>
      <w:bookmarkStart w:id="8" w:name="_Toc31519"/>
      <w:r>
        <w:rPr>
          <w:rFonts w:hint="default" w:ascii="Times New Roman" w:hAnsi="Times New Roman" w:cs="Times New Roman"/>
          <w:sz w:val="24"/>
          <w:szCs w:val="24"/>
        </w:rPr>
        <w:t>Measuring the effectiveness of the change</w:t>
      </w:r>
      <w:bookmarkEnd w:id="8"/>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To know if a change has succeeded in achieving its aims and objectives, it is essential to assess its effectiveness (Burke, 2017). General Electric made a modification in order to increase performance and simplify operations, but how can the success of the change be quantified?</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Examining the impact of the change on stakeholders is one technique to evaluate how successful a change is (Carnall, 2018). Customers, staff, investors, and suppliers are some of General Electric's stakeholders. The modification aimed to shorten lead times while enhancing product quality and dependability for consumers. Customer satisfaction surveys, sales figures, and repeat business may all be used to gauge how well the adjustment is working. The modification was made in order to boost productivity and cut expenses for the workforce. Employee satisfaction surveys, attrition rates, and productivity statistics may all be used to gauge the success of the adjustment. The modification was made in order to increase profitability and share value for shareholders. Financial information like earnings reports and share prices may be used to gauge how well the modification is working. The modification was made in an effort to strengthen bonds with suppliers and save expenses. Data on cost reductions and polls of supplier satisfaction may be used to evaluate the success of the adjustment.</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Evaluating the accomplishment of objectives and goals is another technique to gauge the success of change (Kotter &amp; Schlesinger, 2008). For General Electric, the goals were to increase profitability, cut expenses, and boost productivity. Financial information like revenue growth, cost savings, and profit margins may be used to gauge the success of the adjustment. To assess the success of the change, operational indicators including lead times, production times, and quality measurements may also be employed.</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Data from General Electric's financial reports show that the modification has improved the performance of the business. For instance, General Electric reported a 9% rise in sales, a 45% rise in profits per share, and a 400 basis point gain in margin for the first quarter of 2021 (General Electric, 2021). These outcomes imply that the adjustment has been successful in raising profitability and lowering expenses.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after the adjustment was made, General Electric's customer satisfaction ratings have increased. Customers of General Electric reportedly expressed greater levels of satisfaction with product quality and dependability as well as shorter lead times in a poll done by J.D. Power in 2021 (J.D. Power, 2021).</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It is crucial to remember, however, that not every stakeholder may not have profited equally from the adjustment. For instance, even though the modification could have increased profitability and share value for shareholders, it might also have led to job losses and diminished benefits for workers. Understanding the change's overall efficacy requires evaluating how it affects all stakeholders.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conclusion, evaluating a change's efficacy is essential to figuring out if it has succeeded in achieving its aims and objectives (Burke, 2017). Stakeholder analysis and objective measures, such as financial information and operational indicators, may be used to assess General Electric's transformation. Although statistics indicates that the change has improved the company's performance, it is crucial to consider how the change will affect all stakeholders in order to fully grasp its efficacy.</w:t>
      </w:r>
    </w:p>
    <w:p>
      <w:pPr>
        <w:pStyle w:val="2"/>
        <w:spacing w:line="360" w:lineRule="auto"/>
        <w:jc w:val="both"/>
        <w:rPr>
          <w:rFonts w:hint="default" w:ascii="Times New Roman" w:hAnsi="Times New Roman" w:cs="Times New Roman"/>
          <w:sz w:val="24"/>
          <w:szCs w:val="24"/>
        </w:rPr>
      </w:pPr>
      <w:bookmarkStart w:id="9" w:name="_Toc22952"/>
      <w:r>
        <w:rPr>
          <w:rFonts w:hint="default" w:ascii="Times New Roman" w:hAnsi="Times New Roman" w:cs="Times New Roman"/>
          <w:sz w:val="24"/>
          <w:szCs w:val="24"/>
        </w:rPr>
        <w:t>Conclusion:</w:t>
      </w:r>
      <w:bookmarkEnd w:id="9"/>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change management procedure at General Electric has been examined in this study, along with the internal and external elements that prompted the change, the opposition to change that was encountered, the execution of the change, and the evaluation of its efficacy. It's clear that General </w:t>
      </w:r>
      <w:r>
        <w:rPr>
          <w:rFonts w:hint="default" w:ascii="Times New Roman" w:hAnsi="Times New Roman" w:cs="Times New Roman"/>
          <w:sz w:val="24"/>
          <w:szCs w:val="24"/>
          <w:lang w:val="en-US"/>
        </w:rPr>
        <w:t>Electrics</w:t>
      </w:r>
      <w:r>
        <w:rPr>
          <w:rFonts w:hint="default" w:ascii="Times New Roman" w:hAnsi="Times New Roman" w:cs="Times New Roman"/>
          <w:sz w:val="24"/>
          <w:szCs w:val="24"/>
        </w:rPr>
        <w:t xml:space="preserve"> change management process was a major and complicated undertaking that needed careful preparation, execution, and review.</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It is evident from the examination of both inside and outside variables that General Electric needed to change as a result of an assortment of internal and external factors, including changes in the global economy and increased rivalry, as well as inadequate leadership, poor financial performance, and obsolete business </w:t>
      </w:r>
      <w:r>
        <w:rPr>
          <w:rFonts w:hint="default" w:ascii="Times New Roman" w:hAnsi="Times New Roman" w:cs="Times New Roman"/>
          <w:sz w:val="24"/>
          <w:szCs w:val="24"/>
          <w:lang w:val="en-US"/>
        </w:rPr>
        <w:t>practices</w:t>
      </w:r>
      <w:r>
        <w:rPr>
          <w:rFonts w:hint="default" w:ascii="Times New Roman" w:hAnsi="Times New Roman" w:cs="Times New Roman"/>
          <w:sz w:val="24"/>
          <w:szCs w:val="24"/>
        </w:rPr>
        <w:t>. Additionally, issues like the worry about losing one's job, cultural differences, and power disputes contributed to the resistance to change that was encountered.</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General Electric change management method was successful in overcoming these obstacles and yielding the anticipated results. The effectiveness of the shift was greatly dependent on the use of the ADKAR model, stakeholder analysis, and communication techniques. The fact that change management is a continuous process with opportunity for development must be remembered, however.</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It was discovered that General Electric employed a variety of indicators, such as financial performance, customer happiness, and staff engagement, to assess the change's efficacy. The research revealed that the adjustment had a favorable effect on these indicators, demonstrating the effectiveness of the change.</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General Electric and the larger area of change management will be significantly impacted by the report's conclusions. Other organizations encountering comparable difficulties may benefit from the lessons acquired from General Electric's change management approach. The complexity and constant nature of change management make proper planning, execution, and assessment essential to its success.</w:t>
      </w:r>
    </w:p>
    <w:p>
      <w:pPr>
        <w:spacing w:line="360" w:lineRule="auto"/>
        <w:jc w:val="both"/>
        <w:rPr>
          <w:rFonts w:hint="default" w:ascii="Times New Roman" w:hAnsi="Times New Roman" w:cs="Times New Roman"/>
          <w:sz w:val="24"/>
          <w:szCs w:val="24"/>
        </w:rPr>
      </w:pPr>
    </w:p>
    <w:p>
      <w:pPr>
        <w:pStyle w:val="2"/>
        <w:spacing w:line="360" w:lineRule="auto"/>
        <w:jc w:val="both"/>
        <w:rPr>
          <w:rFonts w:hint="default" w:ascii="Times New Roman" w:hAnsi="Times New Roman" w:cs="Times New Roman"/>
          <w:sz w:val="24"/>
          <w:szCs w:val="24"/>
        </w:rPr>
      </w:pPr>
      <w:bookmarkStart w:id="10" w:name="_Toc27910"/>
      <w:r>
        <w:rPr>
          <w:rFonts w:hint="default" w:ascii="Times New Roman" w:hAnsi="Times New Roman" w:cs="Times New Roman"/>
          <w:sz w:val="24"/>
          <w:szCs w:val="24"/>
        </w:rPr>
        <w:t>Recommendations:</w:t>
      </w:r>
      <w:bookmarkEnd w:id="10"/>
      <w:r>
        <w:rPr>
          <w:rFonts w:hint="default" w:ascii="Times New Roman" w:hAnsi="Times New Roman" w:cs="Times New Roman"/>
          <w:sz w:val="24"/>
          <w:szCs w:val="24"/>
        </w:rPr>
        <w:t xml:space="preserve"> </w:t>
      </w:r>
    </w:p>
    <w:p>
      <w:pPr>
        <w:numPr>
          <w:numId w:val="0"/>
        </w:numPr>
        <w:spacing w:line="360" w:lineRule="auto"/>
        <w:ind w:leftChars="0"/>
        <w:jc w:val="both"/>
        <w:rPr>
          <w:rFonts w:hint="default" w:ascii="Times New Roman" w:hAnsi="Times New Roman" w:cs="Times New Roman"/>
          <w:sz w:val="24"/>
          <w:szCs w:val="24"/>
        </w:rPr>
      </w:pPr>
      <w:r>
        <w:rPr>
          <w:rFonts w:hint="default" w:ascii="Times New Roman" w:hAnsi="Times New Roman" w:cs="Times New Roman"/>
          <w:sz w:val="24"/>
          <w:szCs w:val="24"/>
        </w:rPr>
        <w:t>The method for managing change at General Electric Company might need some work in a number of areas, according to the study done for this report.</w:t>
      </w:r>
    </w:p>
    <w:p>
      <w:pPr>
        <w:numPr>
          <w:ilvl w:val="0"/>
          <w:numId w:val="1"/>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First and foremost, the business must put emphasis on including all of its stakeholders—especially employees—early and often in the transition process. This will improve support for new projects and assist to overcome change resistance.</w:t>
      </w:r>
    </w:p>
    <w:p>
      <w:pPr>
        <w:numPr>
          <w:ilvl w:val="0"/>
          <w:numId w:val="1"/>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Second, General Electric need to think about adopting a more flexible change management strategy that can be adjusted to various circumstances and settings. As a result, the business will be able to react to opportunities and difficulties more quickly.</w:t>
      </w:r>
    </w:p>
    <w:p>
      <w:pPr>
        <w:numPr>
          <w:ilvl w:val="0"/>
          <w:numId w:val="1"/>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it is advised that General Electric spend money on continual assessment and monitoring of change projects to make sure they are having the expected effects and are in line with the organization's larger strategic objectives.</w:t>
      </w:r>
    </w:p>
    <w:p>
      <w:pPr>
        <w:numPr>
          <w:ilvl w:val="0"/>
          <w:numId w:val="1"/>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every organization's long-term performance depends on effective change management. General Electric can improve its capacity to successfully manage change, maintain its competitiveness, and go on providing value to its stakeholders by putting the aforementioned suggestions into practice.</w:t>
      </w:r>
    </w:p>
    <w:p>
      <w:pPr>
        <w:tabs>
          <w:tab w:val="left" w:pos="420"/>
        </w:tabs>
        <w:spacing w:line="360" w:lineRule="auto"/>
        <w:jc w:val="both"/>
        <w:rPr>
          <w:rFonts w:hint="default" w:ascii="Times New Roman" w:hAnsi="Times New Roman" w:cs="Times New Roman"/>
          <w:sz w:val="24"/>
          <w:szCs w:val="24"/>
        </w:rPr>
      </w:pPr>
    </w:p>
    <w:p>
      <w:pPr>
        <w:spacing w:line="360" w:lineRule="auto"/>
        <w:jc w:val="both"/>
        <w:rPr>
          <w:rFonts w:hint="default"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2"/>
              <w:pageBreakBefore w:val="0"/>
              <w:kinsoku/>
              <w:wordWrap/>
              <w:overflowPunct/>
              <w:topLinePunct w:val="0"/>
              <w:autoSpaceDE/>
              <w:autoSpaceDN/>
              <w:bidi w:val="0"/>
              <w:adjustRightInd/>
              <w:snapToGrid/>
              <w:spacing w:line="360" w:lineRule="auto"/>
              <w:ind w:left="602" w:hanging="602" w:hangingChars="250"/>
              <w:textAlignment w:val="auto"/>
              <w:rPr>
                <w:rFonts w:hint="default" w:ascii="Times New Roman" w:hAnsi="Times New Roman" w:cs="Times New Roman"/>
                <w:sz w:val="24"/>
                <w:szCs w:val="24"/>
              </w:rPr>
            </w:pPr>
            <w:bookmarkStart w:id="11" w:name="_Toc8241"/>
            <w:r>
              <w:rPr>
                <w:rFonts w:hint="default" w:ascii="Times New Roman" w:hAnsi="Times New Roman" w:cs="Times New Roman"/>
                <w:sz w:val="24"/>
                <w:szCs w:val="24"/>
              </w:rPr>
              <w:t>References:</w:t>
            </w:r>
            <w:bookmarkEnd w:id="11"/>
            <w:r>
              <w:rPr>
                <w:rFonts w:hint="default" w:ascii="Times New Roman" w:hAnsi="Times New Roman" w:cs="Times New Roman"/>
                <w:sz w:val="24"/>
                <w:szCs w:val="24"/>
              </w:rPr>
              <w:t xml:space="preserve"> </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Burnes, B. (2004). Managing Change: A Strategic Approach to Organizational Dynamics. Harlow, England: Pearson Education Limited.</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Crawford, J., &amp; Griffin, D. (2002). Organizational Change Management: A Critical Review. Journal of Change Management, 3(4), 369-380.</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Reeves, M., &amp; Whitaker, K. (2018). GE's Transformation: Redefining Its Purpose and Future. Harvard Business Review, November-December.</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U.S. Securities and Exchange Commission. (2021). General Electric Company SEC Filings. Retrieved from https://www.sec.gov/cgi-bin/browse-edgar?CIK=0000040545&amp;action=getcompany.</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General Electric. (2021). Annual Report. Retrieved from https://www.ge.com/ar2020.</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HBR. (2017). Can GE's New CEO Return the Company to Greatness?. Harvard Business Review. https://hbr.org/2017/08/can-ges-new-ceo-return-the-company-to-greatness</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General Electric. (2018). GE 2018 Annual Report. https://www.ge.com/ar2018/overview</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Kotter, J. P. (1996). Leading Change. Harvard Business Review Press.</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Sharma, A. K., &amp; Jhalani, A. (2020). A case study on General Electric's change management. International Journal of Research and Analytical Reviews, 7(2), 124-130.</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Birkinshaw, J. (2016). Why GE's Transformation Can Work When Others Haven't. Harvard Business Review. https://hbr.org/2016/05/why-ges-transformation-can-work-when-others-havent</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General Electric. (2018). Annual Report. https://www.ge.com/investor-relations/sites/default/files/GE_AR18.pdf</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General Electric. (2021). Our Strategy. https://www.ge.com/strategy</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Gupta, S. (2019). GE's Transformation: The Key Lessons for Leaders. INSEAD Knowledge. https://knowledge.insead.edu/strategy/ges-transformation-the-key-lessons-for-leaders-11971</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Kotter, J. P. (1995). Leading Change: Why Transformation Efforts Fail. Harvard Business Review, 73(2), 59-67.</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Lohr, S. (2017). General Electric's Leadership, Retooled for a Digital Era. The New York Times. https://www.nytimes.com/2017/08/28/business/general-electric-digital-era-leadership.html</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Miller, K. D., &amp; Droge, C. (1986). Psychological and Traditional Determinants of Structure. Administrative Science Quarterly, 31(4), 539-560.</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Porter, M. E. (1979). How Competitive Forces Shape Strategy. Harvard Business Review, 57(2), 137-145.</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Zhang, Y., Ding, J., &amp; Sun, J. (2017). Why and How to Conduct a Stakeholder Analysis: Insights from a Literature Review. Journal of Business Research, 70, 246-260.</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Kotter, J. P. (1995). Leading change: Why transformation efforts fail. Harvard Business Review, 73(2), 59-67.</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Palmer, I., Dunford, R., &amp; Akin, G. (2021). Managing organizational change: A multiple perspectives approach (4th ed.). McGraw-Hill Education.</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Senior, B., &amp; Swailes, S. (2017). Organizational change (5th ed.). Pearson.</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Burke, W. W. (2017). Organization change: Theory and practice. Sage Publications.</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Carnall, C. A. (2018). Managing change in organizations. Routledge.</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General Electric. (2021). First Quarter 2021 Earnings. Retrieved from https://www.ge.com/investor-relations/sites/default/files/1Q21%20Earnings%20Release.pdf</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J.D. Power. (2021). 2021 Kitchen and Laundry Appliance Satisfaction Study. Retrieved from https://www.jdpower.com/business/press-releases/2021-kitchen-and-laundry</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Welch, J., &amp; Byrne, J. A. (2003). Jack Welch's 6 Ways to Build a Winning Team. Harvard Business Review, 81(6), 131-138.</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General Electric. (2011). ecomagination: The Progress Report. Retrieved from https://www.ge.com/content/dam/gecom/press-releases/ecomagination/GE-2011-ecomagination-Progress-Report.pdf</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General Electric. (2019). Annual Report 2019. Retrieved from https://www.ge.com/sites/default/files/2020-03/GE_AR19_A.pdf</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Siemens. (2021). About Us. Retrieved from https://new.siemens.com/global/en/company/about.html</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Schneider Electric. (2021). About Us. Retrieved from https://www.se.com/ww/en/about-us/who-we-are.jsp</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 xml:space="preserve">ABB. (2021). About Us. Retrieved from </w:t>
            </w:r>
            <w:r>
              <w:rPr>
                <w:rFonts w:hint="default" w:ascii="Times New Roman" w:hAnsi="Times New Roman"/>
                <w:sz w:val="24"/>
                <w:szCs w:val="24"/>
              </w:rPr>
              <w:fldChar w:fldCharType="begin"/>
            </w:r>
            <w:r>
              <w:rPr>
                <w:rFonts w:hint="default" w:ascii="Times New Roman" w:hAnsi="Times New Roman"/>
                <w:sz w:val="24"/>
                <w:szCs w:val="24"/>
              </w:rPr>
              <w:instrText xml:space="preserve"> HYPERLINK "https://global.abb/group/en/about" </w:instrText>
            </w:r>
            <w:r>
              <w:rPr>
                <w:rFonts w:hint="default" w:ascii="Times New Roman" w:hAnsi="Times New Roman"/>
                <w:sz w:val="24"/>
                <w:szCs w:val="24"/>
              </w:rPr>
              <w:fldChar w:fldCharType="separate"/>
            </w:r>
            <w:r>
              <w:rPr>
                <w:rStyle w:val="10"/>
                <w:rFonts w:hint="default" w:ascii="Times New Roman" w:hAnsi="Times New Roman"/>
                <w:sz w:val="24"/>
                <w:szCs w:val="24"/>
              </w:rPr>
              <w:t>https://global.abb/group/en/about</w:t>
            </w:r>
            <w:r>
              <w:rPr>
                <w:rFonts w:hint="default" w:ascii="Times New Roman" w:hAnsi="Times New Roman"/>
                <w:sz w:val="24"/>
                <w:szCs w:val="24"/>
              </w:rPr>
              <w:fldChar w:fldCharType="end"/>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General Electric. (2021). Our Company. Retrieved from https://www.ge.com/company</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Siemens. (2021). Strategy. Retrieved from https://new.siemens.com/global/en/company/about/strategy.html</w:t>
            </w: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p>
          <w:p>
            <w:pPr>
              <w:pageBreakBefore w:val="0"/>
              <w:widowControl w:val="0"/>
              <w:kinsoku/>
              <w:wordWrap/>
              <w:overflowPunct/>
              <w:topLinePunct w:val="0"/>
              <w:autoSpaceDE/>
              <w:autoSpaceDN/>
              <w:bidi w:val="0"/>
              <w:adjustRightInd/>
              <w:snapToGrid/>
              <w:spacing w:line="360" w:lineRule="auto"/>
              <w:ind w:left="602" w:hanging="600" w:hangingChars="250"/>
              <w:jc w:val="both"/>
              <w:textAlignment w:val="auto"/>
              <w:rPr>
                <w:rFonts w:hint="default" w:ascii="Times New Roman" w:hAnsi="Times New Roman"/>
                <w:sz w:val="24"/>
                <w:szCs w:val="24"/>
              </w:rPr>
            </w:pPr>
            <w:r>
              <w:rPr>
                <w:rFonts w:hint="default" w:ascii="Times New Roman" w:hAnsi="Times New Roman"/>
                <w:sz w:val="24"/>
                <w:szCs w:val="24"/>
              </w:rPr>
              <w:t>Philips. (2021). Our Transformation. Retrieved from https://www.philips.com/a-w/about/news/archive/standard/news/press/2018/20180220-philips-delivers-fourth-quarter-and-full-year-results-2017.html</w:t>
            </w:r>
          </w:p>
          <w:p>
            <w:pPr>
              <w:widowControl w:val="0"/>
              <w:jc w:val="both"/>
              <w:rPr>
                <w:rFonts w:ascii="Times New Roman" w:hAnsi="Times New Roman" w:cs="Times New Roman"/>
                <w:sz w:val="24"/>
                <w:szCs w:val="24"/>
              </w:rPr>
            </w:pPr>
          </w:p>
        </w:tc>
      </w:tr>
    </w:tbl>
    <w:p>
      <w:pP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cs="Times New Roman"/>
          <w:sz w:val="24"/>
          <w:szCs w:val="24"/>
        </w:rPr>
        <w:br w:type="page"/>
      </w:r>
    </w:p>
    <w:p>
      <w:pPr>
        <w:pStyle w:val="2"/>
        <w:bidi w:val="0"/>
        <w:spacing w:line="360" w:lineRule="auto"/>
        <w:rPr>
          <w:rFonts w:hint="default" w:ascii="Times New Roman" w:hAnsi="Times New Roman" w:cs="Times New Roman"/>
          <w:color w:val="0D0D0D" w:themeColor="text1" w:themeTint="F2"/>
          <w:lang w:val="en-US"/>
          <w14:textFill>
            <w14:solidFill>
              <w14:schemeClr w14:val="tx1">
                <w14:lumMod w14:val="95000"/>
                <w14:lumOff w14:val="5000"/>
              </w14:schemeClr>
            </w14:solidFill>
          </w14:textFill>
        </w:rPr>
      </w:pPr>
      <w:bookmarkStart w:id="12" w:name="_Toc4173"/>
      <w:r>
        <w:rPr>
          <w:rFonts w:hint="default" w:ascii="Times New Roman" w:hAnsi="Times New Roman" w:cs="Times New Roman"/>
          <w:color w:val="0D0D0D" w:themeColor="text1" w:themeTint="F2"/>
          <w:lang w:val="en-US"/>
          <w14:textFill>
            <w14:solidFill>
              <w14:schemeClr w14:val="tx1">
                <w14:lumMod w14:val="95000"/>
                <w14:lumOff w14:val="5000"/>
              </w14:schemeClr>
            </w14:solidFill>
          </w14:textFill>
        </w:rPr>
        <w:t>Appendix:</w:t>
      </w:r>
      <w:bookmarkEnd w:id="12"/>
      <w:r>
        <w:rPr>
          <w:rFonts w:hint="default" w:ascii="Times New Roman" w:hAnsi="Times New Roman" w:cs="Times New Roman"/>
          <w:color w:val="0D0D0D" w:themeColor="text1" w:themeTint="F2"/>
          <w:lang w:val="en-US"/>
          <w14:textFill>
            <w14:solidFill>
              <w14:schemeClr w14:val="tx1">
                <w14:lumMod w14:val="95000"/>
                <w14:lumOff w14:val="5000"/>
              </w14:schemeClr>
            </w14:solidFill>
          </w14:textFill>
        </w:rPr>
        <w:t xml:space="preserve"> </w:t>
      </w:r>
    </w:p>
    <w:p>
      <w:pPr>
        <w:pStyle w:val="7"/>
        <w:spacing w:line="360" w:lineRule="auto"/>
        <w:rPr>
          <w:rFonts w:hint="default" w:ascii="Times New Roman" w:hAnsi="Times New Roman" w:cs="Times New Roman"/>
          <w:b/>
          <w:bCs/>
          <w:color w:val="0D0D0D" w:themeColor="text1" w:themeTint="F2"/>
          <w:sz w:val="24"/>
          <w:szCs w:val="24"/>
          <w:lang w:val="en-US"/>
          <w14:textFill>
            <w14:solidFill>
              <w14:schemeClr w14:val="tx1">
                <w14:lumMod w14:val="95000"/>
                <w14:lumOff w14:val="5000"/>
              </w14:schemeClr>
            </w14:solidFill>
          </w14:textFill>
        </w:rPr>
      </w:pPr>
      <w:r>
        <w:rPr>
          <w:rFonts w:hint="default" w:ascii="Times New Roman" w:hAnsi="Times New Roman" w:cs="Times New Roman"/>
          <w:b/>
          <w:bCs/>
          <w:color w:val="0D0D0D" w:themeColor="text1" w:themeTint="F2"/>
          <w:sz w:val="24"/>
          <w:szCs w:val="24"/>
          <w14:textFill>
            <w14:solidFill>
              <w14:schemeClr w14:val="tx1">
                <w14:lumMod w14:val="95000"/>
                <w14:lumOff w14:val="5000"/>
              </w14:schemeClr>
            </w14:solidFill>
          </w14:textFill>
        </w:rPr>
        <w:t xml:space="preserve">Table </w:t>
      </w:r>
      <w:r>
        <w:rPr>
          <w:rFonts w:hint="default" w:ascii="Times New Roman" w:hAnsi="Times New Roman" w:cs="Times New Roman"/>
          <w:b/>
          <w:bCs/>
          <w:color w:val="0D0D0D" w:themeColor="text1" w:themeTint="F2"/>
          <w:sz w:val="24"/>
          <w:szCs w:val="24"/>
          <w14:textFill>
            <w14:solidFill>
              <w14:schemeClr w14:val="tx1">
                <w14:lumMod w14:val="95000"/>
                <w14:lumOff w14:val="5000"/>
              </w14:schemeClr>
            </w14:solidFill>
          </w14:textFill>
        </w:rPr>
        <w:fldChar w:fldCharType="begin"/>
      </w:r>
      <w:r>
        <w:rPr>
          <w:rFonts w:hint="default" w:ascii="Times New Roman" w:hAnsi="Times New Roman" w:cs="Times New Roman"/>
          <w:b/>
          <w:bCs/>
          <w:color w:val="0D0D0D" w:themeColor="text1" w:themeTint="F2"/>
          <w:sz w:val="24"/>
          <w:szCs w:val="24"/>
          <w14:textFill>
            <w14:solidFill>
              <w14:schemeClr w14:val="tx1">
                <w14:lumMod w14:val="95000"/>
                <w14:lumOff w14:val="5000"/>
              </w14:schemeClr>
            </w14:solidFill>
          </w14:textFill>
        </w:rPr>
        <w:instrText xml:space="preserve"> SEQ Table \* ARABIC </w:instrText>
      </w:r>
      <w:r>
        <w:rPr>
          <w:rFonts w:hint="default" w:ascii="Times New Roman" w:hAnsi="Times New Roman" w:cs="Times New Roman"/>
          <w:b/>
          <w:bCs/>
          <w:color w:val="0D0D0D" w:themeColor="text1" w:themeTint="F2"/>
          <w:sz w:val="24"/>
          <w:szCs w:val="24"/>
          <w14:textFill>
            <w14:solidFill>
              <w14:schemeClr w14:val="tx1">
                <w14:lumMod w14:val="95000"/>
                <w14:lumOff w14:val="5000"/>
              </w14:schemeClr>
            </w14:solidFill>
          </w14:textFill>
        </w:rPr>
        <w:fldChar w:fldCharType="separate"/>
      </w:r>
      <w:r>
        <w:rPr>
          <w:rFonts w:hint="default" w:ascii="Times New Roman" w:hAnsi="Times New Roman" w:cs="Times New Roman"/>
          <w:b/>
          <w:bCs/>
          <w:color w:val="0D0D0D" w:themeColor="text1" w:themeTint="F2"/>
          <w:sz w:val="24"/>
          <w:szCs w:val="24"/>
          <w14:textFill>
            <w14:solidFill>
              <w14:schemeClr w14:val="tx1">
                <w14:lumMod w14:val="95000"/>
                <w14:lumOff w14:val="5000"/>
              </w14:schemeClr>
            </w14:solidFill>
          </w14:textFill>
        </w:rPr>
        <w:t>2</w:t>
      </w:r>
      <w:r>
        <w:rPr>
          <w:rFonts w:hint="default" w:ascii="Times New Roman" w:hAnsi="Times New Roman" w:cs="Times New Roman"/>
          <w:b/>
          <w:bCs/>
          <w:color w:val="0D0D0D" w:themeColor="text1" w:themeTint="F2"/>
          <w:sz w:val="24"/>
          <w:szCs w:val="24"/>
          <w14:textFill>
            <w14:solidFill>
              <w14:schemeClr w14:val="tx1">
                <w14:lumMod w14:val="95000"/>
                <w14:lumOff w14:val="5000"/>
              </w14:schemeClr>
            </w14:solidFill>
          </w14:textFill>
        </w:rPr>
        <w:fldChar w:fldCharType="end"/>
      </w:r>
      <w:bookmarkStart w:id="13" w:name="_Toc18759"/>
      <w:r>
        <w:rPr>
          <w:rFonts w:hint="default" w:ascii="Times New Roman" w:hAnsi="Times New Roman" w:cs="Times New Roman"/>
          <w:b/>
          <w:bCs/>
          <w:color w:val="0D0D0D" w:themeColor="text1" w:themeTint="F2"/>
          <w:sz w:val="24"/>
          <w:szCs w:val="24"/>
          <w:lang w:val="en-US"/>
          <w14:textFill>
            <w14:solidFill>
              <w14:schemeClr w14:val="tx1">
                <w14:lumMod w14:val="95000"/>
                <w14:lumOff w14:val="5000"/>
              </w14:schemeClr>
            </w14:solidFill>
          </w14:textFill>
        </w:rPr>
        <w:t>,  comparing General Electric (GE) to two of its competitors, Siemens and Honeywell.</w:t>
      </w:r>
      <w:bookmarkEnd w:id="13"/>
    </w:p>
    <w:tbl>
      <w:tblPr>
        <w:tblW w:w="8441" w:type="dxa"/>
        <w:tblCellSpacing w:w="1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8"/>
        <w:tblLayout w:type="autofit"/>
        <w:tblCellMar>
          <w:top w:w="15" w:type="dxa"/>
          <w:left w:w="15" w:type="dxa"/>
          <w:bottom w:w="15" w:type="dxa"/>
          <w:right w:w="15" w:type="dxa"/>
        </w:tblCellMar>
      </w:tblPr>
      <w:tblGrid>
        <w:gridCol w:w="1332"/>
        <w:gridCol w:w="2279"/>
        <w:gridCol w:w="2445"/>
        <w:gridCol w:w="2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0" w:type="auto"/>
            <w:shd w:val="clear" w:color="auto" w:fill="F7F7F8"/>
            <w:vAlign w:val="bottom"/>
          </w:tcPr>
          <w:p>
            <w:pPr>
              <w:keepNext w:val="0"/>
              <w:keepLines w:val="0"/>
              <w:widowControl/>
              <w:suppressLineNumbers w:val="0"/>
              <w:shd w:val="clear" w:fill="FFFFFF" w:themeFill="background1"/>
              <w:spacing w:line="360" w:lineRule="auto"/>
              <w:ind w:left="0" w:firstLine="0"/>
              <w:jc w:val="center"/>
              <w:textAlignment w:val="bottom"/>
              <w:rPr>
                <w:rFonts w:hint="default" w:ascii="Times New Roman" w:hAnsi="Times New Roman" w:eastAsia="Segoe UI" w:cs="Times New Roman"/>
                <w:b/>
                <w:bCs/>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b/>
                <w:bCs/>
                <w:i w:val="0"/>
                <w:iCs w:val="0"/>
                <w:caps w:val="0"/>
                <w:color w:val="0D0D0D" w:themeColor="text1" w:themeTint="F2"/>
                <w:spacing w:val="0"/>
                <w:kern w:val="0"/>
                <w:sz w:val="22"/>
                <w:szCs w:val="22"/>
                <w:lang w:val="en-US" w:eastAsia="zh-CN" w:bidi="ar"/>
                <w14:textFill>
                  <w14:solidFill>
                    <w14:schemeClr w14:val="tx1">
                      <w14:lumMod w14:val="95000"/>
                      <w14:lumOff w14:val="5000"/>
                    </w14:schemeClr>
                  </w14:solidFill>
                </w14:textFill>
              </w:rPr>
              <w:t>Change Management Strategies</w:t>
            </w:r>
          </w:p>
        </w:tc>
        <w:tc>
          <w:tcPr>
            <w:tcW w:w="2249" w:type="dxa"/>
            <w:shd w:val="clear" w:color="auto" w:fill="F7F7F8"/>
            <w:vAlign w:val="bottom"/>
          </w:tcPr>
          <w:p>
            <w:pPr>
              <w:keepNext w:val="0"/>
              <w:keepLines w:val="0"/>
              <w:widowControl/>
              <w:suppressLineNumbers w:val="0"/>
              <w:shd w:val="clear" w:fill="FFFFFF" w:themeFill="background1"/>
              <w:spacing w:line="360" w:lineRule="auto"/>
              <w:ind w:left="0" w:firstLine="0"/>
              <w:jc w:val="center"/>
              <w:textAlignment w:val="bottom"/>
              <w:rPr>
                <w:rFonts w:hint="default" w:ascii="Times New Roman" w:hAnsi="Times New Roman" w:eastAsia="Segoe UI" w:cs="Times New Roman"/>
                <w:b/>
                <w:bCs/>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b/>
                <w:bCs/>
                <w:i w:val="0"/>
                <w:iCs w:val="0"/>
                <w:caps w:val="0"/>
                <w:color w:val="0D0D0D" w:themeColor="text1" w:themeTint="F2"/>
                <w:spacing w:val="0"/>
                <w:kern w:val="0"/>
                <w:sz w:val="22"/>
                <w:szCs w:val="22"/>
                <w:lang w:val="en-US" w:eastAsia="zh-CN" w:bidi="ar"/>
                <w14:textFill>
                  <w14:solidFill>
                    <w14:schemeClr w14:val="tx1">
                      <w14:lumMod w14:val="95000"/>
                      <w14:lumOff w14:val="5000"/>
                    </w14:schemeClr>
                  </w14:solidFill>
                </w14:textFill>
              </w:rPr>
              <w:t>General Electric</w:t>
            </w:r>
          </w:p>
        </w:tc>
        <w:tc>
          <w:tcPr>
            <w:tcW w:w="2415" w:type="dxa"/>
            <w:shd w:val="clear" w:color="auto" w:fill="F7F7F8"/>
            <w:vAlign w:val="bottom"/>
          </w:tcPr>
          <w:p>
            <w:pPr>
              <w:keepNext w:val="0"/>
              <w:keepLines w:val="0"/>
              <w:widowControl/>
              <w:suppressLineNumbers w:val="0"/>
              <w:shd w:val="clear" w:fill="FFFFFF" w:themeFill="background1"/>
              <w:spacing w:line="360" w:lineRule="auto"/>
              <w:ind w:left="0" w:firstLine="0"/>
              <w:jc w:val="center"/>
              <w:textAlignment w:val="bottom"/>
              <w:rPr>
                <w:rFonts w:hint="default" w:ascii="Times New Roman" w:hAnsi="Times New Roman" w:eastAsia="Segoe UI" w:cs="Times New Roman"/>
                <w:b/>
                <w:bCs/>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b/>
                <w:bCs/>
                <w:i w:val="0"/>
                <w:iCs w:val="0"/>
                <w:caps w:val="0"/>
                <w:color w:val="0D0D0D" w:themeColor="text1" w:themeTint="F2"/>
                <w:spacing w:val="0"/>
                <w:kern w:val="0"/>
                <w:sz w:val="22"/>
                <w:szCs w:val="22"/>
                <w:lang w:val="en-US" w:eastAsia="zh-CN" w:bidi="ar"/>
                <w14:textFill>
                  <w14:solidFill>
                    <w14:schemeClr w14:val="tx1">
                      <w14:lumMod w14:val="95000"/>
                      <w14:lumOff w14:val="5000"/>
                    </w14:schemeClr>
                  </w14:solidFill>
                </w14:textFill>
              </w:rPr>
              <w:t>Siemens</w:t>
            </w:r>
          </w:p>
        </w:tc>
        <w:tc>
          <w:tcPr>
            <w:tcW w:w="2340" w:type="dxa"/>
            <w:shd w:val="clear" w:color="auto" w:fill="F7F7F8"/>
            <w:vAlign w:val="bottom"/>
          </w:tcPr>
          <w:p>
            <w:pPr>
              <w:keepNext w:val="0"/>
              <w:keepLines w:val="0"/>
              <w:widowControl/>
              <w:suppressLineNumbers w:val="0"/>
              <w:shd w:val="clear" w:fill="FFFFFF" w:themeFill="background1"/>
              <w:spacing w:line="360" w:lineRule="auto"/>
              <w:ind w:left="0" w:firstLine="0"/>
              <w:jc w:val="center"/>
              <w:textAlignment w:val="bottom"/>
              <w:rPr>
                <w:rFonts w:hint="default" w:ascii="Times New Roman" w:hAnsi="Times New Roman" w:eastAsia="Segoe UI" w:cs="Times New Roman"/>
                <w:b/>
                <w:bCs/>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b/>
                <w:bCs/>
                <w:i w:val="0"/>
                <w:iCs w:val="0"/>
                <w:caps w:val="0"/>
                <w:color w:val="0D0D0D" w:themeColor="text1" w:themeTint="F2"/>
                <w:spacing w:val="0"/>
                <w:kern w:val="0"/>
                <w:sz w:val="22"/>
                <w:szCs w:val="22"/>
                <w:lang w:val="en-US" w:eastAsia="zh-CN" w:bidi="ar"/>
                <w14:textFill>
                  <w14:solidFill>
                    <w14:schemeClr w14:val="tx1">
                      <w14:lumMod w14:val="95000"/>
                      <w14:lumOff w14:val="5000"/>
                    </w14:schemeClr>
                  </w14:solidFill>
                </w14:textFill>
              </w:rPr>
              <w:t>Honeywell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Leadership approach</w:t>
            </w:r>
          </w:p>
        </w:tc>
        <w:tc>
          <w:tcPr>
            <w:tcW w:w="2249"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Under former CEO Jack Welch, GE was known for a "boundary less" culture that encouraged open communication and decentralized decision-making. Current CEO Larry Culp has prioritized simplification and speed in decision-making.</w:t>
            </w:r>
          </w:p>
        </w:tc>
        <w:tc>
          <w:tcPr>
            <w:tcW w:w="2415"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Siemens has a collaborative leadership approach that emphasizes teamwork and consensus-building.</w:t>
            </w:r>
          </w:p>
        </w:tc>
        <w:tc>
          <w:tcPr>
            <w:tcW w:w="2340"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Honeywell has a performance-based culture that values speed and agility. CEO Darius Adamczyk has emphasized the importance of empowering employees to make decisions.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8"/>
          <w:tblCellMar>
            <w:top w:w="15" w:type="dxa"/>
            <w:left w:w="15" w:type="dxa"/>
            <w:bottom w:w="15" w:type="dxa"/>
            <w:right w:w="15" w:type="dxa"/>
          </w:tblCellMar>
        </w:tblPrEx>
        <w:trPr>
          <w:tblCellSpacing w:w="15" w:type="dxa"/>
        </w:trPr>
        <w:tc>
          <w:tcPr>
            <w:tcW w:w="0" w:type="auto"/>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Change management frameworks</w:t>
            </w:r>
          </w:p>
        </w:tc>
        <w:tc>
          <w:tcPr>
            <w:tcW w:w="2249"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GE has used Six Sigma and Lean methodologies extensively in its change management efforts. The company has also developed its own change management framework, known as FastWorks.</w:t>
            </w:r>
          </w:p>
        </w:tc>
        <w:tc>
          <w:tcPr>
            <w:tcW w:w="2415"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Siemens has used a variety of change management frameworks, including Six Sigma, Lean, and Agile methodologies. The company also has a dedicated change management team to oversee its initiatives.</w:t>
            </w:r>
          </w:p>
        </w:tc>
        <w:tc>
          <w:tcPr>
            <w:tcW w:w="2340"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Honeywell has used Six Sigma and Lean methodologies extensively, and has also adopted Agile practices in some areas. The company has a dedicated change management team that works closely with business leaders to drive change initiatives.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8"/>
          <w:tblCellMar>
            <w:top w:w="15" w:type="dxa"/>
            <w:left w:w="15" w:type="dxa"/>
            <w:bottom w:w="15" w:type="dxa"/>
            <w:right w:w="15" w:type="dxa"/>
          </w:tblCellMar>
        </w:tblPrEx>
        <w:trPr>
          <w:tblCellSpacing w:w="15" w:type="dxa"/>
        </w:trPr>
        <w:tc>
          <w:tcPr>
            <w:tcW w:w="0" w:type="auto"/>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Employee engagement</w:t>
            </w:r>
          </w:p>
        </w:tc>
        <w:tc>
          <w:tcPr>
            <w:tcW w:w="2249"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GE has focused on improving employee engagement through initiatives such as the "Work-Out" program, which solicits ideas from employees to improve operations. The company has also emphasized the importance of leadership development and career growth opportunities.</w:t>
            </w:r>
          </w:p>
        </w:tc>
        <w:tc>
          <w:tcPr>
            <w:tcW w:w="2415"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Siemens has emphasized the importance of employee engagement through initiatives such as employee surveys and feedback mechanisms. The company has also invested in leadership development programs and has a strong focus on diversity and inclusion.</w:t>
            </w:r>
          </w:p>
        </w:tc>
        <w:tc>
          <w:tcPr>
            <w:tcW w:w="2340"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Honeywell has prioritized employee engagement through initiatives such as employee recognition programs and regular town hall meetings. The company has also emphasized the importance of career development and offers a range of training and development opportunities.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8"/>
          <w:tblCellMar>
            <w:top w:w="15" w:type="dxa"/>
            <w:left w:w="15" w:type="dxa"/>
            <w:bottom w:w="15" w:type="dxa"/>
            <w:right w:w="15" w:type="dxa"/>
          </w:tblCellMar>
        </w:tblPrEx>
        <w:trPr>
          <w:tblCellSpacing w:w="15" w:type="dxa"/>
        </w:trPr>
        <w:tc>
          <w:tcPr>
            <w:tcW w:w="0" w:type="auto"/>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Customer focus</w:t>
            </w:r>
          </w:p>
        </w:tc>
        <w:tc>
          <w:tcPr>
            <w:tcW w:w="2249"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GE has focused on improving customer satisfaction through initiatives such as the "Voice of the Customer" program, which collects feedback on product quality and service. The company has also emphasized the importance of innovation and has invested heavily in research and development.</w:t>
            </w:r>
          </w:p>
        </w:tc>
        <w:tc>
          <w:tcPr>
            <w:tcW w:w="2415"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Siemens has a strong focus on customer service and has implemented initiatives such as customer surveys and feedback mechanisms. The company also emphasizes the importance of innovation and has a dedicated research and development team.</w:t>
            </w:r>
          </w:p>
        </w:tc>
        <w:tc>
          <w:tcPr>
            <w:tcW w:w="2340" w:type="dxa"/>
            <w:shd w:val="clear" w:color="auto" w:fill="F7F7F8"/>
            <w:vAlign w:val="top"/>
          </w:tcPr>
          <w:p>
            <w:pPr>
              <w:keepNext w:val="0"/>
              <w:keepLines w:val="0"/>
              <w:widowControl/>
              <w:suppressLineNumbers w:val="0"/>
              <w:shd w:val="clear" w:fill="FFFFFF" w:themeFill="background1"/>
              <w:spacing w:line="360" w:lineRule="auto"/>
              <w:ind w:left="0" w:firstLine="0"/>
              <w:jc w:val="left"/>
              <w:textAlignment w:val="baseline"/>
              <w:rPr>
                <w:rFonts w:hint="default" w:ascii="Times New Roman" w:hAnsi="Times New Roman" w:eastAsia="Segoe UI" w:cs="Times New Roman"/>
                <w:i w:val="0"/>
                <w:iCs w:val="0"/>
                <w:caps w:val="0"/>
                <w:color w:val="0D0D0D" w:themeColor="text1" w:themeTint="F2"/>
                <w:spacing w:val="0"/>
                <w:sz w:val="22"/>
                <w:szCs w:val="22"/>
                <w14:textFill>
                  <w14:solidFill>
                    <w14:schemeClr w14:val="tx1">
                      <w14:lumMod w14:val="95000"/>
                      <w14:lumOff w14:val="5000"/>
                    </w14:schemeClr>
                  </w14:solidFill>
                </w14:textFill>
              </w:rPr>
            </w:pPr>
            <w:r>
              <w:rPr>
                <w:rFonts w:hint="default" w:ascii="Times New Roman" w:hAnsi="Times New Roman" w:eastAsia="Segoe UI" w:cs="Times New Roman"/>
                <w:i w:val="0"/>
                <w:iCs w:val="0"/>
                <w:caps w:val="0"/>
                <w:color w:val="0D0D0D" w:themeColor="text1" w:themeTint="F2"/>
                <w:spacing w:val="0"/>
                <w:kern w:val="0"/>
                <w:sz w:val="22"/>
                <w:szCs w:val="22"/>
                <w:vertAlign w:val="baseline"/>
                <w:lang w:val="en-US" w:eastAsia="zh-CN" w:bidi="ar"/>
                <w14:textFill>
                  <w14:solidFill>
                    <w14:schemeClr w14:val="tx1">
                      <w14:lumMod w14:val="95000"/>
                      <w14:lumOff w14:val="5000"/>
                    </w14:schemeClr>
                  </w14:solidFill>
                </w14:textFill>
              </w:rPr>
              <w:t>Honeywell has focused on improving customer satisfaction through initiatives such as the "Customer Scorecard" program, which measures customer satisfaction with product quality and service. The company also has a strong focus on innovation and has invested heavily in research and development.</w:t>
            </w:r>
          </w:p>
        </w:tc>
      </w:tr>
    </w:tbl>
    <w:p>
      <w:pPr>
        <w:shd w:val="clear" w:fill="FFFFFF" w:themeFill="background1"/>
        <w:spacing w:line="360" w:lineRule="auto"/>
        <w:rPr>
          <w:rFonts w:hint="default" w:ascii="Times New Roman" w:hAnsi="Times New Roman" w:cs="Times New Roman"/>
          <w:sz w:val="22"/>
          <w:szCs w:val="22"/>
          <w:lang w:val="en-US"/>
        </w:rPr>
      </w:pPr>
    </w:p>
    <w:p>
      <w:pPr>
        <w:shd w:val="clear" w:fill="FFFFFF" w:themeFill="background1"/>
        <w:spacing w:line="360" w:lineRule="auto"/>
        <w:rPr>
          <w:rFonts w:hint="default" w:ascii="Times New Roman" w:hAnsi="Times New Roman" w:cs="Times New Roman"/>
          <w:sz w:val="22"/>
          <w:szCs w:val="22"/>
          <w:lang w:val="en-US"/>
        </w:rPr>
      </w:pPr>
      <w:r>
        <w:rPr>
          <w:rFonts w:hint="default" w:ascii="Times New Roman" w:hAnsi="Times New Roman" w:cs="Times New Roman"/>
          <w:sz w:val="22"/>
          <w:szCs w:val="22"/>
          <w:lang w:val="en-US"/>
        </w:rPr>
        <w:t xml:space="preserve"> (General Electric, 2011) </w:t>
      </w:r>
    </w:p>
    <w:p>
      <w:pPr>
        <w:shd w:val="clear" w:fill="FFFFFF" w:themeFill="background1"/>
        <w:spacing w:line="360" w:lineRule="auto"/>
        <w:rPr>
          <w:rFonts w:hint="default" w:ascii="Times New Roman" w:hAnsi="Times New Roman" w:cs="Times New Roman"/>
          <w:sz w:val="22"/>
          <w:szCs w:val="22"/>
          <w:lang w:val="en-US"/>
        </w:rPr>
      </w:pPr>
      <w:r>
        <w:rPr>
          <w:rFonts w:hint="default" w:ascii="Times New Roman" w:hAnsi="Times New Roman" w:cs="Times New Roman"/>
          <w:sz w:val="22"/>
          <w:szCs w:val="22"/>
          <w:lang w:val="en-US"/>
        </w:rPr>
        <w:t>Siemens (2021) states on their website that their mission is to "make real what matters" (para. 2).</w:t>
      </w:r>
    </w:p>
    <w:p>
      <w:pPr>
        <w:shd w:val="clear" w:fill="FFFFFF" w:themeFill="background1"/>
        <w:spacing w:line="360" w:lineRule="auto"/>
        <w:rPr>
          <w:rFonts w:hint="default" w:ascii="Times New Roman" w:hAnsi="Times New Roman" w:cs="Times New Roman"/>
          <w:sz w:val="22"/>
          <w:szCs w:val="22"/>
          <w:lang w:val="en-US"/>
        </w:rPr>
      </w:pPr>
      <w:r>
        <w:rPr>
          <w:rFonts w:hint="default" w:ascii="Times New Roman" w:hAnsi="Times New Roman" w:cs="Times New Roman"/>
          <w:sz w:val="22"/>
          <w:szCs w:val="22"/>
          <w:lang w:val="en-US"/>
        </w:rPr>
        <w:t>According to Schneider Electric (2021), the company's vision is to be a "digital partner for sustainability and efficiency" (para. 1).</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Rockwell Extra Bold">
    <w:panose1 w:val="02060903040505020403"/>
    <w:charset w:val="00"/>
    <w:family w:val="auto"/>
    <w:pitch w:val="default"/>
    <w:sig w:usb0="00000003" w:usb1="00000000" w:usb2="00000000" w:usb3="00000000" w:csb0="20000001" w:csb1="00000000"/>
  </w:font>
  <w:font w:name="Segoe UI">
    <w:panose1 w:val="020B0502040204020203"/>
    <w:charset w:val="00"/>
    <w:family w:val="auto"/>
    <w:pitch w:val="default"/>
    <w:sig w:usb0="E4002EFF" w:usb1="C000E47F" w:usb2="00000009" w:usb3="00000000" w:csb0="200001FF" w:csb1="00000000"/>
  </w:font>
  <w:font w:name="Segoe Script">
    <w:panose1 w:val="030B0504020000000003"/>
    <w:charset w:val="00"/>
    <w:family w:val="auto"/>
    <w:pitch w:val="default"/>
    <w:sig w:usb0="0000028F" w:usb1="00000000" w:usb2="00000000" w:usb3="00000000" w:csb0="0000009F" w:csb1="00000000"/>
  </w:font>
  <w:font w:name="Script MT Bold">
    <w:panose1 w:val="03040602040607080904"/>
    <w:charset w:val="00"/>
    <w:family w:val="auto"/>
    <w:pitch w:val="default"/>
    <w:sig w:usb0="00000003" w:usb1="00000000" w:usb2="00000000" w:usb3="00000000" w:csb0="20000001" w:csb1="00000000"/>
  </w:font>
  <w:font w:name="Microsoft YaHei">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w:pict>
        <v:shape id="_x0000_s2049" o:spid="_x0000_s2049" o:spt="202" type="#_x0000_t202" style="position:absolute;left:0pt;margin-top:0pt;height:144pt;width:144pt;mso-position-horizontal:lef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D80FE1"/>
    <w:multiLevelType w:val="singleLevel"/>
    <w:tmpl w:val="67D80FE1"/>
    <w:lvl w:ilvl="0" w:tentative="0">
      <w:start w:val="1"/>
      <w:numFmt w:val="bullet"/>
      <w:lvlText w:val=""/>
      <w:lvlJc w:val="left"/>
      <w:pPr>
        <w:tabs>
          <w:tab w:val="left" w:pos="420"/>
        </w:tabs>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hdrShapeDefaults>
    <o:shapelayout v:ext="edit">
      <o:idmap v:ext="edit" data="2"/>
    </o:shapelayout>
  </w:hdrShapeDefaults>
  <w:compat>
    <w:spaceForUL/>
    <w:doNotLeaveBackslashAlone/>
    <w:ulTrailSpace/>
    <w:doNotExpandShiftReturn/>
    <w:adjustLineHeightInTable/>
    <w:doNotWrapTextWithPunct/>
    <w:doNotUseEastAsianBreakRules/>
    <w:doNotUseIndentAsNumberingTabStop/>
    <w:compatSetting w:name="compatibilityMode" w:uri="http://schemas.microsoft.com/office/word" w:val="12"/>
  </w:compat>
  <w:rsids>
    <w:rsidRoot w:val="00172A27"/>
    <w:rsid w:val="00001D9E"/>
    <w:rsid w:val="000F30B4"/>
    <w:rsid w:val="00143529"/>
    <w:rsid w:val="00143E44"/>
    <w:rsid w:val="001469AE"/>
    <w:rsid w:val="001975CE"/>
    <w:rsid w:val="00235D27"/>
    <w:rsid w:val="00287344"/>
    <w:rsid w:val="003C1510"/>
    <w:rsid w:val="003F5218"/>
    <w:rsid w:val="004B2B8C"/>
    <w:rsid w:val="006032E5"/>
    <w:rsid w:val="00735AF6"/>
    <w:rsid w:val="00766433"/>
    <w:rsid w:val="007A4162"/>
    <w:rsid w:val="008A218E"/>
    <w:rsid w:val="00915132"/>
    <w:rsid w:val="00925A87"/>
    <w:rsid w:val="009B3773"/>
    <w:rsid w:val="00A73B70"/>
    <w:rsid w:val="00CD391A"/>
    <w:rsid w:val="00D66AAD"/>
    <w:rsid w:val="00DB6506"/>
    <w:rsid w:val="00E5444A"/>
    <w:rsid w:val="00FB477A"/>
    <w:rsid w:val="00FF7CC3"/>
    <w:rsid w:val="020F28E8"/>
    <w:rsid w:val="02B66AA6"/>
    <w:rsid w:val="04494535"/>
    <w:rsid w:val="121C0BA6"/>
    <w:rsid w:val="13630E68"/>
    <w:rsid w:val="17DC6814"/>
    <w:rsid w:val="22DA0B06"/>
    <w:rsid w:val="2DD3174E"/>
    <w:rsid w:val="2EDE4B41"/>
    <w:rsid w:val="33634B69"/>
    <w:rsid w:val="49C170F2"/>
    <w:rsid w:val="523C056E"/>
    <w:rsid w:val="702B143E"/>
    <w:rsid w:val="738A35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4"/>
    <w:qFormat/>
    <w:uiPriority w:val="0"/>
    <w:rPr>
      <w:rFonts w:ascii="Tahoma" w:hAnsi="Tahoma" w:cs="Tahoma"/>
      <w:sz w:val="16"/>
      <w:szCs w:val="16"/>
    </w:rPr>
  </w:style>
  <w:style w:type="paragraph" w:styleId="7">
    <w:name w:val="caption"/>
    <w:basedOn w:val="1"/>
    <w:next w:val="1"/>
    <w:semiHidden/>
    <w:unhideWhenUsed/>
    <w:qFormat/>
    <w:uiPriority w:val="0"/>
    <w:rPr>
      <w:rFonts w:ascii="Arial" w:hAnsi="Arial" w:eastAsia="黑体" w:cs="Arial"/>
      <w:sz w:val="20"/>
    </w:rPr>
  </w:style>
  <w:style w:type="paragraph" w:styleId="8">
    <w:name w:val="footer"/>
    <w:basedOn w:val="1"/>
    <w:qFormat/>
    <w:uiPriority w:val="0"/>
    <w:pPr>
      <w:tabs>
        <w:tab w:val="center" w:pos="4153"/>
        <w:tab w:val="right" w:pos="8306"/>
      </w:tabs>
      <w:snapToGrid w:val="0"/>
    </w:pPr>
    <w:rPr>
      <w:sz w:val="18"/>
      <w:szCs w:val="18"/>
    </w:rPr>
  </w:style>
  <w:style w:type="paragraph" w:styleId="9">
    <w:name w:val="header"/>
    <w:basedOn w:val="1"/>
    <w:uiPriority w:val="0"/>
    <w:pPr>
      <w:tabs>
        <w:tab w:val="center" w:pos="4153"/>
        <w:tab w:val="right" w:pos="8306"/>
      </w:tabs>
      <w:snapToGrid w:val="0"/>
    </w:pPr>
    <w:rPr>
      <w:sz w:val="18"/>
      <w:szCs w:val="18"/>
    </w:rPr>
  </w:style>
  <w:style w:type="character" w:styleId="10">
    <w:name w:val="Hyperlink"/>
    <w:basedOn w:val="4"/>
    <w:uiPriority w:val="0"/>
    <w:rPr>
      <w:color w:val="0000FF"/>
      <w:u w:val="single"/>
    </w:rPr>
  </w:style>
  <w:style w:type="table" w:styleId="11">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2">
    <w:name w:val="table of figures"/>
    <w:basedOn w:val="1"/>
    <w:next w:val="1"/>
    <w:uiPriority w:val="0"/>
    <w:pPr>
      <w:ind w:leftChars="200" w:hanging="200" w:hangingChars="200"/>
    </w:pPr>
  </w:style>
  <w:style w:type="paragraph" w:customStyle="1" w:styleId="13">
    <w:name w:val="WPSOffice手动目录 1"/>
    <w:uiPriority w:val="0"/>
    <w:rPr>
      <w:rFonts w:ascii="Times New Roman" w:hAnsi="Times New Roman" w:eastAsia="SimSun" w:cs="Times New Roman"/>
      <w:lang w:val="en-US" w:eastAsia="en-US" w:bidi="ar-SA"/>
    </w:rPr>
  </w:style>
  <w:style w:type="character" w:customStyle="1" w:styleId="14">
    <w:name w:val="Balloon Text Char"/>
    <w:basedOn w:val="4"/>
    <w:link w:val="6"/>
    <w:qFormat/>
    <w:uiPriority w:val="0"/>
    <w:rPr>
      <w:rFonts w:ascii="Tahoma" w:hAnsi="Tahoma" w:cs="Tahoma" w:eastAsiaTheme="minorEastAsia"/>
      <w:sz w:val="16"/>
      <w:szCs w:val="16"/>
      <w:lang w:eastAsia="zh-CN"/>
    </w:rPr>
  </w:style>
  <w:style w:type="character" w:customStyle="1" w:styleId="15">
    <w:name w:val="sw"/>
    <w:basedOn w:val="4"/>
    <w:uiPriority w:val="0"/>
  </w:style>
  <w:style w:type="paragraph" w:customStyle="1" w:styleId="16">
    <w:name w:val="WPSOffice手动目录 2"/>
    <w:uiPriority w:val="0"/>
    <w:pPr>
      <w:ind w:leftChars="200"/>
    </w:pPr>
    <w:rPr>
      <w:sz w:val="20"/>
      <w:szCs w:val="20"/>
    </w:rPr>
  </w:style>
  <w:style w:type="character" w:customStyle="1" w:styleId="17">
    <w:name w:val="无间隔 Char"/>
    <w:basedOn w:val="4"/>
    <w:link w:val="18"/>
    <w:uiPriority w:val="0"/>
    <w:rPr>
      <w:rFonts w:hint="default" w:ascii="Times New Roman" w:hAnsi="Times New Roman" w:eastAsia="SimSun"/>
      <w:sz w:val="22"/>
    </w:rPr>
  </w:style>
  <w:style w:type="paragraph" w:customStyle="1" w:styleId="18">
    <w:name w:val="No Spacing"/>
    <w:link w:val="17"/>
    <w:uiPriority w:val="0"/>
    <w:rPr>
      <w:rFonts w:hint="default" w:ascii="Times New Roman" w:hAnsi="Times New Roman" w:eastAsia="SimSun"/>
      <w:sz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dul%20Wahab%20Shah\Downloads\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Grid"/>
      <sectRole val="1"/>
    </customSectPr>
    <customSectPr/>
  </customSectProps>
  <customShpExts>
    <customShpInfo spid="_x0000_s2049" textRotate="1"/>
    <customShpInfo spid="_x0000_s1029"/>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3786</Words>
  <Characters>21585</Characters>
  <Lines>179</Lines>
  <Paragraphs>50</Paragraphs>
  <TotalTime>4</TotalTime>
  <ScaleCrop>false</ScaleCrop>
  <LinksUpToDate>false</LinksUpToDate>
  <CharactersWithSpaces>25321</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2023-05-05T19:28:00Z</dcterms:created>
  <dc:creator>Abdul Wahab Shah</dc:creator>
  <cp:lastModifiedBy>Abdul Wahab Shah</cp:lastModifiedBy>
  <dcterms:modified xsi:type="dcterms:W3CDTF">2023-05-05T21:42:50Z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FD4CD99B71CF40ED830AE98D102E9D00</vt:lpwstr>
  </property>
</Properties>
</file>