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9699AF" w14:textId="77777777" w:rsidR="008D7551" w:rsidRDefault="008D7551">
      <w:pPr>
        <w:rPr>
          <w:rFonts w:cstheme="minorHAnsi"/>
        </w:rPr>
      </w:pPr>
    </w:p>
    <w:p w14:paraId="0B0781EB" w14:textId="00DB3BED" w:rsidR="001D01C7" w:rsidRDefault="001D01C7">
      <w:pPr>
        <w:rPr>
          <w:rFonts w:cstheme="minorHAnsi"/>
        </w:rPr>
      </w:pPr>
      <w:r w:rsidRPr="00975C5A">
        <w:rPr>
          <w:rFonts w:cstheme="minorHAnsi"/>
        </w:rPr>
        <w:t>The following is an encyclopaedia entry in the style of the Oxford Islamic Studies online.</w:t>
      </w:r>
    </w:p>
    <w:p w14:paraId="13767B06" w14:textId="77777777" w:rsidR="00BB2B30" w:rsidRDefault="00BB2B30">
      <w:pPr>
        <w:rPr>
          <w:rFonts w:cstheme="minorHAnsi"/>
        </w:rPr>
      </w:pPr>
    </w:p>
    <w:p w14:paraId="30BD947E" w14:textId="435A3FAA" w:rsidR="001D01C7" w:rsidRDefault="0001014B">
      <w:pPr>
        <w:rPr>
          <w:rFonts w:cstheme="minorHAnsi"/>
        </w:rPr>
      </w:pPr>
      <w:r>
        <w:rPr>
          <w:rFonts w:cstheme="minorHAnsi"/>
        </w:rPr>
        <w:t>Ijtihad</w:t>
      </w:r>
    </w:p>
    <w:p w14:paraId="78493638" w14:textId="5F147C7B" w:rsidR="00BB2B30" w:rsidRDefault="00BB2B30">
      <w:pPr>
        <w:rPr>
          <w:rFonts w:cstheme="minorHAnsi"/>
        </w:rPr>
      </w:pPr>
    </w:p>
    <w:p w14:paraId="2FF86947" w14:textId="5F8C2DCF" w:rsidR="00AD610A" w:rsidRPr="009F2440" w:rsidRDefault="00AD610A" w:rsidP="009F2440">
      <w:pPr>
        <w:spacing w:line="360" w:lineRule="auto"/>
        <w:jc w:val="both"/>
        <w:rPr>
          <w:rFonts w:cstheme="minorHAnsi"/>
          <w:color w:val="000000"/>
          <w:shd w:val="clear" w:color="auto" w:fill="FFFFFF"/>
        </w:rPr>
      </w:pPr>
      <w:r w:rsidRPr="009F2440">
        <w:rPr>
          <w:rFonts w:cstheme="minorHAnsi"/>
          <w:i/>
        </w:rPr>
        <w:t>Ijtihad</w:t>
      </w:r>
      <w:r w:rsidRPr="009F2440">
        <w:rPr>
          <w:rFonts w:cstheme="minorHAnsi"/>
        </w:rPr>
        <w:t xml:space="preserve"> is the </w:t>
      </w:r>
      <w:r w:rsidR="00665C5B" w:rsidRPr="009F2440">
        <w:rPr>
          <w:rFonts w:cstheme="minorHAnsi"/>
        </w:rPr>
        <w:t xml:space="preserve">Arabic </w:t>
      </w:r>
      <w:r w:rsidRPr="009F2440">
        <w:rPr>
          <w:rFonts w:cstheme="minorHAnsi"/>
        </w:rPr>
        <w:t xml:space="preserve">term </w:t>
      </w:r>
      <w:r w:rsidR="000A56EA" w:rsidRPr="009F2440">
        <w:rPr>
          <w:rFonts w:cstheme="minorHAnsi"/>
        </w:rPr>
        <w:t xml:space="preserve">used </w:t>
      </w:r>
      <w:r w:rsidR="00665C5B" w:rsidRPr="009F2440">
        <w:rPr>
          <w:rFonts w:cstheme="minorHAnsi"/>
        </w:rPr>
        <w:t>to define the ‘</w:t>
      </w:r>
      <w:r w:rsidR="00665C5B" w:rsidRPr="009F2440">
        <w:rPr>
          <w:rFonts w:cstheme="minorHAnsi"/>
          <w:color w:val="000000"/>
          <w:shd w:val="clear" w:color="auto" w:fill="FFFFFF"/>
        </w:rPr>
        <w:t>utmost effort an individual can put forth in an activity</w:t>
      </w:r>
      <w:r w:rsidR="00665C5B" w:rsidRPr="009F2440">
        <w:rPr>
          <w:rFonts w:cstheme="minorHAnsi"/>
          <w:color w:val="000000"/>
          <w:shd w:val="clear" w:color="auto" w:fill="FFFFFF"/>
        </w:rPr>
        <w:t>’</w:t>
      </w:r>
      <w:r w:rsidR="00501ACB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1"/>
      </w:r>
      <w:r w:rsidR="001F5D6E" w:rsidRPr="009F2440">
        <w:rPr>
          <w:rFonts w:cstheme="minorHAnsi"/>
          <w:color w:val="000000"/>
          <w:shd w:val="clear" w:color="auto" w:fill="FFFFFF"/>
        </w:rPr>
        <w:t xml:space="preserve">. Within </w:t>
      </w:r>
      <w:r w:rsidR="00C964DF" w:rsidRPr="009F2440">
        <w:rPr>
          <w:rFonts w:cstheme="minorHAnsi"/>
          <w:color w:val="000000"/>
          <w:shd w:val="clear" w:color="auto" w:fill="FFFFFF"/>
        </w:rPr>
        <w:t>Sharia</w:t>
      </w:r>
      <w:r w:rsidR="001F5D6E" w:rsidRPr="009F2440">
        <w:rPr>
          <w:rFonts w:cstheme="minorHAnsi"/>
          <w:color w:val="000000"/>
          <w:shd w:val="clear" w:color="auto" w:fill="FFFFFF"/>
        </w:rPr>
        <w:t xml:space="preserve">, the term refers to the maximum effort expended </w:t>
      </w:r>
      <w:r w:rsidR="007741EE" w:rsidRPr="009F2440">
        <w:rPr>
          <w:rFonts w:cstheme="minorHAnsi"/>
          <w:color w:val="000000"/>
          <w:shd w:val="clear" w:color="auto" w:fill="FFFFFF"/>
        </w:rPr>
        <w:t>b</w:t>
      </w:r>
      <w:r w:rsidR="001F5D6E" w:rsidRPr="009F2440">
        <w:rPr>
          <w:rFonts w:cstheme="minorHAnsi"/>
          <w:color w:val="000000"/>
          <w:shd w:val="clear" w:color="auto" w:fill="FFFFFF"/>
        </w:rPr>
        <w:t xml:space="preserve">y a jurist </w:t>
      </w:r>
      <w:r w:rsidR="00C964DF" w:rsidRPr="009F2440">
        <w:rPr>
          <w:rFonts w:cstheme="minorHAnsi"/>
          <w:color w:val="000000"/>
          <w:shd w:val="clear" w:color="auto" w:fill="FFFFFF"/>
        </w:rPr>
        <w:t xml:space="preserve">to master and apply </w:t>
      </w:r>
      <w:r w:rsidR="00C964DF" w:rsidRPr="00C83069">
        <w:rPr>
          <w:rFonts w:cstheme="minorHAnsi"/>
          <w:i/>
          <w:color w:val="000000"/>
          <w:shd w:val="clear" w:color="auto" w:fill="FFFFFF"/>
        </w:rPr>
        <w:t>usul al-fiqh</w:t>
      </w:r>
      <w:r w:rsidR="00C964DF" w:rsidRPr="009F2440">
        <w:rPr>
          <w:rFonts w:cstheme="minorHAnsi"/>
          <w:color w:val="000000"/>
          <w:shd w:val="clear" w:color="auto" w:fill="FFFFFF"/>
        </w:rPr>
        <w:t xml:space="preserve"> (legal theory)</w:t>
      </w:r>
      <w:r w:rsidR="00531651" w:rsidRPr="009F2440">
        <w:rPr>
          <w:rFonts w:cstheme="minorHAnsi"/>
          <w:color w:val="000000"/>
          <w:shd w:val="clear" w:color="auto" w:fill="FFFFFF"/>
        </w:rPr>
        <w:t xml:space="preserve"> to discover God’s law</w:t>
      </w:r>
      <w:r w:rsidR="00BD4213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2"/>
      </w:r>
      <w:r w:rsidR="00C26779" w:rsidRPr="009F2440">
        <w:rPr>
          <w:rFonts w:cstheme="minorHAnsi"/>
          <w:color w:val="000000"/>
          <w:shd w:val="clear" w:color="auto" w:fill="FFFFFF"/>
        </w:rPr>
        <w:t>.</w:t>
      </w:r>
    </w:p>
    <w:p w14:paraId="1FC65736" w14:textId="733A901E" w:rsidR="00C26779" w:rsidRPr="009F2440" w:rsidRDefault="00C26779" w:rsidP="009F2440">
      <w:pPr>
        <w:spacing w:line="360" w:lineRule="auto"/>
        <w:jc w:val="both"/>
        <w:rPr>
          <w:rFonts w:cstheme="minorHAnsi"/>
          <w:color w:val="000000"/>
          <w:shd w:val="clear" w:color="auto" w:fill="FFFFFF"/>
        </w:rPr>
      </w:pPr>
      <w:r w:rsidRPr="009F2440">
        <w:rPr>
          <w:rFonts w:cstheme="minorHAnsi"/>
          <w:color w:val="000000"/>
          <w:shd w:val="clear" w:color="auto" w:fill="FFFFFF"/>
        </w:rPr>
        <w:t>During the formative years of Islam</w:t>
      </w:r>
      <w:r w:rsidR="005C3CC3" w:rsidRPr="009F2440">
        <w:rPr>
          <w:rFonts w:cstheme="minorHAnsi"/>
          <w:color w:val="000000"/>
          <w:shd w:val="clear" w:color="auto" w:fill="FFFFFF"/>
        </w:rPr>
        <w:t>ic law</w:t>
      </w:r>
      <w:r w:rsidR="00227EA1" w:rsidRPr="009F2440">
        <w:rPr>
          <w:rFonts w:cstheme="minorHAnsi"/>
          <w:color w:val="000000"/>
          <w:shd w:val="clear" w:color="auto" w:fill="FFFFFF"/>
        </w:rPr>
        <w:t>,</w:t>
      </w:r>
      <w:r w:rsidR="00942520" w:rsidRPr="009F2440">
        <w:rPr>
          <w:rFonts w:cstheme="minorHAnsi"/>
          <w:color w:val="000000"/>
          <w:shd w:val="clear" w:color="auto" w:fill="FFFFFF"/>
        </w:rPr>
        <w:t xml:space="preserve"> qualified jurists employed</w:t>
      </w:r>
      <w:r w:rsidR="00C83069">
        <w:rPr>
          <w:rFonts w:cstheme="minorHAnsi"/>
          <w:color w:val="000000"/>
          <w:shd w:val="clear" w:color="auto" w:fill="FFFFFF"/>
        </w:rPr>
        <w:t xml:space="preserve"> a type of</w:t>
      </w:r>
      <w:r w:rsidR="00942520" w:rsidRPr="009F2440">
        <w:rPr>
          <w:rFonts w:cstheme="minorHAnsi"/>
          <w:color w:val="000000"/>
          <w:shd w:val="clear" w:color="auto" w:fill="FFFFFF"/>
        </w:rPr>
        <w:t xml:space="preserve"> </w:t>
      </w:r>
      <w:r w:rsidR="00942520" w:rsidRPr="009F2440">
        <w:rPr>
          <w:rFonts w:cstheme="minorHAnsi"/>
          <w:i/>
          <w:color w:val="000000"/>
          <w:shd w:val="clear" w:color="auto" w:fill="FFFFFF"/>
        </w:rPr>
        <w:t>ijtihad</w:t>
      </w:r>
      <w:r w:rsidR="00326B73" w:rsidRPr="009F2440">
        <w:rPr>
          <w:rFonts w:cstheme="minorHAnsi"/>
          <w:color w:val="000000"/>
          <w:shd w:val="clear" w:color="auto" w:fill="FFFFFF"/>
        </w:rPr>
        <w:t>. In</w:t>
      </w:r>
      <w:r w:rsidR="0074763D" w:rsidRPr="009F2440">
        <w:rPr>
          <w:rFonts w:cstheme="minorHAnsi"/>
          <w:color w:val="000000"/>
          <w:shd w:val="clear" w:color="auto" w:fill="FFFFFF"/>
        </w:rPr>
        <w:t xml:space="preserve"> its nascent form</w:t>
      </w:r>
      <w:r w:rsidR="00326B73" w:rsidRPr="009F2440">
        <w:rPr>
          <w:rFonts w:cstheme="minorHAnsi"/>
          <w:color w:val="000000"/>
          <w:shd w:val="clear" w:color="auto" w:fill="FFFFFF"/>
        </w:rPr>
        <w:t xml:space="preserve"> it was</w:t>
      </w:r>
      <w:r w:rsidR="00942520" w:rsidRPr="009F2440">
        <w:rPr>
          <w:rFonts w:cstheme="minorHAnsi"/>
          <w:color w:val="000000"/>
          <w:shd w:val="clear" w:color="auto" w:fill="FFFFFF"/>
        </w:rPr>
        <w:t xml:space="preserve"> </w:t>
      </w:r>
      <w:r w:rsidR="00C83069">
        <w:rPr>
          <w:rFonts w:cstheme="minorHAnsi"/>
          <w:color w:val="000000"/>
          <w:shd w:val="clear" w:color="auto" w:fill="FFFFFF"/>
        </w:rPr>
        <w:t>referred to as</w:t>
      </w:r>
      <w:r w:rsidR="003106CF" w:rsidRPr="009F2440">
        <w:rPr>
          <w:rFonts w:cstheme="minorHAnsi"/>
          <w:color w:val="000000"/>
          <w:shd w:val="clear" w:color="auto" w:fill="FFFFFF"/>
        </w:rPr>
        <w:t xml:space="preserve"> </w:t>
      </w:r>
      <w:r w:rsidR="003106CF" w:rsidRPr="009F2440">
        <w:rPr>
          <w:rFonts w:cstheme="minorHAnsi"/>
          <w:i/>
          <w:color w:val="000000"/>
          <w:shd w:val="clear" w:color="auto" w:fill="FFFFFF"/>
        </w:rPr>
        <w:t>ra’y</w:t>
      </w:r>
      <w:r w:rsidR="007C24EA" w:rsidRPr="009F2440">
        <w:rPr>
          <w:rFonts w:cstheme="minorHAnsi"/>
          <w:color w:val="000000"/>
          <w:shd w:val="clear" w:color="auto" w:fill="FFFFFF"/>
        </w:rPr>
        <w:t xml:space="preserve"> (considered opinion)</w:t>
      </w:r>
      <w:r w:rsidR="003106CF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3"/>
      </w:r>
      <w:r w:rsidR="0074763D" w:rsidRPr="009F2440">
        <w:rPr>
          <w:rFonts w:cstheme="minorHAnsi"/>
          <w:color w:val="000000"/>
          <w:shd w:val="clear" w:color="auto" w:fill="FFFFFF"/>
        </w:rPr>
        <w:t>.</w:t>
      </w:r>
      <w:r w:rsidR="00F06C5F" w:rsidRPr="009F2440">
        <w:rPr>
          <w:rFonts w:cstheme="minorHAnsi"/>
          <w:color w:val="000000"/>
          <w:shd w:val="clear" w:color="auto" w:fill="FFFFFF"/>
        </w:rPr>
        <w:t xml:space="preserve"> </w:t>
      </w:r>
      <w:r w:rsidR="0074763D" w:rsidRPr="009F2440">
        <w:rPr>
          <w:rFonts w:cstheme="minorHAnsi"/>
          <w:color w:val="000000"/>
          <w:shd w:val="clear" w:color="auto" w:fill="FFFFFF"/>
        </w:rPr>
        <w:t>The practice</w:t>
      </w:r>
      <w:r w:rsidR="006C2C2B" w:rsidRPr="009F2440">
        <w:rPr>
          <w:rFonts w:cstheme="minorHAnsi"/>
          <w:color w:val="000000"/>
          <w:shd w:val="clear" w:color="auto" w:fill="FFFFFF"/>
        </w:rPr>
        <w:t xml:space="preserve"> of </w:t>
      </w:r>
      <w:r w:rsidR="00F06C5F" w:rsidRPr="009F2440">
        <w:rPr>
          <w:rFonts w:cstheme="minorHAnsi"/>
          <w:i/>
          <w:color w:val="000000"/>
          <w:shd w:val="clear" w:color="auto" w:fill="FFFFFF"/>
        </w:rPr>
        <w:t>talab al-ilm</w:t>
      </w:r>
      <w:r w:rsidR="00F06C5F" w:rsidRPr="009F2440">
        <w:rPr>
          <w:rFonts w:cstheme="minorHAnsi"/>
          <w:color w:val="000000"/>
          <w:shd w:val="clear" w:color="auto" w:fill="FFFFFF"/>
        </w:rPr>
        <w:t xml:space="preserve"> (travel in search of knowledge)</w:t>
      </w:r>
      <w:r w:rsidR="009449A2" w:rsidRPr="009F2440">
        <w:rPr>
          <w:rFonts w:cstheme="minorHAnsi"/>
          <w:color w:val="000000"/>
          <w:shd w:val="clear" w:color="auto" w:fill="FFFFFF"/>
        </w:rPr>
        <w:t xml:space="preserve"> was common</w:t>
      </w:r>
      <w:r w:rsidR="006C2C2B" w:rsidRPr="009F2440">
        <w:rPr>
          <w:rFonts w:cstheme="minorHAnsi"/>
          <w:color w:val="000000"/>
          <w:shd w:val="clear" w:color="auto" w:fill="FFFFFF"/>
        </w:rPr>
        <w:t>, thus s</w:t>
      </w:r>
      <w:r w:rsidR="0045674B" w:rsidRPr="009F2440">
        <w:rPr>
          <w:rFonts w:cstheme="minorHAnsi"/>
          <w:color w:val="000000"/>
          <w:shd w:val="clear" w:color="auto" w:fill="FFFFFF"/>
        </w:rPr>
        <w:t>earching for knowledge meant uncovering Islamic textual sources</w:t>
      </w:r>
      <w:r w:rsidR="006C2C2B" w:rsidRPr="009F2440">
        <w:rPr>
          <w:rFonts w:cstheme="minorHAnsi"/>
          <w:color w:val="000000"/>
          <w:shd w:val="clear" w:color="auto" w:fill="FFFFFF"/>
        </w:rPr>
        <w:t>.</w:t>
      </w:r>
      <w:r w:rsidR="005C3CC3" w:rsidRPr="009F2440">
        <w:rPr>
          <w:rFonts w:cstheme="minorHAnsi"/>
          <w:color w:val="000000"/>
          <w:shd w:val="clear" w:color="auto" w:fill="FFFFFF"/>
        </w:rPr>
        <w:t xml:space="preserve"> </w:t>
      </w:r>
      <w:r w:rsidR="006C2C2B" w:rsidRPr="009F2440">
        <w:rPr>
          <w:rFonts w:cstheme="minorHAnsi"/>
          <w:i/>
          <w:color w:val="000000"/>
          <w:shd w:val="clear" w:color="auto" w:fill="FFFFFF"/>
        </w:rPr>
        <w:t>I</w:t>
      </w:r>
      <w:r w:rsidR="005C3CC3" w:rsidRPr="009F2440">
        <w:rPr>
          <w:rFonts w:cstheme="minorHAnsi"/>
          <w:i/>
          <w:color w:val="000000"/>
          <w:shd w:val="clear" w:color="auto" w:fill="FFFFFF"/>
        </w:rPr>
        <w:t>lm</w:t>
      </w:r>
      <w:r w:rsidR="005C3CC3" w:rsidRPr="009F2440">
        <w:rPr>
          <w:rFonts w:cstheme="minorHAnsi"/>
          <w:color w:val="000000"/>
          <w:shd w:val="clear" w:color="auto" w:fill="FFFFFF"/>
        </w:rPr>
        <w:t xml:space="preserve"> signified the knowledge contained within the Quran and Sunna</w:t>
      </w:r>
      <w:r w:rsidR="00BB582D" w:rsidRPr="009F2440">
        <w:rPr>
          <w:rFonts w:cstheme="minorHAnsi"/>
          <w:color w:val="000000"/>
          <w:shd w:val="clear" w:color="auto" w:fill="FFFFFF"/>
        </w:rPr>
        <w:t xml:space="preserve"> and </w:t>
      </w:r>
      <w:r w:rsidR="006C2C2B" w:rsidRPr="009F2440">
        <w:rPr>
          <w:rFonts w:cstheme="minorHAnsi"/>
          <w:i/>
          <w:color w:val="000000"/>
          <w:shd w:val="clear" w:color="auto" w:fill="FFFFFF"/>
        </w:rPr>
        <w:t>ra’y</w:t>
      </w:r>
      <w:r w:rsidR="00BB582D" w:rsidRPr="009F2440">
        <w:rPr>
          <w:rFonts w:cstheme="minorHAnsi"/>
          <w:color w:val="000000"/>
          <w:shd w:val="clear" w:color="auto" w:fill="FFFFFF"/>
        </w:rPr>
        <w:t xml:space="preserve"> was its binary opposite</w:t>
      </w:r>
      <w:r w:rsidR="005C3CC3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4"/>
      </w:r>
      <w:r w:rsidR="00942520" w:rsidRPr="009F2440">
        <w:rPr>
          <w:rFonts w:cstheme="minorHAnsi"/>
          <w:color w:val="000000"/>
          <w:shd w:val="clear" w:color="auto" w:fill="FFFFFF"/>
        </w:rPr>
        <w:t>.</w:t>
      </w:r>
      <w:r w:rsidR="00C6522F" w:rsidRPr="009F2440">
        <w:rPr>
          <w:rFonts w:cstheme="minorHAnsi"/>
          <w:color w:val="000000"/>
          <w:shd w:val="clear" w:color="auto" w:fill="FFFFFF"/>
        </w:rPr>
        <w:t xml:space="preserve"> </w:t>
      </w:r>
      <w:r w:rsidR="00C6522F" w:rsidRPr="009F2440">
        <w:rPr>
          <w:rFonts w:cstheme="minorHAnsi"/>
          <w:i/>
          <w:color w:val="000000"/>
          <w:shd w:val="clear" w:color="auto" w:fill="FFFFFF"/>
        </w:rPr>
        <w:t>Ijtihad al-ra’y</w:t>
      </w:r>
      <w:r w:rsidR="00C6522F" w:rsidRPr="009F2440">
        <w:rPr>
          <w:rFonts w:cstheme="minorHAnsi"/>
          <w:color w:val="000000"/>
          <w:shd w:val="clear" w:color="auto" w:fill="FFFFFF"/>
        </w:rPr>
        <w:t xml:space="preserve"> amounted to </w:t>
      </w:r>
      <w:r w:rsidR="00CF4949" w:rsidRPr="009F2440">
        <w:rPr>
          <w:rFonts w:cstheme="minorHAnsi"/>
          <w:color w:val="000000"/>
          <w:shd w:val="clear" w:color="auto" w:fill="FFFFFF"/>
        </w:rPr>
        <w:t xml:space="preserve">the intellectual reasoning by a legal scholar who was </w:t>
      </w:r>
      <w:r w:rsidR="00524C87" w:rsidRPr="009F2440">
        <w:rPr>
          <w:rFonts w:cstheme="minorHAnsi"/>
          <w:color w:val="000000"/>
          <w:shd w:val="clear" w:color="auto" w:fill="FFFFFF"/>
        </w:rPr>
        <w:t>equipped with knowledge and religious auth</w:t>
      </w:r>
      <w:r w:rsidR="00326B73" w:rsidRPr="009F2440">
        <w:rPr>
          <w:rFonts w:cstheme="minorHAnsi"/>
          <w:color w:val="000000"/>
          <w:shd w:val="clear" w:color="auto" w:fill="FFFFFF"/>
        </w:rPr>
        <w:t>o</w:t>
      </w:r>
      <w:r w:rsidR="00524C87" w:rsidRPr="009F2440">
        <w:rPr>
          <w:rFonts w:cstheme="minorHAnsi"/>
          <w:color w:val="000000"/>
          <w:shd w:val="clear" w:color="auto" w:fill="FFFFFF"/>
        </w:rPr>
        <w:t>rity</w:t>
      </w:r>
      <w:r w:rsidR="00524C87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5"/>
      </w:r>
      <w:r w:rsidR="00326B73" w:rsidRPr="009F2440">
        <w:rPr>
          <w:rFonts w:cstheme="minorHAnsi"/>
          <w:color w:val="000000"/>
          <w:shd w:val="clear" w:color="auto" w:fill="FFFFFF"/>
        </w:rPr>
        <w:t>.</w:t>
      </w:r>
    </w:p>
    <w:p w14:paraId="459605A7" w14:textId="77777777" w:rsidR="007D2938" w:rsidRDefault="0083098B" w:rsidP="009F2440">
      <w:pPr>
        <w:spacing w:line="360" w:lineRule="auto"/>
        <w:jc w:val="both"/>
        <w:rPr>
          <w:rFonts w:cstheme="minorHAnsi"/>
          <w:color w:val="000000"/>
          <w:shd w:val="clear" w:color="auto" w:fill="FFFFFF"/>
        </w:rPr>
      </w:pPr>
      <w:r w:rsidRPr="009F2440">
        <w:rPr>
          <w:rFonts w:cstheme="minorHAnsi"/>
          <w:color w:val="000000"/>
          <w:shd w:val="clear" w:color="auto" w:fill="FFFFFF"/>
        </w:rPr>
        <w:t>Before Islamic textual sources were established and when authority</w:t>
      </w:r>
      <w:r w:rsidR="003A31AC" w:rsidRPr="009F2440">
        <w:rPr>
          <w:rFonts w:cstheme="minorHAnsi"/>
          <w:color w:val="000000"/>
          <w:shd w:val="clear" w:color="auto" w:fill="FFFFFF"/>
        </w:rPr>
        <w:t xml:space="preserve"> over them</w:t>
      </w:r>
      <w:r w:rsidR="00D06BCA">
        <w:rPr>
          <w:rFonts w:cstheme="minorHAnsi"/>
          <w:color w:val="000000"/>
          <w:shd w:val="clear" w:color="auto" w:fill="FFFFFF"/>
        </w:rPr>
        <w:t xml:space="preserve"> was</w:t>
      </w:r>
      <w:r w:rsidR="003A31AC" w:rsidRPr="009F2440">
        <w:rPr>
          <w:rFonts w:cstheme="minorHAnsi"/>
          <w:color w:val="000000"/>
          <w:shd w:val="clear" w:color="auto" w:fill="FFFFFF"/>
        </w:rPr>
        <w:t xml:space="preserve"> not </w:t>
      </w:r>
      <w:r w:rsidR="00D06BCA">
        <w:rPr>
          <w:rFonts w:cstheme="minorHAnsi"/>
          <w:color w:val="000000"/>
          <w:shd w:val="clear" w:color="auto" w:fill="FFFFFF"/>
        </w:rPr>
        <w:t xml:space="preserve">fully </w:t>
      </w:r>
      <w:r w:rsidR="003A31AC" w:rsidRPr="009F2440">
        <w:rPr>
          <w:rFonts w:cstheme="minorHAnsi"/>
          <w:color w:val="000000"/>
          <w:shd w:val="clear" w:color="auto" w:fill="FFFFFF"/>
        </w:rPr>
        <w:t xml:space="preserve">controlled, the application of </w:t>
      </w:r>
      <w:r w:rsidR="003A31AC" w:rsidRPr="009F2440">
        <w:rPr>
          <w:rFonts w:cstheme="minorHAnsi"/>
          <w:i/>
          <w:color w:val="000000"/>
          <w:shd w:val="clear" w:color="auto" w:fill="FFFFFF"/>
        </w:rPr>
        <w:t>ra’y</w:t>
      </w:r>
      <w:r w:rsidR="003A31AC" w:rsidRPr="009F2440">
        <w:rPr>
          <w:rFonts w:cstheme="minorHAnsi"/>
          <w:color w:val="000000"/>
          <w:shd w:val="clear" w:color="auto" w:fill="FFFFFF"/>
        </w:rPr>
        <w:t xml:space="preserve"> was not held in disapproval</w:t>
      </w:r>
      <w:r w:rsidR="003A31AC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6"/>
      </w:r>
      <w:r w:rsidR="0000123B" w:rsidRPr="009F2440">
        <w:rPr>
          <w:rFonts w:cstheme="minorHAnsi"/>
          <w:color w:val="000000"/>
          <w:shd w:val="clear" w:color="auto" w:fill="FFFFFF"/>
        </w:rPr>
        <w:t xml:space="preserve">. </w:t>
      </w:r>
      <w:r w:rsidR="00152089" w:rsidRPr="009F2440">
        <w:rPr>
          <w:rFonts w:cstheme="minorHAnsi"/>
          <w:color w:val="000000"/>
          <w:shd w:val="clear" w:color="auto" w:fill="FFFFFF"/>
        </w:rPr>
        <w:t>The legitimacy of</w:t>
      </w:r>
      <w:r w:rsidR="0000123B" w:rsidRPr="009F2440">
        <w:rPr>
          <w:rFonts w:cstheme="minorHAnsi"/>
          <w:color w:val="000000"/>
          <w:shd w:val="clear" w:color="auto" w:fill="FFFFFF"/>
        </w:rPr>
        <w:t xml:space="preserve"> </w:t>
      </w:r>
      <w:r w:rsidR="0000123B" w:rsidRPr="00D06BCA">
        <w:rPr>
          <w:rFonts w:cstheme="minorHAnsi"/>
          <w:i/>
          <w:color w:val="000000"/>
          <w:shd w:val="clear" w:color="auto" w:fill="FFFFFF"/>
        </w:rPr>
        <w:t>ra’y</w:t>
      </w:r>
      <w:r w:rsidR="0000123B" w:rsidRPr="009F2440">
        <w:rPr>
          <w:rFonts w:cstheme="minorHAnsi"/>
          <w:color w:val="000000"/>
          <w:shd w:val="clear" w:color="auto" w:fill="FFFFFF"/>
        </w:rPr>
        <w:t xml:space="preserve"> </w:t>
      </w:r>
      <w:r w:rsidR="00152089" w:rsidRPr="009F2440">
        <w:rPr>
          <w:rFonts w:cstheme="minorHAnsi"/>
          <w:color w:val="000000"/>
          <w:shd w:val="clear" w:color="auto" w:fill="FFFFFF"/>
        </w:rPr>
        <w:t xml:space="preserve">begun to </w:t>
      </w:r>
      <w:r w:rsidR="0000123B" w:rsidRPr="009F2440">
        <w:rPr>
          <w:rFonts w:cstheme="minorHAnsi"/>
          <w:color w:val="000000"/>
          <w:shd w:val="clear" w:color="auto" w:fill="FFFFFF"/>
        </w:rPr>
        <w:t>diminish</w:t>
      </w:r>
      <w:r w:rsidR="00436C87" w:rsidRPr="009F2440">
        <w:rPr>
          <w:rFonts w:cstheme="minorHAnsi"/>
          <w:color w:val="000000"/>
          <w:shd w:val="clear" w:color="auto" w:fill="FFFFFF"/>
        </w:rPr>
        <w:t xml:space="preserve"> towards the end of the first Islamic century under Umar II</w:t>
      </w:r>
      <w:r w:rsidR="00A05C07" w:rsidRPr="009F2440">
        <w:rPr>
          <w:rFonts w:cstheme="minorHAnsi"/>
          <w:color w:val="000000"/>
          <w:shd w:val="clear" w:color="auto" w:fill="FFFFFF"/>
        </w:rPr>
        <w:t xml:space="preserve"> when he required </w:t>
      </w:r>
      <w:r w:rsidR="00D06BCA">
        <w:rPr>
          <w:rFonts w:cstheme="minorHAnsi"/>
          <w:color w:val="000000"/>
          <w:shd w:val="clear" w:color="auto" w:fill="FFFFFF"/>
        </w:rPr>
        <w:t xml:space="preserve">that </w:t>
      </w:r>
      <w:r w:rsidR="00A05C07" w:rsidRPr="009F2440">
        <w:rPr>
          <w:rFonts w:cstheme="minorHAnsi"/>
          <w:color w:val="000000"/>
          <w:shd w:val="clear" w:color="auto" w:fill="FFFFFF"/>
        </w:rPr>
        <w:t xml:space="preserve">appointed judges </w:t>
      </w:r>
      <w:r w:rsidR="00D06BCA">
        <w:rPr>
          <w:rFonts w:cstheme="minorHAnsi"/>
          <w:color w:val="000000"/>
          <w:shd w:val="clear" w:color="auto" w:fill="FFFFFF"/>
        </w:rPr>
        <w:t>should be</w:t>
      </w:r>
      <w:r w:rsidR="00A05C07" w:rsidRPr="009F2440">
        <w:rPr>
          <w:rFonts w:cstheme="minorHAnsi"/>
          <w:color w:val="000000"/>
          <w:shd w:val="clear" w:color="auto" w:fill="FFFFFF"/>
        </w:rPr>
        <w:t xml:space="preserve"> in possession of </w:t>
      </w:r>
      <w:r w:rsidR="00A05C07" w:rsidRPr="00D06BCA">
        <w:rPr>
          <w:rFonts w:cstheme="minorHAnsi"/>
          <w:i/>
          <w:color w:val="000000"/>
          <w:shd w:val="clear" w:color="auto" w:fill="FFFFFF"/>
        </w:rPr>
        <w:t>ilm</w:t>
      </w:r>
      <w:r w:rsidR="00A05C07" w:rsidRPr="009F2440">
        <w:rPr>
          <w:rFonts w:cstheme="minorHAnsi"/>
          <w:color w:val="000000"/>
          <w:shd w:val="clear" w:color="auto" w:fill="FFFFFF"/>
        </w:rPr>
        <w:t xml:space="preserve"> not </w:t>
      </w:r>
      <w:r w:rsidR="00A05C07" w:rsidRPr="00D06BCA">
        <w:rPr>
          <w:rFonts w:cstheme="minorHAnsi"/>
          <w:i/>
          <w:color w:val="000000"/>
          <w:shd w:val="clear" w:color="auto" w:fill="FFFFFF"/>
        </w:rPr>
        <w:t>ra’y</w:t>
      </w:r>
      <w:r w:rsidR="00D32623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7"/>
      </w:r>
      <w:r w:rsidR="00D32623" w:rsidRPr="009F2440">
        <w:rPr>
          <w:rFonts w:cstheme="minorHAnsi"/>
          <w:color w:val="000000"/>
          <w:shd w:val="clear" w:color="auto" w:fill="FFFFFF"/>
        </w:rPr>
        <w:t>.</w:t>
      </w:r>
      <w:r w:rsidR="00F013EB" w:rsidRPr="009F2440">
        <w:rPr>
          <w:rFonts w:cstheme="minorHAnsi"/>
          <w:color w:val="000000"/>
          <w:shd w:val="clear" w:color="auto" w:fill="FFFFFF"/>
        </w:rPr>
        <w:t xml:space="preserve"> The scope and definition </w:t>
      </w:r>
      <w:r w:rsidR="001F5A46" w:rsidRPr="009F2440">
        <w:rPr>
          <w:rFonts w:cstheme="minorHAnsi"/>
          <w:color w:val="000000"/>
          <w:shd w:val="clear" w:color="auto" w:fill="FFFFFF"/>
        </w:rPr>
        <w:t xml:space="preserve">of </w:t>
      </w:r>
      <w:r w:rsidR="001F5A46" w:rsidRPr="009F2440">
        <w:rPr>
          <w:rFonts w:cstheme="minorHAnsi"/>
          <w:i/>
          <w:color w:val="000000"/>
          <w:shd w:val="clear" w:color="auto" w:fill="FFFFFF"/>
        </w:rPr>
        <w:t>ijtihad</w:t>
      </w:r>
      <w:r w:rsidR="001F5A46" w:rsidRPr="009F2440">
        <w:rPr>
          <w:rFonts w:cstheme="minorHAnsi"/>
          <w:color w:val="000000"/>
          <w:shd w:val="clear" w:color="auto" w:fill="FFFFFF"/>
        </w:rPr>
        <w:t xml:space="preserve"> </w:t>
      </w:r>
      <w:r w:rsidR="00F013EB" w:rsidRPr="009F2440">
        <w:rPr>
          <w:rFonts w:cstheme="minorHAnsi"/>
          <w:color w:val="000000"/>
          <w:shd w:val="clear" w:color="auto" w:fill="FFFFFF"/>
        </w:rPr>
        <w:t>also became clearer</w:t>
      </w:r>
      <w:r w:rsidR="001F5A46" w:rsidRPr="009F2440">
        <w:rPr>
          <w:rFonts w:cstheme="minorHAnsi"/>
          <w:color w:val="000000"/>
          <w:shd w:val="clear" w:color="auto" w:fill="FFFFFF"/>
        </w:rPr>
        <w:t xml:space="preserve"> at that time with it</w:t>
      </w:r>
      <w:r w:rsidR="00C075A2" w:rsidRPr="009F2440">
        <w:rPr>
          <w:rFonts w:cstheme="minorHAnsi"/>
          <w:color w:val="000000"/>
          <w:shd w:val="clear" w:color="auto" w:fill="FFFFFF"/>
        </w:rPr>
        <w:t xml:space="preserve"> becoming</w:t>
      </w:r>
      <w:r w:rsidR="001F5A46" w:rsidRPr="009F2440">
        <w:rPr>
          <w:rFonts w:cstheme="minorHAnsi"/>
          <w:color w:val="000000"/>
          <w:shd w:val="clear" w:color="auto" w:fill="FFFFFF"/>
        </w:rPr>
        <w:t xml:space="preserve"> limited to a process of interpreting the law </w:t>
      </w:r>
      <w:r w:rsidR="007F03E2" w:rsidRPr="009F2440">
        <w:rPr>
          <w:rFonts w:cstheme="minorHAnsi"/>
          <w:color w:val="000000"/>
          <w:shd w:val="clear" w:color="auto" w:fill="FFFFFF"/>
        </w:rPr>
        <w:t>using the authoritative texts of the Quran and Sunna</w:t>
      </w:r>
      <w:r w:rsidR="007F03E2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8"/>
      </w:r>
      <w:r w:rsidR="00C075A2" w:rsidRPr="009F2440">
        <w:rPr>
          <w:rFonts w:cstheme="minorHAnsi"/>
          <w:color w:val="000000"/>
          <w:shd w:val="clear" w:color="auto" w:fill="FFFFFF"/>
        </w:rPr>
        <w:t xml:space="preserve">. </w:t>
      </w:r>
    </w:p>
    <w:p w14:paraId="57FE25B9" w14:textId="4E924194" w:rsidR="00F605D9" w:rsidRPr="009F2440" w:rsidRDefault="00ED0E05" w:rsidP="009F2440">
      <w:pPr>
        <w:spacing w:line="360" w:lineRule="auto"/>
        <w:jc w:val="both"/>
        <w:rPr>
          <w:rFonts w:cstheme="minorHAnsi"/>
          <w:color w:val="000000"/>
          <w:shd w:val="clear" w:color="auto" w:fill="FFFFFF"/>
        </w:rPr>
      </w:pPr>
      <w:r w:rsidRPr="009F2440">
        <w:rPr>
          <w:rFonts w:cstheme="minorHAnsi"/>
          <w:color w:val="000000"/>
          <w:shd w:val="clear" w:color="auto" w:fill="FFFFFF"/>
        </w:rPr>
        <w:t>Q</w:t>
      </w:r>
      <w:r w:rsidRPr="009F2440">
        <w:rPr>
          <w:rFonts w:cstheme="minorHAnsi"/>
          <w:i/>
          <w:color w:val="000000"/>
          <w:shd w:val="clear" w:color="auto" w:fill="FFFFFF"/>
        </w:rPr>
        <w:t>iyas</w:t>
      </w:r>
      <w:r w:rsidRPr="009F2440">
        <w:rPr>
          <w:rFonts w:cstheme="minorHAnsi"/>
          <w:color w:val="000000"/>
          <w:shd w:val="clear" w:color="auto" w:fill="FFFFFF"/>
        </w:rPr>
        <w:t xml:space="preserve"> (reasoning by analogy)</w:t>
      </w:r>
      <w:r w:rsidRPr="009F2440">
        <w:rPr>
          <w:rFonts w:cstheme="minorHAnsi"/>
          <w:color w:val="000000"/>
          <w:shd w:val="clear" w:color="auto" w:fill="FFFFFF"/>
        </w:rPr>
        <w:t xml:space="preserve"> was considered as a </w:t>
      </w:r>
      <w:r w:rsidR="0054503C" w:rsidRPr="009F2440">
        <w:rPr>
          <w:rFonts w:cstheme="minorHAnsi"/>
          <w:color w:val="000000"/>
          <w:shd w:val="clear" w:color="auto" w:fill="FFFFFF"/>
        </w:rPr>
        <w:t xml:space="preserve">fourth source of law </w:t>
      </w:r>
      <w:r w:rsidRPr="009F2440">
        <w:rPr>
          <w:rFonts w:cstheme="minorHAnsi"/>
          <w:color w:val="000000"/>
          <w:shd w:val="clear" w:color="auto" w:fill="FFFFFF"/>
        </w:rPr>
        <w:t xml:space="preserve">by </w:t>
      </w:r>
      <w:r w:rsidRPr="009F2440">
        <w:rPr>
          <w:rFonts w:cstheme="minorHAnsi"/>
          <w:color w:val="000000"/>
          <w:shd w:val="clear" w:color="auto" w:fill="FFFFFF"/>
        </w:rPr>
        <w:t>Ash-Shafi’i’s</w:t>
      </w:r>
      <w:r w:rsidR="00820276" w:rsidRPr="009F2440">
        <w:rPr>
          <w:rFonts w:cstheme="minorHAnsi"/>
          <w:color w:val="000000"/>
          <w:shd w:val="clear" w:color="auto" w:fill="FFFFFF"/>
        </w:rPr>
        <w:t>.</w:t>
      </w:r>
      <w:r w:rsidRPr="009F2440">
        <w:rPr>
          <w:rFonts w:cstheme="minorHAnsi"/>
          <w:color w:val="000000"/>
          <w:shd w:val="clear" w:color="auto" w:fill="FFFFFF"/>
        </w:rPr>
        <w:t xml:space="preserve"> </w:t>
      </w:r>
      <w:r w:rsidR="00820276" w:rsidRPr="009F2440">
        <w:rPr>
          <w:rFonts w:cstheme="minorHAnsi"/>
          <w:color w:val="000000"/>
          <w:shd w:val="clear" w:color="auto" w:fill="FFFFFF"/>
        </w:rPr>
        <w:t>T</w:t>
      </w:r>
      <w:r w:rsidR="00811B9F" w:rsidRPr="009F2440">
        <w:rPr>
          <w:rFonts w:cstheme="minorHAnsi"/>
          <w:color w:val="000000"/>
          <w:shd w:val="clear" w:color="auto" w:fill="FFFFFF"/>
        </w:rPr>
        <w:t>hrough its widest application of the law</w:t>
      </w:r>
      <w:r w:rsidR="00820276" w:rsidRPr="009F2440">
        <w:rPr>
          <w:rFonts w:cstheme="minorHAnsi"/>
          <w:color w:val="000000"/>
          <w:shd w:val="clear" w:color="auto" w:fill="FFFFFF"/>
        </w:rPr>
        <w:t xml:space="preserve"> </w:t>
      </w:r>
      <w:r w:rsidR="00CD166C" w:rsidRPr="009F2440">
        <w:rPr>
          <w:rFonts w:cstheme="minorHAnsi"/>
          <w:color w:val="000000"/>
          <w:shd w:val="clear" w:color="auto" w:fill="FFFFFF"/>
        </w:rPr>
        <w:t>it</w:t>
      </w:r>
      <w:r w:rsidR="00811B9F" w:rsidRPr="009F2440">
        <w:rPr>
          <w:rFonts w:cstheme="minorHAnsi"/>
          <w:color w:val="000000"/>
          <w:shd w:val="clear" w:color="auto" w:fill="FFFFFF"/>
        </w:rPr>
        <w:t xml:space="preserve"> was </w:t>
      </w:r>
      <w:r w:rsidR="00811B9F" w:rsidRPr="009F2440">
        <w:rPr>
          <w:rFonts w:cstheme="minorHAnsi"/>
          <w:i/>
          <w:color w:val="000000"/>
          <w:shd w:val="clear" w:color="auto" w:fill="FFFFFF"/>
        </w:rPr>
        <w:t>ijtihad</w:t>
      </w:r>
      <w:r w:rsidR="00820276" w:rsidRPr="009F2440">
        <w:rPr>
          <w:rFonts w:cstheme="minorHAnsi"/>
          <w:color w:val="000000"/>
          <w:shd w:val="clear" w:color="auto" w:fill="FFFFFF"/>
        </w:rPr>
        <w:t xml:space="preserve"> </w:t>
      </w:r>
      <w:r w:rsidR="00CD166C" w:rsidRPr="009F2440">
        <w:rPr>
          <w:rFonts w:cstheme="minorHAnsi"/>
          <w:color w:val="000000"/>
          <w:shd w:val="clear" w:color="auto" w:fill="FFFFFF"/>
        </w:rPr>
        <w:t>that</w:t>
      </w:r>
      <w:r w:rsidR="00720B27" w:rsidRPr="009F2440">
        <w:rPr>
          <w:rFonts w:cstheme="minorHAnsi"/>
          <w:color w:val="000000"/>
          <w:shd w:val="clear" w:color="auto" w:fill="FFFFFF"/>
        </w:rPr>
        <w:t xml:space="preserve"> </w:t>
      </w:r>
      <w:r w:rsidR="00CD166C" w:rsidRPr="009F2440">
        <w:rPr>
          <w:rFonts w:cstheme="minorHAnsi"/>
          <w:color w:val="000000"/>
          <w:shd w:val="clear" w:color="auto" w:fill="FFFFFF"/>
        </w:rPr>
        <w:t>accounted for</w:t>
      </w:r>
      <w:r w:rsidR="00811B9F" w:rsidRPr="009F2440">
        <w:rPr>
          <w:rFonts w:cstheme="minorHAnsi"/>
          <w:color w:val="000000"/>
          <w:shd w:val="clear" w:color="auto" w:fill="FFFFFF"/>
        </w:rPr>
        <w:t xml:space="preserve"> </w:t>
      </w:r>
      <w:r w:rsidR="00720B27" w:rsidRPr="009F2440">
        <w:rPr>
          <w:rFonts w:cstheme="minorHAnsi"/>
          <w:color w:val="000000"/>
          <w:shd w:val="clear" w:color="auto" w:fill="FFFFFF"/>
        </w:rPr>
        <w:t>the amount of energy required in interpreting text</w:t>
      </w:r>
      <w:r w:rsidR="00820276" w:rsidRPr="009F2440">
        <w:rPr>
          <w:rFonts w:cstheme="minorHAnsi"/>
          <w:color w:val="000000"/>
          <w:shd w:val="clear" w:color="auto" w:fill="FFFFFF"/>
        </w:rPr>
        <w:t xml:space="preserve"> to the authenticity of Islamic traditions</w:t>
      </w:r>
      <w:r w:rsidR="00EF0CD5" w:rsidRPr="009F2440">
        <w:rPr>
          <w:rFonts w:cstheme="minorHAnsi"/>
          <w:color w:val="000000"/>
          <w:shd w:val="clear" w:color="auto" w:fill="FFFFFF"/>
        </w:rPr>
        <w:t xml:space="preserve">. </w:t>
      </w:r>
      <w:r w:rsidR="00983F71" w:rsidRPr="009F2440">
        <w:rPr>
          <w:rFonts w:cstheme="minorHAnsi"/>
          <w:color w:val="000000"/>
          <w:shd w:val="clear" w:color="auto" w:fill="FFFFFF"/>
        </w:rPr>
        <w:t xml:space="preserve">The Quran and the Sunna contain </w:t>
      </w:r>
      <w:r w:rsidR="00983F71" w:rsidRPr="009F2440">
        <w:rPr>
          <w:rFonts w:cstheme="minorHAnsi"/>
          <w:i/>
          <w:color w:val="000000"/>
          <w:shd w:val="clear" w:color="auto" w:fill="FFFFFF"/>
        </w:rPr>
        <w:t>ahkim</w:t>
      </w:r>
      <w:r w:rsidR="00983F71" w:rsidRPr="009F2440">
        <w:rPr>
          <w:rFonts w:cstheme="minorHAnsi"/>
          <w:color w:val="000000"/>
          <w:shd w:val="clear" w:color="auto" w:fill="FFFFFF"/>
        </w:rPr>
        <w:t xml:space="preserve"> (rulings) and </w:t>
      </w:r>
      <w:r w:rsidR="00983F71" w:rsidRPr="009F2440">
        <w:rPr>
          <w:rFonts w:cstheme="minorHAnsi"/>
          <w:i/>
          <w:color w:val="000000"/>
          <w:shd w:val="clear" w:color="auto" w:fill="FFFFFF"/>
        </w:rPr>
        <w:t xml:space="preserve">dalalat </w:t>
      </w:r>
      <w:r w:rsidR="00983F71" w:rsidRPr="009F2440">
        <w:rPr>
          <w:rFonts w:cstheme="minorHAnsi"/>
          <w:color w:val="000000"/>
          <w:shd w:val="clear" w:color="auto" w:fill="FFFFFF"/>
        </w:rPr>
        <w:t>(indications) that led to</w:t>
      </w:r>
      <w:r w:rsidR="00983F71" w:rsidRPr="009F2440">
        <w:rPr>
          <w:rFonts w:cstheme="minorHAnsi"/>
          <w:i/>
          <w:color w:val="000000"/>
          <w:shd w:val="clear" w:color="auto" w:fill="FFFFFF"/>
        </w:rPr>
        <w:t xml:space="preserve"> ilal</w:t>
      </w:r>
      <w:r w:rsidR="00983F71" w:rsidRPr="009F2440">
        <w:rPr>
          <w:rFonts w:cstheme="minorHAnsi"/>
          <w:color w:val="000000"/>
          <w:shd w:val="clear" w:color="auto" w:fill="FFFFFF"/>
        </w:rPr>
        <w:t xml:space="preserve"> (causes) of rulings. In the application of </w:t>
      </w:r>
      <w:r w:rsidR="00983F71" w:rsidRPr="009F2440">
        <w:rPr>
          <w:rFonts w:cstheme="minorHAnsi"/>
          <w:i/>
          <w:color w:val="000000"/>
          <w:shd w:val="clear" w:color="auto" w:fill="FFFFFF"/>
        </w:rPr>
        <w:t>dalalat</w:t>
      </w:r>
      <w:r w:rsidR="00983F71" w:rsidRPr="009F2440">
        <w:rPr>
          <w:rFonts w:cstheme="minorHAnsi"/>
          <w:color w:val="000000"/>
          <w:shd w:val="clear" w:color="auto" w:fill="FFFFFF"/>
        </w:rPr>
        <w:t xml:space="preserve">, mujtahid attempted to use </w:t>
      </w:r>
      <w:r w:rsidR="00983F71" w:rsidRPr="009F2440">
        <w:rPr>
          <w:rFonts w:cstheme="minorHAnsi"/>
          <w:i/>
          <w:color w:val="000000"/>
          <w:shd w:val="clear" w:color="auto" w:fill="FFFFFF"/>
        </w:rPr>
        <w:t>qiyas</w:t>
      </w:r>
      <w:r w:rsidR="00983F71" w:rsidRPr="009F2440">
        <w:rPr>
          <w:rFonts w:cstheme="minorHAnsi"/>
          <w:color w:val="000000"/>
          <w:shd w:val="clear" w:color="auto" w:fill="FFFFFF"/>
        </w:rPr>
        <w:t xml:space="preserve"> to discover the </w:t>
      </w:r>
      <w:r w:rsidR="00983F71" w:rsidRPr="009F2440">
        <w:rPr>
          <w:rFonts w:cstheme="minorHAnsi"/>
          <w:i/>
          <w:color w:val="000000"/>
          <w:shd w:val="clear" w:color="auto" w:fill="FFFFFF"/>
        </w:rPr>
        <w:t xml:space="preserve">hukm </w:t>
      </w:r>
      <w:r w:rsidR="00983F71" w:rsidRPr="009F2440">
        <w:rPr>
          <w:rFonts w:cstheme="minorHAnsi"/>
          <w:color w:val="000000"/>
          <w:shd w:val="clear" w:color="auto" w:fill="FFFFFF"/>
        </w:rPr>
        <w:t>(judgement) where the Quran and Sunna fail</w:t>
      </w:r>
      <w:r w:rsidR="007D2938">
        <w:rPr>
          <w:rFonts w:cstheme="minorHAnsi"/>
          <w:color w:val="000000"/>
          <w:shd w:val="clear" w:color="auto" w:fill="FFFFFF"/>
        </w:rPr>
        <w:t>ed</w:t>
      </w:r>
      <w:r w:rsidR="00983F71" w:rsidRPr="009F2440">
        <w:rPr>
          <w:rFonts w:cstheme="minorHAnsi"/>
          <w:color w:val="000000"/>
          <w:shd w:val="clear" w:color="auto" w:fill="FFFFFF"/>
        </w:rPr>
        <w:t xml:space="preserve"> </w:t>
      </w:r>
      <w:r w:rsidR="00983F71" w:rsidRPr="009F2440">
        <w:rPr>
          <w:rFonts w:cstheme="minorHAnsi"/>
          <w:color w:val="000000"/>
          <w:shd w:val="clear" w:color="auto" w:fill="FFFFFF"/>
        </w:rPr>
        <w:lastRenderedPageBreak/>
        <w:t xml:space="preserve">to guide in cases of </w:t>
      </w:r>
      <w:r w:rsidR="00983F71" w:rsidRPr="007D2938">
        <w:rPr>
          <w:rFonts w:cstheme="minorHAnsi"/>
          <w:i/>
          <w:color w:val="000000"/>
          <w:shd w:val="clear" w:color="auto" w:fill="FFFFFF"/>
        </w:rPr>
        <w:t>far</w:t>
      </w:r>
      <w:r w:rsidR="00983F71" w:rsidRPr="009F2440">
        <w:rPr>
          <w:rFonts w:cstheme="minorHAnsi"/>
          <w:color w:val="000000"/>
          <w:shd w:val="clear" w:color="auto" w:fill="FFFFFF"/>
        </w:rPr>
        <w:t xml:space="preserve"> (an unprecedented matter)</w:t>
      </w:r>
      <w:r w:rsidR="00983F71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9"/>
      </w:r>
      <w:r w:rsidR="00983F71" w:rsidRPr="009F2440">
        <w:rPr>
          <w:rFonts w:cstheme="minorHAnsi"/>
          <w:color w:val="000000"/>
          <w:shd w:val="clear" w:color="auto" w:fill="FFFFFF"/>
        </w:rPr>
        <w:t>.</w:t>
      </w:r>
      <w:r w:rsidR="001343EC" w:rsidRPr="009F2440">
        <w:rPr>
          <w:rFonts w:cstheme="minorHAnsi"/>
          <w:color w:val="000000"/>
          <w:shd w:val="clear" w:color="auto" w:fill="FFFFFF"/>
        </w:rPr>
        <w:t xml:space="preserve"> </w:t>
      </w:r>
      <w:r w:rsidR="00EF0CD5" w:rsidRPr="009F2440">
        <w:rPr>
          <w:rFonts w:cstheme="minorHAnsi"/>
          <w:i/>
          <w:color w:val="000000"/>
          <w:shd w:val="clear" w:color="auto" w:fill="FFFFFF"/>
        </w:rPr>
        <w:t>Ijtihad</w:t>
      </w:r>
      <w:r w:rsidR="00EF0CD5" w:rsidRPr="009F2440">
        <w:rPr>
          <w:rFonts w:cstheme="minorHAnsi"/>
          <w:color w:val="000000"/>
          <w:shd w:val="clear" w:color="auto" w:fill="FFFFFF"/>
        </w:rPr>
        <w:t xml:space="preserve"> being a particular form of </w:t>
      </w:r>
      <w:r w:rsidR="00EF0CD5" w:rsidRPr="009F2440">
        <w:rPr>
          <w:rFonts w:cstheme="minorHAnsi"/>
          <w:i/>
          <w:color w:val="000000"/>
          <w:shd w:val="clear" w:color="auto" w:fill="FFFFFF"/>
        </w:rPr>
        <w:t>qiyas</w:t>
      </w:r>
      <w:r w:rsidR="00EF0CD5" w:rsidRPr="009F2440">
        <w:rPr>
          <w:rFonts w:cstheme="minorHAnsi"/>
          <w:color w:val="000000"/>
          <w:shd w:val="clear" w:color="auto" w:fill="FFFFFF"/>
        </w:rPr>
        <w:t xml:space="preserve"> is a</w:t>
      </w:r>
      <w:r w:rsidR="00E47E78" w:rsidRPr="009F2440">
        <w:rPr>
          <w:rFonts w:cstheme="minorHAnsi"/>
          <w:color w:val="000000"/>
          <w:shd w:val="clear" w:color="auto" w:fill="FFFFFF"/>
        </w:rPr>
        <w:t xml:space="preserve"> method through which the principles held within the Quran, Sunna and </w:t>
      </w:r>
      <w:r w:rsidR="00E47E78" w:rsidRPr="009F2440">
        <w:rPr>
          <w:rFonts w:cstheme="minorHAnsi"/>
          <w:i/>
          <w:color w:val="000000"/>
          <w:shd w:val="clear" w:color="auto" w:fill="FFFFFF"/>
        </w:rPr>
        <w:t>ijma</w:t>
      </w:r>
      <w:r w:rsidR="00E47E78" w:rsidRPr="009F2440">
        <w:rPr>
          <w:rFonts w:cstheme="minorHAnsi"/>
          <w:color w:val="000000"/>
          <w:shd w:val="clear" w:color="auto" w:fill="FFFFFF"/>
        </w:rPr>
        <w:t xml:space="preserve"> (consensus) can be </w:t>
      </w:r>
      <w:r w:rsidR="00080909" w:rsidRPr="009F2440">
        <w:rPr>
          <w:rFonts w:cstheme="minorHAnsi"/>
          <w:color w:val="000000"/>
          <w:shd w:val="clear" w:color="auto" w:fill="FFFFFF"/>
        </w:rPr>
        <w:t>applied for all other matters not expressly regulated</w:t>
      </w:r>
      <w:r w:rsidR="00F33764">
        <w:rPr>
          <w:rFonts w:cstheme="minorHAnsi"/>
          <w:color w:val="000000"/>
          <w:shd w:val="clear" w:color="auto" w:fill="FFFFFF"/>
        </w:rPr>
        <w:t xml:space="preserve"> therein</w:t>
      </w:r>
      <w:r w:rsidR="00080909" w:rsidRPr="009F2440">
        <w:rPr>
          <w:rStyle w:val="FootnoteReference"/>
          <w:rFonts w:cstheme="minorHAnsi"/>
          <w:color w:val="000000"/>
          <w:shd w:val="clear" w:color="auto" w:fill="FFFFFF"/>
        </w:rPr>
        <w:footnoteReference w:id="10"/>
      </w:r>
      <w:r w:rsidR="00D36798" w:rsidRPr="009F2440">
        <w:rPr>
          <w:rFonts w:cstheme="minorHAnsi"/>
          <w:color w:val="000000"/>
          <w:shd w:val="clear" w:color="auto" w:fill="FFFFFF"/>
        </w:rPr>
        <w:t>.</w:t>
      </w:r>
    </w:p>
    <w:p w14:paraId="6F417B30" w14:textId="71399E46" w:rsidR="00CE37DB" w:rsidRPr="009F2440" w:rsidRDefault="00CE37DB" w:rsidP="009F2440">
      <w:pPr>
        <w:shd w:val="clear" w:color="auto" w:fill="FFFFFF"/>
        <w:spacing w:before="360" w:after="360" w:line="360" w:lineRule="auto"/>
        <w:rPr>
          <w:rFonts w:eastAsia="Times New Roman" w:cstheme="minorHAnsi"/>
          <w:color w:val="000000"/>
          <w:lang w:eastAsia="en-GB"/>
        </w:rPr>
      </w:pPr>
      <w:r w:rsidRPr="009F2440">
        <w:rPr>
          <w:rFonts w:eastAsia="Times New Roman" w:cstheme="minorHAnsi"/>
          <w:color w:val="000000"/>
          <w:lang w:eastAsia="en-GB"/>
        </w:rPr>
        <w:t>In the development of Islamic law, sixteenth century Sunni reformers</w:t>
      </w:r>
      <w:r w:rsidR="00CA441F" w:rsidRPr="009F2440">
        <w:rPr>
          <w:rFonts w:eastAsia="Times New Roman" w:cstheme="minorHAnsi"/>
          <w:color w:val="000000"/>
          <w:lang w:eastAsia="en-GB"/>
        </w:rPr>
        <w:t xml:space="preserve"> were critical of </w:t>
      </w:r>
      <w:r w:rsidR="00CA441F" w:rsidRPr="009F2440">
        <w:rPr>
          <w:rFonts w:eastAsia="Times New Roman" w:cstheme="minorHAnsi"/>
          <w:i/>
          <w:color w:val="000000"/>
          <w:lang w:eastAsia="en-GB"/>
        </w:rPr>
        <w:t>taqlid</w:t>
      </w:r>
      <w:r w:rsidR="00CA441F" w:rsidRPr="009F2440">
        <w:rPr>
          <w:rFonts w:eastAsia="Times New Roman" w:cstheme="minorHAnsi"/>
          <w:color w:val="000000"/>
          <w:lang w:eastAsia="en-GB"/>
        </w:rPr>
        <w:t xml:space="preserve"> (blind imitation</w:t>
      </w:r>
      <w:r w:rsidR="00CA441F" w:rsidRPr="009F2440">
        <w:rPr>
          <w:rStyle w:val="FootnoteReference"/>
          <w:rFonts w:eastAsia="Times New Roman" w:cstheme="minorHAnsi"/>
          <w:color w:val="000000"/>
          <w:lang w:eastAsia="en-GB"/>
        </w:rPr>
        <w:footnoteReference w:id="11"/>
      </w:r>
      <w:r w:rsidR="00EA7CDB" w:rsidRPr="009F2440">
        <w:rPr>
          <w:rFonts w:eastAsia="Times New Roman" w:cstheme="minorHAnsi"/>
          <w:color w:val="000000"/>
          <w:lang w:eastAsia="en-GB"/>
        </w:rPr>
        <w:t>)</w:t>
      </w:r>
      <w:r w:rsidR="004B60CA" w:rsidRPr="009F2440">
        <w:rPr>
          <w:rFonts w:eastAsia="Times New Roman" w:cstheme="minorHAnsi"/>
          <w:color w:val="000000"/>
          <w:lang w:eastAsia="en-GB"/>
        </w:rPr>
        <w:t xml:space="preserve"> as it could lead to </w:t>
      </w:r>
      <w:r w:rsidR="007B307E" w:rsidRPr="009F2440">
        <w:rPr>
          <w:rFonts w:eastAsia="Times New Roman" w:cstheme="minorHAnsi"/>
          <w:color w:val="000000"/>
          <w:lang w:eastAsia="en-GB"/>
        </w:rPr>
        <w:t>intellectual</w:t>
      </w:r>
      <w:r w:rsidR="004B60CA" w:rsidRPr="009F2440">
        <w:rPr>
          <w:rFonts w:eastAsia="Times New Roman" w:cstheme="minorHAnsi"/>
          <w:color w:val="000000"/>
          <w:lang w:eastAsia="en-GB"/>
        </w:rPr>
        <w:t xml:space="preserve"> and</w:t>
      </w:r>
      <w:r w:rsidR="007B307E" w:rsidRPr="009F2440">
        <w:rPr>
          <w:rFonts w:eastAsia="Times New Roman" w:cstheme="minorHAnsi"/>
          <w:color w:val="000000"/>
          <w:lang w:eastAsia="en-GB"/>
        </w:rPr>
        <w:t xml:space="preserve"> cultural stagnation</w:t>
      </w:r>
      <w:r w:rsidR="007B307E" w:rsidRPr="009F2440">
        <w:rPr>
          <w:rStyle w:val="FootnoteReference"/>
          <w:rFonts w:eastAsia="Times New Roman" w:cstheme="minorHAnsi"/>
          <w:color w:val="000000"/>
          <w:lang w:eastAsia="en-GB"/>
        </w:rPr>
        <w:footnoteReference w:id="12"/>
      </w:r>
      <w:r w:rsidR="00D477AE" w:rsidRPr="009F2440">
        <w:rPr>
          <w:rFonts w:eastAsia="Times New Roman" w:cstheme="minorHAnsi"/>
          <w:color w:val="000000"/>
          <w:lang w:eastAsia="en-GB"/>
        </w:rPr>
        <w:t xml:space="preserve">. </w:t>
      </w:r>
      <w:r w:rsidR="00D477AE" w:rsidRPr="009F2440">
        <w:rPr>
          <w:rFonts w:eastAsia="Times New Roman" w:cstheme="minorHAnsi"/>
          <w:i/>
          <w:color w:val="000000"/>
          <w:lang w:eastAsia="en-GB"/>
        </w:rPr>
        <w:t>Ijtihad</w:t>
      </w:r>
      <w:r w:rsidR="00D477AE" w:rsidRPr="009F2440">
        <w:rPr>
          <w:rFonts w:eastAsia="Times New Roman" w:cstheme="minorHAnsi"/>
          <w:color w:val="000000"/>
          <w:lang w:eastAsia="en-GB"/>
        </w:rPr>
        <w:t xml:space="preserve"> was seen as a way of assisting in the interpretation of the Quran and Sunna</w:t>
      </w:r>
      <w:r w:rsidR="00D95309" w:rsidRPr="009F2440">
        <w:rPr>
          <w:rFonts w:eastAsia="Times New Roman" w:cstheme="minorHAnsi"/>
          <w:color w:val="000000"/>
          <w:lang w:eastAsia="en-GB"/>
        </w:rPr>
        <w:t xml:space="preserve"> and as a useful way of applying Islamic law</w:t>
      </w:r>
      <w:r w:rsidR="00361529" w:rsidRPr="009F2440">
        <w:rPr>
          <w:rFonts w:eastAsia="Times New Roman" w:cstheme="minorHAnsi"/>
          <w:color w:val="000000"/>
          <w:lang w:eastAsia="en-GB"/>
        </w:rPr>
        <w:t xml:space="preserve"> within a modern Western society</w:t>
      </w:r>
      <w:r w:rsidR="00F91D41" w:rsidRPr="009F2440">
        <w:rPr>
          <w:rFonts w:eastAsia="Times New Roman" w:cstheme="minorHAnsi"/>
          <w:color w:val="000000"/>
          <w:lang w:eastAsia="en-GB"/>
        </w:rPr>
        <w:t>. Muslim jurists</w:t>
      </w:r>
      <w:r w:rsidR="00B15E17" w:rsidRPr="009F2440">
        <w:rPr>
          <w:rFonts w:eastAsia="Times New Roman" w:cstheme="minorHAnsi"/>
          <w:color w:val="000000"/>
          <w:lang w:eastAsia="en-GB"/>
        </w:rPr>
        <w:t xml:space="preserve">’ application of </w:t>
      </w:r>
      <w:r w:rsidR="00B15E17" w:rsidRPr="009F2440">
        <w:rPr>
          <w:rFonts w:eastAsia="Times New Roman" w:cstheme="minorHAnsi"/>
          <w:i/>
          <w:color w:val="000000"/>
          <w:lang w:eastAsia="en-GB"/>
        </w:rPr>
        <w:t>ijtihad</w:t>
      </w:r>
      <w:r w:rsidR="00F91D41" w:rsidRPr="009F2440">
        <w:rPr>
          <w:rFonts w:eastAsia="Times New Roman" w:cstheme="minorHAnsi"/>
          <w:color w:val="000000"/>
          <w:lang w:eastAsia="en-GB"/>
        </w:rPr>
        <w:t xml:space="preserve"> have </w:t>
      </w:r>
      <w:r w:rsidR="00B15E17" w:rsidRPr="009F2440">
        <w:rPr>
          <w:rFonts w:eastAsia="Times New Roman" w:cstheme="minorHAnsi"/>
          <w:color w:val="000000"/>
          <w:lang w:eastAsia="en-GB"/>
        </w:rPr>
        <w:t xml:space="preserve">made legal revisions in the absence of </w:t>
      </w:r>
      <w:r w:rsidR="00A34AF7" w:rsidRPr="009F2440">
        <w:rPr>
          <w:rFonts w:eastAsia="Times New Roman" w:cstheme="minorHAnsi"/>
          <w:color w:val="000000"/>
          <w:lang w:eastAsia="en-GB"/>
        </w:rPr>
        <w:t>supporting Islamic legal philosophy</w:t>
      </w:r>
      <w:r w:rsidR="006129D2">
        <w:rPr>
          <w:rFonts w:eastAsia="Times New Roman" w:cstheme="minorHAnsi"/>
          <w:color w:val="000000"/>
          <w:lang w:eastAsia="en-GB"/>
        </w:rPr>
        <w:t xml:space="preserve"> bringing criticism from some scholars who claim that such revisions should not be referred to as </w:t>
      </w:r>
      <w:r w:rsidR="006129D2" w:rsidRPr="006129D2">
        <w:rPr>
          <w:rFonts w:eastAsia="Times New Roman" w:cstheme="minorHAnsi"/>
          <w:i/>
          <w:color w:val="000000"/>
          <w:lang w:eastAsia="en-GB"/>
        </w:rPr>
        <w:t>ijtihad</w:t>
      </w:r>
      <w:r w:rsidR="00361529" w:rsidRPr="009F2440">
        <w:rPr>
          <w:rStyle w:val="FootnoteReference"/>
          <w:rFonts w:eastAsia="Times New Roman" w:cstheme="minorHAnsi"/>
          <w:color w:val="000000"/>
          <w:lang w:eastAsia="en-GB"/>
        </w:rPr>
        <w:footnoteReference w:id="13"/>
      </w:r>
      <w:r w:rsidR="00361529" w:rsidRPr="009F2440">
        <w:rPr>
          <w:rFonts w:eastAsia="Times New Roman" w:cstheme="minorHAnsi"/>
          <w:color w:val="000000"/>
          <w:lang w:eastAsia="en-GB"/>
        </w:rPr>
        <w:t>.</w:t>
      </w:r>
    </w:p>
    <w:p w14:paraId="635C5A67" w14:textId="77777777" w:rsidR="00CE37DB" w:rsidRDefault="00CE37DB" w:rsidP="00501ACB">
      <w:pPr>
        <w:shd w:val="clear" w:color="auto" w:fill="FFFFFF"/>
        <w:spacing w:before="360" w:after="360" w:line="360" w:lineRule="atLeast"/>
        <w:rPr>
          <w:rFonts w:ascii="Arial" w:eastAsia="Times New Roman" w:hAnsi="Arial" w:cs="Arial"/>
          <w:color w:val="000000"/>
          <w:sz w:val="18"/>
          <w:szCs w:val="18"/>
          <w:lang w:eastAsia="en-GB"/>
        </w:rPr>
      </w:pPr>
    </w:p>
    <w:p w14:paraId="0C8B89BA" w14:textId="77777777" w:rsidR="006155E4" w:rsidRDefault="006155E4">
      <w:pPr>
        <w:rPr>
          <w:rFonts w:cstheme="minorHAnsi"/>
        </w:rPr>
      </w:pPr>
    </w:p>
    <w:p w14:paraId="16C12E76" w14:textId="77777777" w:rsidR="006155E4" w:rsidRDefault="006155E4">
      <w:pPr>
        <w:rPr>
          <w:rFonts w:cstheme="minorHAnsi"/>
        </w:rPr>
      </w:pPr>
    </w:p>
    <w:p w14:paraId="46FF31E2" w14:textId="77777777" w:rsidR="006155E4" w:rsidRDefault="006155E4">
      <w:pPr>
        <w:rPr>
          <w:rFonts w:cstheme="minorHAnsi"/>
        </w:rPr>
      </w:pPr>
    </w:p>
    <w:p w14:paraId="1C3D417D" w14:textId="77777777" w:rsidR="006155E4" w:rsidRDefault="006155E4">
      <w:pPr>
        <w:rPr>
          <w:rFonts w:cstheme="minorHAnsi"/>
        </w:rPr>
      </w:pPr>
    </w:p>
    <w:p w14:paraId="04BACCDD" w14:textId="77777777" w:rsidR="006155E4" w:rsidRDefault="006155E4">
      <w:pPr>
        <w:rPr>
          <w:rFonts w:cstheme="minorHAnsi"/>
        </w:rPr>
      </w:pPr>
    </w:p>
    <w:p w14:paraId="1BC79BC1" w14:textId="77777777" w:rsidR="006155E4" w:rsidRDefault="006155E4">
      <w:pPr>
        <w:rPr>
          <w:rFonts w:cstheme="minorHAnsi"/>
        </w:rPr>
      </w:pPr>
    </w:p>
    <w:p w14:paraId="7C230492" w14:textId="77777777" w:rsidR="006155E4" w:rsidRDefault="006155E4">
      <w:pPr>
        <w:rPr>
          <w:rFonts w:cstheme="minorHAnsi"/>
        </w:rPr>
      </w:pPr>
    </w:p>
    <w:p w14:paraId="7251F4FE" w14:textId="77777777" w:rsidR="006155E4" w:rsidRDefault="006155E4">
      <w:pPr>
        <w:rPr>
          <w:rFonts w:cstheme="minorHAnsi"/>
        </w:rPr>
      </w:pPr>
    </w:p>
    <w:p w14:paraId="5C7ACCD4" w14:textId="77777777" w:rsidR="006155E4" w:rsidRDefault="006155E4">
      <w:pPr>
        <w:rPr>
          <w:rFonts w:cstheme="minorHAnsi"/>
        </w:rPr>
      </w:pPr>
    </w:p>
    <w:p w14:paraId="139DCC92" w14:textId="77777777" w:rsidR="006155E4" w:rsidRDefault="006155E4">
      <w:pPr>
        <w:rPr>
          <w:rFonts w:cstheme="minorHAnsi"/>
        </w:rPr>
      </w:pPr>
    </w:p>
    <w:p w14:paraId="31F8D756" w14:textId="77777777" w:rsidR="006155E4" w:rsidRDefault="006155E4">
      <w:pPr>
        <w:rPr>
          <w:rFonts w:cstheme="minorHAnsi"/>
        </w:rPr>
      </w:pPr>
    </w:p>
    <w:p w14:paraId="1DFB98B0" w14:textId="77777777" w:rsidR="006155E4" w:rsidRDefault="006155E4">
      <w:pPr>
        <w:rPr>
          <w:rFonts w:cstheme="minorHAnsi"/>
        </w:rPr>
      </w:pPr>
    </w:p>
    <w:p w14:paraId="78F99B1F" w14:textId="77777777" w:rsidR="006155E4" w:rsidRDefault="006155E4">
      <w:pPr>
        <w:rPr>
          <w:rFonts w:cstheme="minorHAnsi"/>
        </w:rPr>
      </w:pPr>
    </w:p>
    <w:p w14:paraId="777ACA75" w14:textId="77777777" w:rsidR="006155E4" w:rsidRDefault="006155E4">
      <w:pPr>
        <w:rPr>
          <w:rFonts w:cstheme="minorHAnsi"/>
        </w:rPr>
      </w:pPr>
    </w:p>
    <w:p w14:paraId="287BA4C7" w14:textId="77777777" w:rsidR="006155E4" w:rsidRDefault="006155E4">
      <w:pPr>
        <w:rPr>
          <w:rFonts w:cstheme="minorHAnsi"/>
        </w:rPr>
      </w:pPr>
    </w:p>
    <w:p w14:paraId="46CEF2CA" w14:textId="77777777" w:rsidR="006155E4" w:rsidRDefault="006155E4">
      <w:pPr>
        <w:rPr>
          <w:rFonts w:cstheme="minorHAnsi"/>
        </w:rPr>
      </w:pPr>
      <w:bookmarkStart w:id="0" w:name="_GoBack"/>
      <w:bookmarkEnd w:id="0"/>
    </w:p>
    <w:p w14:paraId="4345DEDA" w14:textId="3357B531" w:rsidR="00501ACB" w:rsidRDefault="0089275B">
      <w:pPr>
        <w:rPr>
          <w:rFonts w:cstheme="minorHAnsi"/>
        </w:rPr>
      </w:pPr>
      <w:r>
        <w:rPr>
          <w:rFonts w:cstheme="minorHAnsi"/>
        </w:rPr>
        <w:t>References</w:t>
      </w:r>
    </w:p>
    <w:p w14:paraId="1AE19A38" w14:textId="5BE61309" w:rsidR="00BD77ED" w:rsidRDefault="00BD77ED" w:rsidP="006155E4">
      <w:pPr>
        <w:spacing w:line="240" w:lineRule="auto"/>
        <w:rPr>
          <w:rFonts w:cstheme="minorHAnsi"/>
        </w:rPr>
      </w:pPr>
    </w:p>
    <w:p w14:paraId="24751F0E" w14:textId="286769EA" w:rsidR="00BD77ED" w:rsidRDefault="00BD77ED" w:rsidP="006155E4">
      <w:pPr>
        <w:spacing w:line="240" w:lineRule="auto"/>
        <w:rPr>
          <w:rFonts w:cstheme="minorHAnsi"/>
        </w:rPr>
      </w:pPr>
      <w:r w:rsidRPr="003D5FB8">
        <w:rPr>
          <w:rFonts w:cstheme="minorHAnsi"/>
        </w:rPr>
        <w:t>Coulson, N. J. ‘A History of Islamic Law’, Edinburgh University Press, 1964 (repr. 1990)</w:t>
      </w:r>
    </w:p>
    <w:p w14:paraId="2256F0C1" w14:textId="77777777" w:rsidR="00BD77ED" w:rsidRDefault="00BD77ED" w:rsidP="006155E4">
      <w:pPr>
        <w:spacing w:line="240" w:lineRule="auto"/>
        <w:rPr>
          <w:rFonts w:cstheme="minorHAnsi"/>
        </w:rPr>
      </w:pPr>
    </w:p>
    <w:p w14:paraId="5AF8D084" w14:textId="73448744" w:rsidR="00BD77ED" w:rsidRDefault="0089275B" w:rsidP="006155E4">
      <w:pPr>
        <w:spacing w:line="240" w:lineRule="auto"/>
      </w:pPr>
      <w:r>
        <w:t xml:space="preserve">Esposito, J.L., (ed), </w:t>
      </w:r>
      <w:r w:rsidRPr="007A6072">
        <w:t>"Ijtihad" In The Islamic World: Past and Present, edited by John L. Esposito</w:t>
      </w:r>
      <w:r w:rsidR="001E4B08">
        <w:t>, ‘</w:t>
      </w:r>
      <w:r w:rsidRPr="0059075D">
        <w:rPr>
          <w:i/>
        </w:rPr>
        <w:t>Oxford Islamic Studies Online</w:t>
      </w:r>
      <w:r w:rsidR="001E4B08">
        <w:rPr>
          <w:i/>
        </w:rPr>
        <w:t>’</w:t>
      </w:r>
      <w:r w:rsidRPr="007A6072">
        <w:t xml:space="preserve">, </w:t>
      </w:r>
      <w:r w:rsidR="0059075D">
        <w:t>date unknown, [last accessed 19</w:t>
      </w:r>
      <w:r w:rsidR="0059075D" w:rsidRPr="0059075D">
        <w:rPr>
          <w:vertAlign w:val="superscript"/>
        </w:rPr>
        <w:t>th</w:t>
      </w:r>
      <w:r w:rsidR="0059075D">
        <w:t xml:space="preserve"> May 2019] available at </w:t>
      </w:r>
      <w:hyperlink r:id="rId7" w:history="1">
        <w:r w:rsidR="0059075D" w:rsidRPr="007B45D8">
          <w:rPr>
            <w:rStyle w:val="Hyperlink"/>
          </w:rPr>
          <w:t>http://www.oxfordislamicstudies.com.ezproxy.uwtsd.ac.uk/article/opr/t243/e150</w:t>
        </w:r>
      </w:hyperlink>
    </w:p>
    <w:p w14:paraId="465130AB" w14:textId="77777777" w:rsidR="006155E4" w:rsidRDefault="006155E4" w:rsidP="006155E4">
      <w:pPr>
        <w:spacing w:line="240" w:lineRule="auto"/>
      </w:pPr>
    </w:p>
    <w:p w14:paraId="1EF931D9" w14:textId="59A047BA" w:rsidR="00BD77ED" w:rsidRDefault="00BD77ED" w:rsidP="006155E4">
      <w:pPr>
        <w:spacing w:line="240" w:lineRule="auto"/>
      </w:pPr>
      <w:r>
        <w:t xml:space="preserve">Esposito, J.L., (ed), </w:t>
      </w:r>
      <w:r w:rsidRPr="00CC6DF8">
        <w:rPr>
          <w:rFonts w:cstheme="minorHAnsi"/>
        </w:rPr>
        <w:t>"Taqlid." In The Oxford Dictionary of Islam. , edited by John L. Esposito</w:t>
      </w:r>
      <w:r>
        <w:rPr>
          <w:rFonts w:cstheme="minorHAnsi"/>
        </w:rPr>
        <w:t xml:space="preserve">, </w:t>
      </w:r>
      <w:r w:rsidRPr="00CC6DF8">
        <w:rPr>
          <w:rFonts w:cstheme="minorHAnsi"/>
        </w:rPr>
        <w:t xml:space="preserve"> </w:t>
      </w:r>
      <w:r>
        <w:t>‘</w:t>
      </w:r>
      <w:r w:rsidRPr="0059075D">
        <w:rPr>
          <w:i/>
        </w:rPr>
        <w:t>Oxford Islamic Studies Online</w:t>
      </w:r>
      <w:r>
        <w:rPr>
          <w:i/>
        </w:rPr>
        <w:t>’</w:t>
      </w:r>
      <w:r w:rsidRPr="007A6072">
        <w:t xml:space="preserve">, </w:t>
      </w:r>
      <w:r>
        <w:t>date unknown, [last accessed 19</w:t>
      </w:r>
      <w:r w:rsidRPr="0059075D">
        <w:rPr>
          <w:vertAlign w:val="superscript"/>
        </w:rPr>
        <w:t>th</w:t>
      </w:r>
      <w:r>
        <w:t xml:space="preserve"> May 2019] available at </w:t>
      </w:r>
      <w:hyperlink r:id="rId8" w:history="1">
        <w:r w:rsidRPr="007B45D8">
          <w:rPr>
            <w:rStyle w:val="Hyperlink"/>
            <w:rFonts w:cstheme="minorHAnsi"/>
          </w:rPr>
          <w:t>http://www.oxfordislamicstudies.com.ezproxy.uwtsd.ac.uk/article/opr/t125/e2339</w:t>
        </w:r>
      </w:hyperlink>
      <w:r w:rsidR="0089275B" w:rsidRPr="007A6072">
        <w:t xml:space="preserve"> </w:t>
      </w:r>
    </w:p>
    <w:p w14:paraId="74EC8C80" w14:textId="77777777" w:rsidR="006155E4" w:rsidRPr="006155E4" w:rsidRDefault="006155E4" w:rsidP="006155E4">
      <w:pPr>
        <w:spacing w:line="240" w:lineRule="auto"/>
      </w:pPr>
    </w:p>
    <w:p w14:paraId="3E9F6AA2" w14:textId="227F474E" w:rsidR="006155E4" w:rsidRDefault="0059075D" w:rsidP="006155E4">
      <w:pPr>
        <w:pStyle w:val="NormalWeb"/>
        <w:shd w:val="clear" w:color="auto" w:fill="FFFFFF"/>
        <w:rPr>
          <w:rStyle w:val="Hyperlink"/>
          <w:rFonts w:asciiTheme="minorHAnsi" w:hAnsiTheme="minorHAnsi" w:cstheme="minorHAnsi"/>
          <w:sz w:val="22"/>
          <w:szCs w:val="22"/>
        </w:rPr>
      </w:pPr>
      <w:r w:rsidRPr="006155E4">
        <w:rPr>
          <w:rFonts w:asciiTheme="minorHAnsi" w:hAnsiTheme="minorHAnsi" w:cstheme="minorHAnsi"/>
          <w:color w:val="000000"/>
          <w:sz w:val="22"/>
          <w:szCs w:val="22"/>
        </w:rPr>
        <w:t xml:space="preserve">Hallaq, W.B. ‘Was the Gate of Ijtihad Closed?’ </w:t>
      </w:r>
      <w:r w:rsidRPr="006155E4">
        <w:rPr>
          <w:rFonts w:asciiTheme="minorHAnsi" w:hAnsiTheme="minorHAnsi" w:cstheme="minorHAnsi"/>
          <w:i/>
          <w:color w:val="000000"/>
          <w:sz w:val="22"/>
          <w:szCs w:val="22"/>
        </w:rPr>
        <w:t xml:space="preserve">International Journal of Middle East Studies, </w:t>
      </w:r>
      <w:r w:rsidRPr="006155E4">
        <w:rPr>
          <w:rFonts w:asciiTheme="minorHAnsi" w:hAnsiTheme="minorHAnsi" w:cstheme="minorHAnsi"/>
          <w:color w:val="000000"/>
          <w:sz w:val="22"/>
          <w:szCs w:val="22"/>
        </w:rPr>
        <w:t>Vol. 16, No. 1 (Mar., 1984), pp. 3-41 (39 pages), Cambridge University Press,</w:t>
      </w:r>
      <w:r w:rsidR="002232CF" w:rsidRPr="006155E4">
        <w:rPr>
          <w:rFonts w:asciiTheme="minorHAnsi" w:hAnsiTheme="minorHAnsi" w:cstheme="minorHAnsi"/>
          <w:color w:val="000000"/>
          <w:sz w:val="22"/>
          <w:szCs w:val="22"/>
        </w:rPr>
        <w:t xml:space="preserve"> online,</w:t>
      </w:r>
      <w:r w:rsidRPr="006155E4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6155E4" w:rsidRPr="006155E4">
        <w:rPr>
          <w:rFonts w:asciiTheme="minorHAnsi" w:hAnsiTheme="minorHAnsi" w:cstheme="minorHAnsi"/>
          <w:sz w:val="22"/>
          <w:szCs w:val="22"/>
        </w:rPr>
        <w:t>[last accessed 19</w:t>
      </w:r>
      <w:r w:rsidR="006155E4" w:rsidRPr="006155E4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="006155E4" w:rsidRPr="006155E4">
        <w:rPr>
          <w:rFonts w:asciiTheme="minorHAnsi" w:hAnsiTheme="minorHAnsi" w:cstheme="minorHAnsi"/>
          <w:sz w:val="22"/>
          <w:szCs w:val="22"/>
        </w:rPr>
        <w:t xml:space="preserve"> May 2019] available at </w:t>
      </w:r>
      <w:hyperlink r:id="rId9" w:anchor="metadata_info_tab_contents" w:history="1">
        <w:r w:rsidRPr="006155E4">
          <w:rPr>
            <w:rStyle w:val="Hyperlink"/>
            <w:rFonts w:asciiTheme="minorHAnsi" w:hAnsiTheme="minorHAnsi" w:cstheme="minorHAnsi"/>
            <w:sz w:val="22"/>
            <w:szCs w:val="22"/>
          </w:rPr>
          <w:t>https://www-jstor-org.ezproxy.uwtsd.ac.uk/stable/162939?seq=1#metadata_info_tab_contents</w:t>
        </w:r>
      </w:hyperlink>
    </w:p>
    <w:p w14:paraId="07DF3B67" w14:textId="77777777" w:rsidR="006155E4" w:rsidRPr="006155E4" w:rsidRDefault="006155E4" w:rsidP="006155E4">
      <w:pPr>
        <w:pStyle w:val="NormalWeb"/>
        <w:shd w:val="clear" w:color="auto" w:fill="FFFFFF"/>
        <w:rPr>
          <w:rStyle w:val="Hyperlink"/>
          <w:rFonts w:asciiTheme="minorHAnsi" w:hAnsiTheme="minorHAnsi" w:cstheme="minorHAnsi"/>
          <w:sz w:val="22"/>
          <w:szCs w:val="22"/>
        </w:rPr>
      </w:pPr>
    </w:p>
    <w:p w14:paraId="6C2C5958" w14:textId="19F69D83" w:rsidR="006155E4" w:rsidRDefault="00C62CD4" w:rsidP="006155E4">
      <w:pPr>
        <w:pStyle w:val="NormalWeb"/>
        <w:shd w:val="clear" w:color="auto" w:fill="FFFFFF"/>
        <w:rPr>
          <w:rFonts w:asciiTheme="minorHAnsi" w:hAnsiTheme="minorHAnsi" w:cstheme="minorHAnsi"/>
          <w:color w:val="000000"/>
          <w:sz w:val="22"/>
          <w:szCs w:val="22"/>
        </w:rPr>
      </w:pPr>
      <w:r>
        <w:rPr>
          <w:rFonts w:asciiTheme="minorHAnsi" w:hAnsiTheme="minorHAnsi" w:cstheme="minorHAnsi"/>
          <w:color w:val="000000"/>
          <w:sz w:val="22"/>
          <w:szCs w:val="22"/>
        </w:rPr>
        <w:t>Hallaq, W.B., ‘A History of Islamic Legal Theories: An Introduction to Sunni usul al-fiqh’</w:t>
      </w:r>
      <w:r w:rsidR="00D75514">
        <w:rPr>
          <w:rFonts w:asciiTheme="minorHAnsi" w:hAnsiTheme="minorHAnsi" w:cstheme="minorHAnsi"/>
          <w:color w:val="000000"/>
          <w:sz w:val="22"/>
          <w:szCs w:val="22"/>
        </w:rPr>
        <w:t>, Cambridge University Press, England</w:t>
      </w:r>
      <w:r w:rsidR="001F6AF9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D75514">
        <w:rPr>
          <w:rFonts w:asciiTheme="minorHAnsi" w:hAnsiTheme="minorHAnsi" w:cstheme="minorHAnsi"/>
          <w:color w:val="000000"/>
          <w:sz w:val="22"/>
          <w:szCs w:val="22"/>
        </w:rPr>
        <w:t xml:space="preserve"> 1997 (repr. 2008)</w:t>
      </w:r>
    </w:p>
    <w:p w14:paraId="25055BD2" w14:textId="77777777" w:rsidR="006155E4" w:rsidRPr="002C4D83" w:rsidRDefault="006155E4" w:rsidP="006155E4">
      <w:pPr>
        <w:pStyle w:val="NormalWeb"/>
        <w:shd w:val="clear" w:color="auto" w:fill="FFFFFF"/>
        <w:rPr>
          <w:rFonts w:asciiTheme="minorHAnsi" w:hAnsiTheme="minorHAnsi" w:cstheme="minorHAnsi"/>
          <w:color w:val="000000"/>
          <w:sz w:val="22"/>
          <w:szCs w:val="22"/>
        </w:rPr>
      </w:pPr>
    </w:p>
    <w:p w14:paraId="2BD504B0" w14:textId="71087D71" w:rsidR="001E4B08" w:rsidRDefault="00725FD6" w:rsidP="006155E4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Rippin, A., ‘Muslims: Their Religious Beliefs and Practices’, </w:t>
      </w:r>
      <w:r w:rsidR="00C62CD4">
        <w:rPr>
          <w:rFonts w:cstheme="minorHAnsi"/>
        </w:rPr>
        <w:t>Routledge, London, 2001</w:t>
      </w:r>
    </w:p>
    <w:p w14:paraId="6DC1528E" w14:textId="77777777" w:rsidR="00C62CD4" w:rsidRDefault="00C62CD4">
      <w:pPr>
        <w:rPr>
          <w:rFonts w:cstheme="minorHAnsi"/>
        </w:rPr>
      </w:pPr>
    </w:p>
    <w:sectPr w:rsidR="00C62CD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2EA1EC" w14:textId="77777777" w:rsidR="004A649C" w:rsidRDefault="004A649C" w:rsidP="00802A97">
      <w:pPr>
        <w:spacing w:after="0" w:line="240" w:lineRule="auto"/>
      </w:pPr>
      <w:r>
        <w:separator/>
      </w:r>
    </w:p>
  </w:endnote>
  <w:endnote w:type="continuationSeparator" w:id="0">
    <w:p w14:paraId="6CE855F5" w14:textId="77777777" w:rsidR="004A649C" w:rsidRDefault="004A649C" w:rsidP="00802A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8D09A0" w14:textId="77777777" w:rsidR="003D510E" w:rsidRDefault="003D510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315734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F7F71A" w14:textId="4D45A331" w:rsidR="001D01C7" w:rsidRDefault="001D01C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6FADFF" w14:textId="77777777" w:rsidR="001D01C7" w:rsidRDefault="001D01C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65E6A2" w14:textId="77777777" w:rsidR="003D510E" w:rsidRDefault="003D51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C7E5AF" w14:textId="77777777" w:rsidR="004A649C" w:rsidRDefault="004A649C" w:rsidP="00802A97">
      <w:pPr>
        <w:spacing w:after="0" w:line="240" w:lineRule="auto"/>
      </w:pPr>
      <w:r>
        <w:separator/>
      </w:r>
    </w:p>
  </w:footnote>
  <w:footnote w:type="continuationSeparator" w:id="0">
    <w:p w14:paraId="7DB31CBA" w14:textId="77777777" w:rsidR="004A649C" w:rsidRDefault="004A649C" w:rsidP="00802A97">
      <w:pPr>
        <w:spacing w:after="0" w:line="240" w:lineRule="auto"/>
      </w:pPr>
      <w:r>
        <w:continuationSeparator/>
      </w:r>
    </w:p>
  </w:footnote>
  <w:footnote w:id="1">
    <w:p w14:paraId="3B0C2413" w14:textId="6CF790EF" w:rsidR="00501ACB" w:rsidRPr="001F6AF9" w:rsidRDefault="00501ACB">
      <w:pPr>
        <w:pStyle w:val="FootnoteText"/>
        <w:rPr>
          <w:rFonts w:cstheme="minorHAnsi"/>
          <w:sz w:val="18"/>
          <w:szCs w:val="18"/>
        </w:rPr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2232CF" w:rsidRPr="001F6AF9">
        <w:rPr>
          <w:rFonts w:cstheme="minorHAnsi"/>
          <w:sz w:val="18"/>
          <w:szCs w:val="18"/>
        </w:rPr>
        <w:t>Esposito, J.L., (ed), "Ijtihad" In The Islamic World: Past and Present, edited by John L. Esposito, ‘</w:t>
      </w:r>
      <w:r w:rsidR="002232CF" w:rsidRPr="001F6AF9">
        <w:rPr>
          <w:rFonts w:cstheme="minorHAnsi"/>
          <w:i/>
          <w:sz w:val="18"/>
          <w:szCs w:val="18"/>
        </w:rPr>
        <w:t>Oxford Islamic Studies Online’</w:t>
      </w:r>
    </w:p>
  </w:footnote>
  <w:footnote w:id="2">
    <w:p w14:paraId="2F2FC4A7" w14:textId="1970650B" w:rsidR="00BD4213" w:rsidRPr="001F6AF9" w:rsidRDefault="00BD4213">
      <w:pPr>
        <w:pStyle w:val="FootnoteText"/>
        <w:rPr>
          <w:rFonts w:cstheme="minorHAnsi"/>
          <w:sz w:val="18"/>
          <w:szCs w:val="18"/>
        </w:rPr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2232CF" w:rsidRPr="001F6AF9">
        <w:rPr>
          <w:rFonts w:cstheme="minorHAnsi"/>
          <w:color w:val="000000"/>
          <w:sz w:val="18"/>
          <w:szCs w:val="18"/>
        </w:rPr>
        <w:t xml:space="preserve">Hallaq, W.B. ‘Was the Gate of Ijtihad Closed?’ </w:t>
      </w:r>
      <w:r w:rsidR="002232CF" w:rsidRPr="001F6AF9">
        <w:rPr>
          <w:rFonts w:cstheme="minorHAnsi"/>
          <w:i/>
          <w:color w:val="000000"/>
          <w:sz w:val="18"/>
          <w:szCs w:val="18"/>
        </w:rPr>
        <w:t xml:space="preserve">International Journal of Middle East Studies, </w:t>
      </w:r>
      <w:r w:rsidR="002232CF" w:rsidRPr="001F6AF9">
        <w:rPr>
          <w:rFonts w:cstheme="minorHAnsi"/>
          <w:color w:val="000000"/>
          <w:sz w:val="18"/>
          <w:szCs w:val="18"/>
        </w:rPr>
        <w:t>Vol. 16, No. 1 (Mar,</w:t>
      </w:r>
      <w:r w:rsidR="007248CF">
        <w:rPr>
          <w:rFonts w:cstheme="minorHAnsi"/>
          <w:color w:val="000000"/>
          <w:sz w:val="18"/>
          <w:szCs w:val="18"/>
        </w:rPr>
        <w:t xml:space="preserve"> </w:t>
      </w:r>
      <w:r w:rsidR="002232CF" w:rsidRPr="001F6AF9">
        <w:rPr>
          <w:rFonts w:cstheme="minorHAnsi"/>
          <w:color w:val="000000"/>
          <w:sz w:val="18"/>
          <w:szCs w:val="18"/>
        </w:rPr>
        <w:t>1984), pp. 3-41 (39 pages), Cambridge University Press, online</w:t>
      </w:r>
      <w:r w:rsidR="002232CF" w:rsidRPr="001F6AF9">
        <w:rPr>
          <w:rFonts w:cstheme="minorHAnsi"/>
          <w:sz w:val="18"/>
          <w:szCs w:val="18"/>
        </w:rPr>
        <w:t xml:space="preserve"> </w:t>
      </w:r>
      <w:r w:rsidRPr="001F6AF9">
        <w:rPr>
          <w:rFonts w:cstheme="minorHAnsi"/>
          <w:sz w:val="18"/>
          <w:szCs w:val="18"/>
        </w:rPr>
        <w:t>p.3</w:t>
      </w:r>
    </w:p>
  </w:footnote>
  <w:footnote w:id="3">
    <w:p w14:paraId="497F0558" w14:textId="003BD693" w:rsidR="003106CF" w:rsidRPr="001F6AF9" w:rsidRDefault="003106CF">
      <w:pPr>
        <w:pStyle w:val="FootnoteText"/>
        <w:rPr>
          <w:rFonts w:cstheme="minorHAnsi"/>
          <w:sz w:val="18"/>
          <w:szCs w:val="18"/>
        </w:rPr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F620DE" w:rsidRPr="001F6AF9">
        <w:rPr>
          <w:rFonts w:cstheme="minorHAnsi"/>
          <w:sz w:val="18"/>
          <w:szCs w:val="18"/>
        </w:rPr>
        <w:t>Esposito, J.L., (ed), "Ijtihad"</w:t>
      </w:r>
    </w:p>
  </w:footnote>
  <w:footnote w:id="4">
    <w:p w14:paraId="63F68E6B" w14:textId="6C35AD91" w:rsidR="005C3CC3" w:rsidRPr="001F6AF9" w:rsidRDefault="005C3CC3">
      <w:pPr>
        <w:pStyle w:val="FootnoteText"/>
        <w:rPr>
          <w:rFonts w:cstheme="minorHAnsi"/>
          <w:sz w:val="18"/>
          <w:szCs w:val="18"/>
        </w:rPr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1F6AF9" w:rsidRPr="001F6AF9">
        <w:rPr>
          <w:rFonts w:cstheme="minorHAnsi"/>
          <w:color w:val="000000"/>
          <w:sz w:val="18"/>
          <w:szCs w:val="18"/>
        </w:rPr>
        <w:t>Hallaq, W.B., ‘A History of Islamic Legal Theories: An Introduction to Sunni usul al-fiqh’, Cambridge University Press, England, 1997 (repr. 2008</w:t>
      </w:r>
      <w:r w:rsidR="001F6AF9" w:rsidRPr="001F6AF9">
        <w:rPr>
          <w:rFonts w:cstheme="minorHAnsi"/>
          <w:color w:val="000000"/>
          <w:sz w:val="18"/>
          <w:szCs w:val="18"/>
        </w:rPr>
        <w:t xml:space="preserve">) </w:t>
      </w:r>
      <w:r w:rsidRPr="001F6AF9">
        <w:rPr>
          <w:rFonts w:cstheme="minorHAnsi"/>
          <w:sz w:val="18"/>
          <w:szCs w:val="18"/>
        </w:rPr>
        <w:t>p.15</w:t>
      </w:r>
    </w:p>
  </w:footnote>
  <w:footnote w:id="5">
    <w:p w14:paraId="557C5468" w14:textId="57A0FC61" w:rsidR="00524C87" w:rsidRPr="001F6AF9" w:rsidRDefault="00524C87">
      <w:pPr>
        <w:pStyle w:val="FootnoteText"/>
        <w:rPr>
          <w:rFonts w:cstheme="minorHAnsi"/>
          <w:sz w:val="18"/>
          <w:szCs w:val="18"/>
        </w:rPr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1F6AF9">
        <w:rPr>
          <w:rFonts w:cstheme="minorHAnsi"/>
          <w:sz w:val="18"/>
          <w:szCs w:val="18"/>
        </w:rPr>
        <w:t>ibid</w:t>
      </w:r>
      <w:r w:rsidRPr="001F6AF9">
        <w:rPr>
          <w:rFonts w:cstheme="minorHAnsi"/>
          <w:sz w:val="18"/>
          <w:szCs w:val="18"/>
        </w:rPr>
        <w:t xml:space="preserve"> p.15</w:t>
      </w:r>
    </w:p>
  </w:footnote>
  <w:footnote w:id="6">
    <w:p w14:paraId="2F7D2D55" w14:textId="4ED2517F" w:rsidR="003A31AC" w:rsidRPr="001F6AF9" w:rsidRDefault="003A31AC">
      <w:pPr>
        <w:pStyle w:val="FootnoteText"/>
        <w:rPr>
          <w:rFonts w:cstheme="minorHAnsi"/>
          <w:sz w:val="18"/>
          <w:szCs w:val="18"/>
        </w:rPr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1F6AF9">
        <w:rPr>
          <w:rFonts w:cstheme="minorHAnsi"/>
          <w:sz w:val="18"/>
          <w:szCs w:val="18"/>
        </w:rPr>
        <w:t>ibid</w:t>
      </w:r>
      <w:r w:rsidR="001F6AF9" w:rsidRPr="001F6AF9">
        <w:rPr>
          <w:rFonts w:cstheme="minorHAnsi"/>
          <w:sz w:val="18"/>
          <w:szCs w:val="18"/>
        </w:rPr>
        <w:t xml:space="preserve"> p.15</w:t>
      </w:r>
    </w:p>
  </w:footnote>
  <w:footnote w:id="7">
    <w:p w14:paraId="328BCBA7" w14:textId="3D235C33" w:rsidR="00D32623" w:rsidRPr="001F6AF9" w:rsidRDefault="00D32623">
      <w:pPr>
        <w:pStyle w:val="FootnoteText"/>
        <w:rPr>
          <w:rFonts w:cstheme="minorHAnsi"/>
          <w:sz w:val="18"/>
          <w:szCs w:val="18"/>
        </w:rPr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1F6AF9">
        <w:rPr>
          <w:rFonts w:cstheme="minorHAnsi"/>
          <w:sz w:val="18"/>
          <w:szCs w:val="18"/>
        </w:rPr>
        <w:t>ibid</w:t>
      </w:r>
      <w:r w:rsidR="001F6AF9" w:rsidRPr="001F6AF9">
        <w:rPr>
          <w:rFonts w:cstheme="minorHAnsi"/>
          <w:sz w:val="18"/>
          <w:szCs w:val="18"/>
        </w:rPr>
        <w:t xml:space="preserve"> p.15</w:t>
      </w:r>
    </w:p>
  </w:footnote>
  <w:footnote w:id="8">
    <w:p w14:paraId="3C47FE09" w14:textId="04F5560D" w:rsidR="007F03E2" w:rsidRPr="001F6AF9" w:rsidRDefault="007F03E2">
      <w:pPr>
        <w:pStyle w:val="FootnoteText"/>
        <w:rPr>
          <w:rFonts w:cstheme="minorHAnsi"/>
          <w:sz w:val="18"/>
          <w:szCs w:val="18"/>
        </w:rPr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1F6AF9" w:rsidRPr="001F6AF9">
        <w:rPr>
          <w:rFonts w:cstheme="minorHAnsi"/>
          <w:sz w:val="18"/>
          <w:szCs w:val="18"/>
        </w:rPr>
        <w:t>Esposito, J.L., (ed), "Ijtihad"</w:t>
      </w:r>
    </w:p>
  </w:footnote>
  <w:footnote w:id="9">
    <w:p w14:paraId="00C207B2" w14:textId="5784B714" w:rsidR="00983F71" w:rsidRDefault="00983F71" w:rsidP="00983F71">
      <w:pPr>
        <w:pStyle w:val="FootnoteText"/>
      </w:pPr>
      <w:r w:rsidRPr="001F6AF9">
        <w:rPr>
          <w:rStyle w:val="FootnoteReference"/>
          <w:rFonts w:cstheme="minorHAnsi"/>
          <w:sz w:val="18"/>
          <w:szCs w:val="18"/>
        </w:rPr>
        <w:footnoteRef/>
      </w:r>
      <w:r w:rsidRPr="001F6AF9">
        <w:rPr>
          <w:rFonts w:cstheme="minorHAnsi"/>
          <w:sz w:val="18"/>
          <w:szCs w:val="18"/>
        </w:rPr>
        <w:t xml:space="preserve"> </w:t>
      </w:r>
      <w:r w:rsidR="007248CF" w:rsidRPr="001F6AF9">
        <w:rPr>
          <w:rFonts w:cstheme="minorHAnsi"/>
          <w:color w:val="000000"/>
          <w:sz w:val="18"/>
          <w:szCs w:val="18"/>
        </w:rPr>
        <w:t xml:space="preserve">Hallaq, W.B. ‘Was the Gate of Ijtihad Closed?’ </w:t>
      </w:r>
      <w:r w:rsidR="007248CF" w:rsidRPr="001F6AF9">
        <w:rPr>
          <w:rFonts w:cstheme="minorHAnsi"/>
          <w:i/>
          <w:color w:val="000000"/>
          <w:sz w:val="18"/>
          <w:szCs w:val="18"/>
        </w:rPr>
        <w:t xml:space="preserve">International Journal of Middle East Studies, </w:t>
      </w:r>
      <w:r w:rsidR="007248CF" w:rsidRPr="001F6AF9">
        <w:rPr>
          <w:rFonts w:cstheme="minorHAnsi"/>
          <w:color w:val="000000"/>
          <w:sz w:val="18"/>
          <w:szCs w:val="18"/>
        </w:rPr>
        <w:t>Vol. 16, No. 1 (Mar</w:t>
      </w:r>
      <w:r w:rsidR="007248CF">
        <w:rPr>
          <w:rFonts w:cstheme="minorHAnsi"/>
          <w:color w:val="000000"/>
          <w:sz w:val="18"/>
          <w:szCs w:val="18"/>
        </w:rPr>
        <w:t xml:space="preserve">, </w:t>
      </w:r>
      <w:r w:rsidR="007248CF" w:rsidRPr="001F6AF9">
        <w:rPr>
          <w:rFonts w:cstheme="minorHAnsi"/>
          <w:color w:val="000000"/>
          <w:sz w:val="18"/>
          <w:szCs w:val="18"/>
        </w:rPr>
        <w:t>1984), pp. 3-41 (39 pages), Cambridge University Press, online</w:t>
      </w:r>
      <w:r w:rsidR="007248CF">
        <w:rPr>
          <w:rFonts w:cstheme="minorHAnsi"/>
          <w:sz w:val="18"/>
          <w:szCs w:val="18"/>
        </w:rPr>
        <w:t xml:space="preserve">, </w:t>
      </w:r>
      <w:r w:rsidRPr="001F6AF9">
        <w:rPr>
          <w:rFonts w:cstheme="minorHAnsi"/>
          <w:sz w:val="18"/>
          <w:szCs w:val="18"/>
        </w:rPr>
        <w:t>p.5</w:t>
      </w:r>
    </w:p>
  </w:footnote>
  <w:footnote w:id="10">
    <w:p w14:paraId="6E54C63B" w14:textId="0FCE3519" w:rsidR="00080909" w:rsidRPr="00B23FBF" w:rsidRDefault="00080909" w:rsidP="0092630B">
      <w:pPr>
        <w:rPr>
          <w:rFonts w:cstheme="minorHAnsi"/>
          <w:sz w:val="18"/>
          <w:szCs w:val="18"/>
        </w:rPr>
      </w:pPr>
      <w:r w:rsidRPr="00B23FBF">
        <w:rPr>
          <w:rStyle w:val="FootnoteReference"/>
          <w:rFonts w:cstheme="minorHAnsi"/>
          <w:sz w:val="18"/>
          <w:szCs w:val="18"/>
        </w:rPr>
        <w:footnoteRef/>
      </w:r>
      <w:r w:rsidRPr="00B23FBF">
        <w:rPr>
          <w:rFonts w:cstheme="minorHAnsi"/>
          <w:sz w:val="18"/>
          <w:szCs w:val="18"/>
        </w:rPr>
        <w:t xml:space="preserve"> </w:t>
      </w:r>
      <w:r w:rsidR="0092630B" w:rsidRPr="00B23FBF">
        <w:rPr>
          <w:rFonts w:cstheme="minorHAnsi"/>
          <w:sz w:val="18"/>
          <w:szCs w:val="18"/>
        </w:rPr>
        <w:t>Coulson, N. J. ‘A History of Islamic Law’, Edinburgh University Press, 1964 (repr. 1990)</w:t>
      </w:r>
      <w:r w:rsidR="0092630B" w:rsidRPr="00B23FBF">
        <w:rPr>
          <w:rFonts w:cstheme="minorHAnsi"/>
          <w:sz w:val="18"/>
          <w:szCs w:val="18"/>
        </w:rPr>
        <w:t xml:space="preserve">, </w:t>
      </w:r>
      <w:r w:rsidRPr="00B23FBF">
        <w:rPr>
          <w:rFonts w:cstheme="minorHAnsi"/>
          <w:sz w:val="18"/>
          <w:szCs w:val="18"/>
        </w:rPr>
        <w:t>p. 59-60</w:t>
      </w:r>
    </w:p>
  </w:footnote>
  <w:footnote w:id="11">
    <w:p w14:paraId="46B32021" w14:textId="58103EAC" w:rsidR="00CA441F" w:rsidRPr="00B23FBF" w:rsidRDefault="00CA441F">
      <w:pPr>
        <w:pStyle w:val="FootnoteText"/>
        <w:rPr>
          <w:rFonts w:cstheme="minorHAnsi"/>
          <w:sz w:val="18"/>
          <w:szCs w:val="18"/>
        </w:rPr>
      </w:pPr>
      <w:r w:rsidRPr="00B23FBF">
        <w:rPr>
          <w:rStyle w:val="FootnoteReference"/>
          <w:rFonts w:cstheme="minorHAnsi"/>
          <w:sz w:val="18"/>
          <w:szCs w:val="18"/>
        </w:rPr>
        <w:footnoteRef/>
      </w:r>
      <w:r w:rsidRPr="00B23FBF">
        <w:rPr>
          <w:rFonts w:cstheme="minorHAnsi"/>
          <w:sz w:val="18"/>
          <w:szCs w:val="18"/>
        </w:rPr>
        <w:t xml:space="preserve"> </w:t>
      </w:r>
      <w:r w:rsidR="0092630B" w:rsidRPr="00B23FBF">
        <w:rPr>
          <w:rFonts w:cstheme="minorHAnsi"/>
          <w:sz w:val="18"/>
          <w:szCs w:val="18"/>
        </w:rPr>
        <w:t>Rippin, A., ‘Muslims: Their Religious Beliefs and Practices’, Routledge, London, 2001</w:t>
      </w:r>
      <w:r w:rsidRPr="00B23FBF">
        <w:rPr>
          <w:rFonts w:cstheme="minorHAnsi"/>
          <w:sz w:val="18"/>
          <w:szCs w:val="18"/>
        </w:rPr>
        <w:t>, p.216</w:t>
      </w:r>
    </w:p>
  </w:footnote>
  <w:footnote w:id="12">
    <w:p w14:paraId="691504D9" w14:textId="7EF5A68C" w:rsidR="007B307E" w:rsidRPr="00B23FBF" w:rsidRDefault="007B307E">
      <w:pPr>
        <w:pStyle w:val="FootnoteText"/>
        <w:rPr>
          <w:rFonts w:cstheme="minorHAnsi"/>
          <w:sz w:val="18"/>
          <w:szCs w:val="18"/>
        </w:rPr>
      </w:pPr>
      <w:r w:rsidRPr="00B23FBF">
        <w:rPr>
          <w:rStyle w:val="FootnoteReference"/>
          <w:rFonts w:cstheme="minorHAnsi"/>
          <w:sz w:val="18"/>
          <w:szCs w:val="18"/>
        </w:rPr>
        <w:footnoteRef/>
      </w:r>
      <w:r w:rsidRPr="00B23FBF">
        <w:rPr>
          <w:rFonts w:cstheme="minorHAnsi"/>
          <w:sz w:val="18"/>
          <w:szCs w:val="18"/>
        </w:rPr>
        <w:t xml:space="preserve"> </w:t>
      </w:r>
      <w:r w:rsidR="00B23FBF" w:rsidRPr="00B23FBF">
        <w:rPr>
          <w:rFonts w:cstheme="minorHAnsi"/>
          <w:sz w:val="18"/>
          <w:szCs w:val="18"/>
        </w:rPr>
        <w:t>Esposito, J.L., (ed), "Taqlid." In The Oxford Dictionary of Islam, edited by John L. Esposito, ‘</w:t>
      </w:r>
      <w:r w:rsidR="00B23FBF" w:rsidRPr="00B23FBF">
        <w:rPr>
          <w:rFonts w:cstheme="minorHAnsi"/>
          <w:i/>
          <w:sz w:val="18"/>
          <w:szCs w:val="18"/>
        </w:rPr>
        <w:t>Oxford Islamic Studies Online’</w:t>
      </w:r>
    </w:p>
  </w:footnote>
  <w:footnote w:id="13">
    <w:p w14:paraId="69F1BD4C" w14:textId="77C8584B" w:rsidR="00361529" w:rsidRDefault="00361529">
      <w:pPr>
        <w:pStyle w:val="FootnoteText"/>
      </w:pPr>
      <w:r w:rsidRPr="00B23FBF">
        <w:rPr>
          <w:rStyle w:val="FootnoteReference"/>
          <w:rFonts w:cstheme="minorHAnsi"/>
          <w:sz w:val="18"/>
          <w:szCs w:val="18"/>
        </w:rPr>
        <w:footnoteRef/>
      </w:r>
      <w:r w:rsidRPr="00B23FBF">
        <w:rPr>
          <w:rFonts w:cstheme="minorHAnsi"/>
          <w:sz w:val="18"/>
          <w:szCs w:val="18"/>
        </w:rPr>
        <w:t xml:space="preserve"> </w:t>
      </w:r>
      <w:r w:rsidR="00B23FBF" w:rsidRPr="00B23FBF">
        <w:rPr>
          <w:rFonts w:cstheme="minorHAnsi"/>
          <w:sz w:val="18"/>
          <w:szCs w:val="18"/>
        </w:rPr>
        <w:t>Esposito, J.L., (ed), "Ijtihad</w:t>
      </w:r>
      <w:r w:rsidR="00B23FBF" w:rsidRPr="007A6072">
        <w:t>"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B1737B" w14:textId="77777777" w:rsidR="003D510E" w:rsidRDefault="003D510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3D85FC" w14:textId="55765D96" w:rsidR="001D01C7" w:rsidRDefault="001D01C7">
    <w:pPr>
      <w:pStyle w:val="Header"/>
    </w:pPr>
    <w:r>
      <w:t>Graham Lowe 1807689</w:t>
    </w:r>
    <w:r>
      <w:ptab w:relativeTo="margin" w:alignment="center" w:leader="none"/>
    </w:r>
    <w:r w:rsidR="00577835">
      <w:t xml:space="preserve">TRDL7064 - Encyclopaedia entry part </w:t>
    </w:r>
    <w:r w:rsidR="003E0030">
      <w:t>5</w:t>
    </w:r>
    <w:r w:rsidR="00793C38">
      <w:t xml:space="preserve"> - </w:t>
    </w:r>
    <w:r w:rsidR="0001014B">
      <w:t>Ijtihad</w:t>
    </w:r>
    <w:r>
      <w:ptab w:relativeTo="margin" w:alignment="right" w:leader="none"/>
    </w:r>
    <w:r w:rsidR="00577835">
      <w:t>24</w:t>
    </w:r>
    <w:r w:rsidR="00577835" w:rsidRPr="00577835">
      <w:rPr>
        <w:vertAlign w:val="superscript"/>
      </w:rPr>
      <w:t>th</w:t>
    </w:r>
    <w:r w:rsidR="00577835">
      <w:t xml:space="preserve"> May 2019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0AB3FB" w14:textId="77777777" w:rsidR="003D510E" w:rsidRDefault="003D510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21A"/>
    <w:rsid w:val="0000123B"/>
    <w:rsid w:val="000061E9"/>
    <w:rsid w:val="0001014B"/>
    <w:rsid w:val="00015E22"/>
    <w:rsid w:val="00021988"/>
    <w:rsid w:val="000239DC"/>
    <w:rsid w:val="00025F34"/>
    <w:rsid w:val="00042F8D"/>
    <w:rsid w:val="00044892"/>
    <w:rsid w:val="000543D5"/>
    <w:rsid w:val="00055BF4"/>
    <w:rsid w:val="00064806"/>
    <w:rsid w:val="00064C19"/>
    <w:rsid w:val="00080909"/>
    <w:rsid w:val="00080C88"/>
    <w:rsid w:val="00087874"/>
    <w:rsid w:val="00095237"/>
    <w:rsid w:val="00097631"/>
    <w:rsid w:val="000A56EA"/>
    <w:rsid w:val="000B3842"/>
    <w:rsid w:val="000B3E6B"/>
    <w:rsid w:val="000D0A28"/>
    <w:rsid w:val="000D2AAD"/>
    <w:rsid w:val="000D4CA2"/>
    <w:rsid w:val="000E1C76"/>
    <w:rsid w:val="00121D6C"/>
    <w:rsid w:val="00122FAC"/>
    <w:rsid w:val="00123FD7"/>
    <w:rsid w:val="001343EC"/>
    <w:rsid w:val="0015177C"/>
    <w:rsid w:val="00152089"/>
    <w:rsid w:val="00152585"/>
    <w:rsid w:val="00171289"/>
    <w:rsid w:val="00171653"/>
    <w:rsid w:val="00172AF2"/>
    <w:rsid w:val="001A2DE7"/>
    <w:rsid w:val="001A600C"/>
    <w:rsid w:val="001A667B"/>
    <w:rsid w:val="001B28CC"/>
    <w:rsid w:val="001B78A3"/>
    <w:rsid w:val="001C0517"/>
    <w:rsid w:val="001C70F8"/>
    <w:rsid w:val="001D01C7"/>
    <w:rsid w:val="001D756F"/>
    <w:rsid w:val="001E05AF"/>
    <w:rsid w:val="001E4B08"/>
    <w:rsid w:val="001F4D17"/>
    <w:rsid w:val="001F5A46"/>
    <w:rsid w:val="001F5D6E"/>
    <w:rsid w:val="001F6AF9"/>
    <w:rsid w:val="00212D3A"/>
    <w:rsid w:val="002232CF"/>
    <w:rsid w:val="00227EA1"/>
    <w:rsid w:val="00231A1E"/>
    <w:rsid w:val="00233A49"/>
    <w:rsid w:val="00242AD8"/>
    <w:rsid w:val="00243C53"/>
    <w:rsid w:val="00244A41"/>
    <w:rsid w:val="00245212"/>
    <w:rsid w:val="00253871"/>
    <w:rsid w:val="002909CE"/>
    <w:rsid w:val="002A0580"/>
    <w:rsid w:val="002A439D"/>
    <w:rsid w:val="002A45AE"/>
    <w:rsid w:val="002B3487"/>
    <w:rsid w:val="002B609D"/>
    <w:rsid w:val="002C05CE"/>
    <w:rsid w:val="002D3599"/>
    <w:rsid w:val="002E3FF4"/>
    <w:rsid w:val="002E4768"/>
    <w:rsid w:val="002E4E7F"/>
    <w:rsid w:val="002F41F2"/>
    <w:rsid w:val="003106CF"/>
    <w:rsid w:val="00312F25"/>
    <w:rsid w:val="0032328F"/>
    <w:rsid w:val="00325844"/>
    <w:rsid w:val="00326B73"/>
    <w:rsid w:val="003322C8"/>
    <w:rsid w:val="003453FB"/>
    <w:rsid w:val="00347308"/>
    <w:rsid w:val="00347C6C"/>
    <w:rsid w:val="0035564C"/>
    <w:rsid w:val="00355B41"/>
    <w:rsid w:val="00360049"/>
    <w:rsid w:val="00361529"/>
    <w:rsid w:val="0036265D"/>
    <w:rsid w:val="00365102"/>
    <w:rsid w:val="00372607"/>
    <w:rsid w:val="003731A8"/>
    <w:rsid w:val="00386A53"/>
    <w:rsid w:val="00387504"/>
    <w:rsid w:val="00391BE3"/>
    <w:rsid w:val="003960D9"/>
    <w:rsid w:val="003A31AC"/>
    <w:rsid w:val="003A44FB"/>
    <w:rsid w:val="003B1603"/>
    <w:rsid w:val="003B751A"/>
    <w:rsid w:val="003C06C8"/>
    <w:rsid w:val="003D40BC"/>
    <w:rsid w:val="003D510E"/>
    <w:rsid w:val="003D5FB8"/>
    <w:rsid w:val="003E0030"/>
    <w:rsid w:val="003E0D5B"/>
    <w:rsid w:val="003E4A3D"/>
    <w:rsid w:val="003E595B"/>
    <w:rsid w:val="003E5D4A"/>
    <w:rsid w:val="003E696E"/>
    <w:rsid w:val="003F3396"/>
    <w:rsid w:val="0040655A"/>
    <w:rsid w:val="00413458"/>
    <w:rsid w:val="00413A2A"/>
    <w:rsid w:val="00424C78"/>
    <w:rsid w:val="004353C2"/>
    <w:rsid w:val="00436C87"/>
    <w:rsid w:val="004372EC"/>
    <w:rsid w:val="0044269D"/>
    <w:rsid w:val="0044303C"/>
    <w:rsid w:val="0045674B"/>
    <w:rsid w:val="0045733C"/>
    <w:rsid w:val="0046034E"/>
    <w:rsid w:val="00465118"/>
    <w:rsid w:val="00467E8A"/>
    <w:rsid w:val="004876B0"/>
    <w:rsid w:val="004A4CF0"/>
    <w:rsid w:val="004A649C"/>
    <w:rsid w:val="004B3D9A"/>
    <w:rsid w:val="004B60CA"/>
    <w:rsid w:val="004C452A"/>
    <w:rsid w:val="004D217A"/>
    <w:rsid w:val="004D720C"/>
    <w:rsid w:val="004E211E"/>
    <w:rsid w:val="004E554F"/>
    <w:rsid w:val="004E6418"/>
    <w:rsid w:val="004E6AE1"/>
    <w:rsid w:val="004F089D"/>
    <w:rsid w:val="004F4CA8"/>
    <w:rsid w:val="004F69D6"/>
    <w:rsid w:val="00501ACB"/>
    <w:rsid w:val="00510634"/>
    <w:rsid w:val="00516C27"/>
    <w:rsid w:val="0052214A"/>
    <w:rsid w:val="00524C87"/>
    <w:rsid w:val="00531651"/>
    <w:rsid w:val="00531F64"/>
    <w:rsid w:val="00535E85"/>
    <w:rsid w:val="00542C6D"/>
    <w:rsid w:val="0054429F"/>
    <w:rsid w:val="0054503C"/>
    <w:rsid w:val="00577835"/>
    <w:rsid w:val="00586604"/>
    <w:rsid w:val="0059075D"/>
    <w:rsid w:val="005A27F3"/>
    <w:rsid w:val="005A3017"/>
    <w:rsid w:val="005C0CEF"/>
    <w:rsid w:val="005C12C0"/>
    <w:rsid w:val="005C2926"/>
    <w:rsid w:val="005C3B27"/>
    <w:rsid w:val="005C3CC3"/>
    <w:rsid w:val="005C4C11"/>
    <w:rsid w:val="005D1ADD"/>
    <w:rsid w:val="005E0B04"/>
    <w:rsid w:val="005E7371"/>
    <w:rsid w:val="005F5ACC"/>
    <w:rsid w:val="00604244"/>
    <w:rsid w:val="00604DAF"/>
    <w:rsid w:val="006129D2"/>
    <w:rsid w:val="00615451"/>
    <w:rsid w:val="006155E4"/>
    <w:rsid w:val="00621413"/>
    <w:rsid w:val="00630712"/>
    <w:rsid w:val="00635FDA"/>
    <w:rsid w:val="006372F1"/>
    <w:rsid w:val="006516F8"/>
    <w:rsid w:val="00665C5B"/>
    <w:rsid w:val="0066782B"/>
    <w:rsid w:val="006B02B7"/>
    <w:rsid w:val="006B4C9F"/>
    <w:rsid w:val="006C2C2B"/>
    <w:rsid w:val="006C7C51"/>
    <w:rsid w:val="006D629C"/>
    <w:rsid w:val="006E4C58"/>
    <w:rsid w:val="0071421A"/>
    <w:rsid w:val="00720B27"/>
    <w:rsid w:val="00723581"/>
    <w:rsid w:val="007248CF"/>
    <w:rsid w:val="00725FD6"/>
    <w:rsid w:val="00731354"/>
    <w:rsid w:val="007370D6"/>
    <w:rsid w:val="00737F36"/>
    <w:rsid w:val="007471ED"/>
    <w:rsid w:val="0074763D"/>
    <w:rsid w:val="007626F1"/>
    <w:rsid w:val="00766A85"/>
    <w:rsid w:val="007723D7"/>
    <w:rsid w:val="007741EE"/>
    <w:rsid w:val="00793C38"/>
    <w:rsid w:val="007973E4"/>
    <w:rsid w:val="007A1F65"/>
    <w:rsid w:val="007A5EE5"/>
    <w:rsid w:val="007B307E"/>
    <w:rsid w:val="007C24EA"/>
    <w:rsid w:val="007D1BFC"/>
    <w:rsid w:val="007D1F16"/>
    <w:rsid w:val="007D2938"/>
    <w:rsid w:val="007D72C3"/>
    <w:rsid w:val="007E0979"/>
    <w:rsid w:val="007E2C8D"/>
    <w:rsid w:val="007E4F15"/>
    <w:rsid w:val="007E73EA"/>
    <w:rsid w:val="007F000A"/>
    <w:rsid w:val="007F021E"/>
    <w:rsid w:val="007F03E2"/>
    <w:rsid w:val="00802A97"/>
    <w:rsid w:val="008069D9"/>
    <w:rsid w:val="0080761A"/>
    <w:rsid w:val="00811B9F"/>
    <w:rsid w:val="00820276"/>
    <w:rsid w:val="00824888"/>
    <w:rsid w:val="008272B6"/>
    <w:rsid w:val="0083061F"/>
    <w:rsid w:val="0083098B"/>
    <w:rsid w:val="00855BA2"/>
    <w:rsid w:val="00863065"/>
    <w:rsid w:val="00867BEF"/>
    <w:rsid w:val="00873F6E"/>
    <w:rsid w:val="00886292"/>
    <w:rsid w:val="0089275B"/>
    <w:rsid w:val="00896AE4"/>
    <w:rsid w:val="008A46FA"/>
    <w:rsid w:val="008B3B83"/>
    <w:rsid w:val="008C1EAA"/>
    <w:rsid w:val="008D3EBB"/>
    <w:rsid w:val="008D464C"/>
    <w:rsid w:val="008D7551"/>
    <w:rsid w:val="008E2991"/>
    <w:rsid w:val="008E54EB"/>
    <w:rsid w:val="008F0DD1"/>
    <w:rsid w:val="008F65D6"/>
    <w:rsid w:val="008F6A26"/>
    <w:rsid w:val="00906DBB"/>
    <w:rsid w:val="0090773F"/>
    <w:rsid w:val="00912B34"/>
    <w:rsid w:val="0092630B"/>
    <w:rsid w:val="00927C14"/>
    <w:rsid w:val="00942520"/>
    <w:rsid w:val="009449A2"/>
    <w:rsid w:val="00945D06"/>
    <w:rsid w:val="009472E3"/>
    <w:rsid w:val="00950808"/>
    <w:rsid w:val="00950966"/>
    <w:rsid w:val="00965076"/>
    <w:rsid w:val="00965604"/>
    <w:rsid w:val="00983F71"/>
    <w:rsid w:val="00985E05"/>
    <w:rsid w:val="009B0861"/>
    <w:rsid w:val="009C1345"/>
    <w:rsid w:val="009C3FEC"/>
    <w:rsid w:val="009C74FA"/>
    <w:rsid w:val="009E066F"/>
    <w:rsid w:val="009E079E"/>
    <w:rsid w:val="009F00AE"/>
    <w:rsid w:val="009F2440"/>
    <w:rsid w:val="009F505A"/>
    <w:rsid w:val="009F5D13"/>
    <w:rsid w:val="00A05C07"/>
    <w:rsid w:val="00A1605E"/>
    <w:rsid w:val="00A30EAF"/>
    <w:rsid w:val="00A33B72"/>
    <w:rsid w:val="00A34AF7"/>
    <w:rsid w:val="00A36EC2"/>
    <w:rsid w:val="00A42C8E"/>
    <w:rsid w:val="00A466C0"/>
    <w:rsid w:val="00A52A3D"/>
    <w:rsid w:val="00A52B5C"/>
    <w:rsid w:val="00A52EDA"/>
    <w:rsid w:val="00A55836"/>
    <w:rsid w:val="00A65372"/>
    <w:rsid w:val="00A67CE1"/>
    <w:rsid w:val="00A8031A"/>
    <w:rsid w:val="00A9403D"/>
    <w:rsid w:val="00AA04F9"/>
    <w:rsid w:val="00AA13C4"/>
    <w:rsid w:val="00AB245D"/>
    <w:rsid w:val="00AB6CE4"/>
    <w:rsid w:val="00AB7288"/>
    <w:rsid w:val="00AD3A0E"/>
    <w:rsid w:val="00AD610A"/>
    <w:rsid w:val="00AF1D71"/>
    <w:rsid w:val="00AF4962"/>
    <w:rsid w:val="00B001C2"/>
    <w:rsid w:val="00B15E17"/>
    <w:rsid w:val="00B21547"/>
    <w:rsid w:val="00B21EEA"/>
    <w:rsid w:val="00B23FBF"/>
    <w:rsid w:val="00B26A3B"/>
    <w:rsid w:val="00B315C2"/>
    <w:rsid w:val="00B40EF5"/>
    <w:rsid w:val="00B5555E"/>
    <w:rsid w:val="00B62765"/>
    <w:rsid w:val="00B7178C"/>
    <w:rsid w:val="00B85D3A"/>
    <w:rsid w:val="00B953E3"/>
    <w:rsid w:val="00BA2B49"/>
    <w:rsid w:val="00BB2B30"/>
    <w:rsid w:val="00BB5014"/>
    <w:rsid w:val="00BB5314"/>
    <w:rsid w:val="00BB582D"/>
    <w:rsid w:val="00BC0FAE"/>
    <w:rsid w:val="00BD141F"/>
    <w:rsid w:val="00BD4213"/>
    <w:rsid w:val="00BD77ED"/>
    <w:rsid w:val="00BE0188"/>
    <w:rsid w:val="00BE2E80"/>
    <w:rsid w:val="00BE3541"/>
    <w:rsid w:val="00BE777A"/>
    <w:rsid w:val="00BF3DBB"/>
    <w:rsid w:val="00C01164"/>
    <w:rsid w:val="00C05BFF"/>
    <w:rsid w:val="00C075A2"/>
    <w:rsid w:val="00C17B44"/>
    <w:rsid w:val="00C26779"/>
    <w:rsid w:val="00C36A66"/>
    <w:rsid w:val="00C433D7"/>
    <w:rsid w:val="00C43630"/>
    <w:rsid w:val="00C552A9"/>
    <w:rsid w:val="00C62CD4"/>
    <w:rsid w:val="00C6522F"/>
    <w:rsid w:val="00C65FF7"/>
    <w:rsid w:val="00C72AAE"/>
    <w:rsid w:val="00C749AB"/>
    <w:rsid w:val="00C7714E"/>
    <w:rsid w:val="00C77272"/>
    <w:rsid w:val="00C80CFF"/>
    <w:rsid w:val="00C83069"/>
    <w:rsid w:val="00C846C6"/>
    <w:rsid w:val="00C8775E"/>
    <w:rsid w:val="00C952BA"/>
    <w:rsid w:val="00C964DF"/>
    <w:rsid w:val="00CA441F"/>
    <w:rsid w:val="00CA7B25"/>
    <w:rsid w:val="00CA7C9F"/>
    <w:rsid w:val="00CC6DF8"/>
    <w:rsid w:val="00CC725F"/>
    <w:rsid w:val="00CD1277"/>
    <w:rsid w:val="00CD166C"/>
    <w:rsid w:val="00CD6A34"/>
    <w:rsid w:val="00CE0208"/>
    <w:rsid w:val="00CE0FE2"/>
    <w:rsid w:val="00CE37DB"/>
    <w:rsid w:val="00CE78D2"/>
    <w:rsid w:val="00CF4949"/>
    <w:rsid w:val="00D01E1E"/>
    <w:rsid w:val="00D03C32"/>
    <w:rsid w:val="00D06650"/>
    <w:rsid w:val="00D06BCA"/>
    <w:rsid w:val="00D176A8"/>
    <w:rsid w:val="00D20CEF"/>
    <w:rsid w:val="00D26D9A"/>
    <w:rsid w:val="00D32623"/>
    <w:rsid w:val="00D341DE"/>
    <w:rsid w:val="00D36798"/>
    <w:rsid w:val="00D4385E"/>
    <w:rsid w:val="00D477AE"/>
    <w:rsid w:val="00D47AA0"/>
    <w:rsid w:val="00D56826"/>
    <w:rsid w:val="00D62582"/>
    <w:rsid w:val="00D65EB1"/>
    <w:rsid w:val="00D750FA"/>
    <w:rsid w:val="00D75514"/>
    <w:rsid w:val="00D848ED"/>
    <w:rsid w:val="00D95309"/>
    <w:rsid w:val="00DB66B0"/>
    <w:rsid w:val="00DC256C"/>
    <w:rsid w:val="00DC740D"/>
    <w:rsid w:val="00DC7B8F"/>
    <w:rsid w:val="00DF3007"/>
    <w:rsid w:val="00DF3B01"/>
    <w:rsid w:val="00DF72A1"/>
    <w:rsid w:val="00E01632"/>
    <w:rsid w:val="00E01725"/>
    <w:rsid w:val="00E12870"/>
    <w:rsid w:val="00E12EAA"/>
    <w:rsid w:val="00E14348"/>
    <w:rsid w:val="00E22081"/>
    <w:rsid w:val="00E24D74"/>
    <w:rsid w:val="00E27C7A"/>
    <w:rsid w:val="00E32180"/>
    <w:rsid w:val="00E34472"/>
    <w:rsid w:val="00E45DE1"/>
    <w:rsid w:val="00E47E78"/>
    <w:rsid w:val="00E7232D"/>
    <w:rsid w:val="00E7420F"/>
    <w:rsid w:val="00E8110A"/>
    <w:rsid w:val="00E85F22"/>
    <w:rsid w:val="00E87521"/>
    <w:rsid w:val="00E91547"/>
    <w:rsid w:val="00E9455E"/>
    <w:rsid w:val="00EA7CDB"/>
    <w:rsid w:val="00EB1170"/>
    <w:rsid w:val="00ED0E05"/>
    <w:rsid w:val="00ED7803"/>
    <w:rsid w:val="00EE416C"/>
    <w:rsid w:val="00EF0CD5"/>
    <w:rsid w:val="00F00610"/>
    <w:rsid w:val="00F013EB"/>
    <w:rsid w:val="00F06C5F"/>
    <w:rsid w:val="00F124D3"/>
    <w:rsid w:val="00F133FB"/>
    <w:rsid w:val="00F17623"/>
    <w:rsid w:val="00F23A4C"/>
    <w:rsid w:val="00F252FC"/>
    <w:rsid w:val="00F33764"/>
    <w:rsid w:val="00F37EBD"/>
    <w:rsid w:val="00F431AE"/>
    <w:rsid w:val="00F605D9"/>
    <w:rsid w:val="00F61F45"/>
    <w:rsid w:val="00F620DE"/>
    <w:rsid w:val="00F708DC"/>
    <w:rsid w:val="00F77CB1"/>
    <w:rsid w:val="00F804FA"/>
    <w:rsid w:val="00F918E6"/>
    <w:rsid w:val="00F91D41"/>
    <w:rsid w:val="00FA3471"/>
    <w:rsid w:val="00FA5A1E"/>
    <w:rsid w:val="00FA622D"/>
    <w:rsid w:val="00FC25F2"/>
    <w:rsid w:val="00FC34FB"/>
    <w:rsid w:val="00FE3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D5E2E"/>
  <w15:chartTrackingRefBased/>
  <w15:docId w15:val="{8259E3B9-4934-4720-BB9A-1B4F5D3EFE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01AC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802A9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02A9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02A97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2E4768"/>
    <w:rPr>
      <w:i/>
      <w:iCs/>
    </w:rPr>
  </w:style>
  <w:style w:type="character" w:styleId="Strong">
    <w:name w:val="Strong"/>
    <w:basedOn w:val="DefaultParagraphFont"/>
    <w:uiPriority w:val="22"/>
    <w:qFormat/>
    <w:rsid w:val="002E4768"/>
    <w:rPr>
      <w:b/>
      <w:bCs/>
    </w:rPr>
  </w:style>
  <w:style w:type="character" w:styleId="Hyperlink">
    <w:name w:val="Hyperlink"/>
    <w:basedOn w:val="DefaultParagraphFont"/>
    <w:uiPriority w:val="99"/>
    <w:unhideWhenUsed/>
    <w:rsid w:val="002E476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E0D5B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5FB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D0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01C7"/>
  </w:style>
  <w:style w:type="paragraph" w:styleId="Footer">
    <w:name w:val="footer"/>
    <w:basedOn w:val="Normal"/>
    <w:link w:val="FooterChar"/>
    <w:uiPriority w:val="99"/>
    <w:unhideWhenUsed/>
    <w:rsid w:val="001D0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01C7"/>
  </w:style>
  <w:style w:type="character" w:customStyle="1" w:styleId="Heading1Char">
    <w:name w:val="Heading 1 Char"/>
    <w:basedOn w:val="DefaultParagraphFont"/>
    <w:link w:val="Heading1"/>
    <w:uiPriority w:val="9"/>
    <w:rsid w:val="00501AC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01A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78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xfordislamicstudies.com.ezproxy.uwtsd.ac.uk/article/opr/t125/e2339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www.oxfordislamicstudies.com.ezproxy.uwtsd.ac.uk/article/opr/t243/e150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-jstor-org.ezproxy.uwtsd.ac.uk/stable/162939?seq=1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8BFD58-C898-4C4F-959A-F7A208CD69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631</Words>
  <Characters>3600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Lowe</dc:creator>
  <cp:keywords/>
  <dc:description/>
  <cp:lastModifiedBy>Graham Lowe</cp:lastModifiedBy>
  <cp:revision>3</cp:revision>
  <dcterms:created xsi:type="dcterms:W3CDTF">2019-05-19T15:52:00Z</dcterms:created>
  <dcterms:modified xsi:type="dcterms:W3CDTF">2019-05-19T15:53:00Z</dcterms:modified>
</cp:coreProperties>
</file>