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55BCC" w14:textId="54DC7E67" w:rsidR="00A53AD6" w:rsidRDefault="00A53AD6" w:rsidP="00A53AD6">
      <w:pPr>
        <w:jc w:val="center"/>
        <w:rPr>
          <w:sz w:val="32"/>
          <w:szCs w:val="32"/>
          <w:lang w:eastAsia="en-GB"/>
        </w:rPr>
      </w:pPr>
      <w:r w:rsidRPr="004268DB">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1BDFDF7B" wp14:editId="79CF2BDA">
            <wp:simplePos x="0" y="0"/>
            <wp:positionH relativeFrom="column">
              <wp:posOffset>-304800</wp:posOffset>
            </wp:positionH>
            <wp:positionV relativeFrom="paragraph">
              <wp:posOffset>0</wp:posOffset>
            </wp:positionV>
            <wp:extent cx="2832735" cy="1261745"/>
            <wp:effectExtent l="0" t="0" r="0" b="0"/>
            <wp:wrapSquare wrapText="bothSides"/>
            <wp:docPr id="30" name="Picture 30"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2735" cy="12617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3B229EF1" wp14:editId="608C1259">
                <wp:simplePos x="0" y="0"/>
                <wp:positionH relativeFrom="column">
                  <wp:posOffset>-953245</wp:posOffset>
                </wp:positionH>
                <wp:positionV relativeFrom="paragraph">
                  <wp:posOffset>-941749</wp:posOffset>
                </wp:positionV>
                <wp:extent cx="457200" cy="11173968"/>
                <wp:effectExtent l="0" t="0" r="12700" b="15240"/>
                <wp:wrapNone/>
                <wp:docPr id="2" name="Rectangle 2"/>
                <wp:cNvGraphicFramePr/>
                <a:graphic xmlns:a="http://schemas.openxmlformats.org/drawingml/2006/main">
                  <a:graphicData uri="http://schemas.microsoft.com/office/word/2010/wordprocessingShape">
                    <wps:wsp>
                      <wps:cNvSpPr/>
                      <wps:spPr>
                        <a:xfrm>
                          <a:off x="0" y="0"/>
                          <a:ext cx="457200" cy="11173968"/>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C66B2" id="Rectangle 2" o:spid="_x0000_s1026" style="position:absolute;margin-left:-75.05pt;margin-top:-74.15pt;width:36pt;height:87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" fillcolor="#002060" strokecolor="#1f3763 [1604]" strokeweight="1pt"/>
            </w:pict>
          </mc:Fallback>
        </mc:AlternateContent>
      </w:r>
    </w:p>
    <w:p w14:paraId="00811F06" w14:textId="12E18FB8" w:rsidR="00A53AD6" w:rsidRDefault="00A53AD6" w:rsidP="00A53AD6">
      <w:pPr>
        <w:jc w:val="center"/>
        <w:rPr>
          <w:sz w:val="32"/>
          <w:szCs w:val="32"/>
          <w:lang w:eastAsia="en-GB"/>
        </w:rPr>
      </w:pPr>
    </w:p>
    <w:p w14:paraId="4F0DDF53" w14:textId="57989F43" w:rsidR="00A53AD6" w:rsidRDefault="00A53AD6" w:rsidP="00A53AD6">
      <w:pPr>
        <w:jc w:val="center"/>
        <w:rPr>
          <w:sz w:val="32"/>
          <w:szCs w:val="32"/>
          <w:lang w:eastAsia="en-GB"/>
        </w:rPr>
      </w:pPr>
    </w:p>
    <w:p w14:paraId="63CE08CF" w14:textId="5AB75204" w:rsidR="00A53AD6" w:rsidRDefault="00A53AD6" w:rsidP="00A53AD6">
      <w:pPr>
        <w:jc w:val="center"/>
        <w:rPr>
          <w:sz w:val="32"/>
          <w:szCs w:val="32"/>
          <w:lang w:eastAsia="en-GB"/>
        </w:rPr>
      </w:pPr>
    </w:p>
    <w:p w14:paraId="52E3BA0E" w14:textId="77777777" w:rsidR="00A53AD6" w:rsidRDefault="00A53AD6" w:rsidP="00A53AD6">
      <w:pPr>
        <w:spacing w:line="600" w:lineRule="auto"/>
        <w:jc w:val="center"/>
        <w:rPr>
          <w:rFonts w:ascii="Times New Roman" w:hAnsi="Times New Roman" w:cs="Times New Roman"/>
          <w:b/>
          <w:bCs/>
        </w:rPr>
      </w:pPr>
    </w:p>
    <w:p w14:paraId="20FFDCE9" w14:textId="77777777" w:rsidR="00A53AD6" w:rsidRDefault="00A53AD6" w:rsidP="00A53AD6">
      <w:pPr>
        <w:spacing w:line="600" w:lineRule="auto"/>
        <w:jc w:val="center"/>
        <w:rPr>
          <w:rFonts w:ascii="Times New Roman" w:hAnsi="Times New Roman" w:cs="Times New Roman"/>
          <w:b/>
          <w:bCs/>
        </w:rPr>
      </w:pPr>
    </w:p>
    <w:p w14:paraId="0C258B95" w14:textId="056579D7" w:rsidR="00A53AD6" w:rsidRPr="00667BA3" w:rsidRDefault="00A53AD6" w:rsidP="00A53AD6">
      <w:pPr>
        <w:spacing w:line="600" w:lineRule="auto"/>
        <w:jc w:val="center"/>
        <w:rPr>
          <w:rFonts w:ascii="Times New Roman" w:hAnsi="Times New Roman" w:cs="Times New Roman"/>
          <w:b/>
          <w:bCs/>
        </w:rPr>
      </w:pPr>
      <w:r w:rsidRPr="00667BA3">
        <w:rPr>
          <w:rFonts w:ascii="Times New Roman" w:hAnsi="Times New Roman" w:cs="Times New Roman"/>
          <w:b/>
          <w:bCs/>
        </w:rPr>
        <w:t>Programme: BA (Hons) Business Management</w:t>
      </w:r>
    </w:p>
    <w:p w14:paraId="57D4AC93" w14:textId="77777777" w:rsidR="00A53AD6" w:rsidRDefault="00A53AD6" w:rsidP="00A53AD6">
      <w:pPr>
        <w:spacing w:line="600" w:lineRule="auto"/>
        <w:jc w:val="center"/>
        <w:rPr>
          <w:rFonts w:ascii="Times New Roman" w:hAnsi="Times New Roman" w:cs="Times New Roman"/>
          <w:b/>
          <w:bCs/>
        </w:rPr>
      </w:pPr>
      <w:r w:rsidRPr="00667BA3">
        <w:rPr>
          <w:rFonts w:ascii="Times New Roman" w:hAnsi="Times New Roman" w:cs="Times New Roman"/>
          <w:b/>
          <w:bCs/>
        </w:rPr>
        <w:t>Module: Dissertation</w:t>
      </w:r>
    </w:p>
    <w:p w14:paraId="6DD5DB87" w14:textId="48EB74DD" w:rsidR="00A53AD6" w:rsidRPr="00A53AD6" w:rsidRDefault="00A53AD6" w:rsidP="00A53AD6">
      <w:pPr>
        <w:spacing w:line="600" w:lineRule="auto"/>
        <w:jc w:val="center"/>
        <w:rPr>
          <w:rFonts w:ascii="Times New Roman" w:hAnsi="Times New Roman" w:cs="Times New Roman"/>
          <w:b/>
          <w:bCs/>
        </w:rPr>
      </w:pPr>
      <w:r w:rsidRPr="00667BA3">
        <w:rPr>
          <w:rFonts w:ascii="Times New Roman" w:hAnsi="Times New Roman" w:cs="Times New Roman"/>
          <w:b/>
          <w:bCs/>
        </w:rPr>
        <w:t>Module code: LCBB600</w:t>
      </w:r>
      <w:r w:rsidR="00AB449F">
        <w:rPr>
          <w:rFonts w:ascii="Times New Roman" w:hAnsi="Times New Roman" w:cs="Times New Roman"/>
          <w:b/>
          <w:bCs/>
        </w:rPr>
        <w:t>0</w:t>
      </w:r>
    </w:p>
    <w:p w14:paraId="65BCD016" w14:textId="77777777" w:rsidR="00A53AD6" w:rsidRDefault="00A53AD6" w:rsidP="00A53AD6">
      <w:pPr>
        <w:jc w:val="center"/>
        <w:rPr>
          <w:sz w:val="32"/>
          <w:szCs w:val="32"/>
          <w:lang w:eastAsia="en-GB"/>
        </w:rPr>
      </w:pPr>
    </w:p>
    <w:p w14:paraId="4DDB8C97" w14:textId="77777777" w:rsidR="00A53AD6" w:rsidRDefault="00A53AD6" w:rsidP="00A53AD6">
      <w:pPr>
        <w:jc w:val="center"/>
        <w:rPr>
          <w:sz w:val="32"/>
          <w:szCs w:val="32"/>
          <w:lang w:eastAsia="en-GB"/>
        </w:rPr>
      </w:pPr>
    </w:p>
    <w:p w14:paraId="69AF7C22" w14:textId="77777777" w:rsidR="00A53AD6" w:rsidRPr="00A53AD6" w:rsidRDefault="00A53AD6" w:rsidP="00A53AD6">
      <w:pPr>
        <w:jc w:val="center"/>
        <w:rPr>
          <w:i/>
          <w:iCs/>
          <w:sz w:val="32"/>
          <w:szCs w:val="32"/>
          <w:u w:val="single"/>
          <w:lang w:eastAsia="en-GB"/>
        </w:rPr>
      </w:pPr>
    </w:p>
    <w:p w14:paraId="293DDF70" w14:textId="77777777" w:rsidR="00A53AD6" w:rsidRPr="00A53AD6" w:rsidRDefault="00A53AD6" w:rsidP="00A53AD6">
      <w:pPr>
        <w:jc w:val="center"/>
        <w:rPr>
          <w:i/>
          <w:iCs/>
          <w:sz w:val="32"/>
          <w:szCs w:val="32"/>
          <w:u w:val="single"/>
          <w:lang w:eastAsia="en-GB"/>
        </w:rPr>
      </w:pPr>
    </w:p>
    <w:p w14:paraId="219EA84C" w14:textId="0C3A077C" w:rsidR="00A53AD6" w:rsidRPr="00A53AD6" w:rsidRDefault="00A53AD6" w:rsidP="00A53AD6">
      <w:pPr>
        <w:jc w:val="center"/>
        <w:rPr>
          <w:i/>
          <w:iCs/>
          <w:sz w:val="32"/>
          <w:szCs w:val="32"/>
          <w:u w:val="single"/>
          <w:lang w:eastAsia="en-GB"/>
        </w:rPr>
      </w:pPr>
      <w:r w:rsidRPr="00A53AD6">
        <w:rPr>
          <w:i/>
          <w:iCs/>
          <w:sz w:val="32"/>
          <w:szCs w:val="32"/>
          <w:u w:val="single"/>
          <w:lang w:eastAsia="en-GB"/>
        </w:rPr>
        <w:t>Strategic Adaptation of UK Small and Medium-Sized Enterprises (SMEs) in the Post-Brexit Environment</w:t>
      </w:r>
    </w:p>
    <w:p w14:paraId="5EAB2095" w14:textId="049EA4CF" w:rsidR="00A53AD6" w:rsidRPr="00A53AD6" w:rsidRDefault="00A53AD6" w:rsidP="00A53AD6">
      <w:pPr>
        <w:rPr>
          <w:rFonts w:ascii="Times New Roman" w:eastAsia="Times New Roman" w:hAnsi="Times New Roman" w:cs="Times New Roman"/>
          <w:i/>
          <w:iCs/>
          <w:u w:val="single"/>
          <w:lang w:eastAsia="en-GB"/>
        </w:rPr>
      </w:pPr>
    </w:p>
    <w:p w14:paraId="55255631" w14:textId="0A842E49" w:rsidR="00A53AD6" w:rsidRDefault="00A53AD6" w:rsidP="00A53AD6">
      <w:pPr>
        <w:rPr>
          <w:rFonts w:ascii="Times New Roman" w:eastAsia="Times New Roman" w:hAnsi="Times New Roman" w:cs="Times New Roman"/>
          <w:lang w:eastAsia="en-GB"/>
        </w:rPr>
      </w:pPr>
    </w:p>
    <w:p w14:paraId="0BF068C2" w14:textId="20EFA3D5" w:rsidR="00A53AD6" w:rsidRDefault="00A53AD6" w:rsidP="00A53AD6">
      <w:pPr>
        <w:rPr>
          <w:rFonts w:ascii="Times New Roman" w:eastAsia="Times New Roman" w:hAnsi="Times New Roman" w:cs="Times New Roman"/>
          <w:lang w:eastAsia="en-GB"/>
        </w:rPr>
      </w:pPr>
    </w:p>
    <w:p w14:paraId="246CF58D" w14:textId="32C0C5AF" w:rsidR="00A53AD6" w:rsidRDefault="00A53AD6" w:rsidP="00A53AD6">
      <w:pPr>
        <w:rPr>
          <w:rFonts w:ascii="Times New Roman" w:eastAsia="Times New Roman" w:hAnsi="Times New Roman" w:cs="Times New Roman"/>
          <w:lang w:eastAsia="en-GB"/>
        </w:rPr>
      </w:pPr>
    </w:p>
    <w:p w14:paraId="286C87F1" w14:textId="66A7F952" w:rsidR="00A53AD6" w:rsidRDefault="00A53AD6" w:rsidP="00A53AD6">
      <w:pPr>
        <w:rPr>
          <w:rFonts w:ascii="Times New Roman" w:eastAsia="Times New Roman" w:hAnsi="Times New Roman" w:cs="Times New Roman"/>
          <w:lang w:eastAsia="en-GB"/>
        </w:rPr>
      </w:pPr>
    </w:p>
    <w:p w14:paraId="5514B7A6" w14:textId="16D6349F" w:rsidR="00A53AD6" w:rsidRDefault="00A53AD6" w:rsidP="00A53AD6">
      <w:pPr>
        <w:rPr>
          <w:rFonts w:ascii="Times New Roman" w:eastAsia="Times New Roman" w:hAnsi="Times New Roman" w:cs="Times New Roman"/>
          <w:lang w:eastAsia="en-GB"/>
        </w:rPr>
      </w:pPr>
    </w:p>
    <w:p w14:paraId="32AD7F05" w14:textId="77777777" w:rsidR="00A53AD6" w:rsidRDefault="00A53AD6" w:rsidP="00A53AD6">
      <w:pPr>
        <w:rPr>
          <w:rFonts w:ascii="Times New Roman" w:eastAsia="Times New Roman" w:hAnsi="Times New Roman" w:cs="Times New Roman"/>
          <w:lang w:eastAsia="en-GB"/>
        </w:rPr>
      </w:pPr>
    </w:p>
    <w:p w14:paraId="54E91C93" w14:textId="0DFA06A7" w:rsidR="00A53AD6" w:rsidRDefault="00A53AD6" w:rsidP="00A53AD6">
      <w:pPr>
        <w:rPr>
          <w:rFonts w:ascii="Times New Roman" w:eastAsia="Times New Roman" w:hAnsi="Times New Roman" w:cs="Times New Roman"/>
          <w:lang w:eastAsia="en-GB"/>
        </w:rPr>
      </w:pPr>
    </w:p>
    <w:p w14:paraId="4BDDF794" w14:textId="1D6FCA79" w:rsidR="00A53AD6" w:rsidRDefault="00A53AD6" w:rsidP="00A53AD6">
      <w:pPr>
        <w:rPr>
          <w:rFonts w:ascii="Times New Roman" w:eastAsia="Times New Roman" w:hAnsi="Times New Roman" w:cs="Times New Roman"/>
          <w:lang w:eastAsia="en-GB"/>
        </w:rPr>
      </w:pPr>
    </w:p>
    <w:p w14:paraId="64B75866" w14:textId="68C73617" w:rsidR="00A53AD6" w:rsidRDefault="00A53AD6" w:rsidP="00A53AD6">
      <w:pPr>
        <w:rPr>
          <w:rFonts w:ascii="Times New Roman" w:eastAsia="Times New Roman" w:hAnsi="Times New Roman" w:cs="Times New Roman"/>
          <w:lang w:eastAsia="en-GB"/>
        </w:rPr>
      </w:pPr>
    </w:p>
    <w:p w14:paraId="3D7305EB" w14:textId="00B6E1FD" w:rsidR="00A53AD6" w:rsidRDefault="00A53AD6" w:rsidP="00A53AD6">
      <w:pPr>
        <w:rPr>
          <w:rFonts w:ascii="Times New Roman" w:eastAsia="Times New Roman" w:hAnsi="Times New Roman" w:cs="Times New Roman"/>
          <w:lang w:eastAsia="en-GB"/>
        </w:rPr>
      </w:pPr>
    </w:p>
    <w:p w14:paraId="030863AE" w14:textId="73E4C999" w:rsidR="00A53AD6" w:rsidRDefault="00A53AD6" w:rsidP="00A53AD6">
      <w:pPr>
        <w:rPr>
          <w:rFonts w:ascii="Times New Roman" w:eastAsia="Times New Roman" w:hAnsi="Times New Roman" w:cs="Times New Roman"/>
          <w:lang w:eastAsia="en-GB"/>
        </w:rPr>
      </w:pPr>
    </w:p>
    <w:p w14:paraId="2B16F18C" w14:textId="2A3D55DD" w:rsidR="00A53AD6" w:rsidRDefault="00A53AD6" w:rsidP="00A53AD6">
      <w:pPr>
        <w:rPr>
          <w:rFonts w:ascii="Times New Roman" w:eastAsia="Times New Roman" w:hAnsi="Times New Roman" w:cs="Times New Roman"/>
          <w:lang w:eastAsia="en-GB"/>
        </w:rPr>
      </w:pPr>
    </w:p>
    <w:p w14:paraId="0E13B623" w14:textId="253F0EB2" w:rsidR="00A53AD6" w:rsidRDefault="00A53AD6" w:rsidP="00A53AD6">
      <w:pPr>
        <w:rPr>
          <w:rFonts w:ascii="Times New Roman" w:eastAsia="Times New Roman" w:hAnsi="Times New Roman" w:cs="Times New Roman"/>
          <w:lang w:eastAsia="en-GB"/>
        </w:rPr>
      </w:pPr>
    </w:p>
    <w:p w14:paraId="7F237C0E" w14:textId="0F5B2A89" w:rsidR="00A53AD6" w:rsidRDefault="00A53AD6" w:rsidP="00A53AD6">
      <w:pPr>
        <w:rPr>
          <w:rFonts w:ascii="Times New Roman" w:eastAsia="Times New Roman" w:hAnsi="Times New Roman" w:cs="Times New Roman"/>
          <w:lang w:eastAsia="en-GB"/>
        </w:rPr>
      </w:pPr>
    </w:p>
    <w:p w14:paraId="377B9094" w14:textId="1A664A32" w:rsidR="00A53AD6" w:rsidRDefault="00A53AD6" w:rsidP="00A53AD6">
      <w:pPr>
        <w:rPr>
          <w:rFonts w:ascii="Times New Roman" w:eastAsia="Times New Roman" w:hAnsi="Times New Roman" w:cs="Times New Roman"/>
          <w:lang w:eastAsia="en-GB"/>
        </w:rPr>
      </w:pPr>
    </w:p>
    <w:p w14:paraId="61391E21" w14:textId="6745BA24" w:rsidR="00A53AD6" w:rsidRDefault="00A53AD6" w:rsidP="00A53AD6">
      <w:pPr>
        <w:rPr>
          <w:rFonts w:ascii="Times New Roman" w:eastAsia="Times New Roman" w:hAnsi="Times New Roman" w:cs="Times New Roman"/>
          <w:lang w:eastAsia="en-GB"/>
        </w:rPr>
      </w:pPr>
    </w:p>
    <w:p w14:paraId="7902F554" w14:textId="018A9A32" w:rsidR="00A53AD6" w:rsidRDefault="00A53AD6" w:rsidP="00A53AD6">
      <w:pPr>
        <w:rPr>
          <w:rFonts w:ascii="Times New Roman" w:eastAsia="Times New Roman" w:hAnsi="Times New Roman" w:cs="Times New Roman"/>
          <w:lang w:eastAsia="en-GB"/>
        </w:rPr>
      </w:pPr>
    </w:p>
    <w:p w14:paraId="3D4A1B40" w14:textId="5F042ABC" w:rsidR="00A53AD6" w:rsidRPr="00A53AD6" w:rsidRDefault="00A53AD6" w:rsidP="00A53AD6">
      <w:pPr>
        <w:jc w:val="right"/>
        <w:rPr>
          <w:rFonts w:ascii="Times New Roman" w:eastAsia="Times New Roman" w:hAnsi="Times New Roman" w:cs="Times New Roman"/>
          <w:sz w:val="20"/>
          <w:szCs w:val="20"/>
          <w:lang w:eastAsia="en-GB"/>
        </w:rPr>
      </w:pPr>
    </w:p>
    <w:p w14:paraId="3646696B" w14:textId="46470B28" w:rsidR="00A53AD6" w:rsidRPr="00A53AD6" w:rsidRDefault="00A53AD6" w:rsidP="00A53AD6">
      <w:pPr>
        <w:jc w:val="right"/>
        <w:rPr>
          <w:rFonts w:ascii="Times New Roman" w:eastAsia="Times New Roman" w:hAnsi="Times New Roman" w:cs="Times New Roman"/>
          <w:sz w:val="20"/>
          <w:szCs w:val="20"/>
          <w:lang w:eastAsia="en-GB"/>
        </w:rPr>
      </w:pPr>
    </w:p>
    <w:p w14:paraId="2E83DCD7" w14:textId="13BBFFBF" w:rsidR="00A53AD6" w:rsidRPr="00A53AD6" w:rsidRDefault="00A53AD6" w:rsidP="00A53AD6">
      <w:pPr>
        <w:jc w:val="right"/>
        <w:rPr>
          <w:rFonts w:ascii="Times New Roman" w:eastAsia="Times New Roman" w:hAnsi="Times New Roman" w:cs="Times New Roman"/>
          <w:sz w:val="20"/>
          <w:szCs w:val="20"/>
          <w:lang w:eastAsia="en-GB"/>
        </w:rPr>
      </w:pPr>
    </w:p>
    <w:p w14:paraId="2ADCDCDF" w14:textId="77777777" w:rsidR="00A53AD6" w:rsidRPr="00A53AD6" w:rsidRDefault="00A53AD6" w:rsidP="00A53AD6">
      <w:pPr>
        <w:spacing w:line="360" w:lineRule="auto"/>
        <w:jc w:val="right"/>
        <w:rPr>
          <w:b/>
          <w:bCs/>
          <w:sz w:val="28"/>
          <w:szCs w:val="28"/>
        </w:rPr>
      </w:pPr>
      <w:r w:rsidRPr="00A53AD6">
        <w:rPr>
          <w:b/>
          <w:bCs/>
          <w:sz w:val="28"/>
          <w:szCs w:val="28"/>
        </w:rPr>
        <w:t xml:space="preserve">Student Name: </w:t>
      </w:r>
      <w:r w:rsidRPr="00A53AD6">
        <w:rPr>
          <w:sz w:val="28"/>
          <w:szCs w:val="28"/>
        </w:rPr>
        <w:t>Andreea</w:t>
      </w:r>
      <w:r w:rsidRPr="00A53AD6">
        <w:rPr>
          <w:b/>
          <w:bCs/>
          <w:sz w:val="28"/>
          <w:szCs w:val="28"/>
        </w:rPr>
        <w:t xml:space="preserve"> </w:t>
      </w:r>
      <w:r w:rsidRPr="00A53AD6">
        <w:rPr>
          <w:sz w:val="28"/>
          <w:szCs w:val="28"/>
        </w:rPr>
        <w:t>Tamba</w:t>
      </w:r>
    </w:p>
    <w:p w14:paraId="76122FCD" w14:textId="77777777" w:rsidR="00A53AD6" w:rsidRPr="00A53AD6" w:rsidRDefault="00A53AD6" w:rsidP="00A53AD6">
      <w:pPr>
        <w:spacing w:line="360" w:lineRule="auto"/>
        <w:jc w:val="right"/>
        <w:rPr>
          <w:b/>
          <w:bCs/>
          <w:sz w:val="28"/>
          <w:szCs w:val="28"/>
        </w:rPr>
      </w:pPr>
      <w:r w:rsidRPr="00A53AD6">
        <w:rPr>
          <w:sz w:val="28"/>
          <w:szCs w:val="28"/>
        </w:rPr>
        <w:t>Student</w:t>
      </w:r>
      <w:r w:rsidRPr="00A53AD6">
        <w:rPr>
          <w:b/>
          <w:bCs/>
          <w:sz w:val="28"/>
          <w:szCs w:val="28"/>
        </w:rPr>
        <w:t xml:space="preserve"> </w:t>
      </w:r>
      <w:r w:rsidRPr="00A53AD6">
        <w:rPr>
          <w:sz w:val="28"/>
          <w:szCs w:val="28"/>
        </w:rPr>
        <w:t>ID</w:t>
      </w:r>
      <w:r w:rsidRPr="00A53AD6">
        <w:rPr>
          <w:b/>
          <w:bCs/>
          <w:sz w:val="28"/>
          <w:szCs w:val="28"/>
        </w:rPr>
        <w:t>: 2112920</w:t>
      </w:r>
    </w:p>
    <w:p w14:paraId="660DDE13" w14:textId="120BAA40" w:rsidR="00A53AD6" w:rsidRP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0" w:name="_Toc213695950"/>
      <w:r>
        <w:rPr>
          <w:rFonts w:ascii="Times New Roman" w:eastAsia="Times New Roman" w:hAnsi="Times New Roman" w:cs="Times New Roman"/>
          <w:b/>
          <w:bCs/>
          <w:sz w:val="36"/>
          <w:szCs w:val="36"/>
          <w:lang w:eastAsia="en-GB"/>
        </w:rPr>
        <w:t>Ab</w:t>
      </w:r>
      <w:r w:rsidRPr="00A53AD6">
        <w:rPr>
          <w:rFonts w:ascii="Times New Roman" w:eastAsia="Times New Roman" w:hAnsi="Times New Roman" w:cs="Times New Roman"/>
          <w:b/>
          <w:bCs/>
          <w:sz w:val="36"/>
          <w:szCs w:val="36"/>
          <w:lang w:eastAsia="en-GB"/>
        </w:rPr>
        <w:t>stract</w:t>
      </w:r>
      <w:bookmarkEnd w:id="0"/>
    </w:p>
    <w:p w14:paraId="3D0D78F6"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The United Kingdom’s (UK) withdrawal from the European Union (EU) in January 2020 marked a major turning point for small and medium-sized enterprises (SMEs). The post-Brexit Trade and Cooperation Agreement (TCA) reshaped trade, customs, labour mobility, and regulatory conditions, creating significant operational and strategic challenges. This dissertation explores how UK SMEs have adapted strategically to the post-Brexit environment through innovation, digitalisation, supply-chain restructuring, and market diversification. Using a qualitative interpretivist approach based on secondary data, this study applies the </w:t>
      </w:r>
      <w:r w:rsidRPr="00A53AD6">
        <w:rPr>
          <w:rFonts w:ascii="Times New Roman" w:eastAsia="Times New Roman" w:hAnsi="Times New Roman" w:cs="Times New Roman"/>
          <w:b/>
          <w:bCs/>
          <w:lang w:eastAsia="en-GB"/>
        </w:rPr>
        <w:t>Dynamic Capabilities Theory (DCT)</w:t>
      </w:r>
      <w:r w:rsidRPr="00A53AD6">
        <w:rPr>
          <w:rFonts w:ascii="Times New Roman" w:eastAsia="Times New Roman" w:hAnsi="Times New Roman" w:cs="Times New Roman"/>
          <w:lang w:eastAsia="en-GB"/>
        </w:rPr>
        <w:t xml:space="preserve"> to explain how SMEs sense, seize, and reconfigure resources to remain competitive during environmental disruption. Thematic analysis of industry reports, academic literature, and case studies reveals three dominant adaptation themes: (1) supply-chain reconfiguration, (2) digital transformation, and (3) strategic diversification. Findings highlight that firms exhibiting strong dynamic capabilities achieved higher resilience and sustainability. The dissertation concludes that Brexit, while initially disruptive, has encouraged long-term agility among UK SMEs. Recommendations include targeted government support, digital training schemes, and simplified customs systems to enhance post-Brexit competitiveness.</w:t>
      </w:r>
    </w:p>
    <w:p w14:paraId="48E64B16" w14:textId="7316A9DE" w:rsidR="00A53AD6" w:rsidRPr="00A53AD6" w:rsidRDefault="00A53AD6" w:rsidP="00A53AD6">
      <w:pPr>
        <w:spacing w:line="360" w:lineRule="auto"/>
        <w:jc w:val="both"/>
        <w:rPr>
          <w:rFonts w:ascii="Times New Roman" w:eastAsia="Times New Roman" w:hAnsi="Times New Roman" w:cs="Times New Roman"/>
          <w:lang w:eastAsia="en-GB"/>
        </w:rPr>
      </w:pPr>
    </w:p>
    <w:p w14:paraId="69903716" w14:textId="4F553354"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129F0C56" w14:textId="7AA90B84"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422BC3B5" w14:textId="23FFE13B"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2A704C2F" w14:textId="31275FF2"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4E989B95" w14:textId="4F9586B5"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365DB6F4" w14:textId="44408961"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7AE326CD" w14:textId="77547B22"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7F04C082" w14:textId="745A307D" w:rsidR="00A53AD6" w:rsidRDefault="00A53AD6" w:rsidP="00A53AD6">
      <w:pPr>
        <w:spacing w:line="360" w:lineRule="auto"/>
        <w:jc w:val="both"/>
        <w:rPr>
          <w:rFonts w:ascii="Times New Roman" w:eastAsia="Times New Roman" w:hAnsi="Times New Roman" w:cs="Times New Roman"/>
          <w:b/>
          <w:bCs/>
          <w:sz w:val="36"/>
          <w:szCs w:val="36"/>
          <w:lang w:eastAsia="en-GB"/>
        </w:rPr>
      </w:pPr>
    </w:p>
    <w:p w14:paraId="2D8D2EA0" w14:textId="1C427643" w:rsidR="00A53AD6" w:rsidRDefault="00A53AD6" w:rsidP="00A53AD6">
      <w:pPr>
        <w:spacing w:line="360" w:lineRule="auto"/>
        <w:jc w:val="both"/>
        <w:rPr>
          <w:rFonts w:ascii="Times New Roman" w:eastAsia="Times New Roman" w:hAnsi="Times New Roman" w:cs="Times New Roman"/>
          <w:b/>
          <w:bCs/>
          <w:sz w:val="36"/>
          <w:szCs w:val="36"/>
          <w:lang w:eastAsia="en-GB"/>
        </w:rPr>
      </w:pPr>
    </w:p>
    <w:sdt>
      <w:sdtPr>
        <w:rPr>
          <w:rFonts w:asciiTheme="minorHAnsi" w:eastAsiaTheme="minorHAnsi" w:hAnsiTheme="minorHAnsi" w:cstheme="minorBidi"/>
          <w:b w:val="0"/>
          <w:bCs w:val="0"/>
          <w:color w:val="auto"/>
          <w:sz w:val="24"/>
          <w:szCs w:val="24"/>
          <w:lang w:val="en-GB"/>
        </w:rPr>
        <w:id w:val="-946923720"/>
        <w:docPartObj>
          <w:docPartGallery w:val="Table of Contents"/>
          <w:docPartUnique/>
        </w:docPartObj>
      </w:sdtPr>
      <w:sdtEndPr>
        <w:rPr>
          <w:noProof/>
        </w:rPr>
      </w:sdtEndPr>
      <w:sdtContent>
        <w:p w14:paraId="037B9EDC" w14:textId="20F14A9C" w:rsidR="00A53AD6" w:rsidRPr="00A53AD6" w:rsidRDefault="00A53AD6" w:rsidP="00A53AD6">
          <w:pPr>
            <w:pStyle w:val="Titlucuprins"/>
            <w:spacing w:line="360" w:lineRule="auto"/>
            <w:jc w:val="both"/>
            <w:rPr>
              <w:rFonts w:ascii="Times New Roman" w:hAnsi="Times New Roman" w:cs="Times New Roman"/>
              <w:sz w:val="24"/>
              <w:szCs w:val="24"/>
            </w:rPr>
          </w:pPr>
          <w:r w:rsidRPr="00A53AD6">
            <w:rPr>
              <w:rFonts w:ascii="Times New Roman" w:hAnsi="Times New Roman" w:cs="Times New Roman"/>
              <w:sz w:val="24"/>
              <w:szCs w:val="24"/>
            </w:rPr>
            <w:t>Table of Contents</w:t>
          </w:r>
        </w:p>
        <w:p w14:paraId="445DB9BA" w14:textId="2E851BCA"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r w:rsidRPr="00A53AD6">
            <w:rPr>
              <w:rFonts w:ascii="Times New Roman" w:hAnsi="Times New Roman" w:cs="Times New Roman"/>
              <w:b w:val="0"/>
              <w:bCs w:val="0"/>
              <w:sz w:val="24"/>
              <w:szCs w:val="24"/>
            </w:rPr>
            <w:fldChar w:fldCharType="begin"/>
          </w:r>
          <w:r w:rsidRPr="00A53AD6">
            <w:rPr>
              <w:rFonts w:ascii="Times New Roman" w:hAnsi="Times New Roman" w:cs="Times New Roman"/>
              <w:sz w:val="24"/>
              <w:szCs w:val="24"/>
            </w:rPr>
            <w:instrText xml:space="preserve"> TOC \o "1-3" \h \z \u </w:instrText>
          </w:r>
          <w:r w:rsidRPr="00A53AD6">
            <w:rPr>
              <w:rFonts w:ascii="Times New Roman" w:hAnsi="Times New Roman" w:cs="Times New Roman"/>
              <w:b w:val="0"/>
              <w:bCs w:val="0"/>
              <w:sz w:val="24"/>
              <w:szCs w:val="24"/>
            </w:rPr>
            <w:fldChar w:fldCharType="separate"/>
          </w:r>
          <w:hyperlink w:anchor="_Toc213695950" w:history="1">
            <w:r w:rsidRPr="00A53AD6">
              <w:rPr>
                <w:rStyle w:val="Hyperlink"/>
                <w:rFonts w:ascii="Times New Roman" w:eastAsia="Times New Roman" w:hAnsi="Times New Roman" w:cs="Times New Roman"/>
                <w:noProof/>
                <w:sz w:val="24"/>
                <w:szCs w:val="24"/>
                <w:lang w:eastAsia="en-GB"/>
              </w:rPr>
              <w:t>Abstract</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_Toc213695950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2</w:t>
            </w:r>
            <w:r w:rsidRPr="00A53AD6">
              <w:rPr>
                <w:rFonts w:ascii="Times New Roman" w:hAnsi="Times New Roman" w:cs="Times New Roman"/>
                <w:noProof/>
                <w:webHidden/>
                <w:sz w:val="24"/>
                <w:szCs w:val="24"/>
              </w:rPr>
              <w:fldChar w:fldCharType="end"/>
            </w:r>
          </w:hyperlink>
        </w:p>
        <w:p w14:paraId="5AAAF7A0" w14:textId="2C92C13A"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51" w:history="1">
            <w:r w:rsidRPr="00A53AD6">
              <w:rPr>
                <w:rStyle w:val="Hyperlink"/>
                <w:rFonts w:ascii="Times New Roman" w:eastAsia="Times New Roman" w:hAnsi="Times New Roman" w:cs="Times New Roman"/>
                <w:noProof/>
                <w:sz w:val="24"/>
                <w:szCs w:val="24"/>
                <w:lang w:eastAsia="en-GB"/>
              </w:rPr>
              <w:t>1. Introduction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_Toc213695951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4</w:t>
            </w:r>
            <w:r w:rsidRPr="00A53AD6">
              <w:rPr>
                <w:rFonts w:ascii="Times New Roman" w:hAnsi="Times New Roman" w:cs="Times New Roman"/>
                <w:noProof/>
                <w:webHidden/>
                <w:sz w:val="24"/>
                <w:szCs w:val="24"/>
              </w:rPr>
              <w:fldChar w:fldCharType="end"/>
            </w:r>
          </w:hyperlink>
        </w:p>
        <w:p w14:paraId="6BEA93E8" w14:textId="562A9C61"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52" w:history="1">
            <w:r w:rsidRPr="00A53AD6">
              <w:rPr>
                <w:rStyle w:val="Hyperlink"/>
                <w:rFonts w:ascii="Times New Roman" w:eastAsia="Times New Roman" w:hAnsi="Times New Roman" w:cs="Times New Roman"/>
                <w:noProof/>
                <w:sz w:val="24"/>
                <w:szCs w:val="24"/>
                <w:lang w:eastAsia="en-GB"/>
              </w:rPr>
              <w:t>2. Literature Review</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_Toc213695952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5</w:t>
            </w:r>
            <w:r w:rsidRPr="00A53AD6">
              <w:rPr>
                <w:rFonts w:ascii="Times New Roman" w:hAnsi="Times New Roman" w:cs="Times New Roman"/>
                <w:noProof/>
                <w:webHidden/>
                <w:sz w:val="24"/>
                <w:szCs w:val="24"/>
              </w:rPr>
              <w:fldChar w:fldCharType="end"/>
            </w:r>
          </w:hyperlink>
        </w:p>
        <w:p w14:paraId="213922DE" w14:textId="5CD7F3F4"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3" w:history="1">
            <w:r w:rsidRPr="00A53AD6">
              <w:rPr>
                <w:rStyle w:val="Hyperlink"/>
                <w:rFonts w:ascii="Times New Roman" w:eastAsia="Times New Roman" w:hAnsi="Times New Roman" w:cs="Times New Roman"/>
                <w:b/>
                <w:bCs/>
                <w:noProof/>
                <w:sz w:val="24"/>
                <w:szCs w:val="24"/>
                <w:lang w:eastAsia="en-GB"/>
              </w:rPr>
              <w:t>2.1 Overview of Brexit’s Effect on SMEs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_Toc213695953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5</w:t>
            </w:r>
            <w:r w:rsidRPr="00A53AD6">
              <w:rPr>
                <w:rFonts w:ascii="Times New Roman" w:hAnsi="Times New Roman" w:cs="Times New Roman"/>
                <w:noProof/>
                <w:webHidden/>
                <w:sz w:val="24"/>
                <w:szCs w:val="24"/>
              </w:rPr>
              <w:fldChar w:fldCharType="end"/>
            </w:r>
          </w:hyperlink>
        </w:p>
        <w:p w14:paraId="27FB7498" w14:textId="64433382"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4" w:history="1">
            <w:r w:rsidRPr="00A53AD6">
              <w:rPr>
                <w:rStyle w:val="Hyperlink"/>
                <w:rFonts w:ascii="Times New Roman" w:eastAsia="Times New Roman" w:hAnsi="Times New Roman" w:cs="Times New Roman"/>
                <w:b/>
                <w:bCs/>
                <w:noProof/>
                <w:sz w:val="24"/>
                <w:szCs w:val="24"/>
                <w:lang w:eastAsia="en-GB"/>
              </w:rPr>
              <w:t>2.2 Dynamic Capabilities Theory (DCT)</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_Toc213695954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6</w:t>
            </w:r>
            <w:r w:rsidRPr="00A53AD6">
              <w:rPr>
                <w:rFonts w:ascii="Times New Roman" w:hAnsi="Times New Roman" w:cs="Times New Roman"/>
                <w:noProof/>
                <w:webHidden/>
                <w:sz w:val="24"/>
                <w:szCs w:val="24"/>
              </w:rPr>
              <w:fldChar w:fldCharType="end"/>
            </w:r>
          </w:hyperlink>
        </w:p>
        <w:p w14:paraId="74B4ABCE" w14:textId="591FFE6C"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5" w:history="1">
            <w:r w:rsidRPr="00A53AD6">
              <w:rPr>
                <w:rStyle w:val="Hyperlink"/>
                <w:rFonts w:ascii="Times New Roman" w:eastAsia="Times New Roman" w:hAnsi="Times New Roman" w:cs="Times New Roman"/>
                <w:b/>
                <w:bCs/>
                <w:noProof/>
                <w:sz w:val="24"/>
                <w:szCs w:val="24"/>
                <w:lang w:eastAsia="en-GB"/>
              </w:rPr>
              <w:t>2.3 Empirical Insights on SME Adaptation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_Toc213695955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7</w:t>
            </w:r>
            <w:r w:rsidRPr="00A53AD6">
              <w:rPr>
                <w:rFonts w:ascii="Times New Roman" w:hAnsi="Times New Roman" w:cs="Times New Roman"/>
                <w:noProof/>
                <w:webHidden/>
                <w:sz w:val="24"/>
                <w:szCs w:val="24"/>
              </w:rPr>
              <w:fldChar w:fldCharType="end"/>
            </w:r>
          </w:hyperlink>
        </w:p>
        <w:p w14:paraId="522FEDB4" w14:textId="7533C383"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6" w:history="1">
            <w:r w:rsidRPr="00A53AD6">
              <w:rPr>
                <w:rStyle w:val="Hyperlink"/>
                <w:rFonts w:ascii="Times New Roman" w:eastAsia="Times New Roman" w:hAnsi="Times New Roman" w:cs="Times New Roman"/>
                <w:b/>
                <w:bCs/>
                <w:noProof/>
                <w:sz w:val="24"/>
                <w:szCs w:val="24"/>
                <w:lang w:eastAsia="en-GB"/>
              </w:rPr>
              <w:t>2.4 Digitalisation and Innovation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_Toc213695956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7</w:t>
            </w:r>
            <w:r w:rsidRPr="00A53AD6">
              <w:rPr>
                <w:rFonts w:ascii="Times New Roman" w:hAnsi="Times New Roman" w:cs="Times New Roman"/>
                <w:noProof/>
                <w:webHidden/>
                <w:sz w:val="24"/>
                <w:szCs w:val="24"/>
              </w:rPr>
              <w:fldChar w:fldCharType="end"/>
            </w:r>
          </w:hyperlink>
        </w:p>
        <w:p w14:paraId="13BEF393" w14:textId="2F825423"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7" w:history="1">
            <w:r w:rsidRPr="00A53AD6">
              <w:rPr>
                <w:rStyle w:val="Hyperlink"/>
                <w:rFonts w:ascii="Times New Roman" w:eastAsia="Times New Roman" w:hAnsi="Times New Roman" w:cs="Times New Roman"/>
                <w:b/>
                <w:bCs/>
                <w:noProof/>
                <w:sz w:val="24"/>
                <w:szCs w:val="24"/>
                <w:lang w:eastAsia="en-GB"/>
              </w:rPr>
              <w:t>2.5 Strategic Responses and Resilience</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_Toc213695957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8</w:t>
            </w:r>
            <w:r w:rsidRPr="00A53AD6">
              <w:rPr>
                <w:rFonts w:ascii="Times New Roman" w:hAnsi="Times New Roman" w:cs="Times New Roman"/>
                <w:noProof/>
                <w:webHidden/>
                <w:sz w:val="24"/>
                <w:szCs w:val="24"/>
              </w:rPr>
              <w:fldChar w:fldCharType="end"/>
            </w:r>
          </w:hyperlink>
        </w:p>
        <w:p w14:paraId="1F93186F" w14:textId="1431E9A7"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8" w:history="1">
            <w:r w:rsidRPr="00A53AD6">
              <w:rPr>
                <w:rStyle w:val="Hyperlink"/>
                <w:rFonts w:ascii="Times New Roman" w:eastAsia="Times New Roman" w:hAnsi="Times New Roman" w:cs="Times New Roman"/>
                <w:b/>
                <w:bCs/>
                <w:noProof/>
                <w:sz w:val="24"/>
                <w:szCs w:val="24"/>
                <w:lang w:eastAsia="en-GB"/>
              </w:rPr>
              <w:t>2.6 Research Gap</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_Toc213695958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8</w:t>
            </w:r>
            <w:r w:rsidRPr="00A53AD6">
              <w:rPr>
                <w:rFonts w:ascii="Times New Roman" w:hAnsi="Times New Roman" w:cs="Times New Roman"/>
                <w:noProof/>
                <w:webHidden/>
                <w:sz w:val="24"/>
                <w:szCs w:val="24"/>
              </w:rPr>
              <w:fldChar w:fldCharType="end"/>
            </w:r>
          </w:hyperlink>
        </w:p>
        <w:p w14:paraId="691D1F7B" w14:textId="78B79E56"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59" w:history="1">
            <w:r w:rsidRPr="00A53AD6">
              <w:rPr>
                <w:rStyle w:val="Hyperlink"/>
                <w:rFonts w:ascii="Times New Roman" w:eastAsia="Times New Roman" w:hAnsi="Times New Roman" w:cs="Times New Roman"/>
                <w:b/>
                <w:bCs/>
                <w:noProof/>
                <w:sz w:val="24"/>
                <w:szCs w:val="24"/>
                <w:lang w:eastAsia="en-GB"/>
              </w:rPr>
              <w:t>Figure 1. Conceptual Framework – Dynamic Capabilities Model for Post-Brexit SMEs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_Toc213695959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9</w:t>
            </w:r>
            <w:r w:rsidRPr="00A53AD6">
              <w:rPr>
                <w:rFonts w:ascii="Times New Roman" w:hAnsi="Times New Roman" w:cs="Times New Roman"/>
                <w:noProof/>
                <w:webHidden/>
                <w:sz w:val="24"/>
                <w:szCs w:val="24"/>
              </w:rPr>
              <w:fldChar w:fldCharType="end"/>
            </w:r>
          </w:hyperlink>
        </w:p>
        <w:p w14:paraId="1D4DA4A0" w14:textId="4E13EC9E"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0" w:history="1">
            <w:r w:rsidRPr="00A53AD6">
              <w:rPr>
                <w:rStyle w:val="Hyperlink"/>
                <w:rFonts w:ascii="Times New Roman" w:eastAsia="Times New Roman" w:hAnsi="Times New Roman" w:cs="Times New Roman"/>
                <w:b/>
                <w:bCs/>
                <w:noProof/>
                <w:sz w:val="24"/>
                <w:szCs w:val="24"/>
                <w:lang w:eastAsia="en-GB"/>
              </w:rPr>
              <w:t>Table 1. Summary of Key Brexit Impacts on SMEs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_Toc213695960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9</w:t>
            </w:r>
            <w:r w:rsidRPr="00A53AD6">
              <w:rPr>
                <w:rFonts w:ascii="Times New Roman" w:hAnsi="Times New Roman" w:cs="Times New Roman"/>
                <w:noProof/>
                <w:webHidden/>
                <w:sz w:val="24"/>
                <w:szCs w:val="24"/>
              </w:rPr>
              <w:fldChar w:fldCharType="end"/>
            </w:r>
          </w:hyperlink>
        </w:p>
        <w:p w14:paraId="46B15A07" w14:textId="7E32EFB4"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61" w:history="1">
            <w:r w:rsidRPr="00A53AD6">
              <w:rPr>
                <w:rStyle w:val="Hyperlink"/>
                <w:rFonts w:ascii="Times New Roman" w:eastAsia="Times New Roman" w:hAnsi="Times New Roman" w:cs="Times New Roman"/>
                <w:noProof/>
                <w:sz w:val="24"/>
                <w:szCs w:val="24"/>
                <w:lang w:eastAsia="en-GB"/>
              </w:rPr>
              <w:t>3. Methodology</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_Toc213695961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10</w:t>
            </w:r>
            <w:r w:rsidRPr="00A53AD6">
              <w:rPr>
                <w:rFonts w:ascii="Times New Roman" w:hAnsi="Times New Roman" w:cs="Times New Roman"/>
                <w:noProof/>
                <w:webHidden/>
                <w:sz w:val="24"/>
                <w:szCs w:val="24"/>
              </w:rPr>
              <w:fldChar w:fldCharType="end"/>
            </w:r>
          </w:hyperlink>
        </w:p>
        <w:p w14:paraId="1CD79876" w14:textId="09F26B72"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2" w:history="1">
            <w:r w:rsidRPr="00A53AD6">
              <w:rPr>
                <w:rStyle w:val="Hyperlink"/>
                <w:rFonts w:ascii="Times New Roman" w:eastAsia="Times New Roman" w:hAnsi="Times New Roman" w:cs="Times New Roman"/>
                <w:b/>
                <w:bCs/>
                <w:noProof/>
                <w:sz w:val="24"/>
                <w:szCs w:val="24"/>
                <w:lang w:eastAsia="en-GB"/>
              </w:rPr>
              <w:t>3.1 Research Approach</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_Toc213695962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10</w:t>
            </w:r>
            <w:r w:rsidRPr="00A53AD6">
              <w:rPr>
                <w:rFonts w:ascii="Times New Roman" w:hAnsi="Times New Roman" w:cs="Times New Roman"/>
                <w:noProof/>
                <w:webHidden/>
                <w:sz w:val="24"/>
                <w:szCs w:val="24"/>
              </w:rPr>
              <w:fldChar w:fldCharType="end"/>
            </w:r>
          </w:hyperlink>
        </w:p>
        <w:p w14:paraId="16009926" w14:textId="05A38CC5"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3" w:history="1">
            <w:r w:rsidRPr="00A53AD6">
              <w:rPr>
                <w:rStyle w:val="Hyperlink"/>
                <w:rFonts w:ascii="Times New Roman" w:eastAsia="Times New Roman" w:hAnsi="Times New Roman" w:cs="Times New Roman"/>
                <w:b/>
                <w:bCs/>
                <w:noProof/>
                <w:sz w:val="24"/>
                <w:szCs w:val="24"/>
                <w:lang w:eastAsia="en-GB"/>
              </w:rPr>
              <w:t>3.2 Thematic Analysis Process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_Toc213695963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11</w:t>
            </w:r>
            <w:r w:rsidRPr="00A53AD6">
              <w:rPr>
                <w:rFonts w:ascii="Times New Roman" w:hAnsi="Times New Roman" w:cs="Times New Roman"/>
                <w:noProof/>
                <w:webHidden/>
                <w:sz w:val="24"/>
                <w:szCs w:val="24"/>
              </w:rPr>
              <w:fldChar w:fldCharType="end"/>
            </w:r>
          </w:hyperlink>
        </w:p>
        <w:p w14:paraId="2FFFF5B6" w14:textId="7E6B5BD6"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4" w:history="1">
            <w:r w:rsidRPr="00A53AD6">
              <w:rPr>
                <w:rStyle w:val="Hyperlink"/>
                <w:rFonts w:ascii="Times New Roman" w:eastAsia="Times New Roman" w:hAnsi="Times New Roman" w:cs="Times New Roman"/>
                <w:b/>
                <w:bCs/>
                <w:noProof/>
                <w:sz w:val="24"/>
                <w:szCs w:val="24"/>
                <w:lang w:eastAsia="en-GB"/>
              </w:rPr>
              <w:t>3.3 Data Sources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_Toc213695964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11</w:t>
            </w:r>
            <w:r w:rsidRPr="00A53AD6">
              <w:rPr>
                <w:rFonts w:ascii="Times New Roman" w:hAnsi="Times New Roman" w:cs="Times New Roman"/>
                <w:noProof/>
                <w:webHidden/>
                <w:sz w:val="24"/>
                <w:szCs w:val="24"/>
              </w:rPr>
              <w:fldChar w:fldCharType="end"/>
            </w:r>
          </w:hyperlink>
        </w:p>
        <w:p w14:paraId="098215B8" w14:textId="08B6D388"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5" w:history="1">
            <w:r w:rsidRPr="00A53AD6">
              <w:rPr>
                <w:rStyle w:val="Hyperlink"/>
                <w:rFonts w:ascii="Times New Roman" w:eastAsia="Times New Roman" w:hAnsi="Times New Roman" w:cs="Times New Roman"/>
                <w:b/>
                <w:bCs/>
                <w:noProof/>
                <w:sz w:val="24"/>
                <w:szCs w:val="24"/>
                <w:lang w:eastAsia="en-GB"/>
              </w:rPr>
              <w:t>3.4 Thematic Framework</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_Toc213695965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12</w:t>
            </w:r>
            <w:r w:rsidRPr="00A53AD6">
              <w:rPr>
                <w:rFonts w:ascii="Times New Roman" w:hAnsi="Times New Roman" w:cs="Times New Roman"/>
                <w:noProof/>
                <w:webHidden/>
                <w:sz w:val="24"/>
                <w:szCs w:val="24"/>
              </w:rPr>
              <w:fldChar w:fldCharType="end"/>
            </w:r>
          </w:hyperlink>
        </w:p>
        <w:p w14:paraId="5E87FC13" w14:textId="7C67E04E"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6" w:history="1">
            <w:r w:rsidRPr="00A53AD6">
              <w:rPr>
                <w:rStyle w:val="Hyperlink"/>
                <w:rFonts w:ascii="Times New Roman" w:eastAsia="Times New Roman" w:hAnsi="Times New Roman" w:cs="Times New Roman"/>
                <w:b/>
                <w:bCs/>
                <w:noProof/>
                <w:sz w:val="24"/>
                <w:szCs w:val="24"/>
                <w:lang w:eastAsia="en-GB"/>
              </w:rPr>
              <w:t>3.5 Ethical Considerations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_Toc213695966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13</w:t>
            </w:r>
            <w:r w:rsidRPr="00A53AD6">
              <w:rPr>
                <w:rFonts w:ascii="Times New Roman" w:hAnsi="Times New Roman" w:cs="Times New Roman"/>
                <w:noProof/>
                <w:webHidden/>
                <w:sz w:val="24"/>
                <w:szCs w:val="24"/>
              </w:rPr>
              <w:fldChar w:fldCharType="end"/>
            </w:r>
          </w:hyperlink>
        </w:p>
        <w:p w14:paraId="21DE42A4" w14:textId="589FB9C1"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7" w:history="1">
            <w:r w:rsidRPr="00A53AD6">
              <w:rPr>
                <w:rStyle w:val="Hyperlink"/>
                <w:rFonts w:ascii="Times New Roman" w:eastAsia="Times New Roman" w:hAnsi="Times New Roman" w:cs="Times New Roman"/>
                <w:b/>
                <w:bCs/>
                <w:noProof/>
                <w:sz w:val="24"/>
                <w:szCs w:val="24"/>
                <w:lang w:eastAsia="en-GB"/>
              </w:rPr>
              <w:t>3.6 Limitations and Mitigation Strategies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_Toc213695967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13</w:t>
            </w:r>
            <w:r w:rsidRPr="00A53AD6">
              <w:rPr>
                <w:rFonts w:ascii="Times New Roman" w:hAnsi="Times New Roman" w:cs="Times New Roman"/>
                <w:noProof/>
                <w:webHidden/>
                <w:sz w:val="24"/>
                <w:szCs w:val="24"/>
              </w:rPr>
              <w:fldChar w:fldCharType="end"/>
            </w:r>
          </w:hyperlink>
        </w:p>
        <w:p w14:paraId="66AF49F8" w14:textId="7E815556"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68" w:history="1">
            <w:r w:rsidRPr="00A53AD6">
              <w:rPr>
                <w:rStyle w:val="Hyperlink"/>
                <w:rFonts w:ascii="Times New Roman" w:eastAsia="Times New Roman" w:hAnsi="Times New Roman" w:cs="Times New Roman"/>
                <w:noProof/>
                <w:sz w:val="24"/>
                <w:szCs w:val="24"/>
                <w:lang w:eastAsia="en-GB"/>
              </w:rPr>
              <w:t>4. Findings, Analysis and Discussion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_Toc213695968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14</w:t>
            </w:r>
            <w:r w:rsidRPr="00A53AD6">
              <w:rPr>
                <w:rFonts w:ascii="Times New Roman" w:hAnsi="Times New Roman" w:cs="Times New Roman"/>
                <w:noProof/>
                <w:webHidden/>
                <w:sz w:val="24"/>
                <w:szCs w:val="24"/>
              </w:rPr>
              <w:fldChar w:fldCharType="end"/>
            </w:r>
          </w:hyperlink>
        </w:p>
        <w:p w14:paraId="6DB5985E" w14:textId="707EC14E"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69" w:history="1">
            <w:r w:rsidRPr="00A53AD6">
              <w:rPr>
                <w:rStyle w:val="Hyperlink"/>
                <w:rFonts w:ascii="Times New Roman" w:eastAsia="Times New Roman" w:hAnsi="Times New Roman" w:cs="Times New Roman"/>
                <w:b/>
                <w:bCs/>
                <w:noProof/>
                <w:sz w:val="24"/>
                <w:szCs w:val="24"/>
                <w:lang w:eastAsia="en-GB"/>
              </w:rPr>
              <w:t>4.1 Supply-Chain Reconfiguration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_Toc213695969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14</w:t>
            </w:r>
            <w:r w:rsidRPr="00A53AD6">
              <w:rPr>
                <w:rFonts w:ascii="Times New Roman" w:hAnsi="Times New Roman" w:cs="Times New Roman"/>
                <w:noProof/>
                <w:webHidden/>
                <w:sz w:val="24"/>
                <w:szCs w:val="24"/>
              </w:rPr>
              <w:fldChar w:fldCharType="end"/>
            </w:r>
          </w:hyperlink>
        </w:p>
        <w:p w14:paraId="6AA32FDA" w14:textId="688382B8"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0" w:history="1">
            <w:r w:rsidRPr="00A53AD6">
              <w:rPr>
                <w:rStyle w:val="Hyperlink"/>
                <w:rFonts w:ascii="Times New Roman" w:eastAsia="Times New Roman" w:hAnsi="Times New Roman" w:cs="Times New Roman"/>
                <w:b/>
                <w:bCs/>
                <w:noProof/>
                <w:sz w:val="24"/>
                <w:szCs w:val="24"/>
                <w:lang w:eastAsia="en-GB"/>
              </w:rPr>
              <w:t>4.2 Digitalisation and Innovation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_Toc213695970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15</w:t>
            </w:r>
            <w:r w:rsidRPr="00A53AD6">
              <w:rPr>
                <w:rFonts w:ascii="Times New Roman" w:hAnsi="Times New Roman" w:cs="Times New Roman"/>
                <w:noProof/>
                <w:webHidden/>
                <w:sz w:val="24"/>
                <w:szCs w:val="24"/>
              </w:rPr>
              <w:fldChar w:fldCharType="end"/>
            </w:r>
          </w:hyperlink>
        </w:p>
        <w:p w14:paraId="116FB902" w14:textId="5CC267EE"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1" w:history="1">
            <w:r w:rsidRPr="00A53AD6">
              <w:rPr>
                <w:rStyle w:val="Hyperlink"/>
                <w:rFonts w:ascii="Times New Roman" w:eastAsia="Times New Roman" w:hAnsi="Times New Roman" w:cs="Times New Roman"/>
                <w:b/>
                <w:bCs/>
                <w:noProof/>
                <w:sz w:val="24"/>
                <w:szCs w:val="24"/>
                <w:lang w:eastAsia="en-GB"/>
              </w:rPr>
              <w:t>4.3 Market Diversification and Resilience</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_Toc213695971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16</w:t>
            </w:r>
            <w:r w:rsidRPr="00A53AD6">
              <w:rPr>
                <w:rFonts w:ascii="Times New Roman" w:hAnsi="Times New Roman" w:cs="Times New Roman"/>
                <w:noProof/>
                <w:webHidden/>
                <w:sz w:val="24"/>
                <w:szCs w:val="24"/>
              </w:rPr>
              <w:fldChar w:fldCharType="end"/>
            </w:r>
          </w:hyperlink>
        </w:p>
        <w:p w14:paraId="06192A0B" w14:textId="7E5C010B"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2" w:history="1">
            <w:r w:rsidRPr="00A53AD6">
              <w:rPr>
                <w:rStyle w:val="Hyperlink"/>
                <w:rFonts w:ascii="Times New Roman" w:eastAsia="Times New Roman" w:hAnsi="Times New Roman" w:cs="Times New Roman"/>
                <w:b/>
                <w:bCs/>
                <w:noProof/>
                <w:sz w:val="24"/>
                <w:szCs w:val="24"/>
                <w:lang w:eastAsia="en-GB"/>
              </w:rPr>
              <w:t>4.4 Inter-Theme Links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_Toc213695972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16</w:t>
            </w:r>
            <w:r w:rsidRPr="00A53AD6">
              <w:rPr>
                <w:rFonts w:ascii="Times New Roman" w:hAnsi="Times New Roman" w:cs="Times New Roman"/>
                <w:noProof/>
                <w:webHidden/>
                <w:sz w:val="24"/>
                <w:szCs w:val="24"/>
              </w:rPr>
              <w:fldChar w:fldCharType="end"/>
            </w:r>
          </w:hyperlink>
        </w:p>
        <w:p w14:paraId="0E6E90D6" w14:textId="48F8947C"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3" w:history="1">
            <w:r w:rsidRPr="00A53AD6">
              <w:rPr>
                <w:rStyle w:val="Hyperlink"/>
                <w:rFonts w:ascii="Times New Roman" w:eastAsia="Times New Roman" w:hAnsi="Times New Roman" w:cs="Times New Roman"/>
                <w:b/>
                <w:bCs/>
                <w:noProof/>
                <w:sz w:val="24"/>
                <w:szCs w:val="24"/>
                <w:lang w:eastAsia="en-GB"/>
              </w:rPr>
              <w:t>4.5 Discussion</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_Toc213695973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17</w:t>
            </w:r>
            <w:r w:rsidRPr="00A53AD6">
              <w:rPr>
                <w:rFonts w:ascii="Times New Roman" w:hAnsi="Times New Roman" w:cs="Times New Roman"/>
                <w:noProof/>
                <w:webHidden/>
                <w:sz w:val="24"/>
                <w:szCs w:val="24"/>
              </w:rPr>
              <w:fldChar w:fldCharType="end"/>
            </w:r>
          </w:hyperlink>
        </w:p>
        <w:p w14:paraId="42B714FE" w14:textId="5131F2B1"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74" w:history="1">
            <w:r w:rsidRPr="00A53AD6">
              <w:rPr>
                <w:rStyle w:val="Hyperlink"/>
                <w:rFonts w:ascii="Times New Roman" w:hAnsi="Times New Roman" w:cs="Times New Roman"/>
                <w:noProof/>
                <w:sz w:val="24"/>
                <w:szCs w:val="24"/>
              </w:rPr>
              <w:t>5. Conclusions and Recommendations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_Toc213695974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18</w:t>
            </w:r>
            <w:r w:rsidRPr="00A53AD6">
              <w:rPr>
                <w:rFonts w:ascii="Times New Roman" w:hAnsi="Times New Roman" w:cs="Times New Roman"/>
                <w:noProof/>
                <w:webHidden/>
                <w:sz w:val="24"/>
                <w:szCs w:val="24"/>
              </w:rPr>
              <w:fldChar w:fldCharType="end"/>
            </w:r>
          </w:hyperlink>
        </w:p>
        <w:p w14:paraId="04AD3768" w14:textId="1746D4FB"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5" w:history="1">
            <w:r w:rsidRPr="00A53AD6">
              <w:rPr>
                <w:rStyle w:val="Hyperlink"/>
                <w:rFonts w:ascii="Times New Roman" w:hAnsi="Times New Roman" w:cs="Times New Roman"/>
                <w:noProof/>
                <w:sz w:val="24"/>
                <w:szCs w:val="24"/>
              </w:rPr>
              <w:t>5.1 Conclusions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_Toc213695975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18</w:t>
            </w:r>
            <w:r w:rsidRPr="00A53AD6">
              <w:rPr>
                <w:rFonts w:ascii="Times New Roman" w:hAnsi="Times New Roman" w:cs="Times New Roman"/>
                <w:noProof/>
                <w:webHidden/>
                <w:sz w:val="24"/>
                <w:szCs w:val="24"/>
              </w:rPr>
              <w:fldChar w:fldCharType="end"/>
            </w:r>
          </w:hyperlink>
        </w:p>
        <w:p w14:paraId="0433502D" w14:textId="0A001A69"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6" w:history="1">
            <w:r w:rsidRPr="00A53AD6">
              <w:rPr>
                <w:rStyle w:val="Hyperlink"/>
                <w:rFonts w:ascii="Times New Roman" w:hAnsi="Times New Roman" w:cs="Times New Roman"/>
                <w:noProof/>
                <w:sz w:val="24"/>
                <w:szCs w:val="24"/>
              </w:rPr>
              <w:t>5.2 Recommendations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_Toc213695976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19</w:t>
            </w:r>
            <w:r w:rsidRPr="00A53AD6">
              <w:rPr>
                <w:rFonts w:ascii="Times New Roman" w:hAnsi="Times New Roman" w:cs="Times New Roman"/>
                <w:noProof/>
                <w:webHidden/>
                <w:sz w:val="24"/>
                <w:szCs w:val="24"/>
              </w:rPr>
              <w:fldChar w:fldCharType="end"/>
            </w:r>
          </w:hyperlink>
        </w:p>
        <w:p w14:paraId="3F977516" w14:textId="5B979C25" w:rsidR="00A53AD6" w:rsidRPr="00A53AD6" w:rsidRDefault="00A53AD6">
          <w:pPr>
            <w:pStyle w:val="Cuprins3"/>
            <w:tabs>
              <w:tab w:val="right" w:leader="dot" w:pos="9016"/>
            </w:tabs>
            <w:rPr>
              <w:rFonts w:ascii="Times New Roman" w:eastAsiaTheme="minorEastAsia" w:hAnsi="Times New Roman" w:cs="Times New Roman"/>
              <w:noProof/>
              <w:sz w:val="24"/>
              <w:szCs w:val="24"/>
              <w:lang w:eastAsia="en-GB"/>
            </w:rPr>
          </w:pPr>
          <w:hyperlink w:anchor="_Toc213695977" w:history="1">
            <w:r w:rsidRPr="00A53AD6">
              <w:rPr>
                <w:rStyle w:val="Hyperlink"/>
                <w:rFonts w:ascii="Times New Roman" w:hAnsi="Times New Roman" w:cs="Times New Roman"/>
                <w:noProof/>
                <w:sz w:val="24"/>
                <w:szCs w:val="24"/>
              </w:rPr>
              <w:t>5.3 Future Research</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_Toc213695977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21</w:t>
            </w:r>
            <w:r w:rsidRPr="00A53AD6">
              <w:rPr>
                <w:rFonts w:ascii="Times New Roman" w:hAnsi="Times New Roman" w:cs="Times New Roman"/>
                <w:noProof/>
                <w:webHidden/>
                <w:sz w:val="24"/>
                <w:szCs w:val="24"/>
              </w:rPr>
              <w:fldChar w:fldCharType="end"/>
            </w:r>
          </w:hyperlink>
        </w:p>
        <w:p w14:paraId="3073A350" w14:textId="5536BCB5" w:rsidR="00A53AD6" w:rsidRPr="00A53AD6" w:rsidRDefault="00A53AD6">
          <w:pPr>
            <w:pStyle w:val="Cuprins2"/>
            <w:tabs>
              <w:tab w:val="right" w:leader="dot" w:pos="9016"/>
            </w:tabs>
            <w:rPr>
              <w:rFonts w:ascii="Times New Roman" w:eastAsiaTheme="minorEastAsia" w:hAnsi="Times New Roman" w:cs="Times New Roman"/>
              <w:b w:val="0"/>
              <w:bCs w:val="0"/>
              <w:noProof/>
              <w:sz w:val="24"/>
              <w:szCs w:val="24"/>
              <w:lang w:eastAsia="en-GB"/>
            </w:rPr>
          </w:pPr>
          <w:hyperlink w:anchor="_Toc213695978" w:history="1">
            <w:r w:rsidRPr="00A53AD6">
              <w:rPr>
                <w:rStyle w:val="Hyperlink"/>
                <w:rFonts w:ascii="Times New Roman" w:eastAsia="Times New Roman" w:hAnsi="Times New Roman" w:cs="Times New Roman"/>
                <w:noProof/>
                <w:sz w:val="24"/>
                <w:szCs w:val="24"/>
                <w:lang w:eastAsia="en-GB"/>
              </w:rPr>
              <w:t>References</w:t>
            </w:r>
            <w:r w:rsidRPr="00A53AD6">
              <w:rPr>
                <w:rFonts w:ascii="Times New Roman" w:hAnsi="Times New Roman" w:cs="Times New Roman"/>
                <w:noProof/>
                <w:webHidden/>
                <w:sz w:val="24"/>
                <w:szCs w:val="24"/>
              </w:rPr>
              <w:tab/>
            </w:r>
            <w:r w:rsidRPr="00A53AD6">
              <w:rPr>
                <w:rFonts w:ascii="Times New Roman" w:hAnsi="Times New Roman" w:cs="Times New Roman"/>
                <w:noProof/>
                <w:webHidden/>
                <w:sz w:val="24"/>
                <w:szCs w:val="24"/>
              </w:rPr>
              <w:fldChar w:fldCharType="begin"/>
            </w:r>
            <w:r w:rsidRPr="00A53AD6">
              <w:rPr>
                <w:rFonts w:ascii="Times New Roman" w:hAnsi="Times New Roman" w:cs="Times New Roman"/>
                <w:noProof/>
                <w:webHidden/>
                <w:sz w:val="24"/>
                <w:szCs w:val="24"/>
              </w:rPr>
              <w:instrText xml:space="preserve"> PAGEREF _Toc213695978 \h </w:instrText>
            </w:r>
            <w:r w:rsidRPr="00A53AD6">
              <w:rPr>
                <w:rFonts w:ascii="Times New Roman" w:hAnsi="Times New Roman" w:cs="Times New Roman"/>
                <w:noProof/>
                <w:webHidden/>
                <w:sz w:val="24"/>
                <w:szCs w:val="24"/>
              </w:rPr>
            </w:r>
            <w:r w:rsidRPr="00A53AD6">
              <w:rPr>
                <w:rFonts w:ascii="Times New Roman" w:hAnsi="Times New Roman" w:cs="Times New Roman"/>
                <w:noProof/>
                <w:webHidden/>
                <w:sz w:val="24"/>
                <w:szCs w:val="24"/>
              </w:rPr>
              <w:fldChar w:fldCharType="separate"/>
            </w:r>
            <w:r w:rsidRPr="00A53AD6">
              <w:rPr>
                <w:rFonts w:ascii="Times New Roman" w:hAnsi="Times New Roman" w:cs="Times New Roman"/>
                <w:noProof/>
                <w:webHidden/>
                <w:sz w:val="24"/>
                <w:szCs w:val="24"/>
              </w:rPr>
              <w:t>21</w:t>
            </w:r>
            <w:r w:rsidRPr="00A53AD6">
              <w:rPr>
                <w:rFonts w:ascii="Times New Roman" w:hAnsi="Times New Roman" w:cs="Times New Roman"/>
                <w:noProof/>
                <w:webHidden/>
                <w:sz w:val="24"/>
                <w:szCs w:val="24"/>
              </w:rPr>
              <w:fldChar w:fldCharType="end"/>
            </w:r>
          </w:hyperlink>
        </w:p>
        <w:p w14:paraId="388A19DE" w14:textId="5F4CF121" w:rsidR="00A53AD6" w:rsidRDefault="00A53AD6" w:rsidP="00A53AD6">
          <w:pPr>
            <w:spacing w:line="360" w:lineRule="auto"/>
            <w:jc w:val="both"/>
          </w:pPr>
          <w:r w:rsidRPr="00A53AD6">
            <w:rPr>
              <w:rFonts w:ascii="Times New Roman" w:hAnsi="Times New Roman" w:cs="Times New Roman"/>
              <w:b/>
              <w:bCs/>
              <w:noProof/>
            </w:rPr>
            <w:fldChar w:fldCharType="end"/>
          </w:r>
        </w:p>
      </w:sdtContent>
    </w:sdt>
    <w:p w14:paraId="3CBF9C6A" w14:textId="77777777" w:rsidR="00A53AD6" w:rsidRPr="00A53AD6" w:rsidRDefault="00A53AD6" w:rsidP="00A53AD6">
      <w:pPr>
        <w:spacing w:line="360" w:lineRule="auto"/>
        <w:jc w:val="both"/>
        <w:rPr>
          <w:rFonts w:ascii="Times New Roman" w:eastAsia="Times New Roman" w:hAnsi="Times New Roman" w:cs="Times New Roman"/>
          <w:lang w:eastAsia="en-GB"/>
        </w:rPr>
      </w:pPr>
    </w:p>
    <w:p w14:paraId="7B145905" w14:textId="77777777" w:rsid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 w:name="_Toc213695951"/>
    </w:p>
    <w:p w14:paraId="06AEAFD9" w14:textId="77777777" w:rsid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7A556EAB" w14:textId="77777777" w:rsid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6222A2D1" w14:textId="77777777" w:rsid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p>
    <w:p w14:paraId="5C9E32F6" w14:textId="3A838218" w:rsidR="00A53AD6" w:rsidRP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r w:rsidRPr="00A53AD6">
        <w:rPr>
          <w:rFonts w:ascii="Times New Roman" w:eastAsia="Times New Roman" w:hAnsi="Times New Roman" w:cs="Times New Roman"/>
          <w:b/>
          <w:bCs/>
          <w:sz w:val="36"/>
          <w:szCs w:val="36"/>
          <w:lang w:eastAsia="en-GB"/>
        </w:rPr>
        <w:t>1. Introduction</w:t>
      </w:r>
      <w:bookmarkEnd w:id="1"/>
    </w:p>
    <w:p w14:paraId="5C13ED51"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exit of the United Kingdom from the European Union in January 2020 fundamentally reshaped the operational environment for SMEs. Prior to Brexit, UK SMEs enjoyed frictionless trade, a skilled European workforce, and harmonized regulatory frameworks. The introduction of the Trade and Cooperation Agreement in 2021 introduced new customs declarations, VAT procedures, and regulatory divergence, as well as restrictions on labor mobility. This greatly affected smaller firms who did not have the resources to deal with such complex cross-border procedures.</w:t>
      </w:r>
    </w:p>
    <w:p w14:paraId="038420FC"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UK exports to the EU fell by 17 per cent in 2021 and imports by 23 per cent, according to the Office for National Statistics (ONS, 2023). For instance, there have been reports from SMEs of cost increases of up to 30 per cent in logistics and compliance. One in three small exporters has stopped trading with EU partners altogether, according to the Federation of Small Businesses (FSB, 2024). Many of these disruptions have visibly occurred within the food, dairy, manufacturing, and creative sectors, as noted by Du, Shepotylo and Yuan (2025).</w:t>
      </w:r>
    </w:p>
    <w:p w14:paraId="7EF20DE1"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While many studies quantify the economic losses of Brexit, relatively fewer look at how SMEs have strategically adapted to maintain viability. Large corporations often have international subsidiaries with the attendant legal resources, but the primary tools for SMEs are agility, innovation, and networking. This study, therefore, investigates the following:</w:t>
      </w:r>
    </w:p>
    <w:p w14:paraId="270B62A2"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Identify the significant strategic challenges for UK SMEs following Brexit.</w:t>
      </w:r>
    </w:p>
    <w:p w14:paraId="7AD397EC"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Analyze emerging opportunities within the reconfigured UK-EU landscape.</w:t>
      </w:r>
    </w:p>
    <w:p w14:paraId="227825FB"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Determine specific management responses and adaptation strategies.</w:t>
      </w:r>
    </w:p>
    <w:p w14:paraId="7655E1BA" w14:textId="330CE26D"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•Assess the success and shortcomings of such corrections.</w:t>
      </w:r>
    </w:p>
    <w:p w14:paraId="560F5D74" w14:textId="36F368E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Using the Dynamic Capabilities Theory, this research examines how SMEs develop and deploy adaptive mechanisms that enable them to navigate turbulence. The findings are expected to be useful for policymakers, business associations, and entrepreneurs in explaining how resilience and innovation can help continue the performance of SMEs in a post-Brexit economy.</w:t>
      </w:r>
    </w:p>
    <w:p w14:paraId="26811FBB" w14:textId="7261D8F0" w:rsidR="00A53AD6" w:rsidRPr="00A53AD6" w:rsidRDefault="00A53AD6" w:rsidP="00A53AD6">
      <w:pPr>
        <w:spacing w:line="360" w:lineRule="auto"/>
        <w:jc w:val="both"/>
        <w:rPr>
          <w:rFonts w:ascii="Times New Roman" w:eastAsia="Times New Roman" w:hAnsi="Times New Roman" w:cs="Times New Roman"/>
          <w:lang w:eastAsia="en-GB"/>
        </w:rPr>
      </w:pPr>
    </w:p>
    <w:p w14:paraId="42AB14B0" w14:textId="77777777" w:rsidR="00A53AD6" w:rsidRP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2" w:name="_Toc213695952"/>
      <w:r w:rsidRPr="00A53AD6">
        <w:rPr>
          <w:rFonts w:ascii="Times New Roman" w:eastAsia="Times New Roman" w:hAnsi="Times New Roman" w:cs="Times New Roman"/>
          <w:b/>
          <w:bCs/>
          <w:sz w:val="36"/>
          <w:szCs w:val="36"/>
          <w:lang w:eastAsia="en-GB"/>
        </w:rPr>
        <w:t>2. Literature Review</w:t>
      </w:r>
      <w:bookmarkEnd w:id="2"/>
    </w:p>
    <w:p w14:paraId="5EAF51E1"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3" w:name="_Toc213695953"/>
      <w:r w:rsidRPr="00A53AD6">
        <w:rPr>
          <w:rFonts w:ascii="Times New Roman" w:eastAsia="Times New Roman" w:hAnsi="Times New Roman" w:cs="Times New Roman"/>
          <w:b/>
          <w:bCs/>
          <w:sz w:val="27"/>
          <w:szCs w:val="27"/>
          <w:lang w:eastAsia="en-GB"/>
        </w:rPr>
        <w:t>2.1 Overview of Brexit’s Effect on SMEs</w:t>
      </w:r>
      <w:bookmarkEnd w:id="3"/>
    </w:p>
    <w:p w14:paraId="65F3DA1A"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Brexit ushered in a new age of trade friction between the United Kingdom and the European Union, marking a radical departure from nearly five decades of economic integration. The loss of single-market membership and the customs union brought about new tariffs on certain goods, customs checks, and divergent product standards that did not exist previously (Cem Soner, Alsakka, and Mantovan, 2025). These regulatory changes have been particularly burdensome to SMEs lacking the administrative capacity and financial resources to manage the complex trade documentation and compliance procedures.</w:t>
      </w:r>
    </w:p>
    <w:p w14:paraId="57030DFB"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While large enterprises can spread regulatory costs across global operations, SMEs operate on much tighter margins and smaller groups of people, making the relative impact of Brexit-related disruption far larger. Further to that, when the TCA came in at the start of 2021, formalising the new trading conditions, rather than streamlining trade, it introduced extra customs declarations, border checks, and VAT requirements. This has presented serious logistical difficulties and expenses to small exporters in sectors like agriculture, food processing, and manufacturing.</w:t>
      </w:r>
    </w:p>
    <w:p w14:paraId="2B3C3DA9"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This is reflected in the estimated £27 billion lost by the UK during the two years after Brexit, according to The Guardian, by Inman (2024). Du, Shepotylo, and Yuan's study in 2025 showed that uncertainty about Brexit depressed UK service exports by 9.2 per cent year-on-year between 2016 and 2019, long before the actual pull-out. Because of the compounded effect of trade barriers, foreign-exchange volatility, and weakened investor confidence, the number of active SMEs fell by 4.8 percent by 2020, according to data from the Office for National Statistics (2023).</w:t>
      </w:r>
    </w:p>
    <w:p w14:paraId="41165051"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Other serious consequences are labour shortages. The end of free movement between the UK and EU cut off access to skilled and seasonal workers, affecting the hospitality, construction, and agricultural sectors-a fact highlighted by the British Chambers of Commerce in 2023. The British Institute for Fiscal Studies (IFS, 2024) also reported wage inflation and recruitment delays due to businesses competing for a shrinking labor pool. Such stresses are amplified by supply-chain disruptions, where increased lead times, elevated freight costs, and unpredictable availability of materials undermine the efficiency of production pipelines.</w:t>
      </w:r>
    </w:p>
    <w:p w14:paraId="6DE30AC0"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With reduced access to EU funding mechanisms and cross-border banking services, SMEs received greater financial strain. According to the research of Cem Soner et al. (2025), lending to SMEs in the UK contracted during the initial post-Brexit years as banks re-evaluated credit risks amidst uncertainty in regulatory environments. The FSB (2024) figures showed that one in three small exporters ceased trading with the EU altogether, which is mainly due to the difficulties related to compliance and complex documentation issues.</w:t>
      </w:r>
    </w:p>
    <w:p w14:paraId="21A910E2" w14:textId="6911E09E"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Overall, Brexit has created a multi-dimensional challenge for SMEs encompassing </w:t>
      </w:r>
      <w:r w:rsidRPr="00A53AD6">
        <w:rPr>
          <w:rFonts w:ascii="Times New Roman" w:eastAsia="Times New Roman" w:hAnsi="Times New Roman" w:cs="Times New Roman"/>
          <w:b/>
          <w:bCs/>
          <w:lang w:eastAsia="en-GB"/>
        </w:rPr>
        <w:t>trade friction, regulatory divergence, labour scarcity, and financial constraints</w:t>
      </w:r>
      <w:r w:rsidRPr="00A53AD6">
        <w:rPr>
          <w:rFonts w:ascii="Times New Roman" w:eastAsia="Times New Roman" w:hAnsi="Times New Roman" w:cs="Times New Roman"/>
          <w:lang w:eastAsia="en-GB"/>
        </w:rPr>
        <w:t>. However, this new environment has also encouraged innovation and re-evaluation of business strategies, as firms are forced to find new ways to maintain competitiveness and resilience.</w:t>
      </w:r>
    </w:p>
    <w:p w14:paraId="6DF97222" w14:textId="49B43361" w:rsidR="00A53AD6" w:rsidRPr="00A53AD6" w:rsidRDefault="00A53AD6" w:rsidP="00A53AD6">
      <w:pPr>
        <w:spacing w:line="360" w:lineRule="auto"/>
        <w:jc w:val="both"/>
        <w:rPr>
          <w:rFonts w:ascii="Times New Roman" w:eastAsia="Times New Roman" w:hAnsi="Times New Roman" w:cs="Times New Roman"/>
          <w:lang w:eastAsia="en-GB"/>
        </w:rPr>
      </w:pPr>
    </w:p>
    <w:p w14:paraId="159C7FDC"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4" w:name="_Toc213695954"/>
      <w:r w:rsidRPr="00A53AD6">
        <w:rPr>
          <w:rFonts w:ascii="Times New Roman" w:eastAsia="Times New Roman" w:hAnsi="Times New Roman" w:cs="Times New Roman"/>
          <w:b/>
          <w:bCs/>
          <w:sz w:val="27"/>
          <w:szCs w:val="27"/>
          <w:lang w:eastAsia="en-GB"/>
        </w:rPr>
        <w:t>2.2 Dynamic Capabilities Theory (DCT)</w:t>
      </w:r>
      <w:bookmarkEnd w:id="4"/>
    </w:p>
    <w:p w14:paraId="2FE1D7FD"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The Dynamic Capabilities Theory (DCT) provides a valuable theoretical framework for understanding how SMEs adapt to major environmental disruptions such as Brexit. Introduced by Teece, Pisano and Shuen (1997), DCT posits that long-term success in turbulent markets depends not merely on resource possession but on an organisation’s ability to </w:t>
      </w:r>
      <w:r w:rsidRPr="00A53AD6">
        <w:rPr>
          <w:rFonts w:ascii="Times New Roman" w:eastAsia="Times New Roman" w:hAnsi="Times New Roman" w:cs="Times New Roman"/>
          <w:b/>
          <w:bCs/>
          <w:lang w:eastAsia="en-GB"/>
        </w:rPr>
        <w:t>sense opportunities and threats</w:t>
      </w:r>
      <w:r w:rsidRPr="00A53AD6">
        <w:rPr>
          <w:rFonts w:ascii="Times New Roman" w:eastAsia="Times New Roman" w:hAnsi="Times New Roman" w:cs="Times New Roman"/>
          <w:lang w:eastAsia="en-GB"/>
        </w:rPr>
        <w:t xml:space="preserve">, </w:t>
      </w:r>
      <w:r w:rsidRPr="00A53AD6">
        <w:rPr>
          <w:rFonts w:ascii="Times New Roman" w:eastAsia="Times New Roman" w:hAnsi="Times New Roman" w:cs="Times New Roman"/>
          <w:b/>
          <w:bCs/>
          <w:lang w:eastAsia="en-GB"/>
        </w:rPr>
        <w:t>seize them through timely action</w:t>
      </w:r>
      <w:r w:rsidRPr="00A53AD6">
        <w:rPr>
          <w:rFonts w:ascii="Times New Roman" w:eastAsia="Times New Roman" w:hAnsi="Times New Roman" w:cs="Times New Roman"/>
          <w:lang w:eastAsia="en-GB"/>
        </w:rPr>
        <w:t xml:space="preserve">, and </w:t>
      </w:r>
      <w:r w:rsidRPr="00A53AD6">
        <w:rPr>
          <w:rFonts w:ascii="Times New Roman" w:eastAsia="Times New Roman" w:hAnsi="Times New Roman" w:cs="Times New Roman"/>
          <w:b/>
          <w:bCs/>
          <w:lang w:eastAsia="en-GB"/>
        </w:rPr>
        <w:t>reconfigure internal and external competencies</w:t>
      </w:r>
      <w:r w:rsidRPr="00A53AD6">
        <w:rPr>
          <w:rFonts w:ascii="Times New Roman" w:eastAsia="Times New Roman" w:hAnsi="Times New Roman" w:cs="Times New Roman"/>
          <w:lang w:eastAsia="en-GB"/>
        </w:rPr>
        <w:t xml:space="preserve"> to sustain performance.</w:t>
      </w:r>
    </w:p>
    <w:p w14:paraId="0627E02D" w14:textId="77777777" w:rsidR="00A53AD6" w:rsidRPr="00A53AD6" w:rsidRDefault="00A53AD6" w:rsidP="00A53AD6">
      <w:pPr>
        <w:numPr>
          <w:ilvl w:val="0"/>
          <w:numId w:val="7"/>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Sensing</w:t>
      </w:r>
      <w:r w:rsidRPr="00A53AD6">
        <w:rPr>
          <w:rFonts w:ascii="Times New Roman" w:eastAsia="Times New Roman" w:hAnsi="Times New Roman" w:cs="Times New Roman"/>
          <w:lang w:eastAsia="en-GB"/>
        </w:rPr>
        <w:t xml:space="preserve"> involves continuous environmental scanning to detect shifts in customer preferences, policy frameworks, or market structures. For SMEs, this may include monitoring trade agreements, exchange-rate movements, and regulatory updates (Teece, 2018).</w:t>
      </w:r>
    </w:p>
    <w:p w14:paraId="42CFDAF7" w14:textId="77777777" w:rsidR="00A53AD6" w:rsidRPr="00A53AD6" w:rsidRDefault="00A53AD6" w:rsidP="00A53AD6">
      <w:pPr>
        <w:numPr>
          <w:ilvl w:val="0"/>
          <w:numId w:val="7"/>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Seizing</w:t>
      </w:r>
      <w:r w:rsidRPr="00A53AD6">
        <w:rPr>
          <w:rFonts w:ascii="Times New Roman" w:eastAsia="Times New Roman" w:hAnsi="Times New Roman" w:cs="Times New Roman"/>
          <w:lang w:eastAsia="en-GB"/>
        </w:rPr>
        <w:t xml:space="preserve"> refers to the deployment of resources to exploit newly identified opportunities, such as entering alternative markets or leveraging new technologies (Kassaye Deyassa, 2023).</w:t>
      </w:r>
    </w:p>
    <w:p w14:paraId="3B100D8C" w14:textId="77777777" w:rsidR="00A53AD6" w:rsidRPr="00A53AD6" w:rsidRDefault="00A53AD6" w:rsidP="00A53AD6">
      <w:pPr>
        <w:numPr>
          <w:ilvl w:val="0"/>
          <w:numId w:val="7"/>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Reconfiguring</w:t>
      </w:r>
      <w:r w:rsidRPr="00A53AD6">
        <w:rPr>
          <w:rFonts w:ascii="Times New Roman" w:eastAsia="Times New Roman" w:hAnsi="Times New Roman" w:cs="Times New Roman"/>
          <w:lang w:eastAsia="en-GB"/>
        </w:rPr>
        <w:t xml:space="preserve"> means transforming and recombining existing assets—whether physical, human, or technological—to align with changing external conditions (Soluk, Decker-Lange and Hack, 2023).</w:t>
      </w:r>
    </w:p>
    <w:p w14:paraId="71E48933"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In the post-Brexit context, DCT helps explain why certain SMEs recovered more effectively than others. Firms with the managerial agility to re-evaluate supply chains, negotiate new partnerships, or adopt digital tools were better positioned to withstand external shocks. Teece (2018) emphasises that dynamic capabilities are built through organisational learning, experimentation, and leadership vision. SMEs that invested in employee upskilling, data analytics, or digital integration effectively strengthened their adaptive capacity.</w:t>
      </w:r>
    </w:p>
    <w:p w14:paraId="5DF12420" w14:textId="55B5BA9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Applying this framework to Brexit highlights the need for </w:t>
      </w:r>
      <w:r w:rsidRPr="00A53AD6">
        <w:rPr>
          <w:rFonts w:ascii="Times New Roman" w:eastAsia="Times New Roman" w:hAnsi="Times New Roman" w:cs="Times New Roman"/>
          <w:b/>
          <w:bCs/>
          <w:lang w:eastAsia="en-GB"/>
        </w:rPr>
        <w:t>strategic flexibility</w:t>
      </w:r>
      <w:r w:rsidRPr="00A53AD6">
        <w:rPr>
          <w:rFonts w:ascii="Times New Roman" w:eastAsia="Times New Roman" w:hAnsi="Times New Roman" w:cs="Times New Roman"/>
          <w:lang w:eastAsia="en-GB"/>
        </w:rPr>
        <w:t>. SMEs no longer benefit from a stable institutional environment, so success depends on their ability to identify and capitalise on emerging opportunities—such as exporting to Commonwealth countries or leveraging e-commerce to reach global markets. The DCT therefore acts as a conceptual lens linking environmental turbulence to managerial decision-making, innovation, and organisational transformation.</w:t>
      </w:r>
    </w:p>
    <w:p w14:paraId="0703CBAD"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5" w:name="_Toc213695955"/>
      <w:r w:rsidRPr="00A53AD6">
        <w:rPr>
          <w:rFonts w:ascii="Times New Roman" w:eastAsia="Times New Roman" w:hAnsi="Times New Roman" w:cs="Times New Roman"/>
          <w:b/>
          <w:bCs/>
          <w:sz w:val="27"/>
          <w:szCs w:val="27"/>
          <w:lang w:eastAsia="en-GB"/>
        </w:rPr>
        <w:t>2.3 Empirical Insights on SME Adaptation</w:t>
      </w:r>
      <w:bookmarkEnd w:id="5"/>
    </w:p>
    <w:p w14:paraId="389A4171" w14:textId="085C3DA6"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The research conducted after Brexit shows that small and medium-sized enterprises (SMEs) have adapted in various ways, influenced by their industry, size, and leadership styles. A study by Dejardin et al. (2022) during the COVID-19 crisis highlighted that SMEs with dynamic capabilities—especially those ready for digital changes and flexible supply chains—performed better. This same principle applies to Brexit, as both situations involve sudden changes that demand quick adjustments. </w:t>
      </w:r>
    </w:p>
    <w:p w14:paraId="32F5CB90" w14:textId="254CA4D5"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Manufacturing SMEs were quick to strategize their responses. Many implemented dual certification systems to comply with both EU and UK regulations, ensuring they could still access continental markets (Cem Soner et al., 2025). Others moved their warehousing and logistics closer to key customers in mainland Europe to avoid customs delays (British Business Bank, 2024). These changes showcase the “reconfiguring” ability within dynamic capability theory (DCT).</w:t>
      </w:r>
    </w:p>
    <w:p w14:paraId="7E2F0C17" w14:textId="37C4BA14"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Food and agricultural producers experienced some of the steepest export declines—up to 27% for cheese and dairy products—but they showed remarkable resilience through innovation. Highman (2023) notes that SMEs in these sectors formed domestic cooperatives, rebranded their products as “locally sourced,” and created e-commerce platforms aimed at UK consumers. Meanwhile, service-sector SMEs took advantage of remote working tools and digital collaboration platforms to keep their cross-border client relationships intact. Du et al. (2025) point out that digitalization allowed these businesses to continue operating even when physical trade slowed down.</w:t>
      </w:r>
    </w:p>
    <w:p w14:paraId="16F86E63" w14:textId="45113BED"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Case studies specific to different sectors indicate that companies with a strategic learning mindset were better at managing risks. For instance, tech start-ups in London’s fintech scene used Brexit as an opportunity to seek international licenses, expanding their operations to Dublin and Amsterdam (Finextra, 2024). On the flip side, SMEs that depended solely on EU customers and lacked digital infrastructure faced significant downsizing or even closure..</w:t>
      </w:r>
    </w:p>
    <w:p w14:paraId="53AF8429"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6" w:name="_Toc213695956"/>
      <w:r w:rsidRPr="00A53AD6">
        <w:rPr>
          <w:rFonts w:ascii="Times New Roman" w:eastAsia="Times New Roman" w:hAnsi="Times New Roman" w:cs="Times New Roman"/>
          <w:b/>
          <w:bCs/>
          <w:sz w:val="27"/>
          <w:szCs w:val="27"/>
          <w:lang w:eastAsia="en-GB"/>
        </w:rPr>
        <w:t>2.4 Digitalisation and Innovation</w:t>
      </w:r>
      <w:bookmarkEnd w:id="6"/>
    </w:p>
    <w:p w14:paraId="3DD41FCA" w14:textId="25C93D8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Technological innovation has become a vital way for SMEs to adapt to the challenges that have arisen post-Brexit. As noted by Soluk et al. (2023), investing in digital tools boosts the agility aspect of dynamic capabilities by improving access to real-time data and enhancing decision-making processes. By embracing digitalisation, SMEs can lessen their reliance on physical resources and connect directly with consumers around the globe. </w:t>
      </w:r>
    </w:p>
    <w:p w14:paraId="250E75CF" w14:textId="34498A48"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E-commerce has been a game changer in this regard. Platforms like Shopify, Etsy, and Amazon UK have empowered SMEs to reach customers worldwide, effectively sidestepping traditional distribution hurdles. Additionally, cloud computing and enterprise resource planning systems have streamlined coordination and cut down on administrative costs. The use of AI-driven forecasting tools has also enabled SMEs to manage their inventory more effectively, even amidst supply chain uncertainties (UK Research and Innovation, 2024).</w:t>
      </w:r>
    </w:p>
    <w:p w14:paraId="079A8D72" w14:textId="044AAEC5"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Government support initiatives have played a significant role in fostering these advancements. The Made Smarter Innovation Programme (2024) is pushing for industrial digitalisation among manufacturing SMEs, while the UK Shared Prosperity Fund (2023) offers grants aimed at enhancing digital skills and infrastructure. However, access to these resources is not uniform; many rural and micro-SMEs report financial constraints and a lack of technical know-how as significant barriers to adopting new technologies (Federation of Small Businesses, 2024).</w:t>
      </w:r>
    </w:p>
    <w:p w14:paraId="596463B9" w14:textId="266D5504"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Digitalisation goes beyond just operational tweaks; it serves as a strategic driver of innovation and resilience. SMEs that have woven digital tools into their core strategies have seen improvements in flexibility, communication, and customer engagement. This aligns with the “seizing” function of DCT, where companies leverage technological opportunities to counteract external shocks.</w:t>
      </w:r>
    </w:p>
    <w:p w14:paraId="7B529415"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7" w:name="_Toc213695957"/>
      <w:r w:rsidRPr="00A53AD6">
        <w:rPr>
          <w:rFonts w:ascii="Times New Roman" w:eastAsia="Times New Roman" w:hAnsi="Times New Roman" w:cs="Times New Roman"/>
          <w:b/>
          <w:bCs/>
          <w:sz w:val="27"/>
          <w:szCs w:val="27"/>
          <w:lang w:eastAsia="en-GB"/>
        </w:rPr>
        <w:t>2.5 Strategic Responses and Resilience</w:t>
      </w:r>
      <w:bookmarkEnd w:id="7"/>
    </w:p>
    <w:p w14:paraId="2A07EEB4"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Existing literature identifies several key strategies through which SMEs have sought to restore competitiveness and build resilience in the post-Brexit landscape:</w:t>
      </w:r>
    </w:p>
    <w:p w14:paraId="0D5D39A6" w14:textId="77777777" w:rsidR="00A53AD6" w:rsidRPr="00A53AD6" w:rsidRDefault="00A53AD6" w:rsidP="00A53AD6">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Supply-chain reconfiguration</w:t>
      </w:r>
      <w:r w:rsidRPr="00A53AD6">
        <w:rPr>
          <w:rFonts w:ascii="Times New Roman" w:eastAsia="Times New Roman" w:hAnsi="Times New Roman" w:cs="Times New Roman"/>
          <w:lang w:eastAsia="en-GB"/>
        </w:rPr>
        <w:t xml:space="preserve"> – SMEs have diversified input sources, increased local sourcing, and developed stronger supplier relationships to mitigate cross-border risks (Dejardin et al., 2022).</w:t>
      </w:r>
    </w:p>
    <w:p w14:paraId="4C794901" w14:textId="77777777" w:rsidR="00A53AD6" w:rsidRPr="00A53AD6" w:rsidRDefault="00A53AD6" w:rsidP="00A53AD6">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Market diversification</w:t>
      </w:r>
      <w:r w:rsidRPr="00A53AD6">
        <w:rPr>
          <w:rFonts w:ascii="Times New Roman" w:eastAsia="Times New Roman" w:hAnsi="Times New Roman" w:cs="Times New Roman"/>
          <w:lang w:eastAsia="en-GB"/>
        </w:rPr>
        <w:t xml:space="preserve"> – Firms are increasingly targeting non-EU markets such as North America, Asia, and Africa. UK participation in trade agreements like CPTPP and UK–India FTA has encouraged this shift (Department for Business and Trade, 2024).</w:t>
      </w:r>
    </w:p>
    <w:p w14:paraId="63F291F0" w14:textId="77777777" w:rsidR="00A53AD6" w:rsidRPr="00A53AD6" w:rsidRDefault="00A53AD6" w:rsidP="00A53AD6">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Digital transformation</w:t>
      </w:r>
      <w:r w:rsidRPr="00A53AD6">
        <w:rPr>
          <w:rFonts w:ascii="Times New Roman" w:eastAsia="Times New Roman" w:hAnsi="Times New Roman" w:cs="Times New Roman"/>
          <w:lang w:eastAsia="en-GB"/>
        </w:rPr>
        <w:t xml:space="preserve"> – Adoption of IT systems, automation, and online marketing has reduced transaction costs and dependency on EU trade (Soluk et al., 2023).</w:t>
      </w:r>
    </w:p>
    <w:p w14:paraId="6BD59793" w14:textId="77777777" w:rsidR="00A53AD6" w:rsidRPr="00A53AD6" w:rsidRDefault="00A53AD6" w:rsidP="00A53AD6">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Collaborative networks</w:t>
      </w:r>
      <w:r w:rsidRPr="00A53AD6">
        <w:rPr>
          <w:rFonts w:ascii="Times New Roman" w:eastAsia="Times New Roman" w:hAnsi="Times New Roman" w:cs="Times New Roman"/>
          <w:lang w:eastAsia="en-GB"/>
        </w:rPr>
        <w:t xml:space="preserve"> – SME clusters, trade associations, and public–private partnerships have facilitated knowledge exchange and lobbying power (Crawley et al., 2019).</w:t>
      </w:r>
    </w:p>
    <w:p w14:paraId="7C24D81D" w14:textId="77777777" w:rsidR="00A53AD6" w:rsidRPr="00A53AD6" w:rsidRDefault="00A53AD6" w:rsidP="00A53AD6">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Innovation and training</w:t>
      </w:r>
      <w:r w:rsidRPr="00A53AD6">
        <w:rPr>
          <w:rFonts w:ascii="Times New Roman" w:eastAsia="Times New Roman" w:hAnsi="Times New Roman" w:cs="Times New Roman"/>
          <w:lang w:eastAsia="en-GB"/>
        </w:rPr>
        <w:t xml:space="preserve"> – Many firms have re-invested in workforce development and product innovation to remain competitive under new conditions (Kassaye Deyassa, 2023).</w:t>
      </w:r>
    </w:p>
    <w:p w14:paraId="56FC57A2" w14:textId="4134CE8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However, Crawley et al. (2019) highlight a persistent </w:t>
      </w:r>
      <w:r w:rsidRPr="00A53AD6">
        <w:rPr>
          <w:rFonts w:ascii="Times New Roman" w:eastAsia="Times New Roman" w:hAnsi="Times New Roman" w:cs="Times New Roman"/>
          <w:b/>
          <w:bCs/>
          <w:lang w:eastAsia="en-GB"/>
        </w:rPr>
        <w:t>research gap</w:t>
      </w:r>
      <w:r w:rsidRPr="00A53AD6">
        <w:rPr>
          <w:rFonts w:ascii="Times New Roman" w:eastAsia="Times New Roman" w:hAnsi="Times New Roman" w:cs="Times New Roman"/>
          <w:lang w:eastAsia="en-GB"/>
        </w:rPr>
        <w:t xml:space="preserve"> regarding the qualitative, managerial processes behind these adaptations. While statistical analyses document macro-level outcomes, fewer studies explore how individual leaders interpret uncertainty, make decisions, and balance short-term survival with long-term strategic goals. Understanding these behavioural dimensions is essential for developing effective policy support.</w:t>
      </w:r>
    </w:p>
    <w:p w14:paraId="3E3D2E01"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8" w:name="_Toc213695958"/>
      <w:r w:rsidRPr="00A53AD6">
        <w:rPr>
          <w:rFonts w:ascii="Times New Roman" w:eastAsia="Times New Roman" w:hAnsi="Times New Roman" w:cs="Times New Roman"/>
          <w:b/>
          <w:bCs/>
          <w:sz w:val="27"/>
          <w:szCs w:val="27"/>
          <w:lang w:eastAsia="en-GB"/>
        </w:rPr>
        <w:t>2.6 Research Gap</w:t>
      </w:r>
      <w:bookmarkEnd w:id="8"/>
    </w:p>
    <w:p w14:paraId="2B0C766D"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While there's a wealth of quantitative data out there analyzing the macroeconomic impacts of Brexit, there's still a significant lack of qualitative research focused on small and medium-sized enterprises (SMEs) that delves into how leadership responds and adapts strategies. Most of the existing evidence highlights export losses, rising costs, or employment changes, but it often misses the mark on how SME owners and managers actually perceive, prioritize, and implement strategic changes (Crawley et al., 2019; Soluk et al., 2023). </w:t>
      </w:r>
    </w:p>
    <w:p w14:paraId="1827FBFB"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This dissertation aims to fill that gap by weaving together case studies and documentary evidence through a thematic analysis approach. By looking at secondary sources that showcase managerial stories—like industry interviews, government reports, and analyses from trade bodies—the study hopes to shed light on how UK SMEs are sensing and reacting to the challenges that have come with Brexit. </w:t>
      </w:r>
    </w:p>
    <w:p w14:paraId="09CB5496" w14:textId="4B63508C"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Additionally, there's a scarcity of literature that compares strategies across different sectors or assesses the long-term sustainability of adaptations made post-Brexit. Most research focuses on the immediate aftermath (2020–2022) but tends to overlook how companies evolve beyond just surviving in the short term. Thus, this research adds to the ongoing conversation about SME resilience, providing an interpretive synthesis that links dynamic capability theory with practical adaptation strategies in the real world..</w:t>
      </w:r>
    </w:p>
    <w:p w14:paraId="5878A980" w14:textId="6D9B8A3A"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noProof/>
          <w:lang w:eastAsia="en-GB"/>
        </w:rPr>
        <w:drawing>
          <wp:inline distT="0" distB="0" distL="0" distR="0" wp14:anchorId="0312B42E" wp14:editId="162C2AE2">
            <wp:extent cx="5731510" cy="3820795"/>
            <wp:effectExtent l="0" t="0" r="0" b="1905"/>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pic:nvPicPr>
                  <pic:blipFill>
                    <a:blip r:embed="rId9"/>
                    <a:stretch>
                      <a:fillRect/>
                    </a:stretch>
                  </pic:blipFill>
                  <pic:spPr>
                    <a:xfrm>
                      <a:off x="0" y="0"/>
                      <a:ext cx="5731510" cy="3820795"/>
                    </a:xfrm>
                    <a:prstGeom prst="rect">
                      <a:avLst/>
                    </a:prstGeom>
                  </pic:spPr>
                </pic:pic>
              </a:graphicData>
            </a:graphic>
          </wp:inline>
        </w:drawing>
      </w:r>
    </w:p>
    <w:p w14:paraId="364B0E88" w14:textId="3C15D963"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9" w:name="_Toc213695959"/>
      <w:r w:rsidRPr="00A53AD6">
        <w:rPr>
          <w:rFonts w:ascii="Times New Roman" w:eastAsia="Times New Roman" w:hAnsi="Times New Roman" w:cs="Times New Roman"/>
          <w:b/>
          <w:bCs/>
          <w:sz w:val="27"/>
          <w:szCs w:val="27"/>
          <w:lang w:eastAsia="en-GB"/>
        </w:rPr>
        <w:t>Figure 1. Conceptual Framework – Dynamic Capabilities Model for Post-Brexit SMEs</w:t>
      </w:r>
      <w:bookmarkEnd w:id="9"/>
    </w:p>
    <w:p w14:paraId="78795178"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0" w:name="_Toc213695960"/>
      <w:r w:rsidRPr="00A53AD6">
        <w:rPr>
          <w:rFonts w:ascii="Times New Roman" w:eastAsia="Times New Roman" w:hAnsi="Times New Roman" w:cs="Times New Roman"/>
          <w:b/>
          <w:bCs/>
          <w:sz w:val="27"/>
          <w:szCs w:val="27"/>
          <w:lang w:eastAsia="en-GB"/>
        </w:rPr>
        <w:t>Table 1. Summary of Key Brexit Impacts on SMEs</w:t>
      </w:r>
      <w:bookmarkEnd w:id="10"/>
    </w:p>
    <w:tbl>
      <w:tblPr>
        <w:tblStyle w:val="Tabelgril"/>
        <w:tblW w:w="0" w:type="auto"/>
        <w:tblLook w:val="04A0" w:firstRow="1" w:lastRow="0" w:firstColumn="1" w:lastColumn="0" w:noHBand="0" w:noVBand="1"/>
      </w:tblPr>
      <w:tblGrid>
        <w:gridCol w:w="1940"/>
        <w:gridCol w:w="2820"/>
        <w:gridCol w:w="2372"/>
        <w:gridCol w:w="1884"/>
      </w:tblGrid>
      <w:tr w:rsidR="00A53AD6" w:rsidRPr="00A53AD6" w14:paraId="11A78954" w14:textId="77777777" w:rsidTr="00A53AD6">
        <w:tc>
          <w:tcPr>
            <w:tcW w:w="0" w:type="auto"/>
            <w:hideMark/>
          </w:tcPr>
          <w:p w14:paraId="61374F2B"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Impact Area</w:t>
            </w:r>
          </w:p>
        </w:tc>
        <w:tc>
          <w:tcPr>
            <w:tcW w:w="0" w:type="auto"/>
            <w:hideMark/>
          </w:tcPr>
          <w:p w14:paraId="21E51816"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Description</w:t>
            </w:r>
          </w:p>
        </w:tc>
        <w:tc>
          <w:tcPr>
            <w:tcW w:w="0" w:type="auto"/>
            <w:hideMark/>
          </w:tcPr>
          <w:p w14:paraId="6CD9DA4F"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Consequence</w:t>
            </w:r>
          </w:p>
        </w:tc>
        <w:tc>
          <w:tcPr>
            <w:tcW w:w="0" w:type="auto"/>
            <w:hideMark/>
          </w:tcPr>
          <w:p w14:paraId="7C98EC20"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Source</w:t>
            </w:r>
          </w:p>
        </w:tc>
      </w:tr>
      <w:tr w:rsidR="00A53AD6" w:rsidRPr="00A53AD6" w14:paraId="11ED55A4" w14:textId="77777777" w:rsidTr="00A53AD6">
        <w:tc>
          <w:tcPr>
            <w:tcW w:w="0" w:type="auto"/>
            <w:hideMark/>
          </w:tcPr>
          <w:p w14:paraId="634C1F2D"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Trade Barriers</w:t>
            </w:r>
          </w:p>
        </w:tc>
        <w:tc>
          <w:tcPr>
            <w:tcW w:w="0" w:type="auto"/>
            <w:hideMark/>
          </w:tcPr>
          <w:p w14:paraId="7A54DC02"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Customs declarations and border delays</w:t>
            </w:r>
          </w:p>
        </w:tc>
        <w:tc>
          <w:tcPr>
            <w:tcW w:w="0" w:type="auto"/>
            <w:hideMark/>
          </w:tcPr>
          <w:p w14:paraId="248930B0"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Higher costs, delivery delays</w:t>
            </w:r>
          </w:p>
        </w:tc>
        <w:tc>
          <w:tcPr>
            <w:tcW w:w="0" w:type="auto"/>
            <w:hideMark/>
          </w:tcPr>
          <w:p w14:paraId="3E1DA26F"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Imobisoft (2023)</w:t>
            </w:r>
          </w:p>
        </w:tc>
      </w:tr>
      <w:tr w:rsidR="00A53AD6" w:rsidRPr="00A53AD6" w14:paraId="011BBD8C" w14:textId="77777777" w:rsidTr="00A53AD6">
        <w:tc>
          <w:tcPr>
            <w:tcW w:w="0" w:type="auto"/>
            <w:hideMark/>
          </w:tcPr>
          <w:p w14:paraId="58FB3BD5"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Labour Mobility</w:t>
            </w:r>
          </w:p>
        </w:tc>
        <w:tc>
          <w:tcPr>
            <w:tcW w:w="0" w:type="auto"/>
            <w:hideMark/>
          </w:tcPr>
          <w:p w14:paraId="3933509E"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Restrictions on EU workers</w:t>
            </w:r>
          </w:p>
        </w:tc>
        <w:tc>
          <w:tcPr>
            <w:tcW w:w="0" w:type="auto"/>
            <w:hideMark/>
          </w:tcPr>
          <w:p w14:paraId="00A88901"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Skill shortages</w:t>
            </w:r>
          </w:p>
        </w:tc>
        <w:tc>
          <w:tcPr>
            <w:tcW w:w="0" w:type="auto"/>
            <w:hideMark/>
          </w:tcPr>
          <w:p w14:paraId="5C9CA967"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Inman (2024)</w:t>
            </w:r>
          </w:p>
        </w:tc>
      </w:tr>
      <w:tr w:rsidR="00A53AD6" w:rsidRPr="00A53AD6" w14:paraId="31A8B6A1" w14:textId="77777777" w:rsidTr="00A53AD6">
        <w:tc>
          <w:tcPr>
            <w:tcW w:w="0" w:type="auto"/>
            <w:hideMark/>
          </w:tcPr>
          <w:p w14:paraId="20435CBB"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Regulatory Divergence</w:t>
            </w:r>
          </w:p>
        </w:tc>
        <w:tc>
          <w:tcPr>
            <w:tcW w:w="0" w:type="auto"/>
            <w:hideMark/>
          </w:tcPr>
          <w:p w14:paraId="5349469A"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Dual UK–EU standards</w:t>
            </w:r>
          </w:p>
        </w:tc>
        <w:tc>
          <w:tcPr>
            <w:tcW w:w="0" w:type="auto"/>
            <w:hideMark/>
          </w:tcPr>
          <w:p w14:paraId="3D267107"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Compliance burdens</w:t>
            </w:r>
          </w:p>
        </w:tc>
        <w:tc>
          <w:tcPr>
            <w:tcW w:w="0" w:type="auto"/>
            <w:hideMark/>
          </w:tcPr>
          <w:p w14:paraId="06CAEB12"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Du et al. (2025)</w:t>
            </w:r>
          </w:p>
        </w:tc>
      </w:tr>
      <w:tr w:rsidR="00A53AD6" w:rsidRPr="00A53AD6" w14:paraId="674F1BAB" w14:textId="77777777" w:rsidTr="00A53AD6">
        <w:tc>
          <w:tcPr>
            <w:tcW w:w="0" w:type="auto"/>
            <w:hideMark/>
          </w:tcPr>
          <w:p w14:paraId="307314F5"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Financial Access</w:t>
            </w:r>
          </w:p>
        </w:tc>
        <w:tc>
          <w:tcPr>
            <w:tcW w:w="0" w:type="auto"/>
            <w:hideMark/>
          </w:tcPr>
          <w:p w14:paraId="49F7C602"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Reduced cross-border funding</w:t>
            </w:r>
          </w:p>
        </w:tc>
        <w:tc>
          <w:tcPr>
            <w:tcW w:w="0" w:type="auto"/>
            <w:hideMark/>
          </w:tcPr>
          <w:p w14:paraId="41740DBF"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Cash-flow strain</w:t>
            </w:r>
          </w:p>
        </w:tc>
        <w:tc>
          <w:tcPr>
            <w:tcW w:w="0" w:type="auto"/>
            <w:hideMark/>
          </w:tcPr>
          <w:p w14:paraId="1C403C1E"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Cem Soner et al. (2025)</w:t>
            </w:r>
          </w:p>
        </w:tc>
      </w:tr>
      <w:tr w:rsidR="00A53AD6" w:rsidRPr="00A53AD6" w14:paraId="5DBC244C" w14:textId="77777777" w:rsidTr="00A53AD6">
        <w:tc>
          <w:tcPr>
            <w:tcW w:w="0" w:type="auto"/>
            <w:hideMark/>
          </w:tcPr>
          <w:p w14:paraId="60E567FB"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Market Uncertainty</w:t>
            </w:r>
          </w:p>
        </w:tc>
        <w:tc>
          <w:tcPr>
            <w:tcW w:w="0" w:type="auto"/>
            <w:hideMark/>
          </w:tcPr>
          <w:p w14:paraId="5BD2E17F"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Exchange-rate fluctuations</w:t>
            </w:r>
          </w:p>
        </w:tc>
        <w:tc>
          <w:tcPr>
            <w:tcW w:w="0" w:type="auto"/>
            <w:hideMark/>
          </w:tcPr>
          <w:p w14:paraId="4421B2C2"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Lower investment confidence</w:t>
            </w:r>
          </w:p>
        </w:tc>
        <w:tc>
          <w:tcPr>
            <w:tcW w:w="0" w:type="auto"/>
            <w:hideMark/>
          </w:tcPr>
          <w:p w14:paraId="5BD38C59"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Highman (2023)</w:t>
            </w:r>
          </w:p>
        </w:tc>
      </w:tr>
    </w:tbl>
    <w:p w14:paraId="15C95C04" w14:textId="0C7876C9" w:rsidR="00A53AD6" w:rsidRPr="00A53AD6" w:rsidRDefault="00A53AD6" w:rsidP="00A53AD6">
      <w:pPr>
        <w:spacing w:line="360" w:lineRule="auto"/>
        <w:jc w:val="both"/>
        <w:rPr>
          <w:rFonts w:ascii="Times New Roman" w:eastAsia="Times New Roman" w:hAnsi="Times New Roman" w:cs="Times New Roman"/>
          <w:lang w:eastAsia="en-GB"/>
        </w:rPr>
      </w:pPr>
    </w:p>
    <w:p w14:paraId="42D358B3" w14:textId="77777777" w:rsidR="00A53AD6" w:rsidRP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1" w:name="_Toc213695961"/>
      <w:r w:rsidRPr="00A53AD6">
        <w:rPr>
          <w:rFonts w:ascii="Times New Roman" w:eastAsia="Times New Roman" w:hAnsi="Times New Roman" w:cs="Times New Roman"/>
          <w:b/>
          <w:bCs/>
          <w:sz w:val="36"/>
          <w:szCs w:val="36"/>
          <w:lang w:eastAsia="en-GB"/>
        </w:rPr>
        <w:t>3. Methodology</w:t>
      </w:r>
      <w:bookmarkEnd w:id="11"/>
    </w:p>
    <w:p w14:paraId="40FEAD7C"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2" w:name="_Toc213695962"/>
      <w:r w:rsidRPr="00A53AD6">
        <w:rPr>
          <w:rFonts w:ascii="Times New Roman" w:eastAsia="Times New Roman" w:hAnsi="Times New Roman" w:cs="Times New Roman"/>
          <w:b/>
          <w:bCs/>
          <w:sz w:val="27"/>
          <w:szCs w:val="27"/>
          <w:lang w:eastAsia="en-GB"/>
        </w:rPr>
        <w:t>3.1 Research Approach</w:t>
      </w:r>
      <w:bookmarkEnd w:id="12"/>
    </w:p>
    <w:p w14:paraId="25F9C174" w14:textId="42399A31"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This dissertation takes a qualitative, interpretivist approach to dive into how small and medium-sized enterprises (SMEs) in the UK have strategically navigated the challenges brought on by Brexit. The interpretivist lens is fitting here because the study aims to grasp how SME leaders perceive and react to uncertainty, rather than just crunching numbers to measure outcomes. As Saunders, Lewis, and Thornhill (2019) point out, interpretivism acknowledges that business phenomena are shaped by social interactions and are best understood through the viewpoints, meanings, and experiences of individuals within a specific context. </w:t>
      </w:r>
    </w:p>
    <w:p w14:paraId="22ED64BB" w14:textId="36DD1C7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Given the typical time and resource limitations of undergraduate research, this study opts for secondary data analysis instead of conducting primary fieldwork. This means it will review and synthesize existing academic research, government reports, and industry case studies published between 2020 and 2025. Johnston (2017) notes that using secondary data allows researchers to tap into a wide range of evidence while still upholding academic rigor, especially when direct access to business leaders is limited.</w:t>
      </w:r>
    </w:p>
    <w:p w14:paraId="54359189" w14:textId="5B9928AA"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By utilizing qualitative secondary data, the research can uncover rich, contextually grounded insights into how SMEs form strategies and adapt. This design aligns well with the dissertation’s focus on strategic interpretation and dynamic capabilities, enabling comparisons across various sectors and case types. Additionally, this method boosts reliability by relying on sources that have already been peer-reviewed or professionally validated (Bryman and Bell, 2018).</w:t>
      </w:r>
    </w:p>
    <w:p w14:paraId="7D01ACC4" w14:textId="2D416C3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research philosophy guiding this study is constructivism, which posits that reality is not static but is co-created through social processes and managerial decision-making (Easterby-Smith et al., 2021). By weaving together existing qualitative narratives, the study interprets how SME managers make sense of the disruptions caused by Brexit and translate that understanding into actionable strategies..</w:t>
      </w:r>
    </w:p>
    <w:p w14:paraId="444DD3C3"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3" w:name="_Toc213695963"/>
      <w:r w:rsidRPr="00A53AD6">
        <w:rPr>
          <w:rFonts w:ascii="Times New Roman" w:eastAsia="Times New Roman" w:hAnsi="Times New Roman" w:cs="Times New Roman"/>
          <w:b/>
          <w:bCs/>
          <w:sz w:val="27"/>
          <w:szCs w:val="27"/>
          <w:lang w:eastAsia="en-GB"/>
        </w:rPr>
        <w:t>3.2 Thematic Analysis Process</w:t>
      </w:r>
      <w:bookmarkEnd w:id="13"/>
    </w:p>
    <w:p w14:paraId="78C1C3B7"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The study employs </w:t>
      </w:r>
      <w:r w:rsidRPr="00A53AD6">
        <w:rPr>
          <w:rFonts w:ascii="Times New Roman" w:eastAsia="Times New Roman" w:hAnsi="Times New Roman" w:cs="Times New Roman"/>
          <w:b/>
          <w:bCs/>
          <w:lang w:eastAsia="en-GB"/>
        </w:rPr>
        <w:t>thematic analysis</w:t>
      </w:r>
      <w:r w:rsidRPr="00A53AD6">
        <w:rPr>
          <w:rFonts w:ascii="Times New Roman" w:eastAsia="Times New Roman" w:hAnsi="Times New Roman" w:cs="Times New Roman"/>
          <w:lang w:eastAsia="en-GB"/>
        </w:rPr>
        <w:t xml:space="preserve"> as the central analytical technique. Thematic analysis is a flexible qualitative method for identifying, analysing, and interpreting patterns of meaning (Braun and Clarke, 2006). It is particularly suited to secondary data synthesis because it enables systematic comparison of findings across multiple texts and contexts.</w:t>
      </w:r>
    </w:p>
    <w:p w14:paraId="3C7E488E"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Following Braun and Clarke’s (2006) six-phase framework, the analysis proceeded as follows:</w:t>
      </w:r>
    </w:p>
    <w:p w14:paraId="53B239D7"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Familiarisation:</w:t>
      </w:r>
      <w:r w:rsidRPr="00A53AD6">
        <w:rPr>
          <w:rFonts w:ascii="Times New Roman" w:eastAsia="Times New Roman" w:hAnsi="Times New Roman" w:cs="Times New Roman"/>
          <w:lang w:eastAsia="en-GB"/>
        </w:rPr>
        <w:t xml:space="preserve"> All selected documents—academic papers, policy reports, and case studies—were read thoroughly to gain an overall understanding of recurring issues. During this stage, key phrases, definitions, and conceptual insights relating to SME strategy, resilience, and Brexit were annotated. A reflexive research journal was maintained to record observations and emerging ideas.</w:t>
      </w:r>
    </w:p>
    <w:p w14:paraId="7761C72B"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Initial Coding:</w:t>
      </w:r>
      <w:r w:rsidRPr="00A53AD6">
        <w:rPr>
          <w:rFonts w:ascii="Times New Roman" w:eastAsia="Times New Roman" w:hAnsi="Times New Roman" w:cs="Times New Roman"/>
          <w:lang w:eastAsia="en-GB"/>
        </w:rPr>
        <w:t xml:space="preserve"> Segments of text relevant to the research aims were highlighted and assigned preliminary codes such as </w:t>
      </w:r>
      <w:r w:rsidRPr="00A53AD6">
        <w:rPr>
          <w:rFonts w:ascii="Times New Roman" w:eastAsia="Times New Roman" w:hAnsi="Times New Roman" w:cs="Times New Roman"/>
          <w:i/>
          <w:iCs/>
          <w:lang w:eastAsia="en-GB"/>
        </w:rPr>
        <w:t>supply-chain reconfiguration</w:t>
      </w:r>
      <w:r w:rsidRPr="00A53AD6">
        <w:rPr>
          <w:rFonts w:ascii="Times New Roman" w:eastAsia="Times New Roman" w:hAnsi="Times New Roman" w:cs="Times New Roman"/>
          <w:lang w:eastAsia="en-GB"/>
        </w:rPr>
        <w:t xml:space="preserve">, </w:t>
      </w:r>
      <w:r w:rsidRPr="00A53AD6">
        <w:rPr>
          <w:rFonts w:ascii="Times New Roman" w:eastAsia="Times New Roman" w:hAnsi="Times New Roman" w:cs="Times New Roman"/>
          <w:i/>
          <w:iCs/>
          <w:lang w:eastAsia="en-GB"/>
        </w:rPr>
        <w:t>digitalisation</w:t>
      </w:r>
      <w:r w:rsidRPr="00A53AD6">
        <w:rPr>
          <w:rFonts w:ascii="Times New Roman" w:eastAsia="Times New Roman" w:hAnsi="Times New Roman" w:cs="Times New Roman"/>
          <w:lang w:eastAsia="en-GB"/>
        </w:rPr>
        <w:t xml:space="preserve">, </w:t>
      </w:r>
      <w:r w:rsidRPr="00A53AD6">
        <w:rPr>
          <w:rFonts w:ascii="Times New Roman" w:eastAsia="Times New Roman" w:hAnsi="Times New Roman" w:cs="Times New Roman"/>
          <w:i/>
          <w:iCs/>
          <w:lang w:eastAsia="en-GB"/>
        </w:rPr>
        <w:t>labour mobility</w:t>
      </w:r>
      <w:r w:rsidRPr="00A53AD6">
        <w:rPr>
          <w:rFonts w:ascii="Times New Roman" w:eastAsia="Times New Roman" w:hAnsi="Times New Roman" w:cs="Times New Roman"/>
          <w:lang w:eastAsia="en-GB"/>
        </w:rPr>
        <w:t xml:space="preserve">, </w:t>
      </w:r>
      <w:r w:rsidRPr="00A53AD6">
        <w:rPr>
          <w:rFonts w:ascii="Times New Roman" w:eastAsia="Times New Roman" w:hAnsi="Times New Roman" w:cs="Times New Roman"/>
          <w:i/>
          <w:iCs/>
          <w:lang w:eastAsia="en-GB"/>
        </w:rPr>
        <w:t>innovation</w:t>
      </w:r>
      <w:r w:rsidRPr="00A53AD6">
        <w:rPr>
          <w:rFonts w:ascii="Times New Roman" w:eastAsia="Times New Roman" w:hAnsi="Times New Roman" w:cs="Times New Roman"/>
          <w:lang w:eastAsia="en-GB"/>
        </w:rPr>
        <w:t xml:space="preserve">, and </w:t>
      </w:r>
      <w:r w:rsidRPr="00A53AD6">
        <w:rPr>
          <w:rFonts w:ascii="Times New Roman" w:eastAsia="Times New Roman" w:hAnsi="Times New Roman" w:cs="Times New Roman"/>
          <w:i/>
          <w:iCs/>
          <w:lang w:eastAsia="en-GB"/>
        </w:rPr>
        <w:t>policy response</w:t>
      </w:r>
      <w:r w:rsidRPr="00A53AD6">
        <w:rPr>
          <w:rFonts w:ascii="Times New Roman" w:eastAsia="Times New Roman" w:hAnsi="Times New Roman" w:cs="Times New Roman"/>
          <w:lang w:eastAsia="en-GB"/>
        </w:rPr>
        <w:t>. Both inductive (data-driven) and deductive (theory-driven) codes were applied to capture new insights while aligning them with the Dynamic Capabilities Theory (DCT).</w:t>
      </w:r>
    </w:p>
    <w:p w14:paraId="7D22A332"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Theme Generation:</w:t>
      </w:r>
      <w:r w:rsidRPr="00A53AD6">
        <w:rPr>
          <w:rFonts w:ascii="Times New Roman" w:eastAsia="Times New Roman" w:hAnsi="Times New Roman" w:cs="Times New Roman"/>
          <w:lang w:eastAsia="en-GB"/>
        </w:rPr>
        <w:t xml:space="preserve"> Related codes were grouped into potential themes, forming clusters around strategic responses, leadership behaviour, and adaptation mechanisms. NVivo qualitative analysis software was used to visualise relationships between codes and to build a code tree.</w:t>
      </w:r>
    </w:p>
    <w:p w14:paraId="34DBA8A1"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Reviewing Themes:</w:t>
      </w:r>
      <w:r w:rsidRPr="00A53AD6">
        <w:rPr>
          <w:rFonts w:ascii="Times New Roman" w:eastAsia="Times New Roman" w:hAnsi="Times New Roman" w:cs="Times New Roman"/>
          <w:lang w:eastAsia="en-GB"/>
        </w:rPr>
        <w:t xml:space="preserve"> Each potential theme was checked against the entire dataset to ensure coherence and internal consistency. Weak or overlapping categories were merged or removed, ensuring that each theme was distinct and well supported by data.</w:t>
      </w:r>
    </w:p>
    <w:p w14:paraId="69E0FEE1"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Defining and Naming Themes:</w:t>
      </w:r>
      <w:r w:rsidRPr="00A53AD6">
        <w:rPr>
          <w:rFonts w:ascii="Times New Roman" w:eastAsia="Times New Roman" w:hAnsi="Times New Roman" w:cs="Times New Roman"/>
          <w:lang w:eastAsia="en-GB"/>
        </w:rPr>
        <w:t xml:space="preserve"> Final themes were defined with clear boundaries and interpretive descriptions, ensuring conceptual clarity. Definitions were refined to align with the dissertation’s objectives and theoretical framework.</w:t>
      </w:r>
    </w:p>
    <w:p w14:paraId="779EE822" w14:textId="77777777" w:rsidR="00A53AD6" w:rsidRPr="00A53AD6" w:rsidRDefault="00A53AD6" w:rsidP="00A53AD6">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Writing Up:</w:t>
      </w:r>
      <w:r w:rsidRPr="00A53AD6">
        <w:rPr>
          <w:rFonts w:ascii="Times New Roman" w:eastAsia="Times New Roman" w:hAnsi="Times New Roman" w:cs="Times New Roman"/>
          <w:lang w:eastAsia="en-GB"/>
        </w:rPr>
        <w:t xml:space="preserve"> Thematic insights were synthesised into the findings and discussion sections. Data extracts, academic commentary, and theoretical interpretation were integrated to construct a coherent analytical narrative linking evidence to DCT constructs (sensing, seizing, reconfiguring).</w:t>
      </w:r>
    </w:p>
    <w:p w14:paraId="74E97DFC" w14:textId="41E1CEED"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This iterative process provided structure and transparency to the analysis, enhancing credibility and traceability (Nowell et al., 2017). The flexibility of thematic analysis also allowed the incorporation of both </w:t>
      </w:r>
      <w:r w:rsidRPr="00A53AD6">
        <w:rPr>
          <w:rFonts w:ascii="Times New Roman" w:eastAsia="Times New Roman" w:hAnsi="Times New Roman" w:cs="Times New Roman"/>
          <w:i/>
          <w:iCs/>
          <w:lang w:eastAsia="en-GB"/>
        </w:rPr>
        <w:t>latent</w:t>
      </w:r>
      <w:r w:rsidRPr="00A53AD6">
        <w:rPr>
          <w:rFonts w:ascii="Times New Roman" w:eastAsia="Times New Roman" w:hAnsi="Times New Roman" w:cs="Times New Roman"/>
          <w:lang w:eastAsia="en-GB"/>
        </w:rPr>
        <w:t xml:space="preserve"> themes (underlying assumptions) and </w:t>
      </w:r>
      <w:r w:rsidRPr="00A53AD6">
        <w:rPr>
          <w:rFonts w:ascii="Times New Roman" w:eastAsia="Times New Roman" w:hAnsi="Times New Roman" w:cs="Times New Roman"/>
          <w:i/>
          <w:iCs/>
          <w:lang w:eastAsia="en-GB"/>
        </w:rPr>
        <w:t>semantic</w:t>
      </w:r>
      <w:r w:rsidRPr="00A53AD6">
        <w:rPr>
          <w:rFonts w:ascii="Times New Roman" w:eastAsia="Times New Roman" w:hAnsi="Times New Roman" w:cs="Times New Roman"/>
          <w:lang w:eastAsia="en-GB"/>
        </w:rPr>
        <w:t xml:space="preserve"> themes (explicit content).</w:t>
      </w:r>
    </w:p>
    <w:p w14:paraId="3C932E2C"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4" w:name="_Toc213695964"/>
      <w:r w:rsidRPr="00A53AD6">
        <w:rPr>
          <w:rFonts w:ascii="Times New Roman" w:eastAsia="Times New Roman" w:hAnsi="Times New Roman" w:cs="Times New Roman"/>
          <w:b/>
          <w:bCs/>
          <w:sz w:val="27"/>
          <w:szCs w:val="27"/>
          <w:lang w:eastAsia="en-GB"/>
        </w:rPr>
        <w:t>3.3 Data Sources</w:t>
      </w:r>
      <w:bookmarkEnd w:id="14"/>
    </w:p>
    <w:p w14:paraId="755F311D"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 wide range of secondary sources was used to ensure triangulation and robustness of findings. Data were collected from the following categories:</w:t>
      </w:r>
    </w:p>
    <w:p w14:paraId="5FEC0B49" w14:textId="77777777" w:rsidR="00A53AD6" w:rsidRPr="00A53AD6" w:rsidRDefault="00A53AD6" w:rsidP="00A53AD6">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Academic Journals:</w:t>
      </w:r>
      <w:r w:rsidRPr="00A53AD6">
        <w:rPr>
          <w:rFonts w:ascii="Times New Roman" w:eastAsia="Times New Roman" w:hAnsi="Times New Roman" w:cs="Times New Roman"/>
          <w:lang w:eastAsia="en-GB"/>
        </w:rPr>
        <w:t xml:space="preserve"> Peer-reviewed publications focusing on SME strategy, international business, and post-Brexit economics (e.g., </w:t>
      </w:r>
      <w:r w:rsidRPr="00A53AD6">
        <w:rPr>
          <w:rFonts w:ascii="Times New Roman" w:eastAsia="Times New Roman" w:hAnsi="Times New Roman" w:cs="Times New Roman"/>
          <w:i/>
          <w:iCs/>
          <w:lang w:eastAsia="en-GB"/>
        </w:rPr>
        <w:t>Journal of International Business Policy</w:t>
      </w:r>
      <w:r w:rsidRPr="00A53AD6">
        <w:rPr>
          <w:rFonts w:ascii="Times New Roman" w:eastAsia="Times New Roman" w:hAnsi="Times New Roman" w:cs="Times New Roman"/>
          <w:lang w:eastAsia="en-GB"/>
        </w:rPr>
        <w:t xml:space="preserve">, </w:t>
      </w:r>
      <w:r w:rsidRPr="00A53AD6">
        <w:rPr>
          <w:rFonts w:ascii="Times New Roman" w:eastAsia="Times New Roman" w:hAnsi="Times New Roman" w:cs="Times New Roman"/>
          <w:i/>
          <w:iCs/>
          <w:lang w:eastAsia="en-GB"/>
        </w:rPr>
        <w:t>Review of Managerial Science</w:t>
      </w:r>
      <w:r w:rsidRPr="00A53AD6">
        <w:rPr>
          <w:rFonts w:ascii="Times New Roman" w:eastAsia="Times New Roman" w:hAnsi="Times New Roman" w:cs="Times New Roman"/>
          <w:lang w:eastAsia="en-GB"/>
        </w:rPr>
        <w:t>).</w:t>
      </w:r>
    </w:p>
    <w:p w14:paraId="7D79E321" w14:textId="77777777" w:rsidR="00A53AD6" w:rsidRPr="00A53AD6" w:rsidRDefault="00A53AD6" w:rsidP="00A53AD6">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Government Reports:</w:t>
      </w:r>
      <w:r w:rsidRPr="00A53AD6">
        <w:rPr>
          <w:rFonts w:ascii="Times New Roman" w:eastAsia="Times New Roman" w:hAnsi="Times New Roman" w:cs="Times New Roman"/>
          <w:lang w:eastAsia="en-GB"/>
        </w:rPr>
        <w:t xml:space="preserve"> Official documents from the Department for Business and Trade (DBT, 2023), HM Treasury, and the Office for National Statistics (ONS) providing quantitative and policy context.</w:t>
      </w:r>
    </w:p>
    <w:p w14:paraId="480B739B" w14:textId="77777777" w:rsidR="00A53AD6" w:rsidRPr="00A53AD6" w:rsidRDefault="00A53AD6" w:rsidP="00A53AD6">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Industry and Trade Publications:</w:t>
      </w:r>
      <w:r w:rsidRPr="00A53AD6">
        <w:rPr>
          <w:rFonts w:ascii="Times New Roman" w:eastAsia="Times New Roman" w:hAnsi="Times New Roman" w:cs="Times New Roman"/>
          <w:lang w:eastAsia="en-GB"/>
        </w:rPr>
        <w:t xml:space="preserve"> Reports from the Federation of Small Businesses (FSB), British Chambers of Commerce (BCC), and Confederation of British Industry (CBI) offering practical insights and case material.</w:t>
      </w:r>
    </w:p>
    <w:p w14:paraId="7A5EDCA5" w14:textId="77777777" w:rsidR="00A53AD6" w:rsidRPr="00A53AD6" w:rsidRDefault="00A53AD6" w:rsidP="00A53AD6">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Media Sources:</w:t>
      </w:r>
      <w:r w:rsidRPr="00A53AD6">
        <w:rPr>
          <w:rFonts w:ascii="Times New Roman" w:eastAsia="Times New Roman" w:hAnsi="Times New Roman" w:cs="Times New Roman"/>
          <w:lang w:eastAsia="en-GB"/>
        </w:rPr>
        <w:t xml:space="preserve"> Trusted outlets such as </w:t>
      </w:r>
      <w:r w:rsidRPr="00A53AD6">
        <w:rPr>
          <w:rFonts w:ascii="Times New Roman" w:eastAsia="Times New Roman" w:hAnsi="Times New Roman" w:cs="Times New Roman"/>
          <w:i/>
          <w:iCs/>
          <w:lang w:eastAsia="en-GB"/>
        </w:rPr>
        <w:t>The Guardian</w:t>
      </w:r>
      <w:r w:rsidRPr="00A53AD6">
        <w:rPr>
          <w:rFonts w:ascii="Times New Roman" w:eastAsia="Times New Roman" w:hAnsi="Times New Roman" w:cs="Times New Roman"/>
          <w:lang w:eastAsia="en-GB"/>
        </w:rPr>
        <w:t xml:space="preserve"> (Inman, 2024) and </w:t>
      </w:r>
      <w:r w:rsidRPr="00A53AD6">
        <w:rPr>
          <w:rFonts w:ascii="Times New Roman" w:eastAsia="Times New Roman" w:hAnsi="Times New Roman" w:cs="Times New Roman"/>
          <w:i/>
          <w:iCs/>
          <w:lang w:eastAsia="en-GB"/>
        </w:rPr>
        <w:t>Financial Times</w:t>
      </w:r>
      <w:r w:rsidRPr="00A53AD6">
        <w:rPr>
          <w:rFonts w:ascii="Times New Roman" w:eastAsia="Times New Roman" w:hAnsi="Times New Roman" w:cs="Times New Roman"/>
          <w:lang w:eastAsia="en-GB"/>
        </w:rPr>
        <w:t xml:space="preserve"> used selectively for empirical evidence of SME impact.</w:t>
      </w:r>
    </w:p>
    <w:p w14:paraId="24438FE4" w14:textId="77777777" w:rsidR="00A53AD6" w:rsidRPr="00A53AD6" w:rsidRDefault="00A53AD6" w:rsidP="00A53AD6">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Case Studies:</w:t>
      </w:r>
      <w:r w:rsidRPr="00A53AD6">
        <w:rPr>
          <w:rFonts w:ascii="Times New Roman" w:eastAsia="Times New Roman" w:hAnsi="Times New Roman" w:cs="Times New Roman"/>
          <w:lang w:eastAsia="en-GB"/>
        </w:rPr>
        <w:t xml:space="preserve"> Examples of adaptation strategies from sectors such as food production, manufacturing, and services.</w:t>
      </w:r>
    </w:p>
    <w:p w14:paraId="4EF3F1AC"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Inclusion criteria</w:t>
      </w:r>
      <w:r w:rsidRPr="00A53AD6">
        <w:rPr>
          <w:rFonts w:ascii="Times New Roman" w:eastAsia="Times New Roman" w:hAnsi="Times New Roman" w:cs="Times New Roman"/>
          <w:lang w:eastAsia="en-GB"/>
        </w:rPr>
        <w:t xml:space="preserve"> ensured that all selected documents:</w:t>
      </w:r>
    </w:p>
    <w:p w14:paraId="7F8B3723" w14:textId="77777777" w:rsidR="00A53AD6" w:rsidRPr="00A53AD6" w:rsidRDefault="00A53AD6" w:rsidP="00A53AD6">
      <w:pPr>
        <w:numPr>
          <w:ilvl w:val="0"/>
          <w:numId w:val="11"/>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Were published between </w:t>
      </w:r>
      <w:r w:rsidRPr="00A53AD6">
        <w:rPr>
          <w:rFonts w:ascii="Times New Roman" w:eastAsia="Times New Roman" w:hAnsi="Times New Roman" w:cs="Times New Roman"/>
          <w:b/>
          <w:bCs/>
          <w:lang w:eastAsia="en-GB"/>
        </w:rPr>
        <w:t>January 2020 and June 2025</w:t>
      </w:r>
      <w:r w:rsidRPr="00A53AD6">
        <w:rPr>
          <w:rFonts w:ascii="Times New Roman" w:eastAsia="Times New Roman" w:hAnsi="Times New Roman" w:cs="Times New Roman"/>
          <w:lang w:eastAsia="en-GB"/>
        </w:rPr>
        <w:t>;</w:t>
      </w:r>
    </w:p>
    <w:p w14:paraId="1ACF29E3" w14:textId="77777777" w:rsidR="00A53AD6" w:rsidRPr="00A53AD6" w:rsidRDefault="00A53AD6" w:rsidP="00A53AD6">
      <w:pPr>
        <w:numPr>
          <w:ilvl w:val="0"/>
          <w:numId w:val="11"/>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Focused on </w:t>
      </w:r>
      <w:r w:rsidRPr="00A53AD6">
        <w:rPr>
          <w:rFonts w:ascii="Times New Roman" w:eastAsia="Times New Roman" w:hAnsi="Times New Roman" w:cs="Times New Roman"/>
          <w:b/>
          <w:bCs/>
          <w:lang w:eastAsia="en-GB"/>
        </w:rPr>
        <w:t>UK-based SMEs</w:t>
      </w:r>
      <w:r w:rsidRPr="00A53AD6">
        <w:rPr>
          <w:rFonts w:ascii="Times New Roman" w:eastAsia="Times New Roman" w:hAnsi="Times New Roman" w:cs="Times New Roman"/>
          <w:lang w:eastAsia="en-GB"/>
        </w:rPr>
        <w:t xml:space="preserve"> rather than multinational corporations;</w:t>
      </w:r>
    </w:p>
    <w:p w14:paraId="188699CC" w14:textId="77777777" w:rsidR="00A53AD6" w:rsidRPr="00A53AD6" w:rsidRDefault="00A53AD6" w:rsidP="00A53AD6">
      <w:pPr>
        <w:numPr>
          <w:ilvl w:val="0"/>
          <w:numId w:val="11"/>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Contained </w:t>
      </w:r>
      <w:r w:rsidRPr="00A53AD6">
        <w:rPr>
          <w:rFonts w:ascii="Times New Roman" w:eastAsia="Times New Roman" w:hAnsi="Times New Roman" w:cs="Times New Roman"/>
          <w:b/>
          <w:bCs/>
          <w:lang w:eastAsia="en-GB"/>
        </w:rPr>
        <w:t>strategic or managerial perspectives</w:t>
      </w:r>
      <w:r w:rsidRPr="00A53AD6">
        <w:rPr>
          <w:rFonts w:ascii="Times New Roman" w:eastAsia="Times New Roman" w:hAnsi="Times New Roman" w:cs="Times New Roman"/>
          <w:lang w:eastAsia="en-GB"/>
        </w:rPr>
        <w:t xml:space="preserve"> related to adaptation, resilience, or innovation; and</w:t>
      </w:r>
    </w:p>
    <w:p w14:paraId="7EC6E0A7" w14:textId="77777777" w:rsidR="00A53AD6" w:rsidRPr="00A53AD6" w:rsidRDefault="00A53AD6" w:rsidP="00A53AD6">
      <w:pPr>
        <w:numPr>
          <w:ilvl w:val="0"/>
          <w:numId w:val="11"/>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Provided sufficient methodological transparency or data richness for thematic extraction.</w:t>
      </w:r>
    </w:p>
    <w:p w14:paraId="2EA553B1"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Exclusion criteria</w:t>
      </w:r>
      <w:r w:rsidRPr="00A53AD6">
        <w:rPr>
          <w:rFonts w:ascii="Times New Roman" w:eastAsia="Times New Roman" w:hAnsi="Times New Roman" w:cs="Times New Roman"/>
          <w:lang w:eastAsia="en-GB"/>
        </w:rPr>
        <w:t xml:space="preserve"> eliminated non-UK studies, purely quantitative analyses without interpretive commentary, and outdated pre-Brexit literature.</w:t>
      </w:r>
    </w:p>
    <w:p w14:paraId="679EF0D3" w14:textId="0ECC3C7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This combination of sources produced a balanced and multi-dimensional dataset, reflecting both academic and practical perspectives on SME adaptation.</w:t>
      </w:r>
    </w:p>
    <w:p w14:paraId="5789ABF0"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5" w:name="_Toc213695965"/>
      <w:r w:rsidRPr="00A53AD6">
        <w:rPr>
          <w:rFonts w:ascii="Times New Roman" w:eastAsia="Times New Roman" w:hAnsi="Times New Roman" w:cs="Times New Roman"/>
          <w:b/>
          <w:bCs/>
          <w:sz w:val="27"/>
          <w:szCs w:val="27"/>
          <w:lang w:eastAsia="en-GB"/>
        </w:rPr>
        <w:t>3.4 Thematic Framework</w:t>
      </w:r>
      <w:bookmarkEnd w:id="15"/>
    </w:p>
    <w:tbl>
      <w:tblPr>
        <w:tblStyle w:val="Tabelgril"/>
        <w:tblW w:w="0" w:type="auto"/>
        <w:tblLook w:val="04A0" w:firstRow="1" w:lastRow="0" w:firstColumn="1" w:lastColumn="0" w:noHBand="0" w:noVBand="1"/>
      </w:tblPr>
      <w:tblGrid>
        <w:gridCol w:w="1941"/>
        <w:gridCol w:w="2966"/>
        <w:gridCol w:w="2128"/>
        <w:gridCol w:w="1981"/>
      </w:tblGrid>
      <w:tr w:rsidR="00A53AD6" w:rsidRPr="00A53AD6" w14:paraId="058D7F6E" w14:textId="77777777" w:rsidTr="00A53AD6">
        <w:tc>
          <w:tcPr>
            <w:tcW w:w="0" w:type="auto"/>
            <w:hideMark/>
          </w:tcPr>
          <w:p w14:paraId="5795F57F"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Phase</w:t>
            </w:r>
          </w:p>
        </w:tc>
        <w:tc>
          <w:tcPr>
            <w:tcW w:w="0" w:type="auto"/>
            <w:hideMark/>
          </w:tcPr>
          <w:p w14:paraId="2EF7E4C6"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Description</w:t>
            </w:r>
          </w:p>
        </w:tc>
        <w:tc>
          <w:tcPr>
            <w:tcW w:w="0" w:type="auto"/>
            <w:hideMark/>
          </w:tcPr>
          <w:p w14:paraId="77105F63"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Purpose</w:t>
            </w:r>
          </w:p>
        </w:tc>
        <w:tc>
          <w:tcPr>
            <w:tcW w:w="0" w:type="auto"/>
            <w:hideMark/>
          </w:tcPr>
          <w:p w14:paraId="4A28428A" w14:textId="77777777" w:rsidR="00A53AD6" w:rsidRPr="00A53AD6" w:rsidRDefault="00A53AD6" w:rsidP="00A53AD6">
            <w:pPr>
              <w:spacing w:line="360" w:lineRule="auto"/>
              <w:jc w:val="both"/>
              <w:rPr>
                <w:rFonts w:ascii="Times New Roman" w:eastAsia="Times New Roman" w:hAnsi="Times New Roman" w:cs="Times New Roman"/>
                <w:b/>
                <w:bCs/>
                <w:lang w:eastAsia="en-GB"/>
              </w:rPr>
            </w:pPr>
            <w:r w:rsidRPr="00A53AD6">
              <w:rPr>
                <w:rFonts w:ascii="Times New Roman" w:eastAsia="Times New Roman" w:hAnsi="Times New Roman" w:cs="Times New Roman"/>
                <w:b/>
                <w:bCs/>
                <w:lang w:eastAsia="en-GB"/>
              </w:rPr>
              <w:t>Tools / Techniques</w:t>
            </w:r>
          </w:p>
        </w:tc>
      </w:tr>
      <w:tr w:rsidR="00A53AD6" w:rsidRPr="00A53AD6" w14:paraId="5F7941B4" w14:textId="77777777" w:rsidTr="00A53AD6">
        <w:tc>
          <w:tcPr>
            <w:tcW w:w="0" w:type="auto"/>
            <w:hideMark/>
          </w:tcPr>
          <w:p w14:paraId="205E4387"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1. Familiarisation</w:t>
            </w:r>
          </w:p>
        </w:tc>
        <w:tc>
          <w:tcPr>
            <w:tcW w:w="0" w:type="auto"/>
            <w:hideMark/>
          </w:tcPr>
          <w:p w14:paraId="5B515E18"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Comprehensive reading, note-taking, and annotation of documents</w:t>
            </w:r>
          </w:p>
        </w:tc>
        <w:tc>
          <w:tcPr>
            <w:tcW w:w="0" w:type="auto"/>
            <w:hideMark/>
          </w:tcPr>
          <w:p w14:paraId="5B93A691"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build contextual understanding</w:t>
            </w:r>
          </w:p>
        </w:tc>
        <w:tc>
          <w:tcPr>
            <w:tcW w:w="0" w:type="auto"/>
            <w:hideMark/>
          </w:tcPr>
          <w:p w14:paraId="4A69FF70"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Reflexivity journal</w:t>
            </w:r>
          </w:p>
        </w:tc>
      </w:tr>
      <w:tr w:rsidR="00A53AD6" w:rsidRPr="00A53AD6" w14:paraId="6C1322C1" w14:textId="77777777" w:rsidTr="00A53AD6">
        <w:tc>
          <w:tcPr>
            <w:tcW w:w="0" w:type="auto"/>
            <w:hideMark/>
          </w:tcPr>
          <w:p w14:paraId="49DA844F"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2. Initial Coding</w:t>
            </w:r>
          </w:p>
        </w:tc>
        <w:tc>
          <w:tcPr>
            <w:tcW w:w="0" w:type="auto"/>
            <w:hideMark/>
          </w:tcPr>
          <w:p w14:paraId="5F12B672"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Identification of meaningful data segments</w:t>
            </w:r>
          </w:p>
        </w:tc>
        <w:tc>
          <w:tcPr>
            <w:tcW w:w="0" w:type="auto"/>
            <w:hideMark/>
          </w:tcPr>
          <w:p w14:paraId="6BEE14E5"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break data into manageable units</w:t>
            </w:r>
          </w:p>
        </w:tc>
        <w:tc>
          <w:tcPr>
            <w:tcW w:w="0" w:type="auto"/>
            <w:hideMark/>
          </w:tcPr>
          <w:p w14:paraId="27A47B18"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NVivo software</w:t>
            </w:r>
          </w:p>
        </w:tc>
      </w:tr>
      <w:tr w:rsidR="00A53AD6" w:rsidRPr="00A53AD6" w14:paraId="22E5D961" w14:textId="77777777" w:rsidTr="00A53AD6">
        <w:tc>
          <w:tcPr>
            <w:tcW w:w="0" w:type="auto"/>
            <w:hideMark/>
          </w:tcPr>
          <w:p w14:paraId="35293A8E"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3. Theme Generation</w:t>
            </w:r>
          </w:p>
        </w:tc>
        <w:tc>
          <w:tcPr>
            <w:tcW w:w="0" w:type="auto"/>
            <w:hideMark/>
          </w:tcPr>
          <w:p w14:paraId="09B8178E"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Grouping similar codes into potential themes</w:t>
            </w:r>
          </w:p>
        </w:tc>
        <w:tc>
          <w:tcPr>
            <w:tcW w:w="0" w:type="auto"/>
            <w:hideMark/>
          </w:tcPr>
          <w:p w14:paraId="766C5E60"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identify recurring patterns</w:t>
            </w:r>
          </w:p>
        </w:tc>
        <w:tc>
          <w:tcPr>
            <w:tcW w:w="0" w:type="auto"/>
            <w:hideMark/>
          </w:tcPr>
          <w:p w14:paraId="366D8721"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Code tree visualisation</w:t>
            </w:r>
          </w:p>
        </w:tc>
      </w:tr>
      <w:tr w:rsidR="00A53AD6" w:rsidRPr="00A53AD6" w14:paraId="6B9A29D4" w14:textId="77777777" w:rsidTr="00A53AD6">
        <w:tc>
          <w:tcPr>
            <w:tcW w:w="0" w:type="auto"/>
            <w:hideMark/>
          </w:tcPr>
          <w:p w14:paraId="66D1104A"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4. Reviewing Themes</w:t>
            </w:r>
          </w:p>
        </w:tc>
        <w:tc>
          <w:tcPr>
            <w:tcW w:w="0" w:type="auto"/>
            <w:hideMark/>
          </w:tcPr>
          <w:p w14:paraId="7D6ACD9B"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Refinement and validation of theme structure</w:t>
            </w:r>
          </w:p>
        </w:tc>
        <w:tc>
          <w:tcPr>
            <w:tcW w:w="0" w:type="auto"/>
            <w:hideMark/>
          </w:tcPr>
          <w:p w14:paraId="055EB4A4"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ensure consistency and reliability</w:t>
            </w:r>
          </w:p>
        </w:tc>
        <w:tc>
          <w:tcPr>
            <w:tcW w:w="0" w:type="auto"/>
            <w:hideMark/>
          </w:tcPr>
          <w:p w14:paraId="1D449879"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Peer debriefing, triangulation</w:t>
            </w:r>
          </w:p>
        </w:tc>
      </w:tr>
      <w:tr w:rsidR="00A53AD6" w:rsidRPr="00A53AD6" w14:paraId="1FFB5220" w14:textId="77777777" w:rsidTr="00A53AD6">
        <w:tc>
          <w:tcPr>
            <w:tcW w:w="0" w:type="auto"/>
            <w:hideMark/>
          </w:tcPr>
          <w:p w14:paraId="14439BFC"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5. Defining Themes</w:t>
            </w:r>
          </w:p>
        </w:tc>
        <w:tc>
          <w:tcPr>
            <w:tcW w:w="0" w:type="auto"/>
            <w:hideMark/>
          </w:tcPr>
          <w:p w14:paraId="00C3D0AB"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Clarifying conceptual boundaries</w:t>
            </w:r>
          </w:p>
        </w:tc>
        <w:tc>
          <w:tcPr>
            <w:tcW w:w="0" w:type="auto"/>
            <w:hideMark/>
          </w:tcPr>
          <w:p w14:paraId="7328D37C"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achieve analytical precision</w:t>
            </w:r>
          </w:p>
        </w:tc>
        <w:tc>
          <w:tcPr>
            <w:tcW w:w="0" w:type="auto"/>
            <w:hideMark/>
          </w:tcPr>
          <w:p w14:paraId="00463210"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Analytical memos</w:t>
            </w:r>
          </w:p>
        </w:tc>
      </w:tr>
      <w:tr w:rsidR="00A53AD6" w:rsidRPr="00A53AD6" w14:paraId="7D037EEA" w14:textId="77777777" w:rsidTr="00A53AD6">
        <w:tc>
          <w:tcPr>
            <w:tcW w:w="0" w:type="auto"/>
            <w:hideMark/>
          </w:tcPr>
          <w:p w14:paraId="078A65F4"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6. Writing Up</w:t>
            </w:r>
          </w:p>
        </w:tc>
        <w:tc>
          <w:tcPr>
            <w:tcW w:w="0" w:type="auto"/>
            <w:hideMark/>
          </w:tcPr>
          <w:p w14:paraId="6375F8B6"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Integration of themes with literature and theory</w:t>
            </w:r>
          </w:p>
        </w:tc>
        <w:tc>
          <w:tcPr>
            <w:tcW w:w="0" w:type="auto"/>
            <w:hideMark/>
          </w:tcPr>
          <w:p w14:paraId="3FD34B5D"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To produce coherent findings</w:t>
            </w:r>
          </w:p>
        </w:tc>
        <w:tc>
          <w:tcPr>
            <w:tcW w:w="0" w:type="auto"/>
            <w:hideMark/>
          </w:tcPr>
          <w:p w14:paraId="27FF022F" w14:textId="77777777" w:rsidR="00A53AD6" w:rsidRPr="00A53AD6" w:rsidRDefault="00A53AD6" w:rsidP="00A53AD6">
            <w:pPr>
              <w:spacing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Braun &amp; Clarke (2006) framework</w:t>
            </w:r>
          </w:p>
        </w:tc>
      </w:tr>
    </w:tbl>
    <w:p w14:paraId="5D22755C" w14:textId="4C39011E"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table summarises the analytical process, providing transparency and demonstrating adherence to established qualitative standards.</w:t>
      </w:r>
    </w:p>
    <w:p w14:paraId="0DFD3F77"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6" w:name="_Toc213695966"/>
      <w:r w:rsidRPr="00A53AD6">
        <w:rPr>
          <w:rFonts w:ascii="Times New Roman" w:eastAsia="Times New Roman" w:hAnsi="Times New Roman" w:cs="Times New Roman"/>
          <w:b/>
          <w:bCs/>
          <w:sz w:val="27"/>
          <w:szCs w:val="27"/>
          <w:lang w:eastAsia="en-GB"/>
        </w:rPr>
        <w:t>3.5 Ethical Considerations</w:t>
      </w:r>
      <w:bookmarkEnd w:id="16"/>
    </w:p>
    <w:p w14:paraId="0B08512C"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Ethical integrity is at the heart of credible academic research. Since this dissertation is based solely on publicly available secondary data, there was no need for formal ethical approval. Nevertheless, the ethical standards set by the British Educational Research Association (BERA, 2021) and the university’s research ethics guidelines were strictly adhered to. </w:t>
      </w:r>
    </w:p>
    <w:p w14:paraId="591EC5CC"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All secondary materials have been properly cited using the Harvard referencing style to uphold academic honesty and avoid plagiarism. Corporate reports and sensitive business information were handled with care, ensuring that no non-public or proprietary data was disclosed. Throughout the process, a reflexive awareness was maintained to acknowledge any potential biases in interpretation from the researcher. </w:t>
      </w:r>
    </w:p>
    <w:p w14:paraId="3D87416B" w14:textId="41ECABD9"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Additionally, given that interpretivist analysis relies on subjective interpretation, the researcher was committed to being transparent about analytical choices, documenting decisions in a reflexivity journal to ensure traceability. This approach not only enhances trustworthiness but also allows readers to understand the reasoning behind the construction of themes.</w:t>
      </w:r>
    </w:p>
    <w:p w14:paraId="08E579F2"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7" w:name="_Toc213695967"/>
      <w:r w:rsidRPr="00A53AD6">
        <w:rPr>
          <w:rFonts w:ascii="Times New Roman" w:eastAsia="Times New Roman" w:hAnsi="Times New Roman" w:cs="Times New Roman"/>
          <w:b/>
          <w:bCs/>
          <w:sz w:val="27"/>
          <w:szCs w:val="27"/>
          <w:lang w:eastAsia="en-GB"/>
        </w:rPr>
        <w:t>3.6 Limitations and Mitigation Strategies</w:t>
      </w:r>
      <w:bookmarkEnd w:id="17"/>
    </w:p>
    <w:p w14:paraId="6683E4BF"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Despite its strengths, this methodological design has several limitations:</w:t>
      </w:r>
    </w:p>
    <w:p w14:paraId="6CEB5730" w14:textId="77777777" w:rsidR="00A53AD6" w:rsidRPr="00A53AD6" w:rsidRDefault="00A53AD6" w:rsidP="00A53AD6">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Absence of Primary Data:</w:t>
      </w:r>
      <w:r w:rsidRPr="00A53AD6">
        <w:rPr>
          <w:rFonts w:ascii="Times New Roman" w:eastAsia="Times New Roman" w:hAnsi="Times New Roman" w:cs="Times New Roman"/>
          <w:lang w:eastAsia="en-GB"/>
        </w:rPr>
        <w:t xml:space="preserve"> The lack of direct interviews or surveys limits the ability to capture nuanced managerial emotions and lived experiences. However, triangulating multiple secondary sources compensates for this gap by providing a broad comparative view (Johnston, 2017).</w:t>
      </w:r>
    </w:p>
    <w:p w14:paraId="1B7CCA8B" w14:textId="77777777" w:rsidR="00A53AD6" w:rsidRPr="00A53AD6" w:rsidRDefault="00A53AD6" w:rsidP="00A53AD6">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Potential Source Bias:</w:t>
      </w:r>
      <w:r w:rsidRPr="00A53AD6">
        <w:rPr>
          <w:rFonts w:ascii="Times New Roman" w:eastAsia="Times New Roman" w:hAnsi="Times New Roman" w:cs="Times New Roman"/>
          <w:lang w:eastAsia="en-GB"/>
        </w:rPr>
        <w:t xml:space="preserve"> Industry reports and media coverage may contain interpretive bias or political influence. To mitigate this, data were cross-validated across multiple independent sources and prioritised peer-reviewed publications.</w:t>
      </w:r>
    </w:p>
    <w:p w14:paraId="1D7304F3" w14:textId="77777777" w:rsidR="00A53AD6" w:rsidRPr="00A53AD6" w:rsidRDefault="00A53AD6" w:rsidP="00A53AD6">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Variability of Data Quality:</w:t>
      </w:r>
      <w:r w:rsidRPr="00A53AD6">
        <w:rPr>
          <w:rFonts w:ascii="Times New Roman" w:eastAsia="Times New Roman" w:hAnsi="Times New Roman" w:cs="Times New Roman"/>
          <w:lang w:eastAsia="en-GB"/>
        </w:rPr>
        <w:t xml:space="preserve"> Some sectors, such as technology and manufacturing, are better documented than micro-enterprises or creative industries. To balance representation, the researcher included a range of case types where possible.</w:t>
      </w:r>
    </w:p>
    <w:p w14:paraId="60919892" w14:textId="77777777" w:rsidR="00A53AD6" w:rsidRPr="00A53AD6" w:rsidRDefault="00A53AD6" w:rsidP="00A53AD6">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Temporal Limitation:</w:t>
      </w:r>
      <w:r w:rsidRPr="00A53AD6">
        <w:rPr>
          <w:rFonts w:ascii="Times New Roman" w:eastAsia="Times New Roman" w:hAnsi="Times New Roman" w:cs="Times New Roman"/>
          <w:lang w:eastAsia="en-GB"/>
        </w:rPr>
        <w:t xml:space="preserve"> Given the recency of Brexit, long-term outcomes remain uncertain. To address this, the study includes emerging trends and government projections to provide forward-looking interpretation.</w:t>
      </w:r>
    </w:p>
    <w:p w14:paraId="4C96FF04"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Mitigation strategies included </w:t>
      </w:r>
      <w:r w:rsidRPr="00A53AD6">
        <w:rPr>
          <w:rFonts w:ascii="Times New Roman" w:eastAsia="Times New Roman" w:hAnsi="Times New Roman" w:cs="Times New Roman"/>
          <w:b/>
          <w:bCs/>
          <w:lang w:eastAsia="en-GB"/>
        </w:rPr>
        <w:t>triangulation</w:t>
      </w:r>
      <w:r w:rsidRPr="00A53AD6">
        <w:rPr>
          <w:rFonts w:ascii="Times New Roman" w:eastAsia="Times New Roman" w:hAnsi="Times New Roman" w:cs="Times New Roman"/>
          <w:lang w:eastAsia="en-GB"/>
        </w:rPr>
        <w:t xml:space="preserve">—comparing findings from academic, policy, and industry sources—and </w:t>
      </w:r>
      <w:r w:rsidRPr="00A53AD6">
        <w:rPr>
          <w:rFonts w:ascii="Times New Roman" w:eastAsia="Times New Roman" w:hAnsi="Times New Roman" w:cs="Times New Roman"/>
          <w:b/>
          <w:bCs/>
          <w:lang w:eastAsia="en-GB"/>
        </w:rPr>
        <w:t>critical comparison</w:t>
      </w:r>
      <w:r w:rsidRPr="00A53AD6">
        <w:rPr>
          <w:rFonts w:ascii="Times New Roman" w:eastAsia="Times New Roman" w:hAnsi="Times New Roman" w:cs="Times New Roman"/>
          <w:lang w:eastAsia="en-GB"/>
        </w:rPr>
        <w:t xml:space="preserve"> to identify consensus or divergence. Maintaining a detailed audit trail of analytical steps also enhanced the dependability of the research.</w:t>
      </w:r>
    </w:p>
    <w:p w14:paraId="4F84C442" w14:textId="2F897668"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In summary, while secondary qualitative research cannot replicate the richness of primary fieldwork, it provides a credible, feasible, and academically valid means of exploring the strategic adaptations of UK SMEs during a period of unprecedented change. The thematic approach ensures both depth and flexibility, aligning seamlessly with the interpretivist philosophy and the theoretical framework of Dynamic Capabilities.</w:t>
      </w:r>
    </w:p>
    <w:p w14:paraId="4CDD7F42" w14:textId="77777777" w:rsidR="00A53AD6" w:rsidRPr="00A53AD6" w:rsidRDefault="00A53AD6" w:rsidP="00A53AD6">
      <w:pPr>
        <w:spacing w:before="100" w:beforeAutospacing="1" w:after="100" w:afterAutospacing="1" w:line="360" w:lineRule="auto"/>
        <w:jc w:val="both"/>
        <w:outlineLvl w:val="1"/>
        <w:rPr>
          <w:rFonts w:ascii="Times New Roman" w:eastAsia="Times New Roman" w:hAnsi="Times New Roman" w:cs="Times New Roman"/>
          <w:b/>
          <w:bCs/>
          <w:sz w:val="36"/>
          <w:szCs w:val="36"/>
          <w:lang w:eastAsia="en-GB"/>
        </w:rPr>
      </w:pPr>
      <w:bookmarkStart w:id="18" w:name="_Toc213695968"/>
      <w:r w:rsidRPr="00A53AD6">
        <w:rPr>
          <w:rFonts w:ascii="Times New Roman" w:eastAsia="Times New Roman" w:hAnsi="Times New Roman" w:cs="Times New Roman"/>
          <w:b/>
          <w:bCs/>
          <w:sz w:val="36"/>
          <w:szCs w:val="36"/>
          <w:lang w:eastAsia="en-GB"/>
        </w:rPr>
        <w:t>4. Findings, Analysis and Discussion</w:t>
      </w:r>
      <w:bookmarkEnd w:id="18"/>
    </w:p>
    <w:p w14:paraId="6867E323"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thematic analysis of secondary data generated three major and interrelated themes:</w:t>
      </w:r>
    </w:p>
    <w:p w14:paraId="74819F96" w14:textId="77777777" w:rsidR="00A53AD6" w:rsidRPr="00A53AD6" w:rsidRDefault="00A53AD6" w:rsidP="00A53AD6">
      <w:pPr>
        <w:numPr>
          <w:ilvl w:val="0"/>
          <w:numId w:val="13"/>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Supply-Chain Reconfiguration</w:t>
      </w:r>
      <w:r w:rsidRPr="00A53AD6">
        <w:rPr>
          <w:rFonts w:ascii="Times New Roman" w:eastAsia="Times New Roman" w:hAnsi="Times New Roman" w:cs="Times New Roman"/>
          <w:lang w:eastAsia="en-GB"/>
        </w:rPr>
        <w:t>,</w:t>
      </w:r>
    </w:p>
    <w:p w14:paraId="2BD43095" w14:textId="77777777" w:rsidR="00A53AD6" w:rsidRPr="00A53AD6" w:rsidRDefault="00A53AD6" w:rsidP="00A53AD6">
      <w:pPr>
        <w:numPr>
          <w:ilvl w:val="0"/>
          <w:numId w:val="13"/>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Digitalisation and Innovation</w:t>
      </w:r>
      <w:r w:rsidRPr="00A53AD6">
        <w:rPr>
          <w:rFonts w:ascii="Times New Roman" w:eastAsia="Times New Roman" w:hAnsi="Times New Roman" w:cs="Times New Roman"/>
          <w:lang w:eastAsia="en-GB"/>
        </w:rPr>
        <w:t>, and</w:t>
      </w:r>
    </w:p>
    <w:p w14:paraId="06589DF9" w14:textId="77777777" w:rsidR="00A53AD6" w:rsidRPr="00A53AD6" w:rsidRDefault="00A53AD6" w:rsidP="00A53AD6">
      <w:pPr>
        <w:numPr>
          <w:ilvl w:val="0"/>
          <w:numId w:val="13"/>
        </w:num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Market Diversification and Resilience</w:t>
      </w:r>
      <w:r w:rsidRPr="00A53AD6">
        <w:rPr>
          <w:rFonts w:ascii="Times New Roman" w:eastAsia="Times New Roman" w:hAnsi="Times New Roman" w:cs="Times New Roman"/>
          <w:lang w:eastAsia="en-GB"/>
        </w:rPr>
        <w:t>.</w:t>
      </w:r>
    </w:p>
    <w:p w14:paraId="10B104C5"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Together, these themes reveal how UK SMEs have strategically adapted to the post-Brexit environment, reflecting the </w:t>
      </w:r>
      <w:r w:rsidRPr="00A53AD6">
        <w:rPr>
          <w:rFonts w:ascii="Times New Roman" w:eastAsia="Times New Roman" w:hAnsi="Times New Roman" w:cs="Times New Roman"/>
          <w:i/>
          <w:iCs/>
          <w:lang w:eastAsia="en-GB"/>
        </w:rPr>
        <w:t>sensing, seizing,</w:t>
      </w:r>
      <w:r w:rsidRPr="00A53AD6">
        <w:rPr>
          <w:rFonts w:ascii="Times New Roman" w:eastAsia="Times New Roman" w:hAnsi="Times New Roman" w:cs="Times New Roman"/>
          <w:lang w:eastAsia="en-GB"/>
        </w:rPr>
        <w:t xml:space="preserve"> and </w:t>
      </w:r>
      <w:r w:rsidRPr="00A53AD6">
        <w:rPr>
          <w:rFonts w:ascii="Times New Roman" w:eastAsia="Times New Roman" w:hAnsi="Times New Roman" w:cs="Times New Roman"/>
          <w:i/>
          <w:iCs/>
          <w:lang w:eastAsia="en-GB"/>
        </w:rPr>
        <w:t>reconfiguring</w:t>
      </w:r>
      <w:r w:rsidRPr="00A53AD6">
        <w:rPr>
          <w:rFonts w:ascii="Times New Roman" w:eastAsia="Times New Roman" w:hAnsi="Times New Roman" w:cs="Times New Roman"/>
          <w:lang w:eastAsia="en-GB"/>
        </w:rPr>
        <w:t xml:space="preserve"> dimensions of the </w:t>
      </w:r>
      <w:r w:rsidRPr="00A53AD6">
        <w:rPr>
          <w:rFonts w:ascii="Times New Roman" w:eastAsia="Times New Roman" w:hAnsi="Times New Roman" w:cs="Times New Roman"/>
          <w:b/>
          <w:bCs/>
          <w:lang w:eastAsia="en-GB"/>
        </w:rPr>
        <w:t>Dynamic Capabilities Theory (DCT)</w:t>
      </w:r>
      <w:r w:rsidRPr="00A53AD6">
        <w:rPr>
          <w:rFonts w:ascii="Times New Roman" w:eastAsia="Times New Roman" w:hAnsi="Times New Roman" w:cs="Times New Roman"/>
          <w:lang w:eastAsia="en-GB"/>
        </w:rPr>
        <w:t>. Each theme is examined in depth below, followed by a synthesis highlighting how they interact to reinforce overall organisational resilience.</w:t>
      </w:r>
    </w:p>
    <w:p w14:paraId="7210AC97" w14:textId="45D888B0" w:rsidR="00A53AD6" w:rsidRPr="00A53AD6" w:rsidRDefault="00A53AD6" w:rsidP="00A53AD6">
      <w:pPr>
        <w:spacing w:line="360" w:lineRule="auto"/>
        <w:jc w:val="both"/>
        <w:rPr>
          <w:rFonts w:ascii="Times New Roman" w:eastAsia="Times New Roman" w:hAnsi="Times New Roman" w:cs="Times New Roman"/>
          <w:lang w:eastAsia="en-GB"/>
        </w:rPr>
      </w:pPr>
    </w:p>
    <w:p w14:paraId="04BA1173"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19" w:name="_Toc213695969"/>
      <w:r w:rsidRPr="00A53AD6">
        <w:rPr>
          <w:rFonts w:ascii="Times New Roman" w:eastAsia="Times New Roman" w:hAnsi="Times New Roman" w:cs="Times New Roman"/>
          <w:b/>
          <w:bCs/>
          <w:sz w:val="27"/>
          <w:szCs w:val="27"/>
          <w:lang w:eastAsia="en-GB"/>
        </w:rPr>
        <w:t>4.1 Supply-Chain Reconfiguration</w:t>
      </w:r>
      <w:bookmarkEnd w:id="19"/>
    </w:p>
    <w:p w14:paraId="1D7B4328"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Brexit really shook up the established cross-border supply relationships. Small and medium-sized enterprises (SMEs) in sectors like manufacturing, agriculture, and food production found themselves particularly vulnerable because they relied heavily on just-in-time logistics and perishable goods (Imobisoft, 2023). The introduction of customs delays, new paperwork, and the need to comply with rules-of-origin created significant bottlenecks and increased transaction costs. For many smaller businesses, these challenges led to delayed deliveries, inventory shortages, and unhappy customers. </w:t>
      </w:r>
    </w:p>
    <w:p w14:paraId="1CCC17FF"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In response, a lot of SMEs started reconfiguring their supply chains, which is a direct reflection of the reconfiguring aspect of the Dynamic Capabilities Theory (DCT) (Teece, 2018). Research by Dejardin et al. (2022) showed that companies that reshored part of their supply base to the UK, diversified their suppliers, or collaborated regionally found greater stability. For example, British cheese exporters who used to ship directly to EU retailers began working with intermediaries in Northern Ireland, taking advantage of the region’s ongoing alignment with certain EU trading rules. </w:t>
      </w:r>
    </w:p>
    <w:p w14:paraId="5CC14988"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Likewise, small manufacturers in the Midlands formed partnerships with local component suppliers to sidestep customs delays. These “near-shoring” strategies not only minimized exposure to regulatory issues but also boosted local economic connections. According to the British Chambers of Commerce (2023), about 32 percent of SMEs surveyed reported that they intentionally started sourcing more inputs from within the UK after 2021. </w:t>
      </w:r>
    </w:p>
    <w:p w14:paraId="00D43154" w14:textId="7E2ED39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However, these adaptive strategies came with their own set of trade-offs. Sourcing locally often meant higher unit costs and less variety. Companies had to find a balance between supply stability and competitive pricing, which required quick thinking and strategic decision-making. This ongoing adjustment process illustrates the DCT principle that dynamic capabilities develop through learning by doing (Teece, 2018).Furthermore, some SMEs invested in </w:t>
      </w:r>
      <w:r w:rsidRPr="00A53AD6">
        <w:rPr>
          <w:rFonts w:ascii="Times New Roman" w:eastAsia="Times New Roman" w:hAnsi="Times New Roman" w:cs="Times New Roman"/>
          <w:b/>
          <w:bCs/>
          <w:lang w:eastAsia="en-GB"/>
        </w:rPr>
        <w:t>logistics technology</w:t>
      </w:r>
      <w:r w:rsidRPr="00A53AD6">
        <w:rPr>
          <w:rFonts w:ascii="Times New Roman" w:eastAsia="Times New Roman" w:hAnsi="Times New Roman" w:cs="Times New Roman"/>
          <w:lang w:eastAsia="en-GB"/>
        </w:rPr>
        <w:t>—for instance, customs-management software and freight-tracking platforms—to improve transparency in multi-border transactions (Cem Soner et al., 2025). The adoption of digital supply-chain tools bridged operational efficiency with strategic flexibility, blurring the boundary between this theme and the next.</w:t>
      </w:r>
    </w:p>
    <w:p w14:paraId="677516FD" w14:textId="703F421F" w:rsidR="00A53AD6" w:rsidRPr="00A53AD6" w:rsidRDefault="00A53AD6" w:rsidP="00A53AD6">
      <w:pPr>
        <w:spacing w:line="360" w:lineRule="auto"/>
        <w:jc w:val="both"/>
        <w:rPr>
          <w:rFonts w:ascii="Times New Roman" w:eastAsia="Times New Roman" w:hAnsi="Times New Roman" w:cs="Times New Roman"/>
          <w:lang w:eastAsia="en-GB"/>
        </w:rPr>
      </w:pPr>
    </w:p>
    <w:p w14:paraId="11FFDFF3"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0" w:name="_Toc213695970"/>
      <w:r w:rsidRPr="00A53AD6">
        <w:rPr>
          <w:rFonts w:ascii="Times New Roman" w:eastAsia="Times New Roman" w:hAnsi="Times New Roman" w:cs="Times New Roman"/>
          <w:b/>
          <w:bCs/>
          <w:sz w:val="27"/>
          <w:szCs w:val="27"/>
          <w:lang w:eastAsia="en-GB"/>
        </w:rPr>
        <w:t>4.2 Digitalisation and Innovation</w:t>
      </w:r>
      <w:bookmarkEnd w:id="20"/>
    </w:p>
    <w:p w14:paraId="5ED2FC27" w14:textId="6B87FC42"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The combined impacts of Brexit and the COVID-19 pandemic have really sped up the digital transformation journey for small and medium-sized enterprises (SMEs) in the UK. Many businesses that once depended on in-person interactions and EU-based partners found themselves needing to switch to online systems for everything from marketing to collaboration and service delivery. </w:t>
      </w:r>
    </w:p>
    <w:p w14:paraId="7819494B" w14:textId="5AE55AAC"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According to Soluk, Decker-Lange, and Hack (2023), integrating digital technologies is a smooth way to innovate that boosts an organization’s agility without drastically changing its core operations. Their research shows that SMEs investing in enterprise resource planning (ERP) software, e-commerce platforms, and AI-driven analytics have seen real improvements in efficiency and responsiveness.</w:t>
      </w:r>
    </w:p>
    <w:p w14:paraId="79212E73" w14:textId="2BD46B80"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Take, for instance, a precision-engineering SME in Birmingham that adopted cloud-based project management tools. This shift allowed them to coordinate with EU clients remotely, even after losing their passporting rights. Similarly, retail SMEs that transitioned to online sales platforms like Shopify or Etsy were able to tap into new international markets, helping to make up for the loss of EU customers.</w:t>
      </w:r>
    </w:p>
    <w:p w14:paraId="5E37F8D3" w14:textId="0F2CE060"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These efforts highlight the proactive nature of digital transformation—leveraging both internal and external resources to seize new opportunities (Teece et al., 1997). By going digital, these firms were able to gain competitive advantages, reducing their reliance on specific locations and opening up new sales channels.</w:t>
      </w:r>
    </w:p>
    <w:p w14:paraId="6AC16EED" w14:textId="2451A732"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Government initiatives have also played a crucial role in supporting this digital evolution. The Made Smarter Innovation Programme (2024) offered grants for automation and data integration projects, while the UK Shared Prosperity Fund (2023) focused on providing digital skills training for SME employees. Early assessments indicate that companies involved in these programs are reporting productivity boosts of 10–15 percent (Department for Business and Trade, 2024).Nonetheless, digital transformation remains uneven. Micro-enterprises and rural SMEs often face barriers such as limited broadband access, high upfront costs, and digital-skills gaps (FSB, 2024). In line with the </w:t>
      </w:r>
      <w:r w:rsidRPr="00A53AD6">
        <w:rPr>
          <w:rFonts w:ascii="Times New Roman" w:eastAsia="Times New Roman" w:hAnsi="Times New Roman" w:cs="Times New Roman"/>
          <w:i/>
          <w:iCs/>
          <w:lang w:eastAsia="en-GB"/>
        </w:rPr>
        <w:t>resource-based view</w:t>
      </w:r>
      <w:r w:rsidRPr="00A53AD6">
        <w:rPr>
          <w:rFonts w:ascii="Times New Roman" w:eastAsia="Times New Roman" w:hAnsi="Times New Roman" w:cs="Times New Roman"/>
          <w:lang w:eastAsia="en-GB"/>
        </w:rPr>
        <w:t>, these constraints highlight the importance of capability heterogeneity—SMEs with stronger internal resources are better positioned to leverage digital opportunities.</w:t>
      </w:r>
    </w:p>
    <w:p w14:paraId="19C961CD" w14:textId="7777777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Innovation extended beyond technology to encompass </w:t>
      </w:r>
      <w:r w:rsidRPr="00A53AD6">
        <w:rPr>
          <w:rFonts w:ascii="Times New Roman" w:eastAsia="Times New Roman" w:hAnsi="Times New Roman" w:cs="Times New Roman"/>
          <w:b/>
          <w:bCs/>
          <w:lang w:eastAsia="en-GB"/>
        </w:rPr>
        <w:t>product and service diversification</w:t>
      </w:r>
      <w:r w:rsidRPr="00A53AD6">
        <w:rPr>
          <w:rFonts w:ascii="Times New Roman" w:eastAsia="Times New Roman" w:hAnsi="Times New Roman" w:cs="Times New Roman"/>
          <w:lang w:eastAsia="en-GB"/>
        </w:rPr>
        <w:t xml:space="preserve">. Food producers reformulated offerings to meet UK sourcing standards, while creative-sector SMEs launched subscription-based digital products. Such innovations not only improved revenue streams but also strengthened brand identity, echoing the DCT emphasis on </w:t>
      </w:r>
      <w:r w:rsidRPr="00A53AD6">
        <w:rPr>
          <w:rFonts w:ascii="Times New Roman" w:eastAsia="Times New Roman" w:hAnsi="Times New Roman" w:cs="Times New Roman"/>
          <w:i/>
          <w:iCs/>
          <w:lang w:eastAsia="en-GB"/>
        </w:rPr>
        <w:t>continuous reconfiguration</w:t>
      </w:r>
      <w:r w:rsidRPr="00A53AD6">
        <w:rPr>
          <w:rFonts w:ascii="Times New Roman" w:eastAsia="Times New Roman" w:hAnsi="Times New Roman" w:cs="Times New Roman"/>
          <w:lang w:eastAsia="en-GB"/>
        </w:rPr>
        <w:t xml:space="preserve"> for sustained advantage.</w:t>
      </w:r>
    </w:p>
    <w:p w14:paraId="5DB9B7EF" w14:textId="74515BE4" w:rsidR="00A53AD6" w:rsidRPr="00A53AD6" w:rsidRDefault="00A53AD6" w:rsidP="00A53AD6">
      <w:pPr>
        <w:spacing w:line="360" w:lineRule="auto"/>
        <w:jc w:val="both"/>
        <w:rPr>
          <w:rFonts w:ascii="Times New Roman" w:eastAsia="Times New Roman" w:hAnsi="Times New Roman" w:cs="Times New Roman"/>
          <w:lang w:eastAsia="en-GB"/>
        </w:rPr>
      </w:pPr>
    </w:p>
    <w:p w14:paraId="38D22A16"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1" w:name="_Toc213695971"/>
      <w:r w:rsidRPr="00A53AD6">
        <w:rPr>
          <w:rFonts w:ascii="Times New Roman" w:eastAsia="Times New Roman" w:hAnsi="Times New Roman" w:cs="Times New Roman"/>
          <w:b/>
          <w:bCs/>
          <w:sz w:val="27"/>
          <w:szCs w:val="27"/>
          <w:lang w:eastAsia="en-GB"/>
        </w:rPr>
        <w:t>4.3 Market Diversification and Resilience</w:t>
      </w:r>
      <w:bookmarkEnd w:id="21"/>
    </w:p>
    <w:p w14:paraId="1DB386D6" w14:textId="20E62BA8"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As trade within the EU grows increasingly complex, many small and medium-sized enterprises (SMEs) have turned to market-diversification strategies to lessen their reliance on European customers. This shift reflects the sensing aspect of Dynamic Capabilities Theory (DCT)—the ability to spot new opportunities in the external landscape and adjust strategies accordingly (Kassaye Deyassa, 2023). </w:t>
      </w:r>
    </w:p>
    <w:p w14:paraId="7636B47A" w14:textId="475B9EC1"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Recent policy changes have bolstered this outward focus. The UK’s entry into the Comprehensive and Progressive Agreement for Trans-Pacific Partnership (CPTPP) in 2023, along with the UK–India Free Trade Agreement set for 2024, has opened up fresh export avenues. SMEs in sectors like technology, consultancy, and renewable energy were quick to seize these opportunities, aiming for the rapidly expanding markets in the Asia-Pacific and South Asia regions (Department for International Trade, 2024).</w:t>
      </w:r>
    </w:p>
    <w:p w14:paraId="196FE927" w14:textId="171E352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Evidence from a case study by Finextra (2024) reveals that fintech SMEs took advantage of their newfound regulatory independence post-Brexit to tap into global financial technology ecosystems. Likewise, design and media companies have ventured into the United States and Gulf States, leveraging the demand for British creative talent.</w:t>
      </w:r>
    </w:p>
    <w:p w14:paraId="24BF6991" w14:textId="7CEA6618"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However, this pivot towards distant markets has also brought about new hurdles, such as cultural differences, unfamiliar regulations, and increased logistics costs. Many SMEs found themselves lacking the necessary skills or funding to effectively pursue global expansion (FSB, 2024). This underscores the point that simply “sensing” opportunities isn’t enough; businesses also need to build complementary capabilities—financial, managerial, and informational—to truly capitalize on them.</w:t>
      </w:r>
    </w:p>
    <w:p w14:paraId="4C5388DA" w14:textId="12E4AC4B"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Resilience has become a hallmark of successful firms. SMEs that paired diversification with strong risk-management strategies—like hedging against currency fluctuations or creating flexible contracts—showed greater long-term stability. These practices illustrate how the processes of sensing, seizing, and reconfiguring work together dynamically to foster sustained adaptability.</w:t>
      </w:r>
    </w:p>
    <w:p w14:paraId="3BB5E505"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2" w:name="_Toc213695972"/>
      <w:r w:rsidRPr="00A53AD6">
        <w:rPr>
          <w:rFonts w:ascii="Times New Roman" w:eastAsia="Times New Roman" w:hAnsi="Times New Roman" w:cs="Times New Roman"/>
          <w:b/>
          <w:bCs/>
          <w:sz w:val="27"/>
          <w:szCs w:val="27"/>
          <w:lang w:eastAsia="en-GB"/>
        </w:rPr>
        <w:t>4.4 Inter-Theme Links</w:t>
      </w:r>
      <w:bookmarkEnd w:id="22"/>
    </w:p>
    <w:p w14:paraId="01434D4D" w14:textId="0357D501"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 xml:space="preserve">While each theme highlights a unique path to adaptation, their interconnectedness emphasizes that resilience in small and medium enterprises (SMEs) is more of a holistic journey than a straightforward one. The reconfiguration of supply chains often relied on digital innovation, as technology allowed for real-time tracking of shipments and better communication with suppliers. Similarly, market diversification was made easier through digital marketing and e-commerce tools, which lowered the barriers to entering global markets. </w:t>
      </w:r>
    </w:p>
    <w:p w14:paraId="2B8298C6" w14:textId="39FD3F0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Managers who embraced a learning mindset—those who kept an eye on policy changes, pursued training opportunities, and engaged with trade associations—were more adept at effectively blending these strategies. This aligns with Eisenhardt and Martin’s (2000) view that dynamic capabilities are not just fixed routines but rather “evolutionary fitness” mechanisms shaped by continuous learning and feedback.</w:t>
      </w:r>
    </w:p>
    <w:p w14:paraId="41631B1C" w14:textId="5B9338F7"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Take, for instance, manufacturing SMEs that adopted ERP systems; they not only enhanced their logistics (Theme 1) but also used the same data to uncover new market opportunities (Theme 3). In this way, digital analytics served as a link between operational efficiency and strategic insight.</w:t>
      </w:r>
    </w:p>
    <w:p w14:paraId="1F586D2B" w14:textId="69B28153"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On the organizational culture front, the openness of leadership and the involvement of employees were crucial. Companies that fostered collaborative problem-solving and knowledge sharing adapted more quickly. In contrast, hierarchical SMEs with rigid structures struggled to implement changes, reinforcing Teece’s (2018) claim that dynamic capabilities flourish in flexible, learning-focused cultures.</w:t>
      </w:r>
    </w:p>
    <w:p w14:paraId="1F75977E" w14:textId="00184ED2"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connections between these themes illustrate that adapting in a post-Brexit world is best understood as a capability ecosystem—a web of interrelated activities where supply-chain stability, digital agility, and market diversity work together to enhance resilience..</w:t>
      </w:r>
    </w:p>
    <w:p w14:paraId="7D416F92" w14:textId="77777777" w:rsidR="00A53AD6" w:rsidRPr="00A53AD6" w:rsidRDefault="00A53AD6" w:rsidP="00A53AD6">
      <w:pPr>
        <w:spacing w:before="100" w:beforeAutospacing="1" w:after="100" w:afterAutospacing="1" w:line="360" w:lineRule="auto"/>
        <w:jc w:val="both"/>
        <w:outlineLvl w:val="2"/>
        <w:rPr>
          <w:rFonts w:ascii="Times New Roman" w:eastAsia="Times New Roman" w:hAnsi="Times New Roman" w:cs="Times New Roman"/>
          <w:b/>
          <w:bCs/>
          <w:sz w:val="27"/>
          <w:szCs w:val="27"/>
          <w:lang w:eastAsia="en-GB"/>
        </w:rPr>
      </w:pPr>
      <w:bookmarkStart w:id="23" w:name="_Toc213695973"/>
      <w:r w:rsidRPr="00A53AD6">
        <w:rPr>
          <w:rFonts w:ascii="Times New Roman" w:eastAsia="Times New Roman" w:hAnsi="Times New Roman" w:cs="Times New Roman"/>
          <w:b/>
          <w:bCs/>
          <w:sz w:val="27"/>
          <w:szCs w:val="27"/>
          <w:lang w:eastAsia="en-GB"/>
        </w:rPr>
        <w:t>4.5 Discussion</w:t>
      </w:r>
      <w:bookmarkEnd w:id="23"/>
    </w:p>
    <w:p w14:paraId="1A413D88" w14:textId="7197B6E1"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findings strongly back the Dynamic Capabilities Theory as a solid framework for understanding how SMEs adapt in the post-Brexit landscape. Those SMEs that were quick to notice changes in their environment, grab new opportunities, and reorganize their internal resources managed to maintain stability and grow, unlike those that stuck to their old ways. This supports Teece’s (2018) perspective that companies in fast-changing environments need to constantly refresh their resources to keep their competitive edge. Additionally, the study backs up Soluk et al.’s (2023) claim that being digitally connected fosters incremental innovation, helping SMEs to evolve instead of getting left behind.</w:t>
      </w:r>
    </w:p>
    <w:p w14:paraId="2AE847B4" w14:textId="644FC7DA"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From a policy standpoint, these findings stress the importance of targeted government support to boost the dynamic capabilities of SMEs. Simplifying customs processes, providing subsidized digital skills training, and offering export support services could significantly enhance the adaptability highlighted in this research. Moreover, encouraging regional SME networks could speed up the sharing of knowledge, reflecting the collaborative benefits seen in cluster economies.</w:t>
      </w:r>
    </w:p>
    <w:p w14:paraId="06905BC8" w14:textId="63B2E89C"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On the management side, the research emphasizes that resilience should be proactive, not just reactive. SMEs that anticipated regulatory changes and invested early in digital infrastructure and diverse sourcing were better shielded from shocks. In contrast, those that postponed adaptation found themselves losing competitiveness and, in some cases, exiting EU markets.</w:t>
      </w:r>
    </w:p>
    <w:p w14:paraId="6493D64C" w14:textId="6B1DCEE9"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The relationship between technological readiness, market awareness, and strategic flexibility positions the dynamic-capabilities framework as both a useful analytical tool and a practical guide for SMEs facing uncertainty. It connects the day-to-day actions of managers with broader policy implications, showing how learning and adaptation can turn external disruptions into opportunities for strategic renewal..</w:t>
      </w:r>
    </w:p>
    <w:p w14:paraId="5087088F" w14:textId="3F947B3F"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r w:rsidRPr="00A53AD6">
        <w:rPr>
          <w:rFonts w:ascii="Times New Roman" w:eastAsia="Times New Roman" w:hAnsi="Times New Roman" w:cs="Times New Roman"/>
          <w:lang w:eastAsia="en-GB"/>
        </w:rPr>
        <w:t>In conclusion, Brexit has served as a real-world stress test for the UK’s SME sector. While it exposed structural vulnerabilities, it also catalysed transformation—pushing firms to innovate, digitalise, and internationalise. The evidence demonstrates that dynamic capabilities are not abstract theoretical constructs but tangible competencies that determine survival and success in an unpredictable post-Brexit marketplace.</w:t>
      </w:r>
    </w:p>
    <w:p w14:paraId="2CFCCA67" w14:textId="77777777" w:rsidR="00A53AD6" w:rsidRPr="00A53AD6" w:rsidRDefault="00A53AD6" w:rsidP="00A53AD6">
      <w:pPr>
        <w:pStyle w:val="Titlu2"/>
        <w:spacing w:line="360" w:lineRule="auto"/>
        <w:jc w:val="both"/>
      </w:pPr>
      <w:bookmarkStart w:id="24" w:name="_Toc213695974"/>
      <w:r w:rsidRPr="00A53AD6">
        <w:rPr>
          <w:rStyle w:val="Robust"/>
          <w:b/>
          <w:bCs/>
        </w:rPr>
        <w:t>5. Conclusions and Recommendations</w:t>
      </w:r>
      <w:bookmarkEnd w:id="24"/>
    </w:p>
    <w:p w14:paraId="78ED9DFE" w14:textId="77777777" w:rsidR="00A53AD6" w:rsidRPr="00A53AD6" w:rsidRDefault="00A53AD6" w:rsidP="00A53AD6">
      <w:pPr>
        <w:pStyle w:val="Titlu3"/>
        <w:spacing w:line="360" w:lineRule="auto"/>
        <w:jc w:val="both"/>
      </w:pPr>
      <w:bookmarkStart w:id="25" w:name="_Toc213695975"/>
      <w:r w:rsidRPr="00A53AD6">
        <w:rPr>
          <w:rStyle w:val="Robust"/>
          <w:b/>
          <w:bCs/>
        </w:rPr>
        <w:t>5.1 Conclusions</w:t>
      </w:r>
      <w:bookmarkEnd w:id="25"/>
    </w:p>
    <w:p w14:paraId="0EE40822" w14:textId="77777777" w:rsidR="00A53AD6" w:rsidRPr="00A53AD6" w:rsidRDefault="00A53AD6" w:rsidP="00A53AD6">
      <w:pPr>
        <w:pStyle w:val="NormalWeb"/>
        <w:spacing w:line="360" w:lineRule="auto"/>
        <w:jc w:val="both"/>
      </w:pPr>
      <w:r w:rsidRPr="00A53AD6">
        <w:t xml:space="preserve">This dissertation aimed to delve into how small and medium-sized enterprises (SMEs) in the United Kingdom have strategically adjusted to the post-Brexit landscape. By utilizing the Dynamic Capabilities Theory (DCT) and conducting a qualitative thematic analysis of secondary data, the study offers a thorough insight into how SMEs have navigated through unprecedented environmental and institutional upheaval. </w:t>
      </w:r>
    </w:p>
    <w:p w14:paraId="5D18BE17" w14:textId="77777777" w:rsidR="00A53AD6" w:rsidRPr="00A53AD6" w:rsidRDefault="00A53AD6" w:rsidP="00A53AD6">
      <w:pPr>
        <w:pStyle w:val="NormalWeb"/>
        <w:spacing w:line="360" w:lineRule="auto"/>
        <w:jc w:val="both"/>
      </w:pPr>
      <w:r w:rsidRPr="00A53AD6">
        <w:t xml:space="preserve">The findings indicate that Brexit caused significant structural disruptions across crucial aspects of SME operations—such as trade, workforce mobility, regulation, and finance. The implementation of customs barriers and intricate documentation requirements under the Trade and Cooperation Agreement (TCA) led to increased compliance costs and logistical delays. At the same time, the cessation of free movement limited access to skilled labor from the EU, and differing product standards introduced new regulatory challenges (Imobisoft, 2023; Inman, 2024). These hurdles collectively diminished profitability and competitiveness for many firms, especially those with fewer resources or a heavy reliance on EU supply chains. </w:t>
      </w:r>
    </w:p>
    <w:p w14:paraId="58428FDE" w14:textId="19416BF9" w:rsidR="00A53AD6" w:rsidRPr="00A53AD6" w:rsidRDefault="00A53AD6" w:rsidP="00A53AD6">
      <w:pPr>
        <w:pStyle w:val="NormalWeb"/>
        <w:spacing w:line="360" w:lineRule="auto"/>
        <w:jc w:val="both"/>
      </w:pPr>
      <w:r w:rsidRPr="00A53AD6">
        <w:t>Nevertheless, the research also highlights that Brexit, despite its disruptive nature, served as a springboard for strategic renewal and modernization. SMEs that seized the crisis as a chance for transformation—by embracing digital tools, reconfiguring supply networks, and exploring new markets—showed impressive resilience. This adaptation process closely aligned with the three interconnected dimensions of the DCT.:</w:t>
      </w:r>
    </w:p>
    <w:p w14:paraId="0C962F2A" w14:textId="77777777" w:rsidR="00A53AD6" w:rsidRPr="00A53AD6" w:rsidRDefault="00A53AD6" w:rsidP="00A53AD6">
      <w:pPr>
        <w:pStyle w:val="NormalWeb"/>
        <w:numPr>
          <w:ilvl w:val="0"/>
          <w:numId w:val="14"/>
        </w:numPr>
        <w:spacing w:line="360" w:lineRule="auto"/>
        <w:jc w:val="both"/>
      </w:pPr>
      <w:r w:rsidRPr="00A53AD6">
        <w:rPr>
          <w:rStyle w:val="Robust"/>
        </w:rPr>
        <w:t>Sensing:</w:t>
      </w:r>
      <w:r w:rsidRPr="00A53AD6">
        <w:t xml:space="preserve"> Firms developed market intelligence systems, monitored regulatory change, and identified emerging trade opportunities beyond the EU.</w:t>
      </w:r>
    </w:p>
    <w:p w14:paraId="789C06DE" w14:textId="77777777" w:rsidR="00A53AD6" w:rsidRPr="00A53AD6" w:rsidRDefault="00A53AD6" w:rsidP="00A53AD6">
      <w:pPr>
        <w:pStyle w:val="NormalWeb"/>
        <w:numPr>
          <w:ilvl w:val="0"/>
          <w:numId w:val="14"/>
        </w:numPr>
        <w:spacing w:line="360" w:lineRule="auto"/>
        <w:jc w:val="both"/>
      </w:pPr>
      <w:r w:rsidRPr="00A53AD6">
        <w:rPr>
          <w:rStyle w:val="Robust"/>
        </w:rPr>
        <w:t>Seizing:</w:t>
      </w:r>
      <w:r w:rsidRPr="00A53AD6">
        <w:t xml:space="preserve"> SMEs mobilised resources to implement digitalisation, new partnerships, and alternative sourcing arrangements.</w:t>
      </w:r>
    </w:p>
    <w:p w14:paraId="0C2B8428" w14:textId="6642D6DD" w:rsidR="00A53AD6" w:rsidRPr="00A53AD6" w:rsidRDefault="00A53AD6" w:rsidP="00A53AD6">
      <w:pPr>
        <w:pStyle w:val="NormalWeb"/>
        <w:numPr>
          <w:ilvl w:val="0"/>
          <w:numId w:val="14"/>
        </w:numPr>
        <w:spacing w:line="360" w:lineRule="auto"/>
        <w:jc w:val="both"/>
      </w:pPr>
      <w:r w:rsidRPr="00A53AD6">
        <w:rPr>
          <w:rStyle w:val="Robust"/>
        </w:rPr>
        <w:t>Reconfiguring:</w:t>
      </w:r>
      <w:r w:rsidRPr="00A53AD6">
        <w:t xml:space="preserve"> Businesses restructured supply chains, retrained staff, and diversified offerings to maintain competitiveness.</w:t>
      </w:r>
    </w:p>
    <w:p w14:paraId="5DF2BDDA" w14:textId="2D39CE1A" w:rsidR="00A53AD6" w:rsidRPr="00A53AD6" w:rsidRDefault="00A53AD6" w:rsidP="00A53AD6">
      <w:pPr>
        <w:pStyle w:val="NormalWeb"/>
        <w:spacing w:line="360" w:lineRule="auto"/>
        <w:jc w:val="both"/>
      </w:pPr>
      <w:r w:rsidRPr="00A53AD6">
        <w:t xml:space="preserve">Through these processes, small and medium-sized enterprises (SMEs) turned external challenges into chances for internal growth, backing up Teece’s (2018) claim that dynamic capabilities are essential for maintaining a competitive edge in unpredictable environments. The research also emphasizes how crucial managerial agility and a learning mindset are. Leaders who actively scanned their surroundings, continuously improved their skills, and worked together to solve problems found themselves in a better position to adapt. On the flip side, companies that stuck to rigid hierarchies and focused on short-term goals had a tough time making effective strategic changes. This points to the idea that an organization’s culture—especially its willingness to embrace innovation and share knowledge—plays a key role in resilience after Brexit. </w:t>
      </w:r>
    </w:p>
    <w:p w14:paraId="3912F9D4" w14:textId="1DA491EA" w:rsidR="00A53AD6" w:rsidRPr="00A53AD6" w:rsidRDefault="00A53AD6" w:rsidP="00A53AD6">
      <w:pPr>
        <w:pStyle w:val="NormalWeb"/>
        <w:spacing w:line="360" w:lineRule="auto"/>
        <w:jc w:val="both"/>
      </w:pPr>
      <w:r w:rsidRPr="00A53AD6">
        <w:t xml:space="preserve">Another significant takeaway is that digitalization became the backbone of SME survival. By integrating technology, businesses not only smoothed out their operations but also broadened their market reach through online platforms and remote teamwork. Companies that invested in ERP systems, cloud solutions, and AI-driven analytics managed to keep their EU client relationships, break into new global markets, and streamline their production processes. </w:t>
      </w:r>
    </w:p>
    <w:p w14:paraId="18058495" w14:textId="3E48F921" w:rsidR="00A53AD6" w:rsidRPr="00A53AD6" w:rsidRDefault="00A53AD6" w:rsidP="00A53AD6">
      <w:pPr>
        <w:pStyle w:val="NormalWeb"/>
        <w:spacing w:line="360" w:lineRule="auto"/>
        <w:jc w:val="both"/>
      </w:pPr>
      <w:r w:rsidRPr="00A53AD6">
        <w:t>Lastly, the dissertation underscores that resilience isn’t just a one-time achievement; it’s a continuous journey of renewing capabilities. Brexit challenged the adaptability of UK SMEs but also pushed them toward a more competitive stance on the global stage. The findings indicate that dynamic capabilities—when fostered through innovation, collaboration, and supportive policies—can turn challenges into strategic advantages..</w:t>
      </w:r>
    </w:p>
    <w:p w14:paraId="26BBF6F6" w14:textId="77777777" w:rsidR="00A53AD6" w:rsidRPr="00A53AD6" w:rsidRDefault="00A53AD6" w:rsidP="00A53AD6">
      <w:pPr>
        <w:pStyle w:val="Titlu3"/>
        <w:spacing w:line="360" w:lineRule="auto"/>
        <w:jc w:val="both"/>
      </w:pPr>
      <w:bookmarkStart w:id="26" w:name="_Toc213695976"/>
      <w:r w:rsidRPr="00A53AD6">
        <w:rPr>
          <w:rStyle w:val="Robust"/>
          <w:b/>
          <w:bCs/>
        </w:rPr>
        <w:t>5.2 Recommendations</w:t>
      </w:r>
      <w:bookmarkEnd w:id="26"/>
    </w:p>
    <w:p w14:paraId="13FE0300" w14:textId="77777777" w:rsidR="00A53AD6" w:rsidRPr="00A53AD6" w:rsidRDefault="00A53AD6" w:rsidP="00A53AD6">
      <w:pPr>
        <w:pStyle w:val="NormalWeb"/>
        <w:spacing w:line="360" w:lineRule="auto"/>
        <w:jc w:val="both"/>
        <w:rPr>
          <w:color w:val="000000" w:themeColor="text1"/>
        </w:rPr>
      </w:pPr>
      <w:r w:rsidRPr="00A53AD6">
        <w:t xml:space="preserve">Based on the findings, a set of </w:t>
      </w:r>
      <w:r w:rsidRPr="00A53AD6">
        <w:rPr>
          <w:rStyle w:val="Robust"/>
        </w:rPr>
        <w:t>policy, managerial, and strategic recommendations</w:t>
      </w:r>
      <w:r w:rsidRPr="00A53AD6">
        <w:t xml:space="preserve"> is proposed to enhance the resilience and competitiveness of UK SMEs in the continuing post-</w:t>
      </w:r>
      <w:r w:rsidRPr="00A53AD6">
        <w:rPr>
          <w:color w:val="000000" w:themeColor="text1"/>
        </w:rPr>
        <w:t>Brexit context.</w:t>
      </w:r>
    </w:p>
    <w:p w14:paraId="12C5E35B"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1. Policy Support and Regulatory Alignment</w:t>
      </w:r>
    </w:p>
    <w:p w14:paraId="4CAFD10E"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The government should prioritise the simplification of </w:t>
      </w:r>
      <w:r w:rsidRPr="00A53AD6">
        <w:rPr>
          <w:rStyle w:val="Robust"/>
          <w:color w:val="000000" w:themeColor="text1"/>
        </w:rPr>
        <w:t>customs processes and trade documentation</w:t>
      </w:r>
      <w:r w:rsidRPr="00A53AD6">
        <w:rPr>
          <w:color w:val="000000" w:themeColor="text1"/>
        </w:rPr>
        <w:t xml:space="preserve"> to ease administrative burdens on SMEs. Establishing digital “single-window” customs systems and aligning certain standards with the EU—especially in sectors such as food and manufacturing—would reduce friction and cost. Public consultation with SME trade associations could ensure that reforms address the realities of small business operations.</w:t>
      </w:r>
    </w:p>
    <w:p w14:paraId="0FF3EC5E"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2. Digital Skills and Infrastructure Development</w:t>
      </w:r>
    </w:p>
    <w:p w14:paraId="1BBF834E"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While many SMEs adopted technology, a digital divide persists. The </w:t>
      </w:r>
      <w:r w:rsidRPr="00A53AD6">
        <w:rPr>
          <w:rStyle w:val="Robust"/>
          <w:color w:val="000000" w:themeColor="text1"/>
        </w:rPr>
        <w:t>Department for Business and Trade</w:t>
      </w:r>
      <w:r w:rsidRPr="00A53AD6">
        <w:rPr>
          <w:color w:val="000000" w:themeColor="text1"/>
        </w:rPr>
        <w:t xml:space="preserve"> and </w:t>
      </w:r>
      <w:r w:rsidRPr="00A53AD6">
        <w:rPr>
          <w:rStyle w:val="Robust"/>
          <w:color w:val="000000" w:themeColor="text1"/>
        </w:rPr>
        <w:t>Local Enterprise Partnerships</w:t>
      </w:r>
      <w:r w:rsidRPr="00A53AD6">
        <w:rPr>
          <w:color w:val="000000" w:themeColor="text1"/>
        </w:rPr>
        <w:t xml:space="preserve"> should expand digital-skills training initiatives, especially for rural and micro-enterprises. Incentives such as vouchers for digital consultancy, subsidised broadband for industrial estates, and partnerships with universities could accelerate adoption. Developing national SME innovation hubs focused on </w:t>
      </w:r>
      <w:r w:rsidRPr="00A53AD6">
        <w:rPr>
          <w:rStyle w:val="Robust"/>
          <w:color w:val="000000" w:themeColor="text1"/>
        </w:rPr>
        <w:t>Industry 4.0 technologies</w:t>
      </w:r>
      <w:r w:rsidRPr="00A53AD6">
        <w:rPr>
          <w:color w:val="000000" w:themeColor="text1"/>
        </w:rPr>
        <w:t>—such as automation, AI, and blockchain—would also enhance productivity and competitiveness.</w:t>
      </w:r>
    </w:p>
    <w:p w14:paraId="1D1D00CF"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3. Financial Incentives for Innovation</w:t>
      </w:r>
    </w:p>
    <w:p w14:paraId="7CB4C4E3"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The government could implement </w:t>
      </w:r>
      <w:r w:rsidRPr="00A53AD6">
        <w:rPr>
          <w:rStyle w:val="Robust"/>
          <w:color w:val="000000" w:themeColor="text1"/>
        </w:rPr>
        <w:t>targeted tax relief schemes or innovation grants</w:t>
      </w:r>
      <w:r w:rsidRPr="00A53AD6">
        <w:rPr>
          <w:color w:val="000000" w:themeColor="text1"/>
        </w:rPr>
        <w:t xml:space="preserve"> to encourage SMEs to invest in research, product diversification, and sustainable technologies. The </w:t>
      </w:r>
      <w:r w:rsidRPr="00A53AD6">
        <w:rPr>
          <w:rStyle w:val="Robust"/>
          <w:color w:val="000000" w:themeColor="text1"/>
        </w:rPr>
        <w:t>British Business Bank</w:t>
      </w:r>
      <w:r w:rsidRPr="00A53AD6">
        <w:rPr>
          <w:color w:val="000000" w:themeColor="text1"/>
        </w:rPr>
        <w:t xml:space="preserve"> and regional growth funds should streamline access to finance by reducing collateral requirements and providing low-interest loans tied to innovation milestones. Encouraging private–public venture partnerships would further strengthen the UK’s innovation ecosystem.</w:t>
      </w:r>
    </w:p>
    <w:p w14:paraId="3DF22171"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4. Export Diversification and Trade Advisory Support</w:t>
      </w:r>
    </w:p>
    <w:p w14:paraId="0CF9B1F6"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Many SMEs lack the expertise or networks to enter non-EU markets effectively. The </w:t>
      </w:r>
      <w:r w:rsidRPr="00A53AD6">
        <w:rPr>
          <w:rStyle w:val="Robust"/>
          <w:color w:val="000000" w:themeColor="text1"/>
        </w:rPr>
        <w:t>UK Export Finance (UKEF)</w:t>
      </w:r>
      <w:r w:rsidRPr="00A53AD6">
        <w:rPr>
          <w:color w:val="000000" w:themeColor="text1"/>
        </w:rPr>
        <w:t xml:space="preserve"> and </w:t>
      </w:r>
      <w:r w:rsidRPr="00A53AD6">
        <w:rPr>
          <w:rStyle w:val="Robust"/>
          <w:color w:val="000000" w:themeColor="text1"/>
        </w:rPr>
        <w:t>Department for International Trade</w:t>
      </w:r>
      <w:r w:rsidRPr="00A53AD6">
        <w:rPr>
          <w:color w:val="000000" w:themeColor="text1"/>
        </w:rPr>
        <w:t xml:space="preserve"> should establish more accessible advisory services, regional export accelerators, and mentorship programmes to guide SMEs through market-entry procedures. Integrating digital export platforms and trade-data analytics would also help businesses identify demand trends in emerging markets such as India, Japan, and Canada.</w:t>
      </w:r>
    </w:p>
    <w:p w14:paraId="622CEFE6" w14:textId="77777777" w:rsidR="00A53AD6" w:rsidRPr="00A53AD6" w:rsidRDefault="00A53AD6" w:rsidP="00A53AD6">
      <w:pPr>
        <w:pStyle w:val="NormalWeb"/>
        <w:spacing w:line="360" w:lineRule="auto"/>
        <w:jc w:val="both"/>
        <w:rPr>
          <w:color w:val="000000" w:themeColor="text1"/>
        </w:rPr>
      </w:pPr>
      <w:r w:rsidRPr="00A53AD6">
        <w:rPr>
          <w:color w:val="000000" w:themeColor="text1"/>
        </w:rPr>
        <w:t>Furthermore, trade missions and business fairs targeting Commonwealth and CPTPP countries should be expanded. By supporting SME participation in these programmes, the government can help firms translate “sensing” opportunities into concrete market gains.</w:t>
      </w:r>
    </w:p>
    <w:p w14:paraId="70FC39F8"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5. Development of Collaborative SME Clusters</w:t>
      </w:r>
    </w:p>
    <w:p w14:paraId="1748E31F"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SMEs can significantly strengthen their capabilities through </w:t>
      </w:r>
      <w:r w:rsidRPr="00A53AD6">
        <w:rPr>
          <w:rStyle w:val="Robust"/>
          <w:color w:val="000000" w:themeColor="text1"/>
        </w:rPr>
        <w:t>collaboration and shared resources</w:t>
      </w:r>
      <w:r w:rsidRPr="00A53AD6">
        <w:rPr>
          <w:color w:val="000000" w:themeColor="text1"/>
        </w:rPr>
        <w:t>. Regional SME clusters—particularly in manufacturing, creative industries, and technology—should be encouraged through local government incentives and infrastructure development. Cluster participation enhances innovation diffusion, access to specialist suppliers, and collective bargaining power in trade negotiations (Crawley et al., 2019).</w:t>
      </w:r>
    </w:p>
    <w:p w14:paraId="623DD1D5"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The creation of </w:t>
      </w:r>
      <w:r w:rsidRPr="00A53AD6">
        <w:rPr>
          <w:rStyle w:val="Robust"/>
          <w:color w:val="000000" w:themeColor="text1"/>
        </w:rPr>
        <w:t>“SME Resilience Networks”</w:t>
      </w:r>
      <w:r w:rsidRPr="00A53AD6">
        <w:rPr>
          <w:color w:val="000000" w:themeColor="text1"/>
        </w:rPr>
        <w:t xml:space="preserve"> could promote peer-to-peer learning, knowledge sharing, and cooperative logistics, enabling smaller firms to pool resources and respond collectively to disruptions such as supply-chain shocks or regulatory shifts.</w:t>
      </w:r>
    </w:p>
    <w:p w14:paraId="78A7D3B5"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6. Sustainable Supply-Chain Practices</w:t>
      </w:r>
    </w:p>
    <w:p w14:paraId="5971C635" w14:textId="77777777" w:rsidR="00A53AD6" w:rsidRPr="00A53AD6" w:rsidRDefault="00A53AD6" w:rsidP="00A53AD6">
      <w:pPr>
        <w:pStyle w:val="NormalWeb"/>
        <w:spacing w:line="360" w:lineRule="auto"/>
        <w:jc w:val="both"/>
        <w:rPr>
          <w:color w:val="000000" w:themeColor="text1"/>
        </w:rPr>
      </w:pPr>
      <w:r w:rsidRPr="00A53AD6">
        <w:rPr>
          <w:color w:val="000000" w:themeColor="text1"/>
        </w:rPr>
        <w:t xml:space="preserve">As Brexit coincides with global sustainability pressures, SMEs should integrate </w:t>
      </w:r>
      <w:r w:rsidRPr="00A53AD6">
        <w:rPr>
          <w:rStyle w:val="Robust"/>
          <w:color w:val="000000" w:themeColor="text1"/>
        </w:rPr>
        <w:t>environmental and ethical considerations</w:t>
      </w:r>
      <w:r w:rsidRPr="00A53AD6">
        <w:rPr>
          <w:color w:val="000000" w:themeColor="text1"/>
        </w:rPr>
        <w:t xml:space="preserve"> into their reconfigured supply chains. Adopting green logistics, renewable energy, and ethical sourcing not only meets regulatory expectations but also enhances brand reputation and access to eco-conscious consumers. Policymakers could incentivise this through sustainability grants or carbon-reduction tax benefits.</w:t>
      </w:r>
    </w:p>
    <w:p w14:paraId="7CCDB80A" w14:textId="77777777" w:rsidR="00A53AD6" w:rsidRPr="00A53AD6" w:rsidRDefault="00A53AD6" w:rsidP="00A53AD6">
      <w:pPr>
        <w:pStyle w:val="Titlu4"/>
        <w:spacing w:line="360" w:lineRule="auto"/>
        <w:jc w:val="both"/>
        <w:rPr>
          <w:rFonts w:ascii="Times New Roman" w:hAnsi="Times New Roman" w:cs="Times New Roman"/>
          <w:color w:val="000000" w:themeColor="text1"/>
        </w:rPr>
      </w:pPr>
      <w:r w:rsidRPr="00A53AD6">
        <w:rPr>
          <w:rStyle w:val="Robust"/>
          <w:rFonts w:ascii="Times New Roman" w:hAnsi="Times New Roman" w:cs="Times New Roman"/>
          <w:b w:val="0"/>
          <w:bCs w:val="0"/>
          <w:color w:val="000000" w:themeColor="text1"/>
        </w:rPr>
        <w:t>7. Continued Research and Monitoring</w:t>
      </w:r>
    </w:p>
    <w:p w14:paraId="3E0FCE40" w14:textId="108A34EB" w:rsidR="00A53AD6" w:rsidRPr="00A53AD6" w:rsidRDefault="00A53AD6" w:rsidP="00A53AD6">
      <w:pPr>
        <w:pStyle w:val="NormalWeb"/>
        <w:spacing w:line="360" w:lineRule="auto"/>
        <w:jc w:val="both"/>
        <w:rPr>
          <w:color w:val="000000" w:themeColor="text1"/>
        </w:rPr>
      </w:pPr>
      <w:r w:rsidRPr="00A53AD6">
        <w:rPr>
          <w:color w:val="000000" w:themeColor="text1"/>
        </w:rPr>
        <w:t xml:space="preserve">Government departments and academic institutions should collaborate to create an </w:t>
      </w:r>
      <w:r w:rsidRPr="00A53AD6">
        <w:rPr>
          <w:rStyle w:val="Robust"/>
          <w:color w:val="000000" w:themeColor="text1"/>
        </w:rPr>
        <w:t>SME Adaptation Observatory</w:t>
      </w:r>
      <w:r w:rsidRPr="00A53AD6">
        <w:rPr>
          <w:color w:val="000000" w:themeColor="text1"/>
        </w:rPr>
        <w:t>—a data-driven platform that monitors post-Brexit SME performance, emerging trends, and sectoral needs. This initiative would generate real-time evidence to inform adaptive policy design, ensuring that government support evolves with business realities.</w:t>
      </w:r>
    </w:p>
    <w:p w14:paraId="7F68364D" w14:textId="77777777" w:rsidR="00A53AD6" w:rsidRPr="00A53AD6" w:rsidRDefault="00A53AD6" w:rsidP="00A53AD6">
      <w:pPr>
        <w:pStyle w:val="Titlu3"/>
        <w:spacing w:line="360" w:lineRule="auto"/>
        <w:jc w:val="both"/>
      </w:pPr>
      <w:bookmarkStart w:id="27" w:name="_Toc213695977"/>
      <w:r w:rsidRPr="00A53AD6">
        <w:rPr>
          <w:rStyle w:val="Robust"/>
          <w:b/>
          <w:bCs/>
        </w:rPr>
        <w:t>5.3 Future Research</w:t>
      </w:r>
      <w:bookmarkEnd w:id="27"/>
    </w:p>
    <w:p w14:paraId="777DA852" w14:textId="514E054D" w:rsidR="00A53AD6" w:rsidRPr="00A53AD6" w:rsidRDefault="00A53AD6" w:rsidP="00A53AD6">
      <w:pPr>
        <w:pStyle w:val="NormalWeb"/>
        <w:spacing w:line="360" w:lineRule="auto"/>
        <w:jc w:val="both"/>
      </w:pPr>
      <w:r w:rsidRPr="00A53AD6">
        <w:t xml:space="preserve">This dissertation sheds light on how SMEs are adapting in the post-Brexit landscape, but there are still plenty of areas that deserve a closer look. For future research, it might be beneficial to conduct longitudinal case studies to see how dynamic capabilities change over time, especially as trade policies and global economic conditions keep evolving. </w:t>
      </w:r>
    </w:p>
    <w:p w14:paraId="21A19DC4" w14:textId="392E2FCB" w:rsidR="00A53AD6" w:rsidRPr="00A53AD6" w:rsidRDefault="00A53AD6" w:rsidP="00A53AD6">
      <w:pPr>
        <w:pStyle w:val="NormalWeb"/>
        <w:spacing w:line="360" w:lineRule="auto"/>
        <w:jc w:val="both"/>
      </w:pPr>
      <w:r w:rsidRPr="00A53AD6">
        <w:t>Additionally, comparing UK SMEs with those in non-EU countries like Norway or Switzerland could really enhance our understanding of how businesses outside the single market manage to stay competitive. We also need to dive into sector-specific research since manufacturing, services, and agriculture each face their own unique challenges and opportunities. Tailored strategies could lead to different results across these sectors.</w:t>
      </w:r>
    </w:p>
    <w:p w14:paraId="164CF857" w14:textId="211CCB41" w:rsidR="00A53AD6" w:rsidRPr="00A53AD6" w:rsidRDefault="00A53AD6" w:rsidP="00A53AD6">
      <w:pPr>
        <w:pStyle w:val="NormalWeb"/>
        <w:spacing w:line="360" w:lineRule="auto"/>
        <w:jc w:val="both"/>
      </w:pPr>
      <w:r w:rsidRPr="00A53AD6">
        <w:t>Moreover, future studies should consider gathering primary data through interviews or focus groups with SME owners. This would allow for a deeper dive into the human and behavioral aspects of strategic adaptation. It could also explore the psychological resilience of entrepreneurs who are dealing with ongoing uncertainty.</w:t>
      </w:r>
    </w:p>
    <w:p w14:paraId="3F40FA9A" w14:textId="72DBDD82" w:rsidR="00A53AD6" w:rsidRPr="00A53AD6" w:rsidRDefault="00A53AD6" w:rsidP="00A53AD6">
      <w:pPr>
        <w:pStyle w:val="NormalWeb"/>
        <w:spacing w:line="360" w:lineRule="auto"/>
        <w:jc w:val="both"/>
      </w:pPr>
      <w:r w:rsidRPr="00A53AD6">
        <w:t>Lastly, the connection between digital transformation, sustainability, and dynamic capabilities is still a bit of a mystery. Looking into how SMEs can blend green innovation with technological progress would provide valuable insights into the next chapter of post-Brexit competitiveness and long-term business resilience..</w:t>
      </w:r>
    </w:p>
    <w:p w14:paraId="1168390F" w14:textId="6BE793C8" w:rsidR="00A53AD6" w:rsidRPr="00A53AD6" w:rsidRDefault="00A53AD6" w:rsidP="00A53AD6">
      <w:pPr>
        <w:spacing w:before="100" w:beforeAutospacing="1" w:after="100" w:afterAutospacing="1" w:line="360" w:lineRule="auto"/>
        <w:jc w:val="both"/>
        <w:rPr>
          <w:rFonts w:ascii="Times New Roman" w:eastAsia="Times New Roman" w:hAnsi="Times New Roman" w:cs="Times New Roman"/>
          <w:lang w:eastAsia="en-GB"/>
        </w:rPr>
      </w:pPr>
    </w:p>
    <w:p w14:paraId="6661C1C6" w14:textId="68AE32B6" w:rsidR="00A53AD6" w:rsidRDefault="00A53AD6" w:rsidP="00A53AD6">
      <w:pPr>
        <w:rPr>
          <w:rFonts w:ascii="Times New Roman" w:eastAsia="Times New Roman" w:hAnsi="Times New Roman" w:cs="Times New Roman"/>
          <w:lang w:eastAsia="en-GB"/>
        </w:rPr>
      </w:pPr>
    </w:p>
    <w:p w14:paraId="7DDC4F7F" w14:textId="07E2C41C" w:rsidR="00A53AD6" w:rsidRDefault="00A53AD6" w:rsidP="00A53AD6">
      <w:pPr>
        <w:rPr>
          <w:rFonts w:ascii="Times New Roman" w:eastAsia="Times New Roman" w:hAnsi="Times New Roman" w:cs="Times New Roman"/>
          <w:lang w:eastAsia="en-GB"/>
        </w:rPr>
      </w:pPr>
    </w:p>
    <w:p w14:paraId="218A1B26" w14:textId="11DCD5D1" w:rsidR="00A53AD6" w:rsidRDefault="00A53AD6" w:rsidP="00A53AD6">
      <w:pPr>
        <w:rPr>
          <w:rFonts w:ascii="Times New Roman" w:eastAsia="Times New Roman" w:hAnsi="Times New Roman" w:cs="Times New Roman"/>
          <w:lang w:eastAsia="en-GB"/>
        </w:rPr>
      </w:pPr>
    </w:p>
    <w:p w14:paraId="60036C8B" w14:textId="1FC21E74" w:rsidR="00A53AD6" w:rsidRDefault="00A53AD6" w:rsidP="00A53AD6">
      <w:pPr>
        <w:rPr>
          <w:rFonts w:ascii="Times New Roman" w:eastAsia="Times New Roman" w:hAnsi="Times New Roman" w:cs="Times New Roman"/>
          <w:lang w:eastAsia="en-GB"/>
        </w:rPr>
      </w:pPr>
    </w:p>
    <w:p w14:paraId="7516FF0F" w14:textId="4A2EF40D" w:rsidR="00A53AD6" w:rsidRDefault="00A53AD6" w:rsidP="00A53AD6">
      <w:pPr>
        <w:rPr>
          <w:rFonts w:ascii="Times New Roman" w:eastAsia="Times New Roman" w:hAnsi="Times New Roman" w:cs="Times New Roman"/>
          <w:lang w:eastAsia="en-GB"/>
        </w:rPr>
      </w:pPr>
    </w:p>
    <w:p w14:paraId="065561A8" w14:textId="4383C7CE" w:rsidR="00A53AD6" w:rsidRDefault="00A53AD6" w:rsidP="00A53AD6">
      <w:pPr>
        <w:rPr>
          <w:rFonts w:ascii="Times New Roman" w:eastAsia="Times New Roman" w:hAnsi="Times New Roman" w:cs="Times New Roman"/>
          <w:lang w:eastAsia="en-GB"/>
        </w:rPr>
      </w:pPr>
    </w:p>
    <w:p w14:paraId="31951177" w14:textId="29197EF4" w:rsidR="00A53AD6" w:rsidRDefault="00A53AD6" w:rsidP="00A53AD6">
      <w:pPr>
        <w:rPr>
          <w:rFonts w:ascii="Times New Roman" w:eastAsia="Times New Roman" w:hAnsi="Times New Roman" w:cs="Times New Roman"/>
          <w:lang w:eastAsia="en-GB"/>
        </w:rPr>
      </w:pPr>
    </w:p>
    <w:p w14:paraId="5228108F" w14:textId="2499D4BC" w:rsidR="00A53AD6" w:rsidRDefault="00A53AD6" w:rsidP="00A53AD6">
      <w:pPr>
        <w:rPr>
          <w:rFonts w:ascii="Times New Roman" w:eastAsia="Times New Roman" w:hAnsi="Times New Roman" w:cs="Times New Roman"/>
          <w:lang w:eastAsia="en-GB"/>
        </w:rPr>
      </w:pPr>
    </w:p>
    <w:p w14:paraId="3C82F276" w14:textId="06AD74FA" w:rsidR="00A53AD6" w:rsidRDefault="00A53AD6" w:rsidP="00A53AD6">
      <w:pPr>
        <w:rPr>
          <w:rFonts w:ascii="Times New Roman" w:eastAsia="Times New Roman" w:hAnsi="Times New Roman" w:cs="Times New Roman"/>
          <w:lang w:eastAsia="en-GB"/>
        </w:rPr>
      </w:pPr>
    </w:p>
    <w:p w14:paraId="476D44DB" w14:textId="24605328" w:rsidR="00A53AD6" w:rsidRDefault="00A53AD6" w:rsidP="00A53AD6">
      <w:pPr>
        <w:rPr>
          <w:rFonts w:ascii="Times New Roman" w:eastAsia="Times New Roman" w:hAnsi="Times New Roman" w:cs="Times New Roman"/>
          <w:lang w:eastAsia="en-GB"/>
        </w:rPr>
      </w:pPr>
    </w:p>
    <w:p w14:paraId="1E62DA35" w14:textId="1DFC995D" w:rsidR="00A53AD6" w:rsidRDefault="00A53AD6" w:rsidP="00A53AD6">
      <w:pPr>
        <w:rPr>
          <w:rFonts w:ascii="Times New Roman" w:eastAsia="Times New Roman" w:hAnsi="Times New Roman" w:cs="Times New Roman"/>
          <w:lang w:eastAsia="en-GB"/>
        </w:rPr>
      </w:pPr>
    </w:p>
    <w:p w14:paraId="7E945448" w14:textId="6BD4FE1D" w:rsidR="00A53AD6" w:rsidRDefault="00A53AD6" w:rsidP="00A53AD6">
      <w:pPr>
        <w:rPr>
          <w:rFonts w:ascii="Times New Roman" w:eastAsia="Times New Roman" w:hAnsi="Times New Roman" w:cs="Times New Roman"/>
          <w:lang w:eastAsia="en-GB"/>
        </w:rPr>
      </w:pPr>
    </w:p>
    <w:p w14:paraId="6525906D" w14:textId="5B799EC7" w:rsidR="00A53AD6" w:rsidRDefault="00A53AD6" w:rsidP="00A53AD6">
      <w:pPr>
        <w:rPr>
          <w:rFonts w:ascii="Times New Roman" w:eastAsia="Times New Roman" w:hAnsi="Times New Roman" w:cs="Times New Roman"/>
          <w:lang w:eastAsia="en-GB"/>
        </w:rPr>
      </w:pPr>
    </w:p>
    <w:p w14:paraId="63CD1B59" w14:textId="19C4DBFA" w:rsidR="00A53AD6" w:rsidRDefault="00A53AD6" w:rsidP="00A53AD6">
      <w:pPr>
        <w:rPr>
          <w:rFonts w:ascii="Times New Roman" w:eastAsia="Times New Roman" w:hAnsi="Times New Roman" w:cs="Times New Roman"/>
          <w:lang w:eastAsia="en-GB"/>
        </w:rPr>
      </w:pPr>
    </w:p>
    <w:p w14:paraId="3037C091" w14:textId="196DAA4B" w:rsidR="00A53AD6" w:rsidRDefault="00A53AD6" w:rsidP="00A53AD6">
      <w:pPr>
        <w:rPr>
          <w:rFonts w:ascii="Times New Roman" w:eastAsia="Times New Roman" w:hAnsi="Times New Roman" w:cs="Times New Roman"/>
          <w:lang w:eastAsia="en-GB"/>
        </w:rPr>
      </w:pPr>
    </w:p>
    <w:p w14:paraId="1F2AAFA7" w14:textId="6D808F1C" w:rsidR="00A53AD6" w:rsidRDefault="00A53AD6" w:rsidP="00A53AD6">
      <w:pPr>
        <w:rPr>
          <w:rFonts w:ascii="Times New Roman" w:eastAsia="Times New Roman" w:hAnsi="Times New Roman" w:cs="Times New Roman"/>
          <w:lang w:eastAsia="en-GB"/>
        </w:rPr>
      </w:pPr>
    </w:p>
    <w:p w14:paraId="77FF05FA" w14:textId="1F30DD5C" w:rsidR="00A53AD6" w:rsidRDefault="00A53AD6" w:rsidP="00A53AD6">
      <w:pPr>
        <w:rPr>
          <w:rFonts w:ascii="Times New Roman" w:eastAsia="Times New Roman" w:hAnsi="Times New Roman" w:cs="Times New Roman"/>
          <w:lang w:eastAsia="en-GB"/>
        </w:rPr>
      </w:pPr>
    </w:p>
    <w:p w14:paraId="30A8E525" w14:textId="31D70EEC" w:rsidR="00A53AD6" w:rsidRDefault="00A53AD6" w:rsidP="00A53AD6">
      <w:pPr>
        <w:rPr>
          <w:rFonts w:ascii="Times New Roman" w:eastAsia="Times New Roman" w:hAnsi="Times New Roman" w:cs="Times New Roman"/>
          <w:lang w:eastAsia="en-GB"/>
        </w:rPr>
      </w:pPr>
    </w:p>
    <w:p w14:paraId="22643C1E" w14:textId="0506D4E6" w:rsidR="00A53AD6" w:rsidRDefault="00A53AD6" w:rsidP="00A53AD6">
      <w:pPr>
        <w:rPr>
          <w:rFonts w:ascii="Times New Roman" w:eastAsia="Times New Roman" w:hAnsi="Times New Roman" w:cs="Times New Roman"/>
          <w:lang w:eastAsia="en-GB"/>
        </w:rPr>
      </w:pPr>
    </w:p>
    <w:p w14:paraId="7222279C" w14:textId="24BBCFE1" w:rsidR="00A53AD6" w:rsidRDefault="00A53AD6" w:rsidP="00A53AD6">
      <w:pPr>
        <w:rPr>
          <w:rFonts w:ascii="Times New Roman" w:eastAsia="Times New Roman" w:hAnsi="Times New Roman" w:cs="Times New Roman"/>
          <w:lang w:eastAsia="en-GB"/>
        </w:rPr>
      </w:pPr>
    </w:p>
    <w:p w14:paraId="5422A81B" w14:textId="02B55194" w:rsidR="00A53AD6" w:rsidRDefault="00A53AD6" w:rsidP="00A53AD6">
      <w:pPr>
        <w:rPr>
          <w:rFonts w:ascii="Times New Roman" w:eastAsia="Times New Roman" w:hAnsi="Times New Roman" w:cs="Times New Roman"/>
          <w:lang w:eastAsia="en-GB"/>
        </w:rPr>
      </w:pPr>
    </w:p>
    <w:p w14:paraId="01074002" w14:textId="52CF4DC9" w:rsidR="00A53AD6" w:rsidRDefault="00A53AD6" w:rsidP="00A53AD6">
      <w:pPr>
        <w:rPr>
          <w:rFonts w:ascii="Times New Roman" w:eastAsia="Times New Roman" w:hAnsi="Times New Roman" w:cs="Times New Roman"/>
          <w:lang w:eastAsia="en-GB"/>
        </w:rPr>
      </w:pPr>
    </w:p>
    <w:p w14:paraId="75E7F022" w14:textId="1C5E7AC6" w:rsidR="00A53AD6" w:rsidRDefault="00A53AD6" w:rsidP="00A53AD6">
      <w:pPr>
        <w:rPr>
          <w:rFonts w:ascii="Times New Roman" w:eastAsia="Times New Roman" w:hAnsi="Times New Roman" w:cs="Times New Roman"/>
          <w:lang w:eastAsia="en-GB"/>
        </w:rPr>
      </w:pPr>
    </w:p>
    <w:p w14:paraId="6F98CE53" w14:textId="76E1742B" w:rsidR="00A53AD6" w:rsidRDefault="00A53AD6" w:rsidP="00A53AD6">
      <w:pPr>
        <w:rPr>
          <w:rFonts w:ascii="Times New Roman" w:eastAsia="Times New Roman" w:hAnsi="Times New Roman" w:cs="Times New Roman"/>
          <w:lang w:eastAsia="en-GB"/>
        </w:rPr>
      </w:pPr>
    </w:p>
    <w:p w14:paraId="42329706" w14:textId="41A98316" w:rsidR="00A53AD6" w:rsidRDefault="00A53AD6" w:rsidP="00A53AD6">
      <w:pPr>
        <w:rPr>
          <w:rFonts w:ascii="Times New Roman" w:eastAsia="Times New Roman" w:hAnsi="Times New Roman" w:cs="Times New Roman"/>
          <w:lang w:eastAsia="en-GB"/>
        </w:rPr>
      </w:pPr>
    </w:p>
    <w:p w14:paraId="1F16C91F" w14:textId="275E0EEE" w:rsidR="00A53AD6" w:rsidRDefault="00A53AD6" w:rsidP="00A53AD6">
      <w:pPr>
        <w:rPr>
          <w:rFonts w:ascii="Times New Roman" w:eastAsia="Times New Roman" w:hAnsi="Times New Roman" w:cs="Times New Roman"/>
          <w:lang w:eastAsia="en-GB"/>
        </w:rPr>
      </w:pPr>
    </w:p>
    <w:p w14:paraId="5E6F823F" w14:textId="651A7552" w:rsidR="00A53AD6" w:rsidRDefault="00A53AD6" w:rsidP="00A53AD6">
      <w:pPr>
        <w:rPr>
          <w:rFonts w:ascii="Times New Roman" w:eastAsia="Times New Roman" w:hAnsi="Times New Roman" w:cs="Times New Roman"/>
          <w:lang w:eastAsia="en-GB"/>
        </w:rPr>
      </w:pPr>
    </w:p>
    <w:p w14:paraId="4313B842" w14:textId="4288138B" w:rsidR="00A53AD6" w:rsidRDefault="00A53AD6" w:rsidP="00A53AD6">
      <w:pPr>
        <w:rPr>
          <w:rFonts w:ascii="Times New Roman" w:eastAsia="Times New Roman" w:hAnsi="Times New Roman" w:cs="Times New Roman"/>
          <w:lang w:eastAsia="en-GB"/>
        </w:rPr>
      </w:pPr>
    </w:p>
    <w:p w14:paraId="7962946F" w14:textId="1B8CDB27" w:rsidR="00A53AD6" w:rsidRDefault="00A53AD6" w:rsidP="00A53AD6">
      <w:pPr>
        <w:rPr>
          <w:rFonts w:ascii="Times New Roman" w:eastAsia="Times New Roman" w:hAnsi="Times New Roman" w:cs="Times New Roman"/>
          <w:lang w:eastAsia="en-GB"/>
        </w:rPr>
      </w:pPr>
    </w:p>
    <w:p w14:paraId="05C02A88" w14:textId="399B3400" w:rsidR="00A53AD6" w:rsidRDefault="00A53AD6" w:rsidP="00A53AD6">
      <w:pPr>
        <w:rPr>
          <w:rFonts w:ascii="Times New Roman" w:eastAsia="Times New Roman" w:hAnsi="Times New Roman" w:cs="Times New Roman"/>
          <w:lang w:eastAsia="en-GB"/>
        </w:rPr>
      </w:pPr>
    </w:p>
    <w:p w14:paraId="1226B2FA" w14:textId="3BD9B39D" w:rsidR="00A53AD6" w:rsidRDefault="00A53AD6" w:rsidP="00A53AD6">
      <w:pPr>
        <w:rPr>
          <w:rFonts w:ascii="Times New Roman" w:eastAsia="Times New Roman" w:hAnsi="Times New Roman" w:cs="Times New Roman"/>
          <w:lang w:eastAsia="en-GB"/>
        </w:rPr>
      </w:pPr>
    </w:p>
    <w:p w14:paraId="29CC6BD9" w14:textId="77777777" w:rsidR="00A53AD6" w:rsidRPr="00A53AD6" w:rsidRDefault="00A53AD6" w:rsidP="00A53AD6">
      <w:pPr>
        <w:rPr>
          <w:rFonts w:ascii="Times New Roman" w:eastAsia="Times New Roman" w:hAnsi="Times New Roman" w:cs="Times New Roman"/>
          <w:lang w:eastAsia="en-GB"/>
        </w:rPr>
      </w:pPr>
    </w:p>
    <w:p w14:paraId="4F53B427" w14:textId="77777777" w:rsidR="00A53AD6" w:rsidRPr="00A53AD6" w:rsidRDefault="00A53AD6" w:rsidP="00A53AD6">
      <w:pPr>
        <w:spacing w:before="100" w:beforeAutospacing="1" w:after="100" w:afterAutospacing="1"/>
        <w:outlineLvl w:val="1"/>
        <w:rPr>
          <w:rFonts w:ascii="Times New Roman" w:eastAsia="Times New Roman" w:hAnsi="Times New Roman" w:cs="Times New Roman"/>
          <w:b/>
          <w:bCs/>
          <w:sz w:val="36"/>
          <w:szCs w:val="36"/>
          <w:lang w:eastAsia="en-GB"/>
        </w:rPr>
      </w:pPr>
      <w:bookmarkStart w:id="28" w:name="_Toc213695978"/>
      <w:r w:rsidRPr="00A53AD6">
        <w:rPr>
          <w:rFonts w:ascii="Times New Roman" w:eastAsia="Times New Roman" w:hAnsi="Times New Roman" w:cs="Times New Roman"/>
          <w:b/>
          <w:bCs/>
          <w:sz w:val="36"/>
          <w:szCs w:val="36"/>
          <w:lang w:eastAsia="en-GB"/>
        </w:rPr>
        <w:t>References</w:t>
      </w:r>
      <w:bookmarkEnd w:id="28"/>
    </w:p>
    <w:p w14:paraId="2CD9EA1D" w14:textId="77777777" w:rsidR="00A53AD6" w:rsidRDefault="00A53AD6" w:rsidP="00A53AD6">
      <w:pPr>
        <w:pStyle w:val="NormalWeb"/>
      </w:pPr>
      <w:r>
        <w:rPr>
          <w:rStyle w:val="Robust"/>
        </w:rPr>
        <w:t>Admin</w:t>
      </w:r>
      <w:r>
        <w:t xml:space="preserve"> (2025) </w:t>
      </w:r>
      <w:r>
        <w:rPr>
          <w:rStyle w:val="Accentuat"/>
        </w:rPr>
        <w:t>Brexit 5 Years On: What have we learned about supply chain?</w:t>
      </w:r>
      <w:r>
        <w:t xml:space="preserve"> Supply Chain Planning.ie. Available at: </w:t>
      </w:r>
      <w:hyperlink r:id="rId10" w:tgtFrame="_new" w:history="1">
        <w:r>
          <w:rPr>
            <w:rStyle w:val="Hyperlink"/>
          </w:rPr>
          <w:t>https://supplychainplanning.ie/brexit-5-years-on-what-have-we-learned-about-supply-chain</w:t>
        </w:r>
      </w:hyperlink>
      <w:r>
        <w:t xml:space="preserve"> (Accessed: 16 July 2025).</w:t>
      </w:r>
    </w:p>
    <w:p w14:paraId="681B23B5" w14:textId="77777777" w:rsidR="00A53AD6" w:rsidRPr="00A53AD6" w:rsidRDefault="00A53AD6" w:rsidP="00A53AD6">
      <w:pPr>
        <w:spacing w:before="100" w:beforeAutospacing="1" w:after="100" w:afterAutospacing="1"/>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Aston University Business School</w:t>
      </w:r>
      <w:r w:rsidRPr="00A53AD6">
        <w:rPr>
          <w:rFonts w:ascii="Times New Roman" w:eastAsia="Times New Roman" w:hAnsi="Times New Roman" w:cs="Times New Roman"/>
          <w:lang w:eastAsia="en-GB"/>
        </w:rPr>
        <w:t xml:space="preserve"> (2024) </w:t>
      </w:r>
      <w:r w:rsidRPr="00A53AD6">
        <w:rPr>
          <w:rFonts w:ascii="Times New Roman" w:eastAsia="Times New Roman" w:hAnsi="Times New Roman" w:cs="Times New Roman"/>
          <w:i/>
          <w:iCs/>
          <w:lang w:eastAsia="en-GB"/>
        </w:rPr>
        <w:t>SME Resilience in Post-Brexit Britain: Case Studies from the Midlands Manufacturing Sector</w:t>
      </w:r>
      <w:r w:rsidRPr="00A53AD6">
        <w:rPr>
          <w:rFonts w:ascii="Times New Roman" w:eastAsia="Times New Roman" w:hAnsi="Times New Roman" w:cs="Times New Roman"/>
          <w:lang w:eastAsia="en-GB"/>
        </w:rPr>
        <w:t>. Birmingham: Aston University Press.</w:t>
      </w:r>
    </w:p>
    <w:p w14:paraId="7435D35B" w14:textId="77777777" w:rsidR="00A53AD6" w:rsidRPr="00A53AD6" w:rsidRDefault="00A53AD6" w:rsidP="00A53AD6">
      <w:pPr>
        <w:spacing w:before="100" w:beforeAutospacing="1" w:after="100" w:afterAutospacing="1"/>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Bailey, D. and de Ruyter, A.</w:t>
      </w:r>
      <w:r w:rsidRPr="00A53AD6">
        <w:rPr>
          <w:rFonts w:ascii="Times New Roman" w:eastAsia="Times New Roman" w:hAnsi="Times New Roman" w:cs="Times New Roman"/>
          <w:lang w:eastAsia="en-GB"/>
        </w:rPr>
        <w:t xml:space="preserve"> (2023) ‘Brexit, supply-chain restructuring and the regional economy: Implications for UK manufacturing’, </w:t>
      </w:r>
      <w:r w:rsidRPr="00A53AD6">
        <w:rPr>
          <w:rFonts w:ascii="Times New Roman" w:eastAsia="Times New Roman" w:hAnsi="Times New Roman" w:cs="Times New Roman"/>
          <w:i/>
          <w:iCs/>
          <w:lang w:eastAsia="en-GB"/>
        </w:rPr>
        <w:t>Regional Studies</w:t>
      </w:r>
      <w:r w:rsidRPr="00A53AD6">
        <w:rPr>
          <w:rFonts w:ascii="Times New Roman" w:eastAsia="Times New Roman" w:hAnsi="Times New Roman" w:cs="Times New Roman"/>
          <w:lang w:eastAsia="en-GB"/>
        </w:rPr>
        <w:t>, 57(4), pp.622–638.</w:t>
      </w:r>
    </w:p>
    <w:p w14:paraId="3EF71488" w14:textId="77CDC613" w:rsidR="00A53AD6" w:rsidRDefault="00A53AD6" w:rsidP="00A53AD6">
      <w:pPr>
        <w:pStyle w:val="NormalWeb"/>
      </w:pPr>
      <w:r>
        <w:rPr>
          <w:rStyle w:val="Robust"/>
        </w:rPr>
        <w:t>Braun, V. and Clarke, V.</w:t>
      </w:r>
      <w:r>
        <w:t xml:space="preserve"> (2006) ‘Using thematic analysis in psychology’, </w:t>
      </w:r>
      <w:r>
        <w:rPr>
          <w:rStyle w:val="Accentuat"/>
        </w:rPr>
        <w:t>Qualitative Research in Psychology</w:t>
      </w:r>
      <w:r>
        <w:t>, 3(2), pp.77–101.</w:t>
      </w:r>
    </w:p>
    <w:p w14:paraId="27DB6F83" w14:textId="77777777" w:rsidR="00A53AD6" w:rsidRDefault="00A53AD6" w:rsidP="00A53AD6">
      <w:pPr>
        <w:pStyle w:val="NormalWeb"/>
      </w:pPr>
      <w:r>
        <w:rPr>
          <w:rStyle w:val="Robust"/>
        </w:rPr>
        <w:t>British Business Bank</w:t>
      </w:r>
      <w:r>
        <w:t xml:space="preserve"> (2024) </w:t>
      </w:r>
      <w:r>
        <w:rPr>
          <w:rStyle w:val="Accentuat"/>
        </w:rPr>
        <w:t>SME Finance Survey 2024: Trends in post-Brexit funding and lending</w:t>
      </w:r>
      <w:r>
        <w:t>. London: British Business Bank.</w:t>
      </w:r>
    </w:p>
    <w:p w14:paraId="2851C0B8" w14:textId="77777777" w:rsidR="00A53AD6" w:rsidRDefault="00A53AD6" w:rsidP="00A53AD6">
      <w:pPr>
        <w:pStyle w:val="NormalWeb"/>
      </w:pPr>
      <w:r>
        <w:rPr>
          <w:rStyle w:val="Robust"/>
        </w:rPr>
        <w:t>British Chambers of Commerce (BCC)</w:t>
      </w:r>
      <w:r>
        <w:t xml:space="preserve"> (2023) </w:t>
      </w:r>
      <w:r>
        <w:rPr>
          <w:rStyle w:val="Accentuat"/>
        </w:rPr>
        <w:t>Trade barriers and SME supply-chain adaptation post-Brexit</w:t>
      </w:r>
      <w:r>
        <w:t>. London: BCC Publications.</w:t>
      </w:r>
    </w:p>
    <w:p w14:paraId="635B1B4C" w14:textId="77777777" w:rsidR="00A53AD6" w:rsidRDefault="00A53AD6" w:rsidP="00A53AD6">
      <w:pPr>
        <w:pStyle w:val="NormalWeb"/>
      </w:pPr>
      <w:r>
        <w:rPr>
          <w:rStyle w:val="Robust"/>
        </w:rPr>
        <w:t>Bryman, A. and Bell, E.</w:t>
      </w:r>
      <w:r>
        <w:t xml:space="preserve"> (2018) </w:t>
      </w:r>
      <w:r>
        <w:rPr>
          <w:rStyle w:val="Accentuat"/>
        </w:rPr>
        <w:t>Business Research Methods</w:t>
      </w:r>
      <w:r>
        <w:t>. 5th edn. Oxford: Oxford University Press.</w:t>
      </w:r>
    </w:p>
    <w:p w14:paraId="39332540" w14:textId="3C311685" w:rsidR="00A53AD6" w:rsidRDefault="00A53AD6" w:rsidP="00A53AD6">
      <w:pPr>
        <w:pStyle w:val="NormalWeb"/>
      </w:pPr>
      <w:r>
        <w:rPr>
          <w:rStyle w:val="Robust"/>
        </w:rPr>
        <w:t>Cem Soner, R., Alsakka, R. and Mantovan, N.</w:t>
      </w:r>
      <w:r>
        <w:t xml:space="preserve"> (2025) ‘The impact of Brexit on SME lending in the UK’, </w:t>
      </w:r>
      <w:r>
        <w:rPr>
          <w:rStyle w:val="Accentuat"/>
        </w:rPr>
        <w:t>Journal of Rural Studies</w:t>
      </w:r>
      <w:r>
        <w:t>, 118, p.103683.</w:t>
      </w:r>
    </w:p>
    <w:p w14:paraId="3D541FA0" w14:textId="77777777" w:rsidR="00A53AD6" w:rsidRPr="00A53AD6" w:rsidRDefault="00A53AD6" w:rsidP="00A53AD6">
      <w:pPr>
        <w:spacing w:before="100" w:beforeAutospacing="1" w:after="100" w:afterAutospacing="1"/>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Chartered Institute of Personnel and Development (CIPD)</w:t>
      </w:r>
      <w:r w:rsidRPr="00A53AD6">
        <w:rPr>
          <w:rFonts w:ascii="Times New Roman" w:eastAsia="Times New Roman" w:hAnsi="Times New Roman" w:cs="Times New Roman"/>
          <w:lang w:eastAsia="en-GB"/>
        </w:rPr>
        <w:t xml:space="preserve"> (2023) </w:t>
      </w:r>
      <w:r w:rsidRPr="00A53AD6">
        <w:rPr>
          <w:rFonts w:ascii="Times New Roman" w:eastAsia="Times New Roman" w:hAnsi="Times New Roman" w:cs="Times New Roman"/>
          <w:i/>
          <w:iCs/>
          <w:lang w:eastAsia="en-GB"/>
        </w:rPr>
        <w:t>Skills shortages and labour market transitions post-Brexit: A review of employer responses</w:t>
      </w:r>
      <w:r w:rsidRPr="00A53AD6">
        <w:rPr>
          <w:rFonts w:ascii="Times New Roman" w:eastAsia="Times New Roman" w:hAnsi="Times New Roman" w:cs="Times New Roman"/>
          <w:lang w:eastAsia="en-GB"/>
        </w:rPr>
        <w:t>. London: CIPD.</w:t>
      </w:r>
    </w:p>
    <w:p w14:paraId="4239C555" w14:textId="52CDE826" w:rsidR="00A53AD6" w:rsidRPr="00A53AD6" w:rsidRDefault="00A53AD6" w:rsidP="00A53AD6">
      <w:pPr>
        <w:spacing w:before="100" w:beforeAutospacing="1" w:after="100" w:afterAutospacing="1"/>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Confederation of British Industry (CBI)</w:t>
      </w:r>
      <w:r w:rsidRPr="00A53AD6">
        <w:rPr>
          <w:rFonts w:ascii="Times New Roman" w:eastAsia="Times New Roman" w:hAnsi="Times New Roman" w:cs="Times New Roman"/>
          <w:lang w:eastAsia="en-GB"/>
        </w:rPr>
        <w:t xml:space="preserve"> (2024) </w:t>
      </w:r>
      <w:r w:rsidRPr="00A53AD6">
        <w:rPr>
          <w:rFonts w:ascii="Times New Roman" w:eastAsia="Times New Roman" w:hAnsi="Times New Roman" w:cs="Times New Roman"/>
          <w:i/>
          <w:iCs/>
          <w:lang w:eastAsia="en-GB"/>
        </w:rPr>
        <w:t>Global Trade and the SME Opportunity: Exporting Beyond Europe</w:t>
      </w:r>
      <w:r w:rsidRPr="00A53AD6">
        <w:rPr>
          <w:rFonts w:ascii="Times New Roman" w:eastAsia="Times New Roman" w:hAnsi="Times New Roman" w:cs="Times New Roman"/>
          <w:lang w:eastAsia="en-GB"/>
        </w:rPr>
        <w:t>. London: CBI Reports.</w:t>
      </w:r>
    </w:p>
    <w:p w14:paraId="7A28DEA4" w14:textId="77777777" w:rsidR="00A53AD6" w:rsidRDefault="00A53AD6" w:rsidP="00A53AD6">
      <w:pPr>
        <w:pStyle w:val="NormalWeb"/>
      </w:pPr>
      <w:r>
        <w:rPr>
          <w:rStyle w:val="Robust"/>
        </w:rPr>
        <w:t>Crawley, A., Munday, M. and Davies, P.</w:t>
      </w:r>
      <w:r>
        <w:t xml:space="preserve"> (2019) ‘SME networks and regional resilience: post-crisis adaptation and policy implications’, </w:t>
      </w:r>
      <w:r>
        <w:rPr>
          <w:rStyle w:val="Accentuat"/>
        </w:rPr>
        <w:t>Local Economy</w:t>
      </w:r>
      <w:r>
        <w:t>, 34(7), pp.639–656.</w:t>
      </w:r>
    </w:p>
    <w:p w14:paraId="0CF223FB" w14:textId="77777777" w:rsidR="00A53AD6" w:rsidRDefault="00A53AD6" w:rsidP="00A53AD6">
      <w:pPr>
        <w:pStyle w:val="NormalWeb"/>
      </w:pPr>
      <w:r>
        <w:rPr>
          <w:rStyle w:val="Robust"/>
        </w:rPr>
        <w:t>Dejardin, M., Raposo, M.L., Ferreira, J.J., Fernandes, C.I., Veiga, P.M. and Farinha, L.</w:t>
      </w:r>
      <w:r>
        <w:t xml:space="preserve"> (2022) ‘The impact of dynamic capabilities on SME performance during COVID-19’, </w:t>
      </w:r>
      <w:r>
        <w:rPr>
          <w:rStyle w:val="Accentuat"/>
        </w:rPr>
        <w:t>Review of Managerial Science</w:t>
      </w:r>
      <w:r>
        <w:t>, 17(5), pp.1703–1729.</w:t>
      </w:r>
    </w:p>
    <w:p w14:paraId="405B04F6" w14:textId="77777777" w:rsidR="00A53AD6" w:rsidRDefault="00A53AD6" w:rsidP="00A53AD6">
      <w:pPr>
        <w:pStyle w:val="NormalWeb"/>
      </w:pPr>
      <w:r>
        <w:rPr>
          <w:rStyle w:val="Robust"/>
        </w:rPr>
        <w:t>Department for Business and Trade (DBT)</w:t>
      </w:r>
      <w:r>
        <w:t xml:space="preserve"> (2023) </w:t>
      </w:r>
      <w:r>
        <w:rPr>
          <w:rStyle w:val="Accentuat"/>
        </w:rPr>
        <w:t>UK Trade and Investment Outlook: Post-Brexit SME Competitiveness</w:t>
      </w:r>
      <w:r>
        <w:t>. London: HM Government.</w:t>
      </w:r>
    </w:p>
    <w:p w14:paraId="7EDA34B8" w14:textId="77777777" w:rsidR="00A53AD6" w:rsidRDefault="00A53AD6" w:rsidP="00A53AD6">
      <w:pPr>
        <w:pStyle w:val="NormalWeb"/>
      </w:pPr>
      <w:r>
        <w:rPr>
          <w:rStyle w:val="Robust"/>
        </w:rPr>
        <w:t>Department for Business and Trade (DBT)</w:t>
      </w:r>
      <w:r>
        <w:t xml:space="preserve"> (2024) </w:t>
      </w:r>
      <w:r>
        <w:rPr>
          <w:rStyle w:val="Accentuat"/>
        </w:rPr>
        <w:t>Made Smarter Innovation Programme Annual Report</w:t>
      </w:r>
      <w:r>
        <w:t>. London: HM Government.</w:t>
      </w:r>
    </w:p>
    <w:p w14:paraId="14257181" w14:textId="77777777" w:rsidR="00A53AD6" w:rsidRDefault="00A53AD6" w:rsidP="00A53AD6">
      <w:pPr>
        <w:pStyle w:val="NormalWeb"/>
      </w:pPr>
      <w:r>
        <w:rPr>
          <w:rStyle w:val="Robust"/>
        </w:rPr>
        <w:t>Department for International Trade (DIT)</w:t>
      </w:r>
      <w:r>
        <w:t xml:space="preserve"> (2024) </w:t>
      </w:r>
      <w:r>
        <w:rPr>
          <w:rStyle w:val="Accentuat"/>
        </w:rPr>
        <w:t>UK–India Free Trade Agreement: Opportunities for SMEs</w:t>
      </w:r>
      <w:r>
        <w:t>. London: DIT.</w:t>
      </w:r>
    </w:p>
    <w:p w14:paraId="7B8022AC" w14:textId="77777777" w:rsidR="00A53AD6" w:rsidRDefault="00A53AD6" w:rsidP="00A53AD6">
      <w:pPr>
        <w:pStyle w:val="NormalWeb"/>
      </w:pPr>
      <w:r>
        <w:rPr>
          <w:rStyle w:val="Robust"/>
        </w:rPr>
        <w:t>Du, J., Shepotylo, O. and Yuan, X.</w:t>
      </w:r>
      <w:r>
        <w:t xml:space="preserve"> (2025) ‘How did the Brexit uncertainty impact services exports of UK firms?’, </w:t>
      </w:r>
      <w:r>
        <w:rPr>
          <w:rStyle w:val="Accentuat"/>
        </w:rPr>
        <w:t>Journal of International Business Policy</w:t>
      </w:r>
      <w:r>
        <w:t>, 8(1), pp.80–104.</w:t>
      </w:r>
    </w:p>
    <w:p w14:paraId="7DBF2541" w14:textId="77777777" w:rsidR="00A53AD6" w:rsidRDefault="00A53AD6" w:rsidP="00A53AD6">
      <w:pPr>
        <w:pStyle w:val="NormalWeb"/>
      </w:pPr>
      <w:r>
        <w:rPr>
          <w:rStyle w:val="Robust"/>
        </w:rPr>
        <w:t>Easterby-Smith, M., Thorpe, R. and Jackson, P.R.</w:t>
      </w:r>
      <w:r>
        <w:t xml:space="preserve"> (2021) </w:t>
      </w:r>
      <w:r>
        <w:rPr>
          <w:rStyle w:val="Accentuat"/>
        </w:rPr>
        <w:t>Management and Business Research</w:t>
      </w:r>
      <w:r>
        <w:t>. 7th edn. London: Sage.</w:t>
      </w:r>
    </w:p>
    <w:p w14:paraId="290529B9" w14:textId="77777777" w:rsidR="00A53AD6" w:rsidRDefault="00A53AD6" w:rsidP="00A53AD6">
      <w:pPr>
        <w:pStyle w:val="NormalWeb"/>
      </w:pPr>
      <w:r>
        <w:rPr>
          <w:rStyle w:val="Robust"/>
        </w:rPr>
        <w:t>Eisenhardt, K.M. and Martin, J.A.</w:t>
      </w:r>
      <w:r>
        <w:t xml:space="preserve"> (2000) ‘Dynamic capabilities: what are they?’, </w:t>
      </w:r>
      <w:r>
        <w:rPr>
          <w:rStyle w:val="Accentuat"/>
        </w:rPr>
        <w:t>Strategic Management Journal</w:t>
      </w:r>
      <w:r>
        <w:t>, 21(10–11), pp.1105–1121.</w:t>
      </w:r>
    </w:p>
    <w:p w14:paraId="461E6277" w14:textId="404FEC4C" w:rsidR="00A53AD6" w:rsidRDefault="00A53AD6" w:rsidP="00A53AD6">
      <w:pPr>
        <w:pStyle w:val="NormalWeb"/>
      </w:pPr>
      <w:r>
        <w:rPr>
          <w:rStyle w:val="Robust"/>
        </w:rPr>
        <w:t>Federation of Small Businesses (FSB)</w:t>
      </w:r>
      <w:r>
        <w:t xml:space="preserve"> (2024) </w:t>
      </w:r>
      <w:r>
        <w:rPr>
          <w:rStyle w:val="Accentuat"/>
        </w:rPr>
        <w:t>The SME Brexit Experience: Barriers and Opportunities</w:t>
      </w:r>
      <w:r>
        <w:t>. London: FSB Publications.</w:t>
      </w:r>
    </w:p>
    <w:p w14:paraId="5528E810" w14:textId="19926AC2" w:rsidR="00A53AD6" w:rsidRPr="00A53AD6" w:rsidRDefault="00A53AD6" w:rsidP="00A53AD6">
      <w:pPr>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Fleming, M. and Sobel, S.</w:t>
      </w:r>
      <w:r w:rsidRPr="00A53AD6">
        <w:rPr>
          <w:rFonts w:ascii="Times New Roman" w:eastAsia="Times New Roman" w:hAnsi="Times New Roman" w:cs="Times New Roman"/>
          <w:lang w:eastAsia="en-GB"/>
        </w:rPr>
        <w:t xml:space="preserve"> (2022) ‘Crisis-driven innovation: How small firms adapt in volatile markets’, </w:t>
      </w:r>
      <w:r w:rsidRPr="00A53AD6">
        <w:rPr>
          <w:rFonts w:ascii="Times New Roman" w:eastAsia="Times New Roman" w:hAnsi="Times New Roman" w:cs="Times New Roman"/>
          <w:i/>
          <w:iCs/>
          <w:lang w:eastAsia="en-GB"/>
        </w:rPr>
        <w:t>Journal of Small Business Management</w:t>
      </w:r>
      <w:r w:rsidRPr="00A53AD6">
        <w:rPr>
          <w:rFonts w:ascii="Times New Roman" w:eastAsia="Times New Roman" w:hAnsi="Times New Roman" w:cs="Times New Roman"/>
          <w:lang w:eastAsia="en-GB"/>
        </w:rPr>
        <w:t>, 60(7), pp.1658–1676.</w:t>
      </w:r>
    </w:p>
    <w:p w14:paraId="16B45B48" w14:textId="77777777" w:rsidR="00A53AD6" w:rsidRDefault="00A53AD6" w:rsidP="00A53AD6">
      <w:pPr>
        <w:pStyle w:val="NormalWeb"/>
      </w:pPr>
      <w:r>
        <w:rPr>
          <w:rStyle w:val="Robust"/>
        </w:rPr>
        <w:t>Finextra</w:t>
      </w:r>
      <w:r>
        <w:t xml:space="preserve"> (2024) </w:t>
      </w:r>
      <w:r>
        <w:rPr>
          <w:rStyle w:val="Accentuat"/>
        </w:rPr>
        <w:t>How UK fintechs are expanding beyond Europe: Lessons from the post-Brexit shift</w:t>
      </w:r>
      <w:r>
        <w:t>. Available at: https://www.finextra.com/newsarticle/fintech-uk-global-expansion (Accessed: 10 June 2025).</w:t>
      </w:r>
    </w:p>
    <w:p w14:paraId="201E89C9" w14:textId="21164C9A" w:rsidR="00A53AD6" w:rsidRDefault="00A53AD6" w:rsidP="00A53AD6">
      <w:pPr>
        <w:pStyle w:val="NormalWeb"/>
      </w:pPr>
      <w:r>
        <w:rPr>
          <w:rStyle w:val="Robust"/>
        </w:rPr>
        <w:t>Highman, L.</w:t>
      </w:r>
      <w:r>
        <w:t xml:space="preserve"> (2023) ‘Higher education and research: multiple negative effects and no new opportunities after Brexit’, </w:t>
      </w:r>
      <w:r>
        <w:rPr>
          <w:rStyle w:val="Accentuat"/>
        </w:rPr>
        <w:t>Contemporary Social Science</w:t>
      </w:r>
      <w:r>
        <w:t>, 18(3), pp.400–415.</w:t>
      </w:r>
    </w:p>
    <w:p w14:paraId="6F85654B" w14:textId="6C8BB6B8" w:rsidR="00A53AD6" w:rsidRDefault="00A53AD6" w:rsidP="00A53AD6">
      <w:pPr>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House of Commons Library</w:t>
      </w:r>
      <w:r w:rsidRPr="00A53AD6">
        <w:rPr>
          <w:rFonts w:ascii="Times New Roman" w:eastAsia="Times New Roman" w:hAnsi="Times New Roman" w:cs="Times New Roman"/>
          <w:lang w:eastAsia="en-GB"/>
        </w:rPr>
        <w:t xml:space="preserve"> (2024) </w:t>
      </w:r>
      <w:r w:rsidRPr="00A53AD6">
        <w:rPr>
          <w:rFonts w:ascii="Times New Roman" w:eastAsia="Times New Roman" w:hAnsi="Times New Roman" w:cs="Times New Roman"/>
          <w:i/>
          <w:iCs/>
          <w:lang w:eastAsia="en-GB"/>
        </w:rPr>
        <w:t>Brexit and UK Trade Policy: Economic Impact on Small Businesses (Briefing Paper No. 9674)</w:t>
      </w:r>
      <w:r w:rsidRPr="00A53AD6">
        <w:rPr>
          <w:rFonts w:ascii="Times New Roman" w:eastAsia="Times New Roman" w:hAnsi="Times New Roman" w:cs="Times New Roman"/>
          <w:lang w:eastAsia="en-GB"/>
        </w:rPr>
        <w:t>. London: House of Commons.</w:t>
      </w:r>
    </w:p>
    <w:p w14:paraId="46EDA848" w14:textId="265D9A50" w:rsidR="00A53AD6" w:rsidRDefault="00A53AD6" w:rsidP="00A53AD6">
      <w:pPr>
        <w:rPr>
          <w:rFonts w:ascii="Times New Roman" w:eastAsia="Times New Roman" w:hAnsi="Times New Roman" w:cs="Times New Roman"/>
          <w:lang w:eastAsia="en-GB"/>
        </w:rPr>
      </w:pPr>
    </w:p>
    <w:p w14:paraId="6FF5C5D4" w14:textId="05C30350" w:rsidR="00A53AD6" w:rsidRPr="00A53AD6" w:rsidRDefault="00A53AD6" w:rsidP="00A53AD6">
      <w:pPr>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Kuckertz, A. and Brändle, L.</w:t>
      </w:r>
      <w:r w:rsidRPr="00A53AD6">
        <w:rPr>
          <w:rFonts w:ascii="Times New Roman" w:eastAsia="Times New Roman" w:hAnsi="Times New Roman" w:cs="Times New Roman"/>
          <w:lang w:eastAsia="en-GB"/>
        </w:rPr>
        <w:t xml:space="preserve"> (2022) ‘Digital entrepreneurship and resilience during systemic crises’, </w:t>
      </w:r>
      <w:r w:rsidRPr="00A53AD6">
        <w:rPr>
          <w:rFonts w:ascii="Times New Roman" w:eastAsia="Times New Roman" w:hAnsi="Times New Roman" w:cs="Times New Roman"/>
          <w:i/>
          <w:iCs/>
          <w:lang w:eastAsia="en-GB"/>
        </w:rPr>
        <w:t>Technovation</w:t>
      </w:r>
      <w:r w:rsidRPr="00A53AD6">
        <w:rPr>
          <w:rFonts w:ascii="Times New Roman" w:eastAsia="Times New Roman" w:hAnsi="Times New Roman" w:cs="Times New Roman"/>
          <w:lang w:eastAsia="en-GB"/>
        </w:rPr>
        <w:t>, 117, p.102255.</w:t>
      </w:r>
    </w:p>
    <w:p w14:paraId="4E98B970" w14:textId="77777777" w:rsidR="00A53AD6" w:rsidRDefault="00A53AD6" w:rsidP="00A53AD6">
      <w:pPr>
        <w:pStyle w:val="NormalWeb"/>
      </w:pPr>
      <w:r>
        <w:rPr>
          <w:rStyle w:val="Robust"/>
        </w:rPr>
        <w:t>Imobisoft</w:t>
      </w:r>
      <w:r>
        <w:t xml:space="preserve"> (2023) </w:t>
      </w:r>
      <w:r>
        <w:rPr>
          <w:rStyle w:val="Accentuat"/>
        </w:rPr>
        <w:t>The UK’s SMEs struggling to navigate post-Brexit trade with the EU</w:t>
      </w:r>
      <w:r>
        <w:t xml:space="preserve">. </w:t>
      </w:r>
      <w:r>
        <w:rPr>
          <w:rStyle w:val="Accentuat"/>
        </w:rPr>
        <w:t>Treasury Today</w:t>
      </w:r>
      <w:r>
        <w:t xml:space="preserve">. Available at: </w:t>
      </w:r>
      <w:hyperlink r:id="rId11" w:tgtFrame="_new" w:history="1">
        <w:r>
          <w:rPr>
            <w:rStyle w:val="Hyperlink"/>
          </w:rPr>
          <w:t>https://treasurytoday.com/insight-and-analysis/the-uks-smes-struggling-to-navigate-post-brexit-trade-with-the-eu</w:t>
        </w:r>
      </w:hyperlink>
      <w:r>
        <w:t xml:space="preserve"> (Accessed: 16 July 2025).</w:t>
      </w:r>
    </w:p>
    <w:p w14:paraId="540EDA39" w14:textId="77777777" w:rsidR="00A53AD6" w:rsidRDefault="00A53AD6" w:rsidP="00A53AD6">
      <w:pPr>
        <w:pStyle w:val="NormalWeb"/>
      </w:pPr>
      <w:r>
        <w:rPr>
          <w:rStyle w:val="Robust"/>
        </w:rPr>
        <w:t>Inman, P.</w:t>
      </w:r>
      <w:r>
        <w:t xml:space="preserve"> (2024) ‘Brexit cost UK £27bn in lost trade in first two years, review finds’, </w:t>
      </w:r>
      <w:r>
        <w:rPr>
          <w:rStyle w:val="Accentuat"/>
        </w:rPr>
        <w:t>The Guardian</w:t>
      </w:r>
      <w:r>
        <w:t xml:space="preserve">, 18 December. Available at: </w:t>
      </w:r>
      <w:hyperlink r:id="rId12" w:tgtFrame="_new" w:history="1">
        <w:r>
          <w:rPr>
            <w:rStyle w:val="Hyperlink"/>
          </w:rPr>
          <w:t>https://www.theguardian.com/politics/2024/dec/18/brexit-cost-uk-27bn-in-lost-trade</w:t>
        </w:r>
      </w:hyperlink>
      <w:r>
        <w:t xml:space="preserve"> (Accessed: 16 July 2025).</w:t>
      </w:r>
    </w:p>
    <w:p w14:paraId="58D6A30F" w14:textId="77777777" w:rsidR="00A53AD6" w:rsidRDefault="00A53AD6" w:rsidP="00A53AD6">
      <w:pPr>
        <w:pStyle w:val="NormalWeb"/>
      </w:pPr>
      <w:r>
        <w:rPr>
          <w:rStyle w:val="Robust"/>
        </w:rPr>
        <w:t>Institute for Fiscal Studies (IFS)</w:t>
      </w:r>
      <w:r>
        <w:t xml:space="preserve"> (2024) </w:t>
      </w:r>
      <w:r>
        <w:rPr>
          <w:rStyle w:val="Accentuat"/>
        </w:rPr>
        <w:t>Labour Shortages and Wage Dynamics Post-Brexit</w:t>
      </w:r>
      <w:r>
        <w:t>. London: IFS Publications.</w:t>
      </w:r>
    </w:p>
    <w:p w14:paraId="3D3A54EF" w14:textId="77777777" w:rsidR="00A53AD6" w:rsidRDefault="00A53AD6" w:rsidP="00A53AD6">
      <w:pPr>
        <w:pStyle w:val="NormalWeb"/>
      </w:pPr>
      <w:r>
        <w:rPr>
          <w:rStyle w:val="Robust"/>
        </w:rPr>
        <w:t>Johnston, M.P.</w:t>
      </w:r>
      <w:r>
        <w:t xml:space="preserve"> (2017) ‘Secondary data analysis: A method of which the time has come’, </w:t>
      </w:r>
      <w:r>
        <w:rPr>
          <w:rStyle w:val="Accentuat"/>
        </w:rPr>
        <w:t>Qualitative and Quantitative Methods in Libraries</w:t>
      </w:r>
      <w:r>
        <w:t>, 3(3), pp.619–626.</w:t>
      </w:r>
    </w:p>
    <w:p w14:paraId="01D9308A" w14:textId="77777777" w:rsidR="00A53AD6" w:rsidRDefault="00A53AD6" w:rsidP="00A53AD6">
      <w:pPr>
        <w:pStyle w:val="NormalWeb"/>
      </w:pPr>
      <w:r>
        <w:rPr>
          <w:rStyle w:val="Robust"/>
        </w:rPr>
        <w:t>Kassaye, D.</w:t>
      </w:r>
      <w:r>
        <w:t xml:space="preserve"> (2023) ‘Dynamic capabilities and innovation in small and medium-sized enterprises (SMEs): a systematic literature review of prior studies’, </w:t>
      </w:r>
      <w:r>
        <w:rPr>
          <w:rStyle w:val="Accentuat"/>
        </w:rPr>
        <w:t>Modern Management Review</w:t>
      </w:r>
      <w:r>
        <w:t>, 28(2), pp.7–23.</w:t>
      </w:r>
    </w:p>
    <w:p w14:paraId="0427DE33" w14:textId="77777777" w:rsidR="00A53AD6" w:rsidRDefault="00A53AD6" w:rsidP="00A53AD6">
      <w:pPr>
        <w:pStyle w:val="NormalWeb"/>
      </w:pPr>
      <w:r>
        <w:rPr>
          <w:rStyle w:val="Robust"/>
        </w:rPr>
        <w:t>Nowell, L.S., Norris, J.M., White, D.E. and Moules, N.J.</w:t>
      </w:r>
      <w:r>
        <w:t xml:space="preserve"> (2017) ‘Thematic analysis: striving to meet the trustworthiness criteria’, </w:t>
      </w:r>
      <w:r>
        <w:rPr>
          <w:rStyle w:val="Accentuat"/>
        </w:rPr>
        <w:t>International Journal of Qualitative Methods</w:t>
      </w:r>
      <w:r>
        <w:t>, 16(1), pp.1–13.</w:t>
      </w:r>
    </w:p>
    <w:p w14:paraId="0884099F" w14:textId="77777777" w:rsidR="00A53AD6" w:rsidRDefault="00A53AD6" w:rsidP="00A53AD6">
      <w:pPr>
        <w:pStyle w:val="NormalWeb"/>
      </w:pPr>
      <w:r>
        <w:rPr>
          <w:rStyle w:val="Robust"/>
        </w:rPr>
        <w:t>Office for National Statistics (ONS)</w:t>
      </w:r>
      <w:r>
        <w:t xml:space="preserve"> (2023) </w:t>
      </w:r>
      <w:r>
        <w:rPr>
          <w:rStyle w:val="Accentuat"/>
        </w:rPr>
        <w:t>UK Business: Activity, Size and Location 2023</w:t>
      </w:r>
      <w:r>
        <w:t>. London: ONS.</w:t>
      </w:r>
    </w:p>
    <w:p w14:paraId="4C71E0FC" w14:textId="77777777" w:rsidR="00A53AD6" w:rsidRDefault="00A53AD6" w:rsidP="00A53AD6">
      <w:pPr>
        <w:pStyle w:val="NormalWeb"/>
      </w:pPr>
      <w:r>
        <w:rPr>
          <w:rStyle w:val="Robust"/>
        </w:rPr>
        <w:t>Saunders, M., Lewis, P. and Thornhill, A.</w:t>
      </w:r>
      <w:r>
        <w:t xml:space="preserve"> (2019) </w:t>
      </w:r>
      <w:r>
        <w:rPr>
          <w:rStyle w:val="Accentuat"/>
        </w:rPr>
        <w:t>Research Methods for Business Students</w:t>
      </w:r>
      <w:r>
        <w:t>. 8th edn. Harlow: Pearson Education.</w:t>
      </w:r>
    </w:p>
    <w:p w14:paraId="47D0F206" w14:textId="77777777" w:rsidR="00A53AD6" w:rsidRDefault="00A53AD6" w:rsidP="00A53AD6">
      <w:pPr>
        <w:pStyle w:val="NormalWeb"/>
      </w:pPr>
      <w:r>
        <w:rPr>
          <w:rStyle w:val="Robust"/>
        </w:rPr>
        <w:t>Soluk, J., Decker-Lange, C. and Hack, A.</w:t>
      </w:r>
      <w:r>
        <w:t xml:space="preserve"> (2023) ‘Small steps for the big hit: A dynamic capabilities perspective on business networks and non-disruptive digital technologies in SMEs’, </w:t>
      </w:r>
      <w:r>
        <w:rPr>
          <w:rStyle w:val="Accentuat"/>
        </w:rPr>
        <w:t>Technological Forecasting and Social Change</w:t>
      </w:r>
      <w:r>
        <w:t>, 191, p.122490.</w:t>
      </w:r>
    </w:p>
    <w:p w14:paraId="35E1B842" w14:textId="77777777" w:rsidR="00A53AD6" w:rsidRDefault="00A53AD6" w:rsidP="00A53AD6">
      <w:pPr>
        <w:pStyle w:val="NormalWeb"/>
      </w:pPr>
      <w:r>
        <w:rPr>
          <w:rStyle w:val="Robust"/>
        </w:rPr>
        <w:t>Teece, D.J., Pisano, G. and Shuen, A.</w:t>
      </w:r>
      <w:r>
        <w:t xml:space="preserve"> (1997) ‘Dynamic capabilities and strategic management’, </w:t>
      </w:r>
      <w:r>
        <w:rPr>
          <w:rStyle w:val="Accentuat"/>
        </w:rPr>
        <w:t>Strategic Management Journal</w:t>
      </w:r>
      <w:r>
        <w:t>, 18(7), pp.509–533.</w:t>
      </w:r>
    </w:p>
    <w:p w14:paraId="2F667AEB" w14:textId="77777777" w:rsidR="00A53AD6" w:rsidRDefault="00A53AD6" w:rsidP="00A53AD6">
      <w:pPr>
        <w:pStyle w:val="NormalWeb"/>
      </w:pPr>
      <w:r>
        <w:rPr>
          <w:rStyle w:val="Robust"/>
        </w:rPr>
        <w:t>Teece, D.J.</w:t>
      </w:r>
      <w:r>
        <w:t xml:space="preserve"> (2018) </w:t>
      </w:r>
      <w:r>
        <w:rPr>
          <w:rStyle w:val="Accentuat"/>
        </w:rPr>
        <w:t>Dynamic Capabilities and Strategic Management: Organizing for Innovation and Growth</w:t>
      </w:r>
      <w:r>
        <w:t>. 2nd edn. Oxford: Oxford University Press.</w:t>
      </w:r>
    </w:p>
    <w:p w14:paraId="09865307" w14:textId="77777777" w:rsidR="00A53AD6" w:rsidRDefault="00A53AD6" w:rsidP="00A53AD6">
      <w:pPr>
        <w:pStyle w:val="NormalWeb"/>
      </w:pPr>
      <w:r>
        <w:rPr>
          <w:rStyle w:val="Robust"/>
        </w:rPr>
        <w:t>UK Research and Innovation (UKRI)</w:t>
      </w:r>
      <w:r>
        <w:t xml:space="preserve"> (2024) </w:t>
      </w:r>
      <w:r>
        <w:rPr>
          <w:rStyle w:val="Accentuat"/>
        </w:rPr>
        <w:t>AI and Automation for SMEs: Adoption Trends and Productivity Impacts</w:t>
      </w:r>
      <w:r>
        <w:t>. London: UKRI.</w:t>
      </w:r>
    </w:p>
    <w:p w14:paraId="012BFC3A" w14:textId="77777777" w:rsidR="00A53AD6" w:rsidRDefault="00A53AD6" w:rsidP="00A53AD6">
      <w:pPr>
        <w:pStyle w:val="NormalWeb"/>
      </w:pPr>
      <w:r>
        <w:rPr>
          <w:rStyle w:val="Robust"/>
        </w:rPr>
        <w:t>UK Shared Prosperity Fund</w:t>
      </w:r>
      <w:r>
        <w:t xml:space="preserve"> (2023) </w:t>
      </w:r>
      <w:r>
        <w:rPr>
          <w:rStyle w:val="Accentuat"/>
        </w:rPr>
        <w:t>Regional Growth and Digitalisation Report 2023</w:t>
      </w:r>
      <w:r>
        <w:t>. London: HM Government.</w:t>
      </w:r>
    </w:p>
    <w:p w14:paraId="74877223" w14:textId="7BD87661" w:rsidR="00A53AD6" w:rsidRPr="00A53AD6" w:rsidRDefault="00A53AD6">
      <w:pPr>
        <w:rPr>
          <w:rFonts w:ascii="Times New Roman" w:eastAsia="Times New Roman" w:hAnsi="Times New Roman" w:cs="Times New Roman"/>
          <w:lang w:eastAsia="en-GB"/>
        </w:rPr>
      </w:pPr>
      <w:r w:rsidRPr="00A53AD6">
        <w:rPr>
          <w:rFonts w:ascii="Times New Roman" w:eastAsia="Times New Roman" w:hAnsi="Times New Roman" w:cs="Times New Roman"/>
          <w:b/>
          <w:bCs/>
          <w:lang w:eastAsia="en-GB"/>
        </w:rPr>
        <w:t>World Bank Group</w:t>
      </w:r>
      <w:r w:rsidRPr="00A53AD6">
        <w:rPr>
          <w:rFonts w:ascii="Times New Roman" w:eastAsia="Times New Roman" w:hAnsi="Times New Roman" w:cs="Times New Roman"/>
          <w:lang w:eastAsia="en-GB"/>
        </w:rPr>
        <w:t xml:space="preserve"> (2024) </w:t>
      </w:r>
      <w:r w:rsidRPr="00A53AD6">
        <w:rPr>
          <w:rFonts w:ascii="Times New Roman" w:eastAsia="Times New Roman" w:hAnsi="Times New Roman" w:cs="Times New Roman"/>
          <w:i/>
          <w:iCs/>
          <w:lang w:eastAsia="en-GB"/>
        </w:rPr>
        <w:t>SMEs, Trade Friction, and Digital Transformation in Advanced Economies: The UK Case Study</w:t>
      </w:r>
      <w:r w:rsidRPr="00A53AD6">
        <w:rPr>
          <w:rFonts w:ascii="Times New Roman" w:eastAsia="Times New Roman" w:hAnsi="Times New Roman" w:cs="Times New Roman"/>
          <w:lang w:eastAsia="en-GB"/>
        </w:rPr>
        <w:t>. Washington, DC: World Bank Publications.</w:t>
      </w:r>
    </w:p>
    <w:sectPr w:rsidR="00A53AD6" w:rsidRPr="00A53AD6">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1F5CB" w14:textId="77777777" w:rsidR="000F1F00" w:rsidRDefault="000F1F00" w:rsidP="00A53AD6">
      <w:r>
        <w:separator/>
      </w:r>
    </w:p>
  </w:endnote>
  <w:endnote w:type="continuationSeparator" w:id="0">
    <w:p w14:paraId="5675F84C" w14:textId="77777777" w:rsidR="000F1F00" w:rsidRDefault="000F1F00" w:rsidP="00A53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937426066"/>
      <w:docPartObj>
        <w:docPartGallery w:val="Page Numbers (Bottom of Page)"/>
        <w:docPartUnique/>
      </w:docPartObj>
    </w:sdtPr>
    <w:sdtEndPr>
      <w:rPr>
        <w:rStyle w:val="Numrdepagin"/>
      </w:rPr>
    </w:sdtEndPr>
    <w:sdtContent>
      <w:p w14:paraId="78829E56" w14:textId="39B094A5" w:rsidR="00A53AD6" w:rsidRDefault="00A53AD6" w:rsidP="00C631C1">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5C0CF793" w14:textId="77777777" w:rsidR="00A53AD6" w:rsidRDefault="00A53AD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420397954"/>
      <w:docPartObj>
        <w:docPartGallery w:val="Page Numbers (Bottom of Page)"/>
        <w:docPartUnique/>
      </w:docPartObj>
    </w:sdtPr>
    <w:sdtEndPr>
      <w:rPr>
        <w:rStyle w:val="Numrdepagin"/>
      </w:rPr>
    </w:sdtEndPr>
    <w:sdtContent>
      <w:p w14:paraId="5E619026" w14:textId="79EF94C5" w:rsidR="00A53AD6" w:rsidRDefault="00A53AD6" w:rsidP="00C631C1">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27435D5D" w14:textId="77777777" w:rsidR="00A53AD6" w:rsidRDefault="00A53A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1530B" w14:textId="77777777" w:rsidR="000F1F00" w:rsidRDefault="000F1F00" w:rsidP="00A53AD6">
      <w:r>
        <w:separator/>
      </w:r>
    </w:p>
  </w:footnote>
  <w:footnote w:type="continuationSeparator" w:id="0">
    <w:p w14:paraId="5248210C" w14:textId="77777777" w:rsidR="000F1F00" w:rsidRDefault="000F1F00" w:rsidP="00A53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4DCC"/>
    <w:multiLevelType w:val="multilevel"/>
    <w:tmpl w:val="8C08B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677F8"/>
    <w:multiLevelType w:val="multilevel"/>
    <w:tmpl w:val="9382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A1D8C"/>
    <w:multiLevelType w:val="multilevel"/>
    <w:tmpl w:val="9662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E0643"/>
    <w:multiLevelType w:val="multilevel"/>
    <w:tmpl w:val="C9266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F3566C"/>
    <w:multiLevelType w:val="multilevel"/>
    <w:tmpl w:val="7B389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EF5F4C"/>
    <w:multiLevelType w:val="multilevel"/>
    <w:tmpl w:val="53A6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3B37A8"/>
    <w:multiLevelType w:val="multilevel"/>
    <w:tmpl w:val="B198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357D4"/>
    <w:multiLevelType w:val="multilevel"/>
    <w:tmpl w:val="3C6A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DE5202"/>
    <w:multiLevelType w:val="multilevel"/>
    <w:tmpl w:val="9FA4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B20676"/>
    <w:multiLevelType w:val="multilevel"/>
    <w:tmpl w:val="2AF0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DC053D"/>
    <w:multiLevelType w:val="multilevel"/>
    <w:tmpl w:val="504CE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8E4F96"/>
    <w:multiLevelType w:val="multilevel"/>
    <w:tmpl w:val="D5BA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C44C14"/>
    <w:multiLevelType w:val="multilevel"/>
    <w:tmpl w:val="AB02E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D122AD"/>
    <w:multiLevelType w:val="multilevel"/>
    <w:tmpl w:val="FAD2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6371750">
    <w:abstractNumId w:val="7"/>
  </w:num>
  <w:num w:numId="2" w16cid:durableId="1037588628">
    <w:abstractNumId w:val="6"/>
  </w:num>
  <w:num w:numId="3" w16cid:durableId="791243857">
    <w:abstractNumId w:val="11"/>
  </w:num>
  <w:num w:numId="4" w16cid:durableId="505440539">
    <w:abstractNumId w:val="13"/>
  </w:num>
  <w:num w:numId="5" w16cid:durableId="598567449">
    <w:abstractNumId w:val="2"/>
  </w:num>
  <w:num w:numId="6" w16cid:durableId="1431851984">
    <w:abstractNumId w:val="0"/>
  </w:num>
  <w:num w:numId="7" w16cid:durableId="1381173794">
    <w:abstractNumId w:val="9"/>
  </w:num>
  <w:num w:numId="8" w16cid:durableId="229080660">
    <w:abstractNumId w:val="12"/>
  </w:num>
  <w:num w:numId="9" w16cid:durableId="995768479">
    <w:abstractNumId w:val="3"/>
  </w:num>
  <w:num w:numId="10" w16cid:durableId="1879048583">
    <w:abstractNumId w:val="8"/>
  </w:num>
  <w:num w:numId="11" w16cid:durableId="1044400950">
    <w:abstractNumId w:val="5"/>
  </w:num>
  <w:num w:numId="12" w16cid:durableId="1117143511">
    <w:abstractNumId w:val="10"/>
  </w:num>
  <w:num w:numId="13" w16cid:durableId="1572738107">
    <w:abstractNumId w:val="4"/>
  </w:num>
  <w:num w:numId="14" w16cid:durableId="1917937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D6"/>
    <w:rsid w:val="000A0B4B"/>
    <w:rsid w:val="000F1F00"/>
    <w:rsid w:val="00A53AD6"/>
    <w:rsid w:val="00AB4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C99E"/>
  <w15:chartTrackingRefBased/>
  <w15:docId w15:val="{B78544BE-A43B-1F47-97EC-119A9863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A53AD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Titlu2">
    <w:name w:val="heading 2"/>
    <w:basedOn w:val="Normal"/>
    <w:link w:val="Titlu2Caracter"/>
    <w:uiPriority w:val="9"/>
    <w:qFormat/>
    <w:rsid w:val="00A53AD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Titlu3">
    <w:name w:val="heading 3"/>
    <w:basedOn w:val="Normal"/>
    <w:link w:val="Titlu3Caracter"/>
    <w:uiPriority w:val="9"/>
    <w:qFormat/>
    <w:rsid w:val="00A53A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Titlu4">
    <w:name w:val="heading 4"/>
    <w:basedOn w:val="Normal"/>
    <w:next w:val="Normal"/>
    <w:link w:val="Titlu4Caracter"/>
    <w:uiPriority w:val="9"/>
    <w:semiHidden/>
    <w:unhideWhenUsed/>
    <w:qFormat/>
    <w:rsid w:val="00A53AD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53AD6"/>
    <w:rPr>
      <w:rFonts w:ascii="Times New Roman" w:eastAsia="Times New Roman" w:hAnsi="Times New Roman" w:cs="Times New Roman"/>
      <w:b/>
      <w:bCs/>
      <w:kern w:val="36"/>
      <w:sz w:val="48"/>
      <w:szCs w:val="48"/>
      <w:lang w:eastAsia="en-GB"/>
    </w:rPr>
  </w:style>
  <w:style w:type="character" w:customStyle="1" w:styleId="Titlu2Caracter">
    <w:name w:val="Titlu 2 Caracter"/>
    <w:basedOn w:val="Fontdeparagrafimplicit"/>
    <w:link w:val="Titlu2"/>
    <w:uiPriority w:val="9"/>
    <w:rsid w:val="00A53AD6"/>
    <w:rPr>
      <w:rFonts w:ascii="Times New Roman" w:eastAsia="Times New Roman" w:hAnsi="Times New Roman" w:cs="Times New Roman"/>
      <w:b/>
      <w:bCs/>
      <w:sz w:val="36"/>
      <w:szCs w:val="36"/>
      <w:lang w:eastAsia="en-GB"/>
    </w:rPr>
  </w:style>
  <w:style w:type="character" w:customStyle="1" w:styleId="Titlu3Caracter">
    <w:name w:val="Titlu 3 Caracter"/>
    <w:basedOn w:val="Fontdeparagrafimplicit"/>
    <w:link w:val="Titlu3"/>
    <w:uiPriority w:val="9"/>
    <w:rsid w:val="00A53AD6"/>
    <w:rPr>
      <w:rFonts w:ascii="Times New Roman" w:eastAsia="Times New Roman" w:hAnsi="Times New Roman" w:cs="Times New Roman"/>
      <w:b/>
      <w:bCs/>
      <w:sz w:val="27"/>
      <w:szCs w:val="27"/>
      <w:lang w:eastAsia="en-GB"/>
    </w:rPr>
  </w:style>
  <w:style w:type="character" w:styleId="Robust">
    <w:name w:val="Strong"/>
    <w:basedOn w:val="Fontdeparagrafimplicit"/>
    <w:uiPriority w:val="22"/>
    <w:qFormat/>
    <w:rsid w:val="00A53AD6"/>
    <w:rPr>
      <w:b/>
      <w:bCs/>
    </w:rPr>
  </w:style>
  <w:style w:type="paragraph" w:styleId="NormalWeb">
    <w:name w:val="Normal (Web)"/>
    <w:basedOn w:val="Normal"/>
    <w:uiPriority w:val="99"/>
    <w:unhideWhenUsed/>
    <w:rsid w:val="00A53AD6"/>
    <w:pPr>
      <w:spacing w:before="100" w:beforeAutospacing="1" w:after="100" w:afterAutospacing="1"/>
    </w:pPr>
    <w:rPr>
      <w:rFonts w:ascii="Times New Roman" w:eastAsia="Times New Roman" w:hAnsi="Times New Roman" w:cs="Times New Roman"/>
      <w:lang w:eastAsia="en-GB"/>
    </w:rPr>
  </w:style>
  <w:style w:type="character" w:styleId="Accentuat">
    <w:name w:val="Emphasis"/>
    <w:basedOn w:val="Fontdeparagrafimplicit"/>
    <w:uiPriority w:val="20"/>
    <w:qFormat/>
    <w:rsid w:val="00A53AD6"/>
    <w:rPr>
      <w:i/>
      <w:iCs/>
    </w:rPr>
  </w:style>
  <w:style w:type="paragraph" w:styleId="Titlucuprins">
    <w:name w:val="TOC Heading"/>
    <w:basedOn w:val="Titlu1"/>
    <w:next w:val="Normal"/>
    <w:uiPriority w:val="39"/>
    <w:unhideWhenUsed/>
    <w:qFormat/>
    <w:rsid w:val="00A53AD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Cuprins1">
    <w:name w:val="toc 1"/>
    <w:basedOn w:val="Normal"/>
    <w:next w:val="Normal"/>
    <w:autoRedefine/>
    <w:uiPriority w:val="39"/>
    <w:unhideWhenUsed/>
    <w:rsid w:val="00A53AD6"/>
    <w:pPr>
      <w:spacing w:before="120"/>
    </w:pPr>
    <w:rPr>
      <w:rFonts w:cstheme="minorHAnsi"/>
      <w:b/>
      <w:bCs/>
      <w:i/>
      <w:iCs/>
    </w:rPr>
  </w:style>
  <w:style w:type="paragraph" w:styleId="Cuprins2">
    <w:name w:val="toc 2"/>
    <w:basedOn w:val="Normal"/>
    <w:next w:val="Normal"/>
    <w:autoRedefine/>
    <w:uiPriority w:val="39"/>
    <w:unhideWhenUsed/>
    <w:rsid w:val="00A53AD6"/>
    <w:pPr>
      <w:spacing w:before="120"/>
      <w:ind w:left="240"/>
    </w:pPr>
    <w:rPr>
      <w:rFonts w:cstheme="minorHAnsi"/>
      <w:b/>
      <w:bCs/>
      <w:sz w:val="22"/>
      <w:szCs w:val="22"/>
    </w:rPr>
  </w:style>
  <w:style w:type="paragraph" w:styleId="Cuprins3">
    <w:name w:val="toc 3"/>
    <w:basedOn w:val="Normal"/>
    <w:next w:val="Normal"/>
    <w:autoRedefine/>
    <w:uiPriority w:val="39"/>
    <w:unhideWhenUsed/>
    <w:rsid w:val="00A53AD6"/>
    <w:pPr>
      <w:ind w:left="480"/>
    </w:pPr>
    <w:rPr>
      <w:rFonts w:cstheme="minorHAnsi"/>
      <w:sz w:val="20"/>
      <w:szCs w:val="20"/>
    </w:rPr>
  </w:style>
  <w:style w:type="character" w:styleId="Hyperlink">
    <w:name w:val="Hyperlink"/>
    <w:basedOn w:val="Fontdeparagrafimplicit"/>
    <w:uiPriority w:val="99"/>
    <w:unhideWhenUsed/>
    <w:rsid w:val="00A53AD6"/>
    <w:rPr>
      <w:color w:val="0563C1" w:themeColor="hyperlink"/>
      <w:u w:val="single"/>
    </w:rPr>
  </w:style>
  <w:style w:type="paragraph" w:styleId="Cuprins4">
    <w:name w:val="toc 4"/>
    <w:basedOn w:val="Normal"/>
    <w:next w:val="Normal"/>
    <w:autoRedefine/>
    <w:uiPriority w:val="39"/>
    <w:semiHidden/>
    <w:unhideWhenUsed/>
    <w:rsid w:val="00A53AD6"/>
    <w:pPr>
      <w:ind w:left="720"/>
    </w:pPr>
    <w:rPr>
      <w:rFonts w:cstheme="minorHAnsi"/>
      <w:sz w:val="20"/>
      <w:szCs w:val="20"/>
    </w:rPr>
  </w:style>
  <w:style w:type="paragraph" w:styleId="Cuprins5">
    <w:name w:val="toc 5"/>
    <w:basedOn w:val="Normal"/>
    <w:next w:val="Normal"/>
    <w:autoRedefine/>
    <w:uiPriority w:val="39"/>
    <w:semiHidden/>
    <w:unhideWhenUsed/>
    <w:rsid w:val="00A53AD6"/>
    <w:pPr>
      <w:ind w:left="960"/>
    </w:pPr>
    <w:rPr>
      <w:rFonts w:cstheme="minorHAnsi"/>
      <w:sz w:val="20"/>
      <w:szCs w:val="20"/>
    </w:rPr>
  </w:style>
  <w:style w:type="paragraph" w:styleId="Cuprins6">
    <w:name w:val="toc 6"/>
    <w:basedOn w:val="Normal"/>
    <w:next w:val="Normal"/>
    <w:autoRedefine/>
    <w:uiPriority w:val="39"/>
    <w:semiHidden/>
    <w:unhideWhenUsed/>
    <w:rsid w:val="00A53AD6"/>
    <w:pPr>
      <w:ind w:left="1200"/>
    </w:pPr>
    <w:rPr>
      <w:rFonts w:cstheme="minorHAnsi"/>
      <w:sz w:val="20"/>
      <w:szCs w:val="20"/>
    </w:rPr>
  </w:style>
  <w:style w:type="paragraph" w:styleId="Cuprins7">
    <w:name w:val="toc 7"/>
    <w:basedOn w:val="Normal"/>
    <w:next w:val="Normal"/>
    <w:autoRedefine/>
    <w:uiPriority w:val="39"/>
    <w:semiHidden/>
    <w:unhideWhenUsed/>
    <w:rsid w:val="00A53AD6"/>
    <w:pPr>
      <w:ind w:left="1440"/>
    </w:pPr>
    <w:rPr>
      <w:rFonts w:cstheme="minorHAnsi"/>
      <w:sz w:val="20"/>
      <w:szCs w:val="20"/>
    </w:rPr>
  </w:style>
  <w:style w:type="paragraph" w:styleId="Cuprins8">
    <w:name w:val="toc 8"/>
    <w:basedOn w:val="Normal"/>
    <w:next w:val="Normal"/>
    <w:autoRedefine/>
    <w:uiPriority w:val="39"/>
    <w:semiHidden/>
    <w:unhideWhenUsed/>
    <w:rsid w:val="00A53AD6"/>
    <w:pPr>
      <w:ind w:left="1680"/>
    </w:pPr>
    <w:rPr>
      <w:rFonts w:cstheme="minorHAnsi"/>
      <w:sz w:val="20"/>
      <w:szCs w:val="20"/>
    </w:rPr>
  </w:style>
  <w:style w:type="paragraph" w:styleId="Cuprins9">
    <w:name w:val="toc 9"/>
    <w:basedOn w:val="Normal"/>
    <w:next w:val="Normal"/>
    <w:autoRedefine/>
    <w:uiPriority w:val="39"/>
    <w:semiHidden/>
    <w:unhideWhenUsed/>
    <w:rsid w:val="00A53AD6"/>
    <w:pPr>
      <w:ind w:left="1920"/>
    </w:pPr>
    <w:rPr>
      <w:rFonts w:cstheme="minorHAnsi"/>
      <w:sz w:val="20"/>
      <w:szCs w:val="20"/>
    </w:rPr>
  </w:style>
  <w:style w:type="table" w:styleId="Tabelgril">
    <w:name w:val="Table Grid"/>
    <w:basedOn w:val="TabelNormal"/>
    <w:uiPriority w:val="39"/>
    <w:rsid w:val="00A53A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semiHidden/>
    <w:rsid w:val="00A53AD6"/>
    <w:rPr>
      <w:rFonts w:asciiTheme="majorHAnsi" w:eastAsiaTheme="majorEastAsia" w:hAnsiTheme="majorHAnsi" w:cstheme="majorBidi"/>
      <w:i/>
      <w:iCs/>
      <w:color w:val="2F5496" w:themeColor="accent1" w:themeShade="BF"/>
    </w:rPr>
  </w:style>
  <w:style w:type="paragraph" w:styleId="Subsol">
    <w:name w:val="footer"/>
    <w:basedOn w:val="Normal"/>
    <w:link w:val="SubsolCaracter"/>
    <w:uiPriority w:val="99"/>
    <w:unhideWhenUsed/>
    <w:rsid w:val="00A53AD6"/>
    <w:pPr>
      <w:tabs>
        <w:tab w:val="center" w:pos="4513"/>
        <w:tab w:val="right" w:pos="9026"/>
      </w:tabs>
    </w:pPr>
  </w:style>
  <w:style w:type="character" w:customStyle="1" w:styleId="SubsolCaracter">
    <w:name w:val="Subsol Caracter"/>
    <w:basedOn w:val="Fontdeparagrafimplicit"/>
    <w:link w:val="Subsol"/>
    <w:uiPriority w:val="99"/>
    <w:rsid w:val="00A53AD6"/>
  </w:style>
  <w:style w:type="character" w:styleId="Numrdepagin">
    <w:name w:val="page number"/>
    <w:basedOn w:val="Fontdeparagrafimplicit"/>
    <w:uiPriority w:val="99"/>
    <w:semiHidden/>
    <w:unhideWhenUsed/>
    <w:rsid w:val="00A53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78914">
      <w:bodyDiv w:val="1"/>
      <w:marLeft w:val="0"/>
      <w:marRight w:val="0"/>
      <w:marTop w:val="0"/>
      <w:marBottom w:val="0"/>
      <w:divBdr>
        <w:top w:val="none" w:sz="0" w:space="0" w:color="auto"/>
        <w:left w:val="none" w:sz="0" w:space="0" w:color="auto"/>
        <w:bottom w:val="none" w:sz="0" w:space="0" w:color="auto"/>
        <w:right w:val="none" w:sz="0" w:space="0" w:color="auto"/>
      </w:divBdr>
    </w:div>
    <w:div w:id="233778873">
      <w:bodyDiv w:val="1"/>
      <w:marLeft w:val="0"/>
      <w:marRight w:val="0"/>
      <w:marTop w:val="0"/>
      <w:marBottom w:val="0"/>
      <w:divBdr>
        <w:top w:val="none" w:sz="0" w:space="0" w:color="auto"/>
        <w:left w:val="none" w:sz="0" w:space="0" w:color="auto"/>
        <w:bottom w:val="none" w:sz="0" w:space="0" w:color="auto"/>
        <w:right w:val="none" w:sz="0" w:space="0" w:color="auto"/>
      </w:divBdr>
    </w:div>
    <w:div w:id="240876624">
      <w:bodyDiv w:val="1"/>
      <w:marLeft w:val="0"/>
      <w:marRight w:val="0"/>
      <w:marTop w:val="0"/>
      <w:marBottom w:val="0"/>
      <w:divBdr>
        <w:top w:val="none" w:sz="0" w:space="0" w:color="auto"/>
        <w:left w:val="none" w:sz="0" w:space="0" w:color="auto"/>
        <w:bottom w:val="none" w:sz="0" w:space="0" w:color="auto"/>
        <w:right w:val="none" w:sz="0" w:space="0" w:color="auto"/>
      </w:divBdr>
    </w:div>
    <w:div w:id="366880681">
      <w:bodyDiv w:val="1"/>
      <w:marLeft w:val="0"/>
      <w:marRight w:val="0"/>
      <w:marTop w:val="0"/>
      <w:marBottom w:val="0"/>
      <w:divBdr>
        <w:top w:val="none" w:sz="0" w:space="0" w:color="auto"/>
        <w:left w:val="none" w:sz="0" w:space="0" w:color="auto"/>
        <w:bottom w:val="none" w:sz="0" w:space="0" w:color="auto"/>
        <w:right w:val="none" w:sz="0" w:space="0" w:color="auto"/>
      </w:divBdr>
    </w:div>
    <w:div w:id="526914015">
      <w:bodyDiv w:val="1"/>
      <w:marLeft w:val="0"/>
      <w:marRight w:val="0"/>
      <w:marTop w:val="0"/>
      <w:marBottom w:val="0"/>
      <w:divBdr>
        <w:top w:val="none" w:sz="0" w:space="0" w:color="auto"/>
        <w:left w:val="none" w:sz="0" w:space="0" w:color="auto"/>
        <w:bottom w:val="none" w:sz="0" w:space="0" w:color="auto"/>
        <w:right w:val="none" w:sz="0" w:space="0" w:color="auto"/>
      </w:divBdr>
      <w:divsChild>
        <w:div w:id="448552949">
          <w:marLeft w:val="0"/>
          <w:marRight w:val="0"/>
          <w:marTop w:val="0"/>
          <w:marBottom w:val="0"/>
          <w:divBdr>
            <w:top w:val="none" w:sz="0" w:space="0" w:color="auto"/>
            <w:left w:val="none" w:sz="0" w:space="0" w:color="auto"/>
            <w:bottom w:val="none" w:sz="0" w:space="0" w:color="auto"/>
            <w:right w:val="none" w:sz="0" w:space="0" w:color="auto"/>
          </w:divBdr>
          <w:divsChild>
            <w:div w:id="20151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752833">
      <w:bodyDiv w:val="1"/>
      <w:marLeft w:val="0"/>
      <w:marRight w:val="0"/>
      <w:marTop w:val="0"/>
      <w:marBottom w:val="0"/>
      <w:divBdr>
        <w:top w:val="none" w:sz="0" w:space="0" w:color="auto"/>
        <w:left w:val="none" w:sz="0" w:space="0" w:color="auto"/>
        <w:bottom w:val="none" w:sz="0" w:space="0" w:color="auto"/>
        <w:right w:val="none" w:sz="0" w:space="0" w:color="auto"/>
      </w:divBdr>
    </w:div>
    <w:div w:id="782384584">
      <w:bodyDiv w:val="1"/>
      <w:marLeft w:val="0"/>
      <w:marRight w:val="0"/>
      <w:marTop w:val="0"/>
      <w:marBottom w:val="0"/>
      <w:divBdr>
        <w:top w:val="none" w:sz="0" w:space="0" w:color="auto"/>
        <w:left w:val="none" w:sz="0" w:space="0" w:color="auto"/>
        <w:bottom w:val="none" w:sz="0" w:space="0" w:color="auto"/>
        <w:right w:val="none" w:sz="0" w:space="0" w:color="auto"/>
      </w:divBdr>
    </w:div>
    <w:div w:id="1280183298">
      <w:bodyDiv w:val="1"/>
      <w:marLeft w:val="0"/>
      <w:marRight w:val="0"/>
      <w:marTop w:val="0"/>
      <w:marBottom w:val="0"/>
      <w:divBdr>
        <w:top w:val="none" w:sz="0" w:space="0" w:color="auto"/>
        <w:left w:val="none" w:sz="0" w:space="0" w:color="auto"/>
        <w:bottom w:val="none" w:sz="0" w:space="0" w:color="auto"/>
        <w:right w:val="none" w:sz="0" w:space="0" w:color="auto"/>
      </w:divBdr>
    </w:div>
    <w:div w:id="1367217815">
      <w:bodyDiv w:val="1"/>
      <w:marLeft w:val="0"/>
      <w:marRight w:val="0"/>
      <w:marTop w:val="0"/>
      <w:marBottom w:val="0"/>
      <w:divBdr>
        <w:top w:val="none" w:sz="0" w:space="0" w:color="auto"/>
        <w:left w:val="none" w:sz="0" w:space="0" w:color="auto"/>
        <w:bottom w:val="none" w:sz="0" w:space="0" w:color="auto"/>
        <w:right w:val="none" w:sz="0" w:space="0" w:color="auto"/>
      </w:divBdr>
    </w:div>
    <w:div w:id="1411192794">
      <w:bodyDiv w:val="1"/>
      <w:marLeft w:val="0"/>
      <w:marRight w:val="0"/>
      <w:marTop w:val="0"/>
      <w:marBottom w:val="0"/>
      <w:divBdr>
        <w:top w:val="none" w:sz="0" w:space="0" w:color="auto"/>
        <w:left w:val="none" w:sz="0" w:space="0" w:color="auto"/>
        <w:bottom w:val="none" w:sz="0" w:space="0" w:color="auto"/>
        <w:right w:val="none" w:sz="0" w:space="0" w:color="auto"/>
      </w:divBdr>
      <w:divsChild>
        <w:div w:id="1192231138">
          <w:marLeft w:val="0"/>
          <w:marRight w:val="0"/>
          <w:marTop w:val="0"/>
          <w:marBottom w:val="0"/>
          <w:divBdr>
            <w:top w:val="none" w:sz="0" w:space="0" w:color="auto"/>
            <w:left w:val="none" w:sz="0" w:space="0" w:color="auto"/>
            <w:bottom w:val="none" w:sz="0" w:space="0" w:color="auto"/>
            <w:right w:val="none" w:sz="0" w:space="0" w:color="auto"/>
          </w:divBdr>
          <w:divsChild>
            <w:div w:id="201402005">
              <w:marLeft w:val="0"/>
              <w:marRight w:val="0"/>
              <w:marTop w:val="0"/>
              <w:marBottom w:val="0"/>
              <w:divBdr>
                <w:top w:val="none" w:sz="0" w:space="0" w:color="auto"/>
                <w:left w:val="none" w:sz="0" w:space="0" w:color="auto"/>
                <w:bottom w:val="none" w:sz="0" w:space="0" w:color="auto"/>
                <w:right w:val="none" w:sz="0" w:space="0" w:color="auto"/>
              </w:divBdr>
            </w:div>
          </w:divsChild>
        </w:div>
        <w:div w:id="184056921">
          <w:marLeft w:val="0"/>
          <w:marRight w:val="0"/>
          <w:marTop w:val="0"/>
          <w:marBottom w:val="0"/>
          <w:divBdr>
            <w:top w:val="none" w:sz="0" w:space="0" w:color="auto"/>
            <w:left w:val="none" w:sz="0" w:space="0" w:color="auto"/>
            <w:bottom w:val="none" w:sz="0" w:space="0" w:color="auto"/>
            <w:right w:val="none" w:sz="0" w:space="0" w:color="auto"/>
          </w:divBdr>
          <w:divsChild>
            <w:div w:id="8964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37226">
      <w:bodyDiv w:val="1"/>
      <w:marLeft w:val="0"/>
      <w:marRight w:val="0"/>
      <w:marTop w:val="0"/>
      <w:marBottom w:val="0"/>
      <w:divBdr>
        <w:top w:val="none" w:sz="0" w:space="0" w:color="auto"/>
        <w:left w:val="none" w:sz="0" w:space="0" w:color="auto"/>
        <w:bottom w:val="none" w:sz="0" w:space="0" w:color="auto"/>
        <w:right w:val="none" w:sz="0" w:space="0" w:color="auto"/>
      </w:divBdr>
    </w:div>
    <w:div w:id="184732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theguardian.com/politics/2024/dec/18/brexit-cost-uk-27bn-in-lost-trade"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treasurytoday.com/insight-and-analysis/the-uks-smes-struggling-to-navigate-post-brexit-trade-with-the-eu"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supplychainplanning.ie/brexit-5-years-on-what-have-we-learned-about-supply-chain"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FAED-72F8-414D-AE87-9D24C904A6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8511</Words>
  <Characters>49364</Characters>
  <Application>Microsoft Office Word</Application>
  <DocSecurity>0</DocSecurity>
  <Lines>411</Lines>
  <Paragraphs>115</Paragraphs>
  <ScaleCrop>false</ScaleCrop>
  <Company/>
  <LinksUpToDate>false</LinksUpToDate>
  <CharactersWithSpaces>57760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Andreea Gelep</cp:lastModifiedBy>
  <cp:revision>2</cp:revision>
  <dcterms:created xsi:type="dcterms:W3CDTF">2025-11-10T19:10:00Z</dcterms:created>
  <dcterms:modified xsi:type="dcterms:W3CDTF">2025-11-11T08:04:00Z</dcterms:modified>
</cp:coreProperties>
</file>