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B5E2D" w14:textId="77777777" w:rsidR="000F65F7" w:rsidRDefault="000F65F7" w:rsidP="007D2879">
      <w:pPr>
        <w:spacing w:line="360" w:lineRule="auto"/>
        <w:rPr>
          <w:rFonts w:ascii="Arial" w:hAnsi="Arial" w:cs="Arial"/>
          <w:b/>
          <w:bCs/>
          <w:sz w:val="32"/>
          <w:lang w:val="en-IN"/>
        </w:rPr>
      </w:pPr>
    </w:p>
    <w:p w14:paraId="4DD8A4A3" w14:textId="43289105" w:rsidR="000F65F7" w:rsidRDefault="00ED174D" w:rsidP="000F65F7">
      <w:pPr>
        <w:spacing w:line="360" w:lineRule="auto"/>
        <w:jc w:val="center"/>
        <w:rPr>
          <w:rFonts w:ascii="Arial" w:hAnsi="Arial" w:cs="Arial"/>
          <w:b/>
          <w:bCs/>
          <w:sz w:val="32"/>
          <w:lang w:val="en-IN"/>
        </w:rPr>
      </w:pPr>
      <w:r>
        <w:rPr>
          <w:rFonts w:ascii="Arial" w:hAnsi="Arial" w:cs="Arial"/>
          <w:b/>
          <w:bCs/>
          <w:noProof/>
          <w:sz w:val="32"/>
          <w:lang w:val="en-IN"/>
        </w:rPr>
        <w:drawing>
          <wp:inline distT="0" distB="0" distL="0" distR="0" wp14:anchorId="06503E0B" wp14:editId="38427CD8">
            <wp:extent cx="5731510" cy="1714500"/>
            <wp:effectExtent l="0" t="0" r="2540" b="0"/>
            <wp:docPr id="38225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2530" name="Picture 382253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714500"/>
                    </a:xfrm>
                    <a:prstGeom prst="rect">
                      <a:avLst/>
                    </a:prstGeom>
                  </pic:spPr>
                </pic:pic>
              </a:graphicData>
            </a:graphic>
          </wp:inline>
        </w:drawing>
      </w:r>
    </w:p>
    <w:p w14:paraId="0B30D537" w14:textId="77777777" w:rsidR="007D2879" w:rsidRDefault="007D2879" w:rsidP="007D2879">
      <w:pPr>
        <w:rPr>
          <w:b/>
          <w:bCs/>
          <w:lang w:val="en-IN"/>
        </w:rPr>
      </w:pPr>
    </w:p>
    <w:p w14:paraId="6B7043D8" w14:textId="77777777" w:rsidR="007D2879" w:rsidRPr="00A405CA" w:rsidRDefault="007D2879" w:rsidP="007D2879">
      <w:pPr>
        <w:rPr>
          <w:b/>
          <w:bCs/>
          <w:lang w:val="en-GB"/>
        </w:rPr>
      </w:pPr>
    </w:p>
    <w:p w14:paraId="4CE79D65" w14:textId="77777777" w:rsidR="007D2879" w:rsidRPr="00A405CA" w:rsidRDefault="007D2879" w:rsidP="007D2879">
      <w:pPr>
        <w:rPr>
          <w:b/>
          <w:bCs/>
          <w:lang w:val="en-GB"/>
        </w:rPr>
      </w:pPr>
    </w:p>
    <w:p w14:paraId="0FAF6825" w14:textId="573B1394" w:rsidR="00ED174D" w:rsidRPr="00ED174D" w:rsidRDefault="007D2879" w:rsidP="00ED174D">
      <w:pPr>
        <w:jc w:val="center"/>
        <w:rPr>
          <w:b/>
          <w:bCs/>
          <w:sz w:val="36"/>
          <w:szCs w:val="36"/>
          <w:lang w:val="en-GB"/>
        </w:rPr>
      </w:pPr>
      <w:r w:rsidRPr="007D2879">
        <w:rPr>
          <w:b/>
          <w:bCs/>
          <w:sz w:val="36"/>
          <w:szCs w:val="36"/>
          <w:lang w:val="en-GB"/>
        </w:rPr>
        <w:t>Student Name :</w:t>
      </w:r>
      <w:r w:rsidR="00ED174D">
        <w:rPr>
          <w:b/>
          <w:bCs/>
          <w:sz w:val="36"/>
          <w:szCs w:val="36"/>
          <w:lang w:val="en-GB"/>
        </w:rPr>
        <w:t xml:space="preserve"> </w:t>
      </w:r>
      <w:r w:rsidR="00ED174D" w:rsidRPr="00ED174D">
        <w:rPr>
          <w:b/>
          <w:bCs/>
          <w:sz w:val="36"/>
          <w:szCs w:val="36"/>
          <w:lang w:val="en-GB"/>
        </w:rPr>
        <w:t>Ranjitkumar Jivabhai Keshvala</w:t>
      </w:r>
    </w:p>
    <w:p w14:paraId="1F1B0838" w14:textId="76E412FF" w:rsidR="007D2879" w:rsidRDefault="007D2879" w:rsidP="007D2879">
      <w:pPr>
        <w:jc w:val="center"/>
        <w:rPr>
          <w:b/>
          <w:bCs/>
          <w:color w:val="000000" w:themeColor="text1"/>
          <w:sz w:val="36"/>
          <w:szCs w:val="36"/>
        </w:rPr>
      </w:pPr>
      <w:r w:rsidRPr="00EA5335">
        <w:rPr>
          <w:b/>
          <w:bCs/>
          <w:color w:val="000000" w:themeColor="text1"/>
          <w:sz w:val="36"/>
          <w:szCs w:val="36"/>
          <w:lang w:val="en-GB"/>
        </w:rPr>
        <w:t>Student ID :</w:t>
      </w:r>
      <w:r w:rsidR="00ED174D">
        <w:rPr>
          <w:b/>
          <w:bCs/>
          <w:color w:val="000000" w:themeColor="text1"/>
          <w:sz w:val="36"/>
          <w:szCs w:val="36"/>
          <w:lang w:val="en-GB"/>
        </w:rPr>
        <w:t xml:space="preserve"> </w:t>
      </w:r>
      <w:r w:rsidR="00ED174D" w:rsidRPr="00ED174D">
        <w:rPr>
          <w:b/>
          <w:bCs/>
          <w:color w:val="000000" w:themeColor="text1"/>
          <w:sz w:val="36"/>
          <w:szCs w:val="36"/>
          <w:lang w:val="en-GB"/>
        </w:rPr>
        <w:t>2532564</w:t>
      </w:r>
      <w:r w:rsidRPr="00EA5335">
        <w:rPr>
          <w:b/>
          <w:bCs/>
          <w:color w:val="000000" w:themeColor="text1"/>
          <w:sz w:val="36"/>
          <w:szCs w:val="36"/>
          <w:lang w:val="en-GB"/>
        </w:rPr>
        <w:br/>
      </w:r>
      <w:r w:rsidRPr="00EA5335">
        <w:rPr>
          <w:b/>
          <w:bCs/>
          <w:color w:val="000000" w:themeColor="text1"/>
          <w:sz w:val="36"/>
          <w:szCs w:val="36"/>
        </w:rPr>
        <w:t xml:space="preserve">Lecturer: </w:t>
      </w:r>
      <w:r w:rsidR="00ED174D" w:rsidRPr="00ED174D">
        <w:rPr>
          <w:b/>
          <w:bCs/>
          <w:color w:val="000000" w:themeColor="text1"/>
          <w:sz w:val="36"/>
          <w:szCs w:val="36"/>
        </w:rPr>
        <w:t>Jean Wang</w:t>
      </w:r>
    </w:p>
    <w:p w14:paraId="76516BD9" w14:textId="77777777" w:rsidR="00ED174D" w:rsidRPr="00EA5335" w:rsidRDefault="00ED174D" w:rsidP="007D2879">
      <w:pPr>
        <w:jc w:val="center"/>
        <w:rPr>
          <w:b/>
          <w:bCs/>
          <w:color w:val="000000" w:themeColor="text1"/>
          <w:sz w:val="36"/>
          <w:szCs w:val="36"/>
          <w:lang w:val="en-GB"/>
        </w:rPr>
      </w:pPr>
    </w:p>
    <w:p w14:paraId="6B171027" w14:textId="77777777" w:rsidR="007D2879" w:rsidRDefault="007D2879" w:rsidP="007D2879">
      <w:pPr>
        <w:jc w:val="center"/>
        <w:rPr>
          <w:b/>
          <w:bCs/>
          <w:color w:val="000000" w:themeColor="text1"/>
          <w:sz w:val="36"/>
          <w:szCs w:val="36"/>
          <w:lang w:val="en-GB"/>
        </w:rPr>
      </w:pPr>
      <w:r w:rsidRPr="00EA5335">
        <w:rPr>
          <w:b/>
          <w:bCs/>
          <w:color w:val="000000" w:themeColor="text1"/>
          <w:sz w:val="36"/>
          <w:szCs w:val="36"/>
          <w:lang w:val="en-GB"/>
        </w:rPr>
        <w:t>Master of Business Administration (MBA)</w:t>
      </w:r>
    </w:p>
    <w:p w14:paraId="54313C6B" w14:textId="77777777" w:rsidR="00ED174D" w:rsidRPr="00EA5335" w:rsidRDefault="00ED174D" w:rsidP="007D2879">
      <w:pPr>
        <w:jc w:val="center"/>
        <w:rPr>
          <w:b/>
          <w:bCs/>
          <w:color w:val="000000" w:themeColor="text1"/>
          <w:sz w:val="36"/>
          <w:szCs w:val="36"/>
          <w:lang w:val="en-GB"/>
        </w:rPr>
      </w:pPr>
    </w:p>
    <w:p w14:paraId="6ED390C4" w14:textId="77777777" w:rsidR="000F65F7" w:rsidRPr="00EA5335" w:rsidRDefault="007D2879" w:rsidP="007D2879">
      <w:pPr>
        <w:jc w:val="center"/>
        <w:rPr>
          <w:b/>
          <w:bCs/>
          <w:color w:val="000000" w:themeColor="text1"/>
          <w:sz w:val="36"/>
          <w:szCs w:val="36"/>
        </w:rPr>
      </w:pPr>
      <w:r w:rsidRPr="00EA5335">
        <w:rPr>
          <w:b/>
          <w:bCs/>
          <w:color w:val="000000" w:themeColor="text1"/>
          <w:sz w:val="36"/>
          <w:szCs w:val="36"/>
        </w:rPr>
        <w:t>LCMB7034 - International Business Concepts</w:t>
      </w:r>
    </w:p>
    <w:p w14:paraId="45659EEC" w14:textId="77777777" w:rsidR="007D2879" w:rsidRPr="00EA5335" w:rsidRDefault="007D2879" w:rsidP="007D2879">
      <w:pPr>
        <w:jc w:val="center"/>
        <w:rPr>
          <w:b/>
          <w:bCs/>
          <w:color w:val="000000" w:themeColor="text1"/>
          <w:sz w:val="36"/>
          <w:szCs w:val="36"/>
          <w:lang w:val="en-GB"/>
        </w:rPr>
      </w:pPr>
    </w:p>
    <w:p w14:paraId="668E96FA" w14:textId="77777777" w:rsidR="00BD19AA" w:rsidRPr="00EA5335" w:rsidRDefault="000F65F7" w:rsidP="000F65F7">
      <w:pPr>
        <w:spacing w:line="360" w:lineRule="auto"/>
        <w:jc w:val="center"/>
        <w:rPr>
          <w:rFonts w:ascii="Arial" w:hAnsi="Arial" w:cs="Arial"/>
          <w:b/>
          <w:bCs/>
          <w:color w:val="000000" w:themeColor="text1"/>
          <w:sz w:val="32"/>
          <w:lang w:val="en-IN"/>
        </w:rPr>
      </w:pPr>
      <w:r w:rsidRPr="00EA5335">
        <w:rPr>
          <w:rFonts w:ascii="Arial" w:hAnsi="Arial" w:cs="Arial"/>
          <w:b/>
          <w:bCs/>
          <w:color w:val="000000" w:themeColor="text1"/>
          <w:sz w:val="32"/>
          <w:lang w:val="en-IN"/>
        </w:rPr>
        <w:t>PRIMARK’S PROSPECTIVE ENTRY INTO INDIA: INTERNATIONAL STRATEGY, MARKET ATTRACTIVENESS, AND ENTRY-MODE RECOMMENDATION</w:t>
      </w:r>
    </w:p>
    <w:p w14:paraId="3DDE2736" w14:textId="77777777" w:rsidR="001C6776" w:rsidRDefault="00BD19AA" w:rsidP="001C6776">
      <w:pPr>
        <w:jc w:val="center"/>
        <w:rPr>
          <w:rFonts w:ascii="Times New Roman" w:hAnsi="Times New Roman"/>
          <w:b/>
          <w:bCs/>
          <w:sz w:val="32"/>
        </w:rPr>
      </w:pPr>
      <w:r w:rsidRPr="00EA5335">
        <w:rPr>
          <w:rFonts w:ascii="Arial" w:hAnsi="Arial" w:cs="Arial"/>
          <w:b/>
          <w:bCs/>
          <w:color w:val="000000" w:themeColor="text1"/>
          <w:sz w:val="32"/>
          <w:lang w:val="en-IN"/>
        </w:rPr>
        <w:br w:type="page"/>
      </w:r>
      <w:r w:rsidR="001C6776">
        <w:rPr>
          <w:rFonts w:ascii="Times New Roman" w:hAnsi="Times New Roman"/>
          <w:b/>
          <w:bCs/>
          <w:sz w:val="32"/>
        </w:rPr>
        <w:tab/>
      </w:r>
      <w:r w:rsidR="001C6776">
        <w:rPr>
          <w:noProof/>
        </w:rPr>
        <mc:AlternateContent>
          <mc:Choice Requires="wps">
            <w:drawing>
              <wp:inline distT="0" distB="0" distL="0" distR="0" wp14:anchorId="22BA9FDE" wp14:editId="6C93C3F7">
                <wp:extent cx="5731510" cy="299133"/>
                <wp:effectExtent l="0" t="0" r="8890" b="18415"/>
                <wp:docPr id="3319395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299133"/>
                        </a:xfrm>
                        <a:prstGeom prst="rect">
                          <a:avLst/>
                        </a:prstGeom>
                        <a:solidFill>
                          <a:srgbClr val="D8D8D8"/>
                        </a:solidFill>
                        <a:ln w="18287">
                          <a:solidFill>
                            <a:srgbClr val="000000"/>
                          </a:solidFill>
                          <a:prstDash val="solid"/>
                        </a:ln>
                      </wps:spPr>
                      <wps:txbx>
                        <w:txbxContent>
                          <w:p w14:paraId="67B85E36" w14:textId="77777777" w:rsidR="001C6776" w:rsidRDefault="001C6776" w:rsidP="001C6776">
                            <w:pPr>
                              <w:spacing w:before="19"/>
                              <w:ind w:left="957"/>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22BA9FDE" id="_x0000_t202" coordsize="21600,21600" o:spt="202" path="m,l,21600r21600,l21600,xe">
                <v:stroke joinstyle="miter"/>
                <v:path gradientshapeok="t" o:connecttype="rect"/>
              </v:shapetype>
              <v:shape id="Textbox 5" o:spid="_x0000_s1026" type="#_x0000_t202" style="width:451.3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k0CODNAQAAvQMAAA4AAABkcnMvZTJvRG9jLnhtbKxT227bMAx9H7B/EPS+2E7QNTXiFFuD&#13;&#10;DgOKrUC3D5BlORYmi5qoxM7fj5LjZt3lZZgNyJRIHfIc0pvbsTfsqDxqsBUvFjlnykpotN1X/OuX&#13;&#10;+zdrzjAI2wgDVlX8pJDfbl+/2gyuVEvowDTKMwKxWA6u4l0IrswylJ3qBS7AKUvOFnwvAm39Pmu8&#13;&#10;GAi9N9kyz99mA/jGeZAKkU53k5NvE37bKhk+ty2qwEzFqbaQVp/WOq3ZdiPKvReu0/Jch/iHMnqh&#13;&#10;LWV9htqJINjB69+gei09ILRhIaHPoG21VIkE0SnyX+g8dcKpRIbUQfesE/4/WPnp+OQePQvjexip&#13;&#10;g4kEugeQ35CRONngsDwHRVWxRAqPTMfW9/FLHBjdJHVPF0XVGJik06vrVXFVkE+Sc3lzU6xWPMFe&#13;&#10;7juP4YOCnkWj4p56looQxwcM59g5JuZDMLq518akjd/Xd8azo6AG79bxnfFfxBnLBmK3Xq6vJ4Z/&#13;&#10;BcnT80eQWMVOYDdlS/hznLFnqSZ1ok5hrMdYfrRraE4k8kBzVnH8fhBecWY+WmpknMrZ8LNRz4YP&#13;&#10;5g7S7Ea2Ft4dArR6kuUCfM5NI0LWixn8eZ+iLn/d9gcAAAD//wMAUEsDBBQABgAIAAAAIQAof5pM&#13;&#10;4QAAAAoBAAAPAAAAZHJzL2Rvd25yZXYueG1sTI9Lb8IwEITvlfgP1lbqrThBFYUQB9GXQg9ILa16&#13;&#10;NvHmAfE6ig2k/77bXsplpNVoZudLl4NtxQl73zhSEI8jEEiFMw1VCj4/Xm5nIHzQZHTrCBV8o4dl&#13;&#10;NrpKdWLcmd7xtA2V4BLyiVZQh9AlUvqiRqv92HVI7JWutzrw2VfS9PrM5baVkyiaSqsb4g+17vCx&#13;&#10;xuKwPVoFucnzh9lh/TY8l/v16nXzVcZzq9TN9fC0YFktQAQcwn8Cfhl4P2Q8bOeOZLxoFTBN+FP2&#13;&#10;5tFkCmKn4O4+BiGzVF4iZD8AAAD//wMAUEsBAi0AFAAGAAgAAAAhAFoik6P/AAAA5QEAABMAAAAA&#13;&#10;AAAAAAAAAAAAAAAAAFtDb250ZW50X1R5cGVzXS54bWxQSwECLQAUAAYACAAAACEAp0rPONcAAACW&#13;&#10;AQAACwAAAAAAAAAAAAAAAAAwAQAAX3JlbHMvLnJlbHNQSwECLQAUAAYACAAAACEAuTQI4M0BAAC9&#13;&#10;AwAADgAAAAAAAAAAAAAAAAAwAgAAZHJzL2Uyb0RvYy54bWxQSwECLQAUAAYACAAAACEAKH+aTOEA&#13;&#10;AAAKAQAADwAAAAAAAAAAAAAAAAApBAAAZHJzL2Rvd25yZXYueG1sUEsFBgAAAAAEAAQA8wAAADcF&#13;&#10;AAAAAA==&#13;&#10;" fillcolor="#d8d8d8" strokeweight=".50797mm">
                <v:path arrowok="t"/>
                <v:textbox inset="0,0,0,0">
                  <w:txbxContent>
                    <w:p w14:paraId="67B85E36" w14:textId="77777777" w:rsidR="001C6776" w:rsidRDefault="001C6776" w:rsidP="001C6776">
                      <w:pPr>
                        <w:spacing w:before="19"/>
                        <w:ind w:left="957"/>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tbl>
      <w:tblPr>
        <w:tblW w:w="9063"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1C6776" w14:paraId="4655EE0A" w14:textId="77777777" w:rsidTr="00DC2807">
        <w:trPr>
          <w:trHeight w:val="1518"/>
        </w:trPr>
        <w:tc>
          <w:tcPr>
            <w:tcW w:w="2251" w:type="dxa"/>
            <w:tcBorders>
              <w:bottom w:val="single" w:sz="4" w:space="0" w:color="000000"/>
              <w:right w:val="single" w:sz="4" w:space="0" w:color="000000"/>
            </w:tcBorders>
            <w:shd w:val="clear" w:color="auto" w:fill="91CF50"/>
          </w:tcPr>
          <w:p w14:paraId="0E9304EF" w14:textId="77777777" w:rsidR="001C6776" w:rsidRDefault="001C6776" w:rsidP="00DC2807">
            <w:pPr>
              <w:pStyle w:val="TableParagraph"/>
              <w:spacing w:line="253" w:lineRule="exact"/>
              <w:ind w:left="105"/>
            </w:pPr>
            <w:r>
              <w:rPr>
                <w:spacing w:val="-2"/>
              </w:rPr>
              <w:t>RESEARCH</w:t>
            </w:r>
          </w:p>
        </w:tc>
        <w:tc>
          <w:tcPr>
            <w:tcW w:w="5397" w:type="dxa"/>
            <w:tcBorders>
              <w:left w:val="single" w:sz="4" w:space="0" w:color="000000"/>
              <w:bottom w:val="single" w:sz="4" w:space="0" w:color="000000"/>
              <w:right w:val="single" w:sz="4" w:space="0" w:color="000000"/>
            </w:tcBorders>
            <w:shd w:val="clear" w:color="auto" w:fill="91CF50"/>
          </w:tcPr>
          <w:p w14:paraId="3930EEC9" w14:textId="77777777" w:rsidR="001C6776" w:rsidRDefault="001C6776" w:rsidP="00DC2807">
            <w:pPr>
              <w:pStyle w:val="TableParagraph"/>
              <w:spacing w:line="360" w:lineRule="auto"/>
            </w:pPr>
            <w:r>
              <w:t>For this assessment, you can use Generative AI to support you in research, including searching for bibliography,</w:t>
            </w:r>
            <w:r>
              <w:rPr>
                <w:spacing w:val="-4"/>
              </w:rPr>
              <w:t xml:space="preserve"> </w:t>
            </w:r>
            <w:r>
              <w:t>using</w:t>
            </w:r>
            <w:r>
              <w:rPr>
                <w:spacing w:val="-8"/>
              </w:rPr>
              <w:t xml:space="preserve"> </w:t>
            </w:r>
            <w:r>
              <w:t>tools</w:t>
            </w:r>
            <w:r>
              <w:rPr>
                <w:spacing w:val="-8"/>
              </w:rPr>
              <w:t xml:space="preserve"> </w:t>
            </w:r>
            <w:r>
              <w:t>to</w:t>
            </w:r>
            <w:r>
              <w:rPr>
                <w:spacing w:val="-4"/>
              </w:rPr>
              <w:t xml:space="preserve"> </w:t>
            </w:r>
            <w:r>
              <w:t>summarise,</w:t>
            </w:r>
            <w:r>
              <w:rPr>
                <w:spacing w:val="-5"/>
              </w:rPr>
              <w:t xml:space="preserve"> </w:t>
            </w:r>
            <w:r>
              <w:t>compare</w:t>
            </w:r>
            <w:r>
              <w:rPr>
                <w:spacing w:val="-12"/>
              </w:rPr>
              <w:t xml:space="preserve"> </w:t>
            </w:r>
            <w:r>
              <w:t>and</w:t>
            </w:r>
          </w:p>
          <w:p w14:paraId="25456412" w14:textId="77777777" w:rsidR="001C6776" w:rsidRDefault="001C6776" w:rsidP="00DC2807">
            <w:pPr>
              <w:pStyle w:val="TableParagraph"/>
              <w:spacing w:before="1"/>
            </w:pPr>
            <w:r>
              <w:t>interrogate</w:t>
            </w:r>
            <w:r>
              <w:rPr>
                <w:spacing w:val="-6"/>
              </w:rPr>
              <w:t xml:space="preserve"> </w:t>
            </w:r>
            <w:r>
              <w:rPr>
                <w:spacing w:val="-2"/>
              </w:rPr>
              <w:t>materials.</w:t>
            </w:r>
          </w:p>
        </w:tc>
        <w:tc>
          <w:tcPr>
            <w:tcW w:w="1415" w:type="dxa"/>
            <w:tcBorders>
              <w:left w:val="single" w:sz="4" w:space="0" w:color="000000"/>
              <w:bottom w:val="single" w:sz="4" w:space="0" w:color="000000"/>
            </w:tcBorders>
            <w:shd w:val="clear" w:color="auto" w:fill="91CF50"/>
          </w:tcPr>
          <w:p w14:paraId="721CD237" w14:textId="77777777" w:rsidR="001C6776" w:rsidRDefault="001C6776" w:rsidP="00DC2807">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56B9735A" w14:textId="77777777" w:rsidR="001C6776" w:rsidRDefault="001C6776" w:rsidP="00DC2807">
            <w:pPr>
              <w:pStyle w:val="TableParagraph"/>
              <w:ind w:left="0"/>
            </w:pPr>
          </w:p>
          <w:p w14:paraId="238B28C7" w14:textId="77777777" w:rsidR="001C6776" w:rsidRDefault="001C6776" w:rsidP="00DC2807">
            <w:pPr>
              <w:pStyle w:val="TableParagraph"/>
              <w:spacing w:before="20"/>
              <w:ind w:left="0"/>
            </w:pPr>
          </w:p>
          <w:p w14:paraId="2CA80F0B" w14:textId="77777777" w:rsidR="001C6776" w:rsidRDefault="001C6776" w:rsidP="00DC2807">
            <w:pPr>
              <w:pStyle w:val="TableParagraph"/>
              <w:spacing w:before="1"/>
              <w:ind w:left="111"/>
              <w:rPr>
                <w:rFonts w:ascii="SimSun-ExtB" w:hAnsi="SimSun-ExtB"/>
              </w:rPr>
            </w:pPr>
            <w:r>
              <w:t>No</w:t>
            </w:r>
            <w:r>
              <w:rPr>
                <w:spacing w:val="62"/>
              </w:rPr>
              <w:t xml:space="preserve"> </w:t>
            </w:r>
            <w:r>
              <w:rPr>
                <w:rFonts w:ascii="Segoe UI Symbol" w:hAnsi="Segoe UI Symbol" w:cs="Segoe UI Symbol"/>
                <w:spacing w:val="-10"/>
              </w:rPr>
              <w:t>☐</w:t>
            </w:r>
          </w:p>
        </w:tc>
      </w:tr>
      <w:tr w:rsidR="001C6776" w14:paraId="6E2999F2" w14:textId="77777777" w:rsidTr="00DC2807">
        <w:trPr>
          <w:trHeight w:val="1516"/>
        </w:trPr>
        <w:tc>
          <w:tcPr>
            <w:tcW w:w="2251" w:type="dxa"/>
            <w:tcBorders>
              <w:top w:val="single" w:sz="4" w:space="0" w:color="000000"/>
              <w:bottom w:val="single" w:sz="4" w:space="0" w:color="000000"/>
              <w:right w:val="single" w:sz="4" w:space="0" w:color="000000"/>
            </w:tcBorders>
          </w:tcPr>
          <w:p w14:paraId="6999D5B0" w14:textId="77777777" w:rsidR="001C6776" w:rsidRDefault="001C6776" w:rsidP="00DC2807">
            <w:pPr>
              <w:pStyle w:val="TableParagraph"/>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14:paraId="4DA7BBE5" w14:textId="77777777" w:rsidR="001C6776" w:rsidRDefault="001C6776" w:rsidP="00DC2807">
            <w:pPr>
              <w:pStyle w:val="TableParagraph"/>
              <w:spacing w:line="360" w:lineRule="auto"/>
              <w:ind w:hanging="1"/>
            </w:pPr>
            <w:r>
              <w:t>For this assessment, you can use Generative AI to support</w:t>
            </w:r>
            <w:r>
              <w:rPr>
                <w:spacing w:val="-8"/>
              </w:rPr>
              <w:t xml:space="preserve"> </w:t>
            </w:r>
            <w:r>
              <w:t>you</w:t>
            </w:r>
            <w:r>
              <w:rPr>
                <w:spacing w:val="-5"/>
              </w:rPr>
              <w:t xml:space="preserve"> </w:t>
            </w:r>
            <w:r>
              <w:t>in</w:t>
            </w:r>
            <w:r>
              <w:rPr>
                <w:spacing w:val="-8"/>
              </w:rPr>
              <w:t xml:space="preserve"> </w:t>
            </w:r>
            <w:r>
              <w:t>structuring</w:t>
            </w:r>
            <w:r>
              <w:rPr>
                <w:spacing w:val="-8"/>
              </w:rPr>
              <w:t xml:space="preserve"> </w:t>
            </w:r>
            <w:r>
              <w:t>your</w:t>
            </w:r>
            <w:r>
              <w:rPr>
                <w:spacing w:val="-8"/>
              </w:rPr>
              <w:t xml:space="preserve"> </w:t>
            </w:r>
            <w:r>
              <w:t>submission,</w:t>
            </w:r>
            <w:r>
              <w:rPr>
                <w:spacing w:val="-4"/>
              </w:rPr>
              <w:t xml:space="preserve"> </w:t>
            </w:r>
            <w:r>
              <w:t>including creating a draft argument structure, identifying parts</w:t>
            </w:r>
          </w:p>
          <w:p w14:paraId="36E01CCE" w14:textId="77777777" w:rsidR="001C6776" w:rsidRDefault="001C6776" w:rsidP="00DC2807">
            <w:pPr>
              <w:pStyle w:val="TableParagraph"/>
              <w:spacing w:line="252" w:lineRule="exact"/>
            </w:pPr>
            <w:r>
              <w:t>and</w:t>
            </w:r>
            <w:r>
              <w:rPr>
                <w:spacing w:val="-5"/>
              </w:rPr>
              <w:t xml:space="preserve"> </w:t>
            </w:r>
            <w:r>
              <w:t>headings,</w:t>
            </w:r>
            <w:r>
              <w:rPr>
                <w:spacing w:val="-2"/>
              </w:rPr>
              <w:t xml:space="preserve"> </w:t>
            </w:r>
            <w:r>
              <w:rPr>
                <w:spacing w:val="-4"/>
              </w:rPr>
              <w:t>etc.</w:t>
            </w:r>
          </w:p>
        </w:tc>
        <w:tc>
          <w:tcPr>
            <w:tcW w:w="1415" w:type="dxa"/>
            <w:tcBorders>
              <w:top w:val="single" w:sz="4" w:space="0" w:color="000000"/>
              <w:left w:val="single" w:sz="4" w:space="0" w:color="000000"/>
              <w:bottom w:val="single" w:sz="4" w:space="0" w:color="000000"/>
            </w:tcBorders>
          </w:tcPr>
          <w:p w14:paraId="4EBDD1CB" w14:textId="77777777" w:rsidR="001C6776" w:rsidRDefault="001C6776" w:rsidP="00DC2807">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6326331C" w14:textId="77777777" w:rsidR="001C6776" w:rsidRDefault="001C6776" w:rsidP="00DC2807">
            <w:pPr>
              <w:pStyle w:val="TableParagraph"/>
              <w:ind w:left="0"/>
            </w:pPr>
          </w:p>
          <w:p w14:paraId="4B839542" w14:textId="77777777" w:rsidR="001C6776" w:rsidRDefault="001C6776" w:rsidP="00DC2807">
            <w:pPr>
              <w:pStyle w:val="TableParagraph"/>
              <w:spacing w:before="19"/>
              <w:ind w:left="0"/>
            </w:pPr>
          </w:p>
          <w:p w14:paraId="1201E7E3" w14:textId="77777777" w:rsidR="001C6776" w:rsidRDefault="001C6776" w:rsidP="00DC2807">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1C6776" w14:paraId="38D9EA84" w14:textId="77777777" w:rsidTr="00DC2807">
        <w:trPr>
          <w:trHeight w:val="1518"/>
        </w:trPr>
        <w:tc>
          <w:tcPr>
            <w:tcW w:w="2251" w:type="dxa"/>
            <w:tcBorders>
              <w:top w:val="single" w:sz="4" w:space="0" w:color="000000"/>
              <w:bottom w:val="single" w:sz="4" w:space="0" w:color="000000"/>
              <w:right w:val="single" w:sz="4" w:space="0" w:color="000000"/>
            </w:tcBorders>
            <w:shd w:val="clear" w:color="auto" w:fill="91CF50"/>
          </w:tcPr>
          <w:p w14:paraId="4D03D8BE" w14:textId="77777777" w:rsidR="001C6776" w:rsidRDefault="001C6776" w:rsidP="00DC2807">
            <w:pPr>
              <w:pStyle w:val="TableParagraph"/>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279EC65E" w14:textId="77777777" w:rsidR="001C6776" w:rsidRDefault="001C6776" w:rsidP="00DC2807">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check your own text/creation for grammatical and syntactical mistakes, including rephrasing of your</w:t>
            </w:r>
          </w:p>
          <w:p w14:paraId="112CD9B8" w14:textId="77777777" w:rsidR="001C6776" w:rsidRDefault="001C6776" w:rsidP="00DC2807">
            <w:pPr>
              <w:pStyle w:val="TableParagraph"/>
              <w:spacing w:before="1"/>
            </w:pPr>
            <w:r>
              <w:t>own</w:t>
            </w:r>
            <w:r>
              <w:rPr>
                <w:spacing w:val="-1"/>
              </w:rPr>
              <w:t xml:space="preserve"> </w:t>
            </w:r>
            <w:r>
              <w:t>work</w:t>
            </w:r>
            <w:r>
              <w:rPr>
                <w:spacing w:val="-2"/>
              </w:rPr>
              <w:t xml:space="preserve"> </w:t>
            </w:r>
            <w:r>
              <w:t>within</w:t>
            </w:r>
            <w:r>
              <w:rPr>
                <w:spacing w:val="-4"/>
              </w:rPr>
              <w:t xml:space="preserve"> </w:t>
            </w:r>
            <w:r>
              <w:t>specific</w:t>
            </w:r>
            <w:r>
              <w:rPr>
                <w:spacing w:val="-3"/>
              </w:rPr>
              <w:t xml:space="preserve"> </w:t>
            </w:r>
            <w:r>
              <w:rPr>
                <w:spacing w:val="-2"/>
              </w:rPr>
              <w:t>standards.</w:t>
            </w:r>
          </w:p>
        </w:tc>
        <w:tc>
          <w:tcPr>
            <w:tcW w:w="1415" w:type="dxa"/>
            <w:tcBorders>
              <w:top w:val="single" w:sz="4" w:space="0" w:color="000000"/>
              <w:left w:val="single" w:sz="4" w:space="0" w:color="000000"/>
              <w:bottom w:val="single" w:sz="4" w:space="0" w:color="000000"/>
            </w:tcBorders>
            <w:shd w:val="clear" w:color="auto" w:fill="91CF50"/>
          </w:tcPr>
          <w:p w14:paraId="00A92BF5" w14:textId="77777777" w:rsidR="001C6776" w:rsidRDefault="001C6776" w:rsidP="00DC2807">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75080DBF" w14:textId="77777777" w:rsidR="001C6776" w:rsidRDefault="001C6776" w:rsidP="00DC2807">
            <w:pPr>
              <w:pStyle w:val="TableParagraph"/>
              <w:ind w:left="0"/>
            </w:pPr>
          </w:p>
          <w:p w14:paraId="51045DFC" w14:textId="77777777" w:rsidR="001C6776" w:rsidRDefault="001C6776" w:rsidP="00DC2807">
            <w:pPr>
              <w:pStyle w:val="TableParagraph"/>
              <w:spacing w:before="17"/>
              <w:ind w:left="0"/>
            </w:pPr>
          </w:p>
          <w:p w14:paraId="2F966CD5" w14:textId="77777777" w:rsidR="001C6776" w:rsidRDefault="001C6776" w:rsidP="00DC2807">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1C6776" w14:paraId="06A7C340" w14:textId="77777777" w:rsidTr="00DC2807">
        <w:trPr>
          <w:trHeight w:val="1257"/>
        </w:trPr>
        <w:tc>
          <w:tcPr>
            <w:tcW w:w="2251" w:type="dxa"/>
            <w:tcBorders>
              <w:top w:val="single" w:sz="4" w:space="0" w:color="000000"/>
              <w:bottom w:val="single" w:sz="4" w:space="0" w:color="000000"/>
              <w:right w:val="single" w:sz="4" w:space="0" w:color="000000"/>
            </w:tcBorders>
          </w:tcPr>
          <w:p w14:paraId="1B069A34" w14:textId="77777777" w:rsidR="001C6776" w:rsidRDefault="001C6776" w:rsidP="00DC2807">
            <w:pPr>
              <w:pStyle w:val="TableParagraph"/>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14:paraId="675684F8" w14:textId="77777777" w:rsidR="001C6776" w:rsidRDefault="001C6776" w:rsidP="00DC2807">
            <w:pPr>
              <w:pStyle w:val="TableParagraph"/>
              <w:spacing w:line="360" w:lineRule="auto"/>
            </w:pPr>
            <w:r>
              <w:t>For</w:t>
            </w:r>
            <w:r>
              <w:rPr>
                <w:spacing w:val="-5"/>
              </w:rPr>
              <w:t xml:space="preserve"> </w:t>
            </w:r>
            <w:r>
              <w:t>this</w:t>
            </w:r>
            <w:r>
              <w:rPr>
                <w:spacing w:val="-5"/>
              </w:rPr>
              <w:t xml:space="preserve"> </w:t>
            </w:r>
            <w:r>
              <w:t>assessment,</w:t>
            </w:r>
            <w:r>
              <w:rPr>
                <w:spacing w:val="-4"/>
              </w:rPr>
              <w:t xml:space="preserve"> </w:t>
            </w:r>
            <w:r>
              <w:t>you</w:t>
            </w:r>
            <w:r>
              <w:rPr>
                <w:spacing w:val="-6"/>
              </w:rPr>
              <w:t xml:space="preserve"> </w:t>
            </w:r>
            <w:r>
              <w:t>can</w:t>
            </w:r>
            <w:r>
              <w:rPr>
                <w:spacing w:val="-5"/>
              </w:rPr>
              <w:t xml:space="preserve"> </w:t>
            </w:r>
            <w:r>
              <w:t>use</w:t>
            </w:r>
            <w:r>
              <w:rPr>
                <w:spacing w:val="-7"/>
              </w:rPr>
              <w:t xml:space="preserve"> </w:t>
            </w:r>
            <w:r>
              <w:t>Generative</w:t>
            </w:r>
            <w:r>
              <w:rPr>
                <w:spacing w:val="-5"/>
              </w:rPr>
              <w:t xml:space="preserve"> </w:t>
            </w:r>
            <w:r>
              <w:t>AI</w:t>
            </w:r>
            <w:r>
              <w:rPr>
                <w:spacing w:val="-7"/>
              </w:rPr>
              <w:t xml:space="preserve"> </w:t>
            </w:r>
            <w:r>
              <w:t>to create text for submission.</w:t>
            </w:r>
          </w:p>
        </w:tc>
        <w:tc>
          <w:tcPr>
            <w:tcW w:w="1415" w:type="dxa"/>
            <w:tcBorders>
              <w:top w:val="single" w:sz="4" w:space="0" w:color="000000"/>
              <w:left w:val="single" w:sz="4" w:space="0" w:color="000000"/>
              <w:bottom w:val="single" w:sz="4" w:space="0" w:color="000000"/>
            </w:tcBorders>
          </w:tcPr>
          <w:p w14:paraId="7D381441" w14:textId="77777777" w:rsidR="001C6776" w:rsidRDefault="001C6776" w:rsidP="00DC2807">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6B6DEC9C" w14:textId="77777777" w:rsidR="001C6776" w:rsidRDefault="001C6776" w:rsidP="00DC2807">
            <w:pPr>
              <w:pStyle w:val="TableParagraph"/>
              <w:ind w:left="0"/>
            </w:pPr>
          </w:p>
          <w:p w14:paraId="731B0532" w14:textId="77777777" w:rsidR="001C6776" w:rsidRDefault="001C6776" w:rsidP="00DC2807">
            <w:pPr>
              <w:pStyle w:val="TableParagraph"/>
              <w:spacing w:before="19"/>
              <w:ind w:left="0"/>
            </w:pPr>
          </w:p>
          <w:p w14:paraId="6EA337FC" w14:textId="77777777" w:rsidR="001C6776" w:rsidRDefault="001C6776" w:rsidP="00DC2807">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1C6776" w14:paraId="461FDD5E" w14:textId="77777777" w:rsidTr="00DC2807">
        <w:trPr>
          <w:trHeight w:val="1235"/>
        </w:trPr>
        <w:tc>
          <w:tcPr>
            <w:tcW w:w="2251" w:type="dxa"/>
            <w:tcBorders>
              <w:top w:val="single" w:sz="4" w:space="0" w:color="000000"/>
              <w:bottom w:val="single" w:sz="4" w:space="0" w:color="000000"/>
              <w:right w:val="single" w:sz="4" w:space="0" w:color="000000"/>
            </w:tcBorders>
            <w:shd w:val="clear" w:color="auto" w:fill="91CF50"/>
          </w:tcPr>
          <w:p w14:paraId="6CFA15BC" w14:textId="77777777" w:rsidR="001C6776" w:rsidRDefault="001C6776" w:rsidP="00DC2807">
            <w:pPr>
              <w:pStyle w:val="TableParagraph"/>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5120C2EF" w14:textId="77777777" w:rsidR="001C6776" w:rsidRDefault="001C6776" w:rsidP="00DC2807">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create creative materials, such as images.</w:t>
            </w:r>
          </w:p>
        </w:tc>
        <w:tc>
          <w:tcPr>
            <w:tcW w:w="1415" w:type="dxa"/>
            <w:tcBorders>
              <w:top w:val="single" w:sz="4" w:space="0" w:color="000000"/>
              <w:left w:val="single" w:sz="4" w:space="0" w:color="000000"/>
              <w:bottom w:val="single" w:sz="4" w:space="0" w:color="000000"/>
            </w:tcBorders>
            <w:shd w:val="clear" w:color="auto" w:fill="91CF50"/>
          </w:tcPr>
          <w:p w14:paraId="70E32B8E" w14:textId="77777777" w:rsidR="001C6776" w:rsidRDefault="001C6776" w:rsidP="00DC2807">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560AD388" w14:textId="77777777" w:rsidR="001C6776" w:rsidRDefault="001C6776" w:rsidP="00DC2807">
            <w:pPr>
              <w:pStyle w:val="TableParagraph"/>
              <w:ind w:left="0"/>
            </w:pPr>
          </w:p>
          <w:p w14:paraId="7861E670" w14:textId="77777777" w:rsidR="001C6776" w:rsidRDefault="001C6776" w:rsidP="00DC2807">
            <w:pPr>
              <w:pStyle w:val="TableParagraph"/>
              <w:spacing w:before="20"/>
              <w:ind w:left="0"/>
            </w:pPr>
          </w:p>
          <w:p w14:paraId="5ED25551" w14:textId="77777777" w:rsidR="001C6776" w:rsidRDefault="001C6776" w:rsidP="00DC2807">
            <w:pPr>
              <w:pStyle w:val="TableParagraph"/>
              <w:spacing w:before="1"/>
              <w:ind w:left="111"/>
              <w:rPr>
                <w:rFonts w:ascii="SimSun-ExtB" w:hAnsi="SimSun-ExtB"/>
              </w:rPr>
            </w:pPr>
            <w:r>
              <w:t>No</w:t>
            </w:r>
            <w:r>
              <w:rPr>
                <w:spacing w:val="62"/>
              </w:rPr>
              <w:t xml:space="preserve"> </w:t>
            </w:r>
            <w:r>
              <w:rPr>
                <w:rFonts w:ascii="Segoe UI Symbol" w:hAnsi="Segoe UI Symbol" w:cs="Segoe UI Symbol"/>
                <w:spacing w:val="-10"/>
              </w:rPr>
              <w:t>☐</w:t>
            </w:r>
          </w:p>
        </w:tc>
      </w:tr>
      <w:tr w:rsidR="001C6776" w14:paraId="716849E7" w14:textId="77777777" w:rsidTr="00DC2807">
        <w:trPr>
          <w:trHeight w:val="1257"/>
        </w:trPr>
        <w:tc>
          <w:tcPr>
            <w:tcW w:w="2251" w:type="dxa"/>
            <w:tcBorders>
              <w:top w:val="single" w:sz="4" w:space="0" w:color="000000"/>
              <w:bottom w:val="single" w:sz="4" w:space="0" w:color="000000"/>
              <w:right w:val="single" w:sz="4" w:space="0" w:color="000000"/>
            </w:tcBorders>
          </w:tcPr>
          <w:p w14:paraId="4F7C29ED" w14:textId="77777777" w:rsidR="001C6776" w:rsidRDefault="001C6776" w:rsidP="00DC2807">
            <w:pPr>
              <w:pStyle w:val="TableParagraph"/>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14:paraId="69614D93" w14:textId="77777777" w:rsidR="001C6776" w:rsidRDefault="001C6776" w:rsidP="00DC2807">
            <w:pPr>
              <w:pStyle w:val="TableParagraph"/>
              <w:spacing w:line="360" w:lineRule="auto"/>
              <w:ind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create and check code.</w:t>
            </w:r>
          </w:p>
        </w:tc>
        <w:tc>
          <w:tcPr>
            <w:tcW w:w="1415" w:type="dxa"/>
            <w:tcBorders>
              <w:top w:val="single" w:sz="4" w:space="0" w:color="000000"/>
              <w:left w:val="single" w:sz="4" w:space="0" w:color="000000"/>
              <w:bottom w:val="single" w:sz="4" w:space="0" w:color="000000"/>
            </w:tcBorders>
          </w:tcPr>
          <w:p w14:paraId="54E9F07E" w14:textId="77777777" w:rsidR="001C6776" w:rsidRDefault="001C6776" w:rsidP="00DC2807">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2DBC07C9" w14:textId="77777777" w:rsidR="001C6776" w:rsidRDefault="001C6776" w:rsidP="00DC2807">
            <w:pPr>
              <w:pStyle w:val="TableParagraph"/>
              <w:ind w:left="0"/>
            </w:pPr>
          </w:p>
          <w:p w14:paraId="21838715" w14:textId="77777777" w:rsidR="001C6776" w:rsidRDefault="001C6776" w:rsidP="00DC2807">
            <w:pPr>
              <w:pStyle w:val="TableParagraph"/>
              <w:spacing w:before="19"/>
              <w:ind w:left="0"/>
            </w:pPr>
          </w:p>
          <w:p w14:paraId="4DE1FB08" w14:textId="77777777" w:rsidR="001C6776" w:rsidRDefault="001C6776" w:rsidP="00DC2807">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1C6776" w14:paraId="78593E59" w14:textId="77777777" w:rsidTr="00DC2807">
        <w:trPr>
          <w:trHeight w:val="1518"/>
        </w:trPr>
        <w:tc>
          <w:tcPr>
            <w:tcW w:w="2251" w:type="dxa"/>
            <w:tcBorders>
              <w:top w:val="single" w:sz="4" w:space="0" w:color="000000"/>
              <w:right w:val="single" w:sz="4" w:space="0" w:color="000000"/>
            </w:tcBorders>
          </w:tcPr>
          <w:p w14:paraId="48E8279E" w14:textId="77777777" w:rsidR="001C6776" w:rsidRDefault="001C6776" w:rsidP="00DC2807">
            <w:pPr>
              <w:pStyle w:val="TableParagraph"/>
              <w:ind w:left="105"/>
            </w:pPr>
            <w:r>
              <w:rPr>
                <w:spacing w:val="-4"/>
              </w:rPr>
              <w:t>NONE</w:t>
            </w:r>
          </w:p>
        </w:tc>
        <w:tc>
          <w:tcPr>
            <w:tcW w:w="5397" w:type="dxa"/>
            <w:tcBorders>
              <w:top w:val="single" w:sz="4" w:space="0" w:color="000000"/>
              <w:left w:val="single" w:sz="4" w:space="0" w:color="000000"/>
              <w:right w:val="single" w:sz="4" w:space="0" w:color="000000"/>
            </w:tcBorders>
          </w:tcPr>
          <w:p w14:paraId="0D44A641" w14:textId="77777777" w:rsidR="001C6776" w:rsidRDefault="001C6776" w:rsidP="00DC2807">
            <w:pPr>
              <w:pStyle w:val="TableParagraph"/>
              <w:spacing w:line="360" w:lineRule="auto"/>
              <w:ind w:right="89" w:hanging="1"/>
            </w:pPr>
            <w:r>
              <w:t xml:space="preserve">For this assessment, you are not allowed to use </w:t>
            </w:r>
            <w:r>
              <w:rPr>
                <w:rFonts w:ascii="Arial"/>
                <w:b/>
              </w:rPr>
              <w:t xml:space="preserve">any </w:t>
            </w:r>
            <w:r>
              <w:t>type</w:t>
            </w:r>
            <w:r>
              <w:rPr>
                <w:spacing w:val="-5"/>
              </w:rPr>
              <w:t xml:space="preserve"> </w:t>
            </w:r>
            <w:r>
              <w:t>of</w:t>
            </w:r>
            <w:r>
              <w:rPr>
                <w:spacing w:val="-5"/>
              </w:rPr>
              <w:t xml:space="preserve"> </w:t>
            </w:r>
            <w:r>
              <w:t>Generative</w:t>
            </w:r>
            <w:r>
              <w:rPr>
                <w:spacing w:val="-6"/>
              </w:rPr>
              <w:t xml:space="preserve"> </w:t>
            </w:r>
            <w:r>
              <w:t>AI</w:t>
            </w:r>
            <w:r>
              <w:rPr>
                <w:spacing w:val="-5"/>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1DAAB487" w14:textId="77777777" w:rsidR="001C6776" w:rsidRDefault="001C6776" w:rsidP="00DC2807">
            <w:pPr>
              <w:pStyle w:val="TableParagraph"/>
              <w:spacing w:line="252" w:lineRule="exact"/>
            </w:pPr>
            <w:r>
              <w:t>support</w:t>
            </w:r>
            <w:r>
              <w:rPr>
                <w:spacing w:val="-6"/>
              </w:rPr>
              <w:t xml:space="preserve"> </w:t>
            </w:r>
            <w:r>
              <w:t>and</w:t>
            </w:r>
            <w:r>
              <w:rPr>
                <w:spacing w:val="-2"/>
              </w:rPr>
              <w:t xml:space="preserve"> </w:t>
            </w:r>
            <w:r>
              <w:t>creative</w:t>
            </w:r>
            <w:r>
              <w:rPr>
                <w:spacing w:val="-4"/>
              </w:rPr>
              <w:t xml:space="preserve"> </w:t>
            </w:r>
            <w:r>
              <w:rPr>
                <w:spacing w:val="-2"/>
              </w:rPr>
              <w:t>support.</w:t>
            </w:r>
          </w:p>
        </w:tc>
        <w:tc>
          <w:tcPr>
            <w:tcW w:w="1415" w:type="dxa"/>
            <w:tcBorders>
              <w:top w:val="single" w:sz="4" w:space="0" w:color="000000"/>
              <w:left w:val="single" w:sz="4" w:space="0" w:color="000000"/>
            </w:tcBorders>
          </w:tcPr>
          <w:p w14:paraId="38DC5943" w14:textId="77777777" w:rsidR="001C6776" w:rsidRDefault="001C6776" w:rsidP="00DC2807">
            <w:pPr>
              <w:pStyle w:val="TableParagraph"/>
              <w:spacing w:before="3"/>
              <w:ind w:left="111"/>
              <w:rPr>
                <w:rFonts w:ascii="SimSun-ExtB" w:hAnsi="SimSun-ExtB"/>
              </w:rPr>
            </w:pPr>
            <w:r>
              <w:rPr>
                <w:rFonts w:ascii="Segoe UI Symbol" w:hAnsi="Segoe UI Symbol" w:cs="Segoe UI Symbol"/>
                <w:spacing w:val="-10"/>
              </w:rPr>
              <w:t>☐</w:t>
            </w:r>
          </w:p>
        </w:tc>
      </w:tr>
    </w:tbl>
    <w:p w14:paraId="12B9C276" w14:textId="77777777" w:rsidR="001C6776" w:rsidRPr="000B0049" w:rsidRDefault="001C6776" w:rsidP="001C6776"/>
    <w:p w14:paraId="7B65F285" w14:textId="77777777" w:rsidR="001C6776" w:rsidRDefault="001C6776" w:rsidP="001C6776">
      <w:pPr>
        <w:rPr>
          <w:rFonts w:ascii="Times New Roman" w:hAnsi="Times New Roman"/>
          <w:b/>
          <w:bCs/>
          <w:sz w:val="28"/>
          <w:szCs w:val="28"/>
        </w:rPr>
      </w:pPr>
    </w:p>
    <w:p w14:paraId="1115C75D" w14:textId="77777777" w:rsidR="001C6776" w:rsidRDefault="001C6776" w:rsidP="001C6776">
      <w:pPr>
        <w:jc w:val="center"/>
        <w:rPr>
          <w:b/>
          <w:bCs/>
          <w:sz w:val="28"/>
          <w:szCs w:val="28"/>
          <w:lang w:val="en-GB"/>
        </w:rPr>
      </w:pPr>
    </w:p>
    <w:p w14:paraId="0B8DF5C2" w14:textId="77777777" w:rsidR="001C6776" w:rsidRDefault="001C6776" w:rsidP="001C6776">
      <w:pPr>
        <w:jc w:val="center"/>
        <w:rPr>
          <w:b/>
          <w:bCs/>
          <w:sz w:val="28"/>
          <w:szCs w:val="28"/>
          <w:lang w:val="en-GB"/>
        </w:rPr>
      </w:pPr>
    </w:p>
    <w:p w14:paraId="6019C514" w14:textId="77777777" w:rsidR="001C6776" w:rsidRDefault="001C6776" w:rsidP="001C6776">
      <w:pPr>
        <w:jc w:val="center"/>
        <w:rPr>
          <w:b/>
          <w:bCs/>
          <w:sz w:val="28"/>
          <w:szCs w:val="28"/>
          <w:lang w:val="en-GB"/>
        </w:rPr>
      </w:pPr>
    </w:p>
    <w:p w14:paraId="57AA738B" w14:textId="77777777" w:rsidR="001C6776" w:rsidRDefault="001C6776" w:rsidP="001C6776">
      <w:pPr>
        <w:jc w:val="center"/>
        <w:rPr>
          <w:b/>
          <w:bCs/>
          <w:sz w:val="28"/>
          <w:szCs w:val="28"/>
          <w:lang w:val="en-GB"/>
        </w:rPr>
      </w:pPr>
    </w:p>
    <w:p w14:paraId="411F8F30" w14:textId="77777777" w:rsidR="001C6776" w:rsidRPr="00050DA1" w:rsidRDefault="001C6776" w:rsidP="001C6776">
      <w:pPr>
        <w:jc w:val="center"/>
        <w:rPr>
          <w:b/>
          <w:bCs/>
          <w:lang w:val="en-GB"/>
        </w:rPr>
      </w:pPr>
      <w:r w:rsidRPr="00050DA1">
        <w:rPr>
          <w:b/>
          <w:bCs/>
          <w:sz w:val="28"/>
          <w:szCs w:val="28"/>
          <w:lang w:val="en-GB"/>
        </w:rPr>
        <w:t>Generative AI Acknowledgement</w:t>
      </w:r>
    </w:p>
    <w:p w14:paraId="72C4E94B" w14:textId="77777777" w:rsidR="001C6776" w:rsidRPr="00050DA1" w:rsidRDefault="001C6776" w:rsidP="001C6776">
      <w:pPr>
        <w:rPr>
          <w:lang w:val="en-GB"/>
        </w:rPr>
      </w:pPr>
    </w:p>
    <w:p w14:paraId="0736DFAE" w14:textId="77777777" w:rsidR="001C6776" w:rsidRPr="00050DA1" w:rsidRDefault="001C6776" w:rsidP="001C6776">
      <w:pPr>
        <w:spacing w:before="240"/>
        <w:rPr>
          <w:lang w:val="en-GB"/>
        </w:rPr>
      </w:pPr>
      <w:r w:rsidRPr="00050DA1">
        <w:rPr>
          <w:lang w:val="en-GB"/>
        </w:rPr>
        <w:t>I note, in accordance with the assessment guidelines, the use of Generative AI (Gen AI) and electronic tools in preparing this assignment.</w:t>
      </w:r>
    </w:p>
    <w:p w14:paraId="5F2FCC62" w14:textId="77777777" w:rsidR="001C6776" w:rsidRPr="00050DA1" w:rsidRDefault="001C6776" w:rsidP="001C6776">
      <w:pPr>
        <w:spacing w:before="240"/>
        <w:rPr>
          <w:lang w:val="en-GB"/>
        </w:rPr>
      </w:pPr>
      <w:r w:rsidRPr="00050DA1">
        <w:rPr>
          <w:lang w:val="en-GB"/>
        </w:rPr>
        <w:t>Research: Generative AI tools were used in the research process: search, summarise, compare, question and explore relevant academic and other research materials. Reliability and quality are assured for the information and sources discovered in this process and before being used in this assignment. Suitable referencing of all sources made.</w:t>
      </w:r>
    </w:p>
    <w:p w14:paraId="47C0B1F4" w14:textId="77777777" w:rsidR="001C6776" w:rsidRPr="00050DA1" w:rsidRDefault="001C6776" w:rsidP="001C6776">
      <w:pPr>
        <w:spacing w:before="240"/>
        <w:rPr>
          <w:lang w:val="en-GB"/>
        </w:rPr>
      </w:pPr>
      <w:r w:rsidRPr="00050DA1">
        <w:rPr>
          <w:lang w:val="en-GB"/>
        </w:rPr>
        <w:t>Proofreading: I used Grammarly to proof read my work and correct grammar, spelling, punctuation, sentence structure and syntactical accuracy. I checked all the proposed suggestions and finalized the phrases and contents of my assignment.</w:t>
      </w:r>
    </w:p>
    <w:p w14:paraId="4677BC20" w14:textId="77777777" w:rsidR="001C6776" w:rsidRPr="00050DA1" w:rsidRDefault="001C6776" w:rsidP="001C6776">
      <w:pPr>
        <w:spacing w:before="240"/>
        <w:rPr>
          <w:lang w:val="en-GB"/>
        </w:rPr>
      </w:pPr>
      <w:r w:rsidRPr="00050DA1">
        <w:rPr>
          <w:lang w:val="en-GB"/>
        </w:rPr>
        <w:t>Creative materials: Where relevant, application of Canva to create and produce visual/creative materials for assignment. It was only a tool to enhance the look and presentation of my artwork.</w:t>
      </w:r>
    </w:p>
    <w:p w14:paraId="7A78F356" w14:textId="77777777" w:rsidR="001C6776" w:rsidRPr="00050DA1" w:rsidRDefault="001C6776" w:rsidP="001C6776">
      <w:pPr>
        <w:spacing w:before="240"/>
        <w:rPr>
          <w:lang w:val="en-GB"/>
        </w:rPr>
      </w:pPr>
      <w:r w:rsidRPr="00050DA1">
        <w:rPr>
          <w:lang w:val="en-GB"/>
        </w:rPr>
        <w:t>I am responsible for the content of this assignment including research, analysis, interpretation, arguments, conclusions, referencing and presentation of the assignment. I have read the final version and confirmed it is my own understanding and work and meets the assessment requirements and academic honesty.</w:t>
      </w:r>
    </w:p>
    <w:p w14:paraId="0D1C10AC" w14:textId="77777777" w:rsidR="001C6776" w:rsidRDefault="001C6776" w:rsidP="001C6776">
      <w:pPr>
        <w:pStyle w:val="Title"/>
      </w:pPr>
      <w:bookmarkStart w:id="0" w:name="_af31kygfr7zo" w:colFirst="0" w:colLast="0"/>
      <w:bookmarkEnd w:id="0"/>
    </w:p>
    <w:p w14:paraId="0742ED75" w14:textId="08B855A7" w:rsidR="00BD19AA" w:rsidRDefault="00BD19AA">
      <w:pPr>
        <w:rPr>
          <w:rFonts w:ascii="Arial" w:hAnsi="Arial" w:cs="Arial"/>
          <w:b/>
          <w:bCs/>
          <w:color w:val="000000" w:themeColor="text1"/>
          <w:sz w:val="32"/>
          <w:lang w:val="en-IN"/>
        </w:rPr>
      </w:pPr>
    </w:p>
    <w:p w14:paraId="6E20B38D" w14:textId="77777777" w:rsidR="001C6776" w:rsidRDefault="001C6776">
      <w:pPr>
        <w:rPr>
          <w:rFonts w:ascii="Arial" w:hAnsi="Arial" w:cs="Arial"/>
          <w:b/>
          <w:bCs/>
          <w:color w:val="000000" w:themeColor="text1"/>
          <w:sz w:val="32"/>
          <w:lang w:val="en-IN"/>
        </w:rPr>
      </w:pPr>
    </w:p>
    <w:p w14:paraId="2EC42036" w14:textId="77777777" w:rsidR="001C6776" w:rsidRDefault="001C6776">
      <w:pPr>
        <w:rPr>
          <w:rFonts w:ascii="Arial" w:hAnsi="Arial" w:cs="Arial"/>
          <w:b/>
          <w:bCs/>
          <w:color w:val="000000" w:themeColor="text1"/>
          <w:sz w:val="32"/>
          <w:lang w:val="en-IN"/>
        </w:rPr>
      </w:pPr>
    </w:p>
    <w:p w14:paraId="71790309" w14:textId="77777777" w:rsidR="001C6776" w:rsidRDefault="001C6776">
      <w:pPr>
        <w:rPr>
          <w:rFonts w:ascii="Arial" w:hAnsi="Arial" w:cs="Arial"/>
          <w:b/>
          <w:bCs/>
          <w:color w:val="000000" w:themeColor="text1"/>
          <w:sz w:val="32"/>
          <w:lang w:val="en-IN"/>
        </w:rPr>
      </w:pPr>
    </w:p>
    <w:p w14:paraId="3A308173" w14:textId="77777777" w:rsidR="001C6776" w:rsidRDefault="001C6776">
      <w:pPr>
        <w:rPr>
          <w:rFonts w:ascii="Arial" w:hAnsi="Arial" w:cs="Arial"/>
          <w:b/>
          <w:bCs/>
          <w:color w:val="000000" w:themeColor="text1"/>
          <w:sz w:val="32"/>
          <w:lang w:val="en-IN"/>
        </w:rPr>
      </w:pPr>
    </w:p>
    <w:p w14:paraId="29CD5138" w14:textId="77777777" w:rsidR="001C6776" w:rsidRDefault="001C6776">
      <w:pPr>
        <w:rPr>
          <w:rFonts w:ascii="Arial" w:hAnsi="Arial" w:cs="Arial"/>
          <w:b/>
          <w:bCs/>
          <w:color w:val="000000" w:themeColor="text1"/>
          <w:sz w:val="32"/>
          <w:lang w:val="en-IN"/>
        </w:rPr>
      </w:pPr>
    </w:p>
    <w:p w14:paraId="6D9C8BC8" w14:textId="77777777" w:rsidR="001C6776" w:rsidRDefault="001C6776">
      <w:pPr>
        <w:rPr>
          <w:rFonts w:ascii="Arial" w:hAnsi="Arial" w:cs="Arial"/>
          <w:b/>
          <w:bCs/>
          <w:color w:val="000000" w:themeColor="text1"/>
          <w:sz w:val="32"/>
          <w:lang w:val="en-IN"/>
        </w:rPr>
      </w:pPr>
    </w:p>
    <w:p w14:paraId="2E287274" w14:textId="77777777" w:rsidR="001C6776" w:rsidRDefault="001C6776">
      <w:pPr>
        <w:rPr>
          <w:rFonts w:ascii="Arial" w:hAnsi="Arial" w:cs="Arial"/>
          <w:b/>
          <w:bCs/>
          <w:color w:val="000000" w:themeColor="text1"/>
          <w:sz w:val="32"/>
          <w:lang w:val="en-IN"/>
        </w:rPr>
      </w:pPr>
    </w:p>
    <w:p w14:paraId="153DF503" w14:textId="77777777" w:rsidR="001C6776" w:rsidRDefault="001C6776">
      <w:pPr>
        <w:rPr>
          <w:rFonts w:ascii="Arial" w:hAnsi="Arial" w:cs="Arial"/>
          <w:b/>
          <w:bCs/>
          <w:color w:val="000000" w:themeColor="text1"/>
          <w:sz w:val="32"/>
          <w:lang w:val="en-IN"/>
        </w:rPr>
      </w:pPr>
    </w:p>
    <w:p w14:paraId="19DFCE2B" w14:textId="77777777" w:rsidR="001C6776" w:rsidRDefault="001C6776">
      <w:pPr>
        <w:rPr>
          <w:rFonts w:ascii="Arial" w:hAnsi="Arial" w:cs="Arial"/>
          <w:b/>
          <w:bCs/>
          <w:color w:val="000000" w:themeColor="text1"/>
          <w:sz w:val="32"/>
          <w:lang w:val="en-IN"/>
        </w:rPr>
      </w:pPr>
    </w:p>
    <w:p w14:paraId="437320D7" w14:textId="77777777" w:rsidR="001C6776" w:rsidRPr="00EA5335" w:rsidRDefault="001C6776">
      <w:pPr>
        <w:rPr>
          <w:rFonts w:ascii="Arial" w:hAnsi="Arial" w:cs="Arial"/>
          <w:b/>
          <w:bCs/>
          <w:color w:val="000000" w:themeColor="text1"/>
          <w:sz w:val="32"/>
          <w:lang w:val="en-IN"/>
        </w:rPr>
      </w:pPr>
    </w:p>
    <w:sdt>
      <w:sdtPr>
        <w:rPr>
          <w:rFonts w:asciiTheme="minorHAnsi" w:eastAsiaTheme="minorHAnsi" w:hAnsiTheme="minorHAnsi" w:cstheme="minorBidi"/>
          <w:b/>
          <w:color w:val="000000" w:themeColor="text1"/>
          <w:sz w:val="22"/>
          <w:szCs w:val="22"/>
          <w:lang w:val="en-AU"/>
        </w:rPr>
        <w:id w:val="-1597696706"/>
        <w:docPartObj>
          <w:docPartGallery w:val="Table of Contents"/>
          <w:docPartUnique/>
        </w:docPartObj>
      </w:sdtPr>
      <w:sdtEndPr>
        <w:rPr>
          <w:bCs/>
          <w:noProof/>
        </w:rPr>
      </w:sdtEndPr>
      <w:sdtContent>
        <w:p w14:paraId="2D9C65EA" w14:textId="77777777" w:rsidR="00825418" w:rsidRPr="00EA5335" w:rsidRDefault="00825418" w:rsidP="00825418">
          <w:pPr>
            <w:pStyle w:val="TOCHeading"/>
            <w:spacing w:line="360" w:lineRule="auto"/>
            <w:jc w:val="center"/>
            <w:rPr>
              <w:rFonts w:ascii="Arial" w:hAnsi="Arial" w:cs="Arial"/>
              <w:b/>
              <w:color w:val="000000" w:themeColor="text1"/>
              <w:sz w:val="24"/>
              <w:szCs w:val="24"/>
            </w:rPr>
          </w:pPr>
          <w:r w:rsidRPr="00EA5335">
            <w:rPr>
              <w:rFonts w:ascii="Arial" w:hAnsi="Arial" w:cs="Arial"/>
              <w:b/>
              <w:color w:val="000000" w:themeColor="text1"/>
              <w:sz w:val="24"/>
              <w:szCs w:val="24"/>
            </w:rPr>
            <w:t>Table of Contents</w:t>
          </w:r>
        </w:p>
        <w:p w14:paraId="1B730F4D" w14:textId="14CBCDE0" w:rsidR="00BC4E89" w:rsidRDefault="00825418">
          <w:pPr>
            <w:pStyle w:val="TOC1"/>
            <w:tabs>
              <w:tab w:val="right" w:leader="dot" w:pos="9016"/>
            </w:tabs>
            <w:rPr>
              <w:rFonts w:eastAsiaTheme="minorEastAsia"/>
              <w:noProof/>
              <w:kern w:val="2"/>
              <w:sz w:val="24"/>
              <w:szCs w:val="24"/>
              <w:lang w:val="en-IN" w:eastAsia="en-IN"/>
              <w14:ligatures w14:val="standardContextual"/>
            </w:rPr>
          </w:pPr>
          <w:r w:rsidRPr="00EA5335">
            <w:rPr>
              <w:rFonts w:ascii="Arial" w:hAnsi="Arial" w:cs="Arial"/>
              <w:color w:val="000000" w:themeColor="text1"/>
              <w:sz w:val="24"/>
              <w:szCs w:val="24"/>
            </w:rPr>
            <w:fldChar w:fldCharType="begin"/>
          </w:r>
          <w:r w:rsidRPr="00EA5335">
            <w:rPr>
              <w:rFonts w:ascii="Arial" w:hAnsi="Arial" w:cs="Arial"/>
              <w:color w:val="000000" w:themeColor="text1"/>
              <w:sz w:val="24"/>
              <w:szCs w:val="24"/>
            </w:rPr>
            <w:instrText xml:space="preserve"> TOC \o "1-3" \h \z \u </w:instrText>
          </w:r>
          <w:r w:rsidRPr="00EA5335">
            <w:rPr>
              <w:rFonts w:ascii="Arial" w:hAnsi="Arial" w:cs="Arial"/>
              <w:color w:val="000000" w:themeColor="text1"/>
              <w:sz w:val="24"/>
              <w:szCs w:val="24"/>
            </w:rPr>
            <w:fldChar w:fldCharType="separate"/>
          </w:r>
          <w:hyperlink w:anchor="_Toc237217077" w:history="1">
            <w:r w:rsidR="00BC4E89" w:rsidRPr="00251420">
              <w:rPr>
                <w:rStyle w:val="Hyperlink"/>
                <w:noProof/>
              </w:rPr>
              <w:t>SECTION 1</w:t>
            </w:r>
            <w:r w:rsidR="00BC4E89">
              <w:rPr>
                <w:noProof/>
                <w:webHidden/>
              </w:rPr>
              <w:tab/>
            </w:r>
            <w:r w:rsidR="00BC4E89">
              <w:rPr>
                <w:noProof/>
                <w:webHidden/>
              </w:rPr>
              <w:fldChar w:fldCharType="begin"/>
            </w:r>
            <w:r w:rsidR="00BC4E89">
              <w:rPr>
                <w:noProof/>
                <w:webHidden/>
              </w:rPr>
              <w:instrText xml:space="preserve"> PAGEREF _Toc237217077 \h </w:instrText>
            </w:r>
            <w:r w:rsidR="00BC4E89">
              <w:rPr>
                <w:noProof/>
                <w:webHidden/>
              </w:rPr>
            </w:r>
            <w:r w:rsidR="00BC4E89">
              <w:rPr>
                <w:noProof/>
                <w:webHidden/>
              </w:rPr>
              <w:fldChar w:fldCharType="separate"/>
            </w:r>
            <w:r w:rsidR="001C6776">
              <w:rPr>
                <w:noProof/>
                <w:webHidden/>
              </w:rPr>
              <w:t>5</w:t>
            </w:r>
            <w:r w:rsidR="00BC4E89">
              <w:rPr>
                <w:noProof/>
                <w:webHidden/>
              </w:rPr>
              <w:fldChar w:fldCharType="end"/>
            </w:r>
          </w:hyperlink>
        </w:p>
        <w:p w14:paraId="281EBD30" w14:textId="6179F7A5" w:rsidR="00BC4E89" w:rsidRDefault="00BC4E89">
          <w:pPr>
            <w:pStyle w:val="TOC2"/>
            <w:tabs>
              <w:tab w:val="right" w:leader="dot" w:pos="9016"/>
            </w:tabs>
            <w:rPr>
              <w:rFonts w:eastAsiaTheme="minorEastAsia"/>
              <w:noProof/>
              <w:kern w:val="2"/>
              <w:sz w:val="24"/>
              <w:szCs w:val="24"/>
              <w:lang w:val="en-IN" w:eastAsia="en-IN"/>
              <w14:ligatures w14:val="standardContextual"/>
            </w:rPr>
          </w:pPr>
          <w:hyperlink w:anchor="_Toc237217078" w:history="1">
            <w:r w:rsidRPr="00251420">
              <w:rPr>
                <w:rStyle w:val="Hyperlink"/>
                <w:noProof/>
              </w:rPr>
              <w:t>1. Introduction</w:t>
            </w:r>
            <w:r>
              <w:rPr>
                <w:noProof/>
                <w:webHidden/>
              </w:rPr>
              <w:tab/>
            </w:r>
            <w:r>
              <w:rPr>
                <w:noProof/>
                <w:webHidden/>
              </w:rPr>
              <w:fldChar w:fldCharType="begin"/>
            </w:r>
            <w:r>
              <w:rPr>
                <w:noProof/>
                <w:webHidden/>
              </w:rPr>
              <w:instrText xml:space="preserve"> PAGEREF _Toc237217078 \h </w:instrText>
            </w:r>
            <w:r>
              <w:rPr>
                <w:noProof/>
                <w:webHidden/>
              </w:rPr>
            </w:r>
            <w:r>
              <w:rPr>
                <w:noProof/>
                <w:webHidden/>
              </w:rPr>
              <w:fldChar w:fldCharType="separate"/>
            </w:r>
            <w:r w:rsidR="001C6776">
              <w:rPr>
                <w:noProof/>
                <w:webHidden/>
              </w:rPr>
              <w:t>5</w:t>
            </w:r>
            <w:r>
              <w:rPr>
                <w:noProof/>
                <w:webHidden/>
              </w:rPr>
              <w:fldChar w:fldCharType="end"/>
            </w:r>
          </w:hyperlink>
        </w:p>
        <w:p w14:paraId="3E4CA777" w14:textId="100E261A" w:rsidR="00BC4E89" w:rsidRDefault="00BC4E89">
          <w:pPr>
            <w:pStyle w:val="TOC2"/>
            <w:tabs>
              <w:tab w:val="right" w:leader="dot" w:pos="9016"/>
            </w:tabs>
            <w:rPr>
              <w:rFonts w:eastAsiaTheme="minorEastAsia"/>
              <w:noProof/>
              <w:kern w:val="2"/>
              <w:sz w:val="24"/>
              <w:szCs w:val="24"/>
              <w:lang w:val="en-IN" w:eastAsia="en-IN"/>
              <w14:ligatures w14:val="standardContextual"/>
            </w:rPr>
          </w:pPr>
          <w:hyperlink w:anchor="_Toc237217079" w:history="1">
            <w:r w:rsidRPr="00251420">
              <w:rPr>
                <w:rStyle w:val="Hyperlink"/>
                <w:noProof/>
              </w:rPr>
              <w:t>2. Organisational Classification and Global Strategy</w:t>
            </w:r>
            <w:r>
              <w:rPr>
                <w:noProof/>
                <w:webHidden/>
              </w:rPr>
              <w:tab/>
            </w:r>
            <w:r>
              <w:rPr>
                <w:noProof/>
                <w:webHidden/>
              </w:rPr>
              <w:fldChar w:fldCharType="begin"/>
            </w:r>
            <w:r>
              <w:rPr>
                <w:noProof/>
                <w:webHidden/>
              </w:rPr>
              <w:instrText xml:space="preserve"> PAGEREF _Toc237217079 \h </w:instrText>
            </w:r>
            <w:r>
              <w:rPr>
                <w:noProof/>
                <w:webHidden/>
              </w:rPr>
            </w:r>
            <w:r>
              <w:rPr>
                <w:noProof/>
                <w:webHidden/>
              </w:rPr>
              <w:fldChar w:fldCharType="separate"/>
            </w:r>
            <w:r w:rsidR="001C6776">
              <w:rPr>
                <w:noProof/>
                <w:webHidden/>
              </w:rPr>
              <w:t>5</w:t>
            </w:r>
            <w:r>
              <w:rPr>
                <w:noProof/>
                <w:webHidden/>
              </w:rPr>
              <w:fldChar w:fldCharType="end"/>
            </w:r>
          </w:hyperlink>
        </w:p>
        <w:p w14:paraId="1DC14F95" w14:textId="4582BA94"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80" w:history="1">
            <w:r w:rsidRPr="00251420">
              <w:rPr>
                <w:rStyle w:val="Hyperlink"/>
                <w:noProof/>
              </w:rPr>
              <w:t>2.1 Strategic Categorisation</w:t>
            </w:r>
            <w:r>
              <w:rPr>
                <w:noProof/>
                <w:webHidden/>
              </w:rPr>
              <w:tab/>
            </w:r>
            <w:r>
              <w:rPr>
                <w:noProof/>
                <w:webHidden/>
              </w:rPr>
              <w:fldChar w:fldCharType="begin"/>
            </w:r>
            <w:r>
              <w:rPr>
                <w:noProof/>
                <w:webHidden/>
              </w:rPr>
              <w:instrText xml:space="preserve"> PAGEREF _Toc237217080 \h </w:instrText>
            </w:r>
            <w:r>
              <w:rPr>
                <w:noProof/>
                <w:webHidden/>
              </w:rPr>
            </w:r>
            <w:r>
              <w:rPr>
                <w:noProof/>
                <w:webHidden/>
              </w:rPr>
              <w:fldChar w:fldCharType="separate"/>
            </w:r>
            <w:r w:rsidR="001C6776">
              <w:rPr>
                <w:noProof/>
                <w:webHidden/>
              </w:rPr>
              <w:t>5</w:t>
            </w:r>
            <w:r>
              <w:rPr>
                <w:noProof/>
                <w:webHidden/>
              </w:rPr>
              <w:fldChar w:fldCharType="end"/>
            </w:r>
          </w:hyperlink>
        </w:p>
        <w:p w14:paraId="1C16C852" w14:textId="7D44F058"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81" w:history="1">
            <w:r w:rsidRPr="00251420">
              <w:rPr>
                <w:rStyle w:val="Hyperlink"/>
                <w:noProof/>
              </w:rPr>
              <w:t>2.2 Global Configuration and Competitive Advantage</w:t>
            </w:r>
            <w:r>
              <w:rPr>
                <w:noProof/>
                <w:webHidden/>
              </w:rPr>
              <w:tab/>
            </w:r>
            <w:r>
              <w:rPr>
                <w:noProof/>
                <w:webHidden/>
              </w:rPr>
              <w:fldChar w:fldCharType="begin"/>
            </w:r>
            <w:r>
              <w:rPr>
                <w:noProof/>
                <w:webHidden/>
              </w:rPr>
              <w:instrText xml:space="preserve"> PAGEREF _Toc237217081 \h </w:instrText>
            </w:r>
            <w:r>
              <w:rPr>
                <w:noProof/>
                <w:webHidden/>
              </w:rPr>
            </w:r>
            <w:r>
              <w:rPr>
                <w:noProof/>
                <w:webHidden/>
              </w:rPr>
              <w:fldChar w:fldCharType="separate"/>
            </w:r>
            <w:r w:rsidR="001C6776">
              <w:rPr>
                <w:noProof/>
                <w:webHidden/>
              </w:rPr>
              <w:t>6</w:t>
            </w:r>
            <w:r>
              <w:rPr>
                <w:noProof/>
                <w:webHidden/>
              </w:rPr>
              <w:fldChar w:fldCharType="end"/>
            </w:r>
          </w:hyperlink>
        </w:p>
        <w:p w14:paraId="310FA651" w14:textId="2B875956" w:rsidR="00BC4E89" w:rsidRDefault="00BC4E89">
          <w:pPr>
            <w:pStyle w:val="TOC2"/>
            <w:tabs>
              <w:tab w:val="right" w:leader="dot" w:pos="9016"/>
            </w:tabs>
            <w:rPr>
              <w:rFonts w:eastAsiaTheme="minorEastAsia"/>
              <w:noProof/>
              <w:kern w:val="2"/>
              <w:sz w:val="24"/>
              <w:szCs w:val="24"/>
              <w:lang w:val="en-IN" w:eastAsia="en-IN"/>
              <w14:ligatures w14:val="standardContextual"/>
            </w:rPr>
          </w:pPr>
          <w:hyperlink w:anchor="_Toc237217082" w:history="1">
            <w:r w:rsidRPr="00251420">
              <w:rPr>
                <w:rStyle w:val="Hyperlink"/>
                <w:noProof/>
              </w:rPr>
              <w:t>3. Macro-Environmental Appraisal and Market Attractiveness</w:t>
            </w:r>
            <w:r>
              <w:rPr>
                <w:noProof/>
                <w:webHidden/>
              </w:rPr>
              <w:tab/>
            </w:r>
            <w:r>
              <w:rPr>
                <w:noProof/>
                <w:webHidden/>
              </w:rPr>
              <w:fldChar w:fldCharType="begin"/>
            </w:r>
            <w:r>
              <w:rPr>
                <w:noProof/>
                <w:webHidden/>
              </w:rPr>
              <w:instrText xml:space="preserve"> PAGEREF _Toc237217082 \h </w:instrText>
            </w:r>
            <w:r>
              <w:rPr>
                <w:noProof/>
                <w:webHidden/>
              </w:rPr>
            </w:r>
            <w:r>
              <w:rPr>
                <w:noProof/>
                <w:webHidden/>
              </w:rPr>
              <w:fldChar w:fldCharType="separate"/>
            </w:r>
            <w:r w:rsidR="001C6776">
              <w:rPr>
                <w:noProof/>
                <w:webHidden/>
              </w:rPr>
              <w:t>7</w:t>
            </w:r>
            <w:r>
              <w:rPr>
                <w:noProof/>
                <w:webHidden/>
              </w:rPr>
              <w:fldChar w:fldCharType="end"/>
            </w:r>
          </w:hyperlink>
        </w:p>
        <w:p w14:paraId="406C3191" w14:textId="104B873F"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83" w:history="1">
            <w:r w:rsidRPr="00251420">
              <w:rPr>
                <w:rStyle w:val="Hyperlink"/>
                <w:noProof/>
              </w:rPr>
              <w:t>3.1 Political and Regulatory Conditions</w:t>
            </w:r>
            <w:r>
              <w:rPr>
                <w:noProof/>
                <w:webHidden/>
              </w:rPr>
              <w:tab/>
            </w:r>
            <w:r>
              <w:rPr>
                <w:noProof/>
                <w:webHidden/>
              </w:rPr>
              <w:fldChar w:fldCharType="begin"/>
            </w:r>
            <w:r>
              <w:rPr>
                <w:noProof/>
                <w:webHidden/>
              </w:rPr>
              <w:instrText xml:space="preserve"> PAGEREF _Toc237217083 \h </w:instrText>
            </w:r>
            <w:r>
              <w:rPr>
                <w:noProof/>
                <w:webHidden/>
              </w:rPr>
            </w:r>
            <w:r>
              <w:rPr>
                <w:noProof/>
                <w:webHidden/>
              </w:rPr>
              <w:fldChar w:fldCharType="separate"/>
            </w:r>
            <w:r w:rsidR="001C6776">
              <w:rPr>
                <w:noProof/>
                <w:webHidden/>
              </w:rPr>
              <w:t>7</w:t>
            </w:r>
            <w:r>
              <w:rPr>
                <w:noProof/>
                <w:webHidden/>
              </w:rPr>
              <w:fldChar w:fldCharType="end"/>
            </w:r>
          </w:hyperlink>
        </w:p>
        <w:p w14:paraId="11B64DBD" w14:textId="1CABD891"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84" w:history="1">
            <w:r w:rsidRPr="00251420">
              <w:rPr>
                <w:rStyle w:val="Hyperlink"/>
                <w:noProof/>
              </w:rPr>
              <w:t>3.2 Economic Attractiveness and Purchasing Power</w:t>
            </w:r>
            <w:r>
              <w:rPr>
                <w:noProof/>
                <w:webHidden/>
              </w:rPr>
              <w:tab/>
            </w:r>
            <w:r>
              <w:rPr>
                <w:noProof/>
                <w:webHidden/>
              </w:rPr>
              <w:fldChar w:fldCharType="begin"/>
            </w:r>
            <w:r>
              <w:rPr>
                <w:noProof/>
                <w:webHidden/>
              </w:rPr>
              <w:instrText xml:space="preserve"> PAGEREF _Toc237217084 \h </w:instrText>
            </w:r>
            <w:r>
              <w:rPr>
                <w:noProof/>
                <w:webHidden/>
              </w:rPr>
            </w:r>
            <w:r>
              <w:rPr>
                <w:noProof/>
                <w:webHidden/>
              </w:rPr>
              <w:fldChar w:fldCharType="separate"/>
            </w:r>
            <w:r w:rsidR="001C6776">
              <w:rPr>
                <w:noProof/>
                <w:webHidden/>
              </w:rPr>
              <w:t>8</w:t>
            </w:r>
            <w:r>
              <w:rPr>
                <w:noProof/>
                <w:webHidden/>
              </w:rPr>
              <w:fldChar w:fldCharType="end"/>
            </w:r>
          </w:hyperlink>
        </w:p>
        <w:p w14:paraId="19D0F8C5" w14:textId="720181CE"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85" w:history="1">
            <w:r w:rsidRPr="00251420">
              <w:rPr>
                <w:rStyle w:val="Hyperlink"/>
                <w:noProof/>
              </w:rPr>
              <w:t>3.3 Competitive Conditions and Retail Economics</w:t>
            </w:r>
            <w:r>
              <w:rPr>
                <w:noProof/>
                <w:webHidden/>
              </w:rPr>
              <w:tab/>
            </w:r>
            <w:r>
              <w:rPr>
                <w:noProof/>
                <w:webHidden/>
              </w:rPr>
              <w:fldChar w:fldCharType="begin"/>
            </w:r>
            <w:r>
              <w:rPr>
                <w:noProof/>
                <w:webHidden/>
              </w:rPr>
              <w:instrText xml:space="preserve"> PAGEREF _Toc237217085 \h </w:instrText>
            </w:r>
            <w:r>
              <w:rPr>
                <w:noProof/>
                <w:webHidden/>
              </w:rPr>
            </w:r>
            <w:r>
              <w:rPr>
                <w:noProof/>
                <w:webHidden/>
              </w:rPr>
              <w:fldChar w:fldCharType="separate"/>
            </w:r>
            <w:r w:rsidR="001C6776">
              <w:rPr>
                <w:noProof/>
                <w:webHidden/>
              </w:rPr>
              <w:t>10</w:t>
            </w:r>
            <w:r>
              <w:rPr>
                <w:noProof/>
                <w:webHidden/>
              </w:rPr>
              <w:fldChar w:fldCharType="end"/>
            </w:r>
          </w:hyperlink>
        </w:p>
        <w:p w14:paraId="00E45E62" w14:textId="2F2E9181"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86" w:history="1">
            <w:r w:rsidRPr="00251420">
              <w:rPr>
                <w:rStyle w:val="Hyperlink"/>
                <w:noProof/>
              </w:rPr>
              <w:t>3.4 Legal, Digital, and Consumer Responsibilities</w:t>
            </w:r>
            <w:r>
              <w:rPr>
                <w:noProof/>
                <w:webHidden/>
              </w:rPr>
              <w:tab/>
            </w:r>
            <w:r>
              <w:rPr>
                <w:noProof/>
                <w:webHidden/>
              </w:rPr>
              <w:fldChar w:fldCharType="begin"/>
            </w:r>
            <w:r>
              <w:rPr>
                <w:noProof/>
                <w:webHidden/>
              </w:rPr>
              <w:instrText xml:space="preserve"> PAGEREF _Toc237217086 \h </w:instrText>
            </w:r>
            <w:r>
              <w:rPr>
                <w:noProof/>
                <w:webHidden/>
              </w:rPr>
            </w:r>
            <w:r>
              <w:rPr>
                <w:noProof/>
                <w:webHidden/>
              </w:rPr>
              <w:fldChar w:fldCharType="separate"/>
            </w:r>
            <w:r w:rsidR="001C6776">
              <w:rPr>
                <w:noProof/>
                <w:webHidden/>
              </w:rPr>
              <w:t>11</w:t>
            </w:r>
            <w:r>
              <w:rPr>
                <w:noProof/>
                <w:webHidden/>
              </w:rPr>
              <w:fldChar w:fldCharType="end"/>
            </w:r>
          </w:hyperlink>
        </w:p>
        <w:p w14:paraId="54058DA6" w14:textId="6B4F7095"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87" w:history="1">
            <w:r w:rsidRPr="00251420">
              <w:rPr>
                <w:rStyle w:val="Hyperlink"/>
                <w:noProof/>
              </w:rPr>
              <w:t>3.5 Cultural Responsiveness and Consumer Behaviour</w:t>
            </w:r>
            <w:r>
              <w:rPr>
                <w:noProof/>
                <w:webHidden/>
              </w:rPr>
              <w:tab/>
            </w:r>
            <w:r>
              <w:rPr>
                <w:noProof/>
                <w:webHidden/>
              </w:rPr>
              <w:fldChar w:fldCharType="begin"/>
            </w:r>
            <w:r>
              <w:rPr>
                <w:noProof/>
                <w:webHidden/>
              </w:rPr>
              <w:instrText xml:space="preserve"> PAGEREF _Toc237217087 \h </w:instrText>
            </w:r>
            <w:r>
              <w:rPr>
                <w:noProof/>
                <w:webHidden/>
              </w:rPr>
            </w:r>
            <w:r>
              <w:rPr>
                <w:noProof/>
                <w:webHidden/>
              </w:rPr>
              <w:fldChar w:fldCharType="separate"/>
            </w:r>
            <w:r w:rsidR="001C6776">
              <w:rPr>
                <w:noProof/>
                <w:webHidden/>
              </w:rPr>
              <w:t>12</w:t>
            </w:r>
            <w:r>
              <w:rPr>
                <w:noProof/>
                <w:webHidden/>
              </w:rPr>
              <w:fldChar w:fldCharType="end"/>
            </w:r>
          </w:hyperlink>
        </w:p>
        <w:p w14:paraId="7417EE0C" w14:textId="15BAD55E"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88" w:history="1">
            <w:r w:rsidRPr="00251420">
              <w:rPr>
                <w:rStyle w:val="Hyperlink"/>
                <w:noProof/>
              </w:rPr>
              <w:t>3.6 Sustainability and Supply-Chain Legitimacy</w:t>
            </w:r>
            <w:r>
              <w:rPr>
                <w:noProof/>
                <w:webHidden/>
              </w:rPr>
              <w:tab/>
            </w:r>
            <w:r>
              <w:rPr>
                <w:noProof/>
                <w:webHidden/>
              </w:rPr>
              <w:fldChar w:fldCharType="begin"/>
            </w:r>
            <w:r>
              <w:rPr>
                <w:noProof/>
                <w:webHidden/>
              </w:rPr>
              <w:instrText xml:space="preserve"> PAGEREF _Toc237217088 \h </w:instrText>
            </w:r>
            <w:r>
              <w:rPr>
                <w:noProof/>
                <w:webHidden/>
              </w:rPr>
            </w:r>
            <w:r>
              <w:rPr>
                <w:noProof/>
                <w:webHidden/>
              </w:rPr>
              <w:fldChar w:fldCharType="separate"/>
            </w:r>
            <w:r w:rsidR="001C6776">
              <w:rPr>
                <w:noProof/>
                <w:webHidden/>
              </w:rPr>
              <w:t>13</w:t>
            </w:r>
            <w:r>
              <w:rPr>
                <w:noProof/>
                <w:webHidden/>
              </w:rPr>
              <w:fldChar w:fldCharType="end"/>
            </w:r>
          </w:hyperlink>
        </w:p>
        <w:p w14:paraId="5514385F" w14:textId="4408E4F7" w:rsidR="00BC4E89" w:rsidRDefault="00BC4E89">
          <w:pPr>
            <w:pStyle w:val="TOC2"/>
            <w:tabs>
              <w:tab w:val="right" w:leader="dot" w:pos="9016"/>
            </w:tabs>
            <w:rPr>
              <w:rFonts w:eastAsiaTheme="minorEastAsia"/>
              <w:noProof/>
              <w:kern w:val="2"/>
              <w:sz w:val="24"/>
              <w:szCs w:val="24"/>
              <w:lang w:val="en-IN" w:eastAsia="en-IN"/>
              <w14:ligatures w14:val="standardContextual"/>
            </w:rPr>
          </w:pPr>
          <w:hyperlink w:anchor="_Toc237217089" w:history="1">
            <w:r w:rsidRPr="00251420">
              <w:rPr>
                <w:rStyle w:val="Hyperlink"/>
                <w:noProof/>
              </w:rPr>
              <w:t>4. OLI Analysis and Entry-Mode Strategy</w:t>
            </w:r>
            <w:r>
              <w:rPr>
                <w:noProof/>
                <w:webHidden/>
              </w:rPr>
              <w:tab/>
            </w:r>
            <w:r>
              <w:rPr>
                <w:noProof/>
                <w:webHidden/>
              </w:rPr>
              <w:fldChar w:fldCharType="begin"/>
            </w:r>
            <w:r>
              <w:rPr>
                <w:noProof/>
                <w:webHidden/>
              </w:rPr>
              <w:instrText xml:space="preserve"> PAGEREF _Toc237217089 \h </w:instrText>
            </w:r>
            <w:r>
              <w:rPr>
                <w:noProof/>
                <w:webHidden/>
              </w:rPr>
            </w:r>
            <w:r>
              <w:rPr>
                <w:noProof/>
                <w:webHidden/>
              </w:rPr>
              <w:fldChar w:fldCharType="separate"/>
            </w:r>
            <w:r w:rsidR="001C6776">
              <w:rPr>
                <w:noProof/>
                <w:webHidden/>
              </w:rPr>
              <w:t>15</w:t>
            </w:r>
            <w:r>
              <w:rPr>
                <w:noProof/>
                <w:webHidden/>
              </w:rPr>
              <w:fldChar w:fldCharType="end"/>
            </w:r>
          </w:hyperlink>
        </w:p>
        <w:p w14:paraId="03C371A7" w14:textId="2105DF11"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90" w:history="1">
            <w:r w:rsidRPr="00251420">
              <w:rPr>
                <w:rStyle w:val="Hyperlink"/>
                <w:noProof/>
              </w:rPr>
              <w:t>4.1 Ownership, Location, and Internalisation</w:t>
            </w:r>
            <w:r>
              <w:rPr>
                <w:noProof/>
                <w:webHidden/>
              </w:rPr>
              <w:tab/>
            </w:r>
            <w:r>
              <w:rPr>
                <w:noProof/>
                <w:webHidden/>
              </w:rPr>
              <w:fldChar w:fldCharType="begin"/>
            </w:r>
            <w:r>
              <w:rPr>
                <w:noProof/>
                <w:webHidden/>
              </w:rPr>
              <w:instrText xml:space="preserve"> PAGEREF _Toc237217090 \h </w:instrText>
            </w:r>
            <w:r>
              <w:rPr>
                <w:noProof/>
                <w:webHidden/>
              </w:rPr>
            </w:r>
            <w:r>
              <w:rPr>
                <w:noProof/>
                <w:webHidden/>
              </w:rPr>
              <w:fldChar w:fldCharType="separate"/>
            </w:r>
            <w:r w:rsidR="001C6776">
              <w:rPr>
                <w:noProof/>
                <w:webHidden/>
              </w:rPr>
              <w:t>15</w:t>
            </w:r>
            <w:r>
              <w:rPr>
                <w:noProof/>
                <w:webHidden/>
              </w:rPr>
              <w:fldChar w:fldCharType="end"/>
            </w:r>
          </w:hyperlink>
        </w:p>
        <w:p w14:paraId="7BEBBEAC" w14:textId="44A9A750"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91" w:history="1">
            <w:r w:rsidRPr="00251420">
              <w:rPr>
                <w:rStyle w:val="Hyperlink"/>
                <w:noProof/>
              </w:rPr>
              <w:t>4.2 Historical Entry Pattern</w:t>
            </w:r>
            <w:r>
              <w:rPr>
                <w:noProof/>
                <w:webHidden/>
              </w:rPr>
              <w:tab/>
            </w:r>
            <w:r>
              <w:rPr>
                <w:noProof/>
                <w:webHidden/>
              </w:rPr>
              <w:fldChar w:fldCharType="begin"/>
            </w:r>
            <w:r>
              <w:rPr>
                <w:noProof/>
                <w:webHidden/>
              </w:rPr>
              <w:instrText xml:space="preserve"> PAGEREF _Toc237217091 \h </w:instrText>
            </w:r>
            <w:r>
              <w:rPr>
                <w:noProof/>
                <w:webHidden/>
              </w:rPr>
            </w:r>
            <w:r>
              <w:rPr>
                <w:noProof/>
                <w:webHidden/>
              </w:rPr>
              <w:fldChar w:fldCharType="separate"/>
            </w:r>
            <w:r w:rsidR="001C6776">
              <w:rPr>
                <w:noProof/>
                <w:webHidden/>
              </w:rPr>
              <w:t>16</w:t>
            </w:r>
            <w:r>
              <w:rPr>
                <w:noProof/>
                <w:webHidden/>
              </w:rPr>
              <w:fldChar w:fldCharType="end"/>
            </w:r>
          </w:hyperlink>
        </w:p>
        <w:p w14:paraId="1DFED6BB" w14:textId="14B9DF2E"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92" w:history="1">
            <w:r w:rsidRPr="00251420">
              <w:rPr>
                <w:rStyle w:val="Hyperlink"/>
                <w:noProof/>
              </w:rPr>
              <w:t>4.3 Recommended Mode and Implementation</w:t>
            </w:r>
            <w:r>
              <w:rPr>
                <w:noProof/>
                <w:webHidden/>
              </w:rPr>
              <w:tab/>
            </w:r>
            <w:r>
              <w:rPr>
                <w:noProof/>
                <w:webHidden/>
              </w:rPr>
              <w:fldChar w:fldCharType="begin"/>
            </w:r>
            <w:r>
              <w:rPr>
                <w:noProof/>
                <w:webHidden/>
              </w:rPr>
              <w:instrText xml:space="preserve"> PAGEREF _Toc237217092 \h </w:instrText>
            </w:r>
            <w:r>
              <w:rPr>
                <w:noProof/>
                <w:webHidden/>
              </w:rPr>
            </w:r>
            <w:r>
              <w:rPr>
                <w:noProof/>
                <w:webHidden/>
              </w:rPr>
              <w:fldChar w:fldCharType="separate"/>
            </w:r>
            <w:r w:rsidR="001C6776">
              <w:rPr>
                <w:noProof/>
                <w:webHidden/>
              </w:rPr>
              <w:t>16</w:t>
            </w:r>
            <w:r>
              <w:rPr>
                <w:noProof/>
                <w:webHidden/>
              </w:rPr>
              <w:fldChar w:fldCharType="end"/>
            </w:r>
          </w:hyperlink>
        </w:p>
        <w:p w14:paraId="54807C5B" w14:textId="54AE996F" w:rsidR="00BC4E89" w:rsidRDefault="00BC4E89">
          <w:pPr>
            <w:pStyle w:val="TOC2"/>
            <w:tabs>
              <w:tab w:val="right" w:leader="dot" w:pos="9016"/>
            </w:tabs>
            <w:rPr>
              <w:rFonts w:eastAsiaTheme="minorEastAsia"/>
              <w:noProof/>
              <w:kern w:val="2"/>
              <w:sz w:val="24"/>
              <w:szCs w:val="24"/>
              <w:lang w:val="en-IN" w:eastAsia="en-IN"/>
              <w14:ligatures w14:val="standardContextual"/>
            </w:rPr>
          </w:pPr>
          <w:hyperlink w:anchor="_Toc237217093" w:history="1">
            <w:r w:rsidRPr="00251420">
              <w:rPr>
                <w:rStyle w:val="Hyperlink"/>
                <w:noProof/>
              </w:rPr>
              <w:t>5. Conclusion</w:t>
            </w:r>
            <w:r>
              <w:rPr>
                <w:noProof/>
                <w:webHidden/>
              </w:rPr>
              <w:tab/>
            </w:r>
            <w:r>
              <w:rPr>
                <w:noProof/>
                <w:webHidden/>
              </w:rPr>
              <w:fldChar w:fldCharType="begin"/>
            </w:r>
            <w:r>
              <w:rPr>
                <w:noProof/>
                <w:webHidden/>
              </w:rPr>
              <w:instrText xml:space="preserve"> PAGEREF _Toc237217093 \h </w:instrText>
            </w:r>
            <w:r>
              <w:rPr>
                <w:noProof/>
                <w:webHidden/>
              </w:rPr>
            </w:r>
            <w:r>
              <w:rPr>
                <w:noProof/>
                <w:webHidden/>
              </w:rPr>
              <w:fldChar w:fldCharType="separate"/>
            </w:r>
            <w:r w:rsidR="001C6776">
              <w:rPr>
                <w:noProof/>
                <w:webHidden/>
              </w:rPr>
              <w:t>17</w:t>
            </w:r>
            <w:r>
              <w:rPr>
                <w:noProof/>
                <w:webHidden/>
              </w:rPr>
              <w:fldChar w:fldCharType="end"/>
            </w:r>
          </w:hyperlink>
        </w:p>
        <w:p w14:paraId="602F8047" w14:textId="752CAC09" w:rsidR="00BC4E89" w:rsidRDefault="00BC4E89">
          <w:pPr>
            <w:pStyle w:val="TOC1"/>
            <w:tabs>
              <w:tab w:val="right" w:leader="dot" w:pos="9016"/>
            </w:tabs>
            <w:rPr>
              <w:rFonts w:eastAsiaTheme="minorEastAsia"/>
              <w:noProof/>
              <w:kern w:val="2"/>
              <w:sz w:val="24"/>
              <w:szCs w:val="24"/>
              <w:lang w:val="en-IN" w:eastAsia="en-IN"/>
              <w14:ligatures w14:val="standardContextual"/>
            </w:rPr>
          </w:pPr>
          <w:hyperlink w:anchor="_Toc237217094" w:history="1">
            <w:r w:rsidRPr="00251420">
              <w:rPr>
                <w:rStyle w:val="Hyperlink"/>
                <w:noProof/>
              </w:rPr>
              <w:t>SECTION 2</w:t>
            </w:r>
            <w:r>
              <w:rPr>
                <w:noProof/>
                <w:webHidden/>
              </w:rPr>
              <w:tab/>
            </w:r>
            <w:r>
              <w:rPr>
                <w:noProof/>
                <w:webHidden/>
              </w:rPr>
              <w:fldChar w:fldCharType="begin"/>
            </w:r>
            <w:r>
              <w:rPr>
                <w:noProof/>
                <w:webHidden/>
              </w:rPr>
              <w:instrText xml:space="preserve"> PAGEREF _Toc237217094 \h </w:instrText>
            </w:r>
            <w:r>
              <w:rPr>
                <w:noProof/>
                <w:webHidden/>
              </w:rPr>
            </w:r>
            <w:r>
              <w:rPr>
                <w:noProof/>
                <w:webHidden/>
              </w:rPr>
              <w:fldChar w:fldCharType="separate"/>
            </w:r>
            <w:r w:rsidR="001C6776">
              <w:rPr>
                <w:noProof/>
                <w:webHidden/>
              </w:rPr>
              <w:t>17</w:t>
            </w:r>
            <w:r>
              <w:rPr>
                <w:noProof/>
                <w:webHidden/>
              </w:rPr>
              <w:fldChar w:fldCharType="end"/>
            </w:r>
          </w:hyperlink>
        </w:p>
        <w:p w14:paraId="1959201A" w14:textId="14618972" w:rsidR="00BC4E89" w:rsidRDefault="00BC4E89">
          <w:pPr>
            <w:pStyle w:val="TOC2"/>
            <w:tabs>
              <w:tab w:val="right" w:leader="dot" w:pos="9016"/>
            </w:tabs>
            <w:rPr>
              <w:rFonts w:eastAsiaTheme="minorEastAsia"/>
              <w:noProof/>
              <w:kern w:val="2"/>
              <w:sz w:val="24"/>
              <w:szCs w:val="24"/>
              <w:lang w:val="en-IN" w:eastAsia="en-IN"/>
              <w14:ligatures w14:val="standardContextual"/>
            </w:rPr>
          </w:pPr>
          <w:hyperlink w:anchor="_Toc237217095" w:history="1">
            <w:r w:rsidRPr="00251420">
              <w:rPr>
                <w:rStyle w:val="Hyperlink"/>
                <w:noProof/>
              </w:rPr>
              <w:t>6. Reflective Account Using Gibbs’ Reflective Cycle</w:t>
            </w:r>
            <w:r>
              <w:rPr>
                <w:noProof/>
                <w:webHidden/>
              </w:rPr>
              <w:tab/>
            </w:r>
            <w:r>
              <w:rPr>
                <w:noProof/>
                <w:webHidden/>
              </w:rPr>
              <w:fldChar w:fldCharType="begin"/>
            </w:r>
            <w:r>
              <w:rPr>
                <w:noProof/>
                <w:webHidden/>
              </w:rPr>
              <w:instrText xml:space="preserve"> PAGEREF _Toc237217095 \h </w:instrText>
            </w:r>
            <w:r>
              <w:rPr>
                <w:noProof/>
                <w:webHidden/>
              </w:rPr>
            </w:r>
            <w:r>
              <w:rPr>
                <w:noProof/>
                <w:webHidden/>
              </w:rPr>
              <w:fldChar w:fldCharType="separate"/>
            </w:r>
            <w:r w:rsidR="001C6776">
              <w:rPr>
                <w:noProof/>
                <w:webHidden/>
              </w:rPr>
              <w:t>17</w:t>
            </w:r>
            <w:r>
              <w:rPr>
                <w:noProof/>
                <w:webHidden/>
              </w:rPr>
              <w:fldChar w:fldCharType="end"/>
            </w:r>
          </w:hyperlink>
        </w:p>
        <w:p w14:paraId="0B314609" w14:textId="3C562D81"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96" w:history="1">
            <w:r w:rsidRPr="00251420">
              <w:rPr>
                <w:rStyle w:val="Hyperlink"/>
                <w:noProof/>
              </w:rPr>
              <w:t>6.1 Description</w:t>
            </w:r>
            <w:r>
              <w:rPr>
                <w:noProof/>
                <w:webHidden/>
              </w:rPr>
              <w:tab/>
            </w:r>
            <w:r>
              <w:rPr>
                <w:noProof/>
                <w:webHidden/>
              </w:rPr>
              <w:fldChar w:fldCharType="begin"/>
            </w:r>
            <w:r>
              <w:rPr>
                <w:noProof/>
                <w:webHidden/>
              </w:rPr>
              <w:instrText xml:space="preserve"> PAGEREF _Toc237217096 \h </w:instrText>
            </w:r>
            <w:r>
              <w:rPr>
                <w:noProof/>
                <w:webHidden/>
              </w:rPr>
            </w:r>
            <w:r>
              <w:rPr>
                <w:noProof/>
                <w:webHidden/>
              </w:rPr>
              <w:fldChar w:fldCharType="separate"/>
            </w:r>
            <w:r w:rsidR="001C6776">
              <w:rPr>
                <w:noProof/>
                <w:webHidden/>
              </w:rPr>
              <w:t>17</w:t>
            </w:r>
            <w:r>
              <w:rPr>
                <w:noProof/>
                <w:webHidden/>
              </w:rPr>
              <w:fldChar w:fldCharType="end"/>
            </w:r>
          </w:hyperlink>
        </w:p>
        <w:p w14:paraId="7C5890C5" w14:textId="156742F8"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97" w:history="1">
            <w:r w:rsidRPr="00251420">
              <w:rPr>
                <w:rStyle w:val="Hyperlink"/>
                <w:noProof/>
              </w:rPr>
              <w:t>6.2 Feelings</w:t>
            </w:r>
            <w:r>
              <w:rPr>
                <w:noProof/>
                <w:webHidden/>
              </w:rPr>
              <w:tab/>
            </w:r>
            <w:r>
              <w:rPr>
                <w:noProof/>
                <w:webHidden/>
              </w:rPr>
              <w:fldChar w:fldCharType="begin"/>
            </w:r>
            <w:r>
              <w:rPr>
                <w:noProof/>
                <w:webHidden/>
              </w:rPr>
              <w:instrText xml:space="preserve"> PAGEREF _Toc237217097 \h </w:instrText>
            </w:r>
            <w:r>
              <w:rPr>
                <w:noProof/>
                <w:webHidden/>
              </w:rPr>
            </w:r>
            <w:r>
              <w:rPr>
                <w:noProof/>
                <w:webHidden/>
              </w:rPr>
              <w:fldChar w:fldCharType="separate"/>
            </w:r>
            <w:r w:rsidR="001C6776">
              <w:rPr>
                <w:noProof/>
                <w:webHidden/>
              </w:rPr>
              <w:t>18</w:t>
            </w:r>
            <w:r>
              <w:rPr>
                <w:noProof/>
                <w:webHidden/>
              </w:rPr>
              <w:fldChar w:fldCharType="end"/>
            </w:r>
          </w:hyperlink>
        </w:p>
        <w:p w14:paraId="6CB6DD09" w14:textId="7D1348B6"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98" w:history="1">
            <w:r w:rsidRPr="00251420">
              <w:rPr>
                <w:rStyle w:val="Hyperlink"/>
                <w:noProof/>
              </w:rPr>
              <w:t>6.3 Evaluation</w:t>
            </w:r>
            <w:r>
              <w:rPr>
                <w:noProof/>
                <w:webHidden/>
              </w:rPr>
              <w:tab/>
            </w:r>
            <w:r>
              <w:rPr>
                <w:noProof/>
                <w:webHidden/>
              </w:rPr>
              <w:fldChar w:fldCharType="begin"/>
            </w:r>
            <w:r>
              <w:rPr>
                <w:noProof/>
                <w:webHidden/>
              </w:rPr>
              <w:instrText xml:space="preserve"> PAGEREF _Toc237217098 \h </w:instrText>
            </w:r>
            <w:r>
              <w:rPr>
                <w:noProof/>
                <w:webHidden/>
              </w:rPr>
            </w:r>
            <w:r>
              <w:rPr>
                <w:noProof/>
                <w:webHidden/>
              </w:rPr>
              <w:fldChar w:fldCharType="separate"/>
            </w:r>
            <w:r w:rsidR="001C6776">
              <w:rPr>
                <w:noProof/>
                <w:webHidden/>
              </w:rPr>
              <w:t>18</w:t>
            </w:r>
            <w:r>
              <w:rPr>
                <w:noProof/>
                <w:webHidden/>
              </w:rPr>
              <w:fldChar w:fldCharType="end"/>
            </w:r>
          </w:hyperlink>
        </w:p>
        <w:p w14:paraId="3E4A8BB2" w14:textId="53D5EBA7"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099" w:history="1">
            <w:r w:rsidRPr="00251420">
              <w:rPr>
                <w:rStyle w:val="Hyperlink"/>
                <w:noProof/>
              </w:rPr>
              <w:t>6.4 Analysis</w:t>
            </w:r>
            <w:r>
              <w:rPr>
                <w:noProof/>
                <w:webHidden/>
              </w:rPr>
              <w:tab/>
            </w:r>
            <w:r>
              <w:rPr>
                <w:noProof/>
                <w:webHidden/>
              </w:rPr>
              <w:fldChar w:fldCharType="begin"/>
            </w:r>
            <w:r>
              <w:rPr>
                <w:noProof/>
                <w:webHidden/>
              </w:rPr>
              <w:instrText xml:space="preserve"> PAGEREF _Toc237217099 \h </w:instrText>
            </w:r>
            <w:r>
              <w:rPr>
                <w:noProof/>
                <w:webHidden/>
              </w:rPr>
            </w:r>
            <w:r>
              <w:rPr>
                <w:noProof/>
                <w:webHidden/>
              </w:rPr>
              <w:fldChar w:fldCharType="separate"/>
            </w:r>
            <w:r w:rsidR="001C6776">
              <w:rPr>
                <w:noProof/>
                <w:webHidden/>
              </w:rPr>
              <w:t>19</w:t>
            </w:r>
            <w:r>
              <w:rPr>
                <w:noProof/>
                <w:webHidden/>
              </w:rPr>
              <w:fldChar w:fldCharType="end"/>
            </w:r>
          </w:hyperlink>
        </w:p>
        <w:p w14:paraId="4CDDF505" w14:textId="06A230E7"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100" w:history="1">
            <w:r w:rsidRPr="00251420">
              <w:rPr>
                <w:rStyle w:val="Hyperlink"/>
                <w:noProof/>
              </w:rPr>
              <w:t>6.5 Conclusion</w:t>
            </w:r>
            <w:r>
              <w:rPr>
                <w:noProof/>
                <w:webHidden/>
              </w:rPr>
              <w:tab/>
            </w:r>
            <w:r>
              <w:rPr>
                <w:noProof/>
                <w:webHidden/>
              </w:rPr>
              <w:fldChar w:fldCharType="begin"/>
            </w:r>
            <w:r>
              <w:rPr>
                <w:noProof/>
                <w:webHidden/>
              </w:rPr>
              <w:instrText xml:space="preserve"> PAGEREF _Toc237217100 \h </w:instrText>
            </w:r>
            <w:r>
              <w:rPr>
                <w:noProof/>
                <w:webHidden/>
              </w:rPr>
            </w:r>
            <w:r>
              <w:rPr>
                <w:noProof/>
                <w:webHidden/>
              </w:rPr>
              <w:fldChar w:fldCharType="separate"/>
            </w:r>
            <w:r w:rsidR="001C6776">
              <w:rPr>
                <w:noProof/>
                <w:webHidden/>
              </w:rPr>
              <w:t>19</w:t>
            </w:r>
            <w:r>
              <w:rPr>
                <w:noProof/>
                <w:webHidden/>
              </w:rPr>
              <w:fldChar w:fldCharType="end"/>
            </w:r>
          </w:hyperlink>
        </w:p>
        <w:p w14:paraId="7A0D93FC" w14:textId="63FB42EC" w:rsidR="00BC4E89" w:rsidRDefault="00BC4E89">
          <w:pPr>
            <w:pStyle w:val="TOC3"/>
            <w:tabs>
              <w:tab w:val="right" w:leader="dot" w:pos="9016"/>
            </w:tabs>
            <w:rPr>
              <w:rFonts w:eastAsiaTheme="minorEastAsia"/>
              <w:noProof/>
              <w:kern w:val="2"/>
              <w:sz w:val="24"/>
              <w:szCs w:val="24"/>
              <w:lang w:val="en-IN" w:eastAsia="en-IN"/>
              <w14:ligatures w14:val="standardContextual"/>
            </w:rPr>
          </w:pPr>
          <w:hyperlink w:anchor="_Toc237217101" w:history="1">
            <w:r w:rsidRPr="00251420">
              <w:rPr>
                <w:rStyle w:val="Hyperlink"/>
                <w:noProof/>
              </w:rPr>
              <w:t>6.6 Action Plan</w:t>
            </w:r>
            <w:r>
              <w:rPr>
                <w:noProof/>
                <w:webHidden/>
              </w:rPr>
              <w:tab/>
            </w:r>
            <w:r>
              <w:rPr>
                <w:noProof/>
                <w:webHidden/>
              </w:rPr>
              <w:fldChar w:fldCharType="begin"/>
            </w:r>
            <w:r>
              <w:rPr>
                <w:noProof/>
                <w:webHidden/>
              </w:rPr>
              <w:instrText xml:space="preserve"> PAGEREF _Toc237217101 \h </w:instrText>
            </w:r>
            <w:r>
              <w:rPr>
                <w:noProof/>
                <w:webHidden/>
              </w:rPr>
            </w:r>
            <w:r>
              <w:rPr>
                <w:noProof/>
                <w:webHidden/>
              </w:rPr>
              <w:fldChar w:fldCharType="separate"/>
            </w:r>
            <w:r w:rsidR="001C6776">
              <w:rPr>
                <w:noProof/>
                <w:webHidden/>
              </w:rPr>
              <w:t>20</w:t>
            </w:r>
            <w:r>
              <w:rPr>
                <w:noProof/>
                <w:webHidden/>
              </w:rPr>
              <w:fldChar w:fldCharType="end"/>
            </w:r>
          </w:hyperlink>
        </w:p>
        <w:p w14:paraId="75F31C36" w14:textId="1F6BF198" w:rsidR="00BC4E89" w:rsidRDefault="00BC4E89">
          <w:pPr>
            <w:pStyle w:val="TOC1"/>
            <w:tabs>
              <w:tab w:val="right" w:leader="dot" w:pos="9016"/>
            </w:tabs>
            <w:rPr>
              <w:rFonts w:eastAsiaTheme="minorEastAsia"/>
              <w:noProof/>
              <w:kern w:val="2"/>
              <w:sz w:val="24"/>
              <w:szCs w:val="24"/>
              <w:lang w:val="en-IN" w:eastAsia="en-IN"/>
              <w14:ligatures w14:val="standardContextual"/>
            </w:rPr>
          </w:pPr>
          <w:hyperlink w:anchor="_Toc237217102" w:history="1">
            <w:r w:rsidRPr="00251420">
              <w:rPr>
                <w:rStyle w:val="Hyperlink"/>
                <w:noProof/>
              </w:rPr>
              <w:t>Reference List</w:t>
            </w:r>
            <w:r>
              <w:rPr>
                <w:noProof/>
                <w:webHidden/>
              </w:rPr>
              <w:tab/>
            </w:r>
            <w:r>
              <w:rPr>
                <w:noProof/>
                <w:webHidden/>
              </w:rPr>
              <w:fldChar w:fldCharType="begin"/>
            </w:r>
            <w:r>
              <w:rPr>
                <w:noProof/>
                <w:webHidden/>
              </w:rPr>
              <w:instrText xml:space="preserve"> PAGEREF _Toc237217102 \h </w:instrText>
            </w:r>
            <w:r>
              <w:rPr>
                <w:noProof/>
                <w:webHidden/>
              </w:rPr>
            </w:r>
            <w:r>
              <w:rPr>
                <w:noProof/>
                <w:webHidden/>
              </w:rPr>
              <w:fldChar w:fldCharType="separate"/>
            </w:r>
            <w:r w:rsidR="001C6776">
              <w:rPr>
                <w:noProof/>
                <w:webHidden/>
              </w:rPr>
              <w:t>21</w:t>
            </w:r>
            <w:r>
              <w:rPr>
                <w:noProof/>
                <w:webHidden/>
              </w:rPr>
              <w:fldChar w:fldCharType="end"/>
            </w:r>
          </w:hyperlink>
        </w:p>
        <w:p w14:paraId="741305A6" w14:textId="0A8E3297" w:rsidR="000F65F7" w:rsidRPr="00EA5335" w:rsidRDefault="00825418" w:rsidP="005D34A4">
          <w:pPr>
            <w:spacing w:line="360" w:lineRule="auto"/>
            <w:rPr>
              <w:color w:val="000000" w:themeColor="text1"/>
            </w:rPr>
          </w:pPr>
          <w:r w:rsidRPr="00EA5335">
            <w:rPr>
              <w:rFonts w:ascii="Arial" w:hAnsi="Arial" w:cs="Arial"/>
              <w:b/>
              <w:bCs/>
              <w:noProof/>
              <w:color w:val="000000" w:themeColor="text1"/>
              <w:sz w:val="24"/>
              <w:szCs w:val="24"/>
            </w:rPr>
            <w:fldChar w:fldCharType="end"/>
          </w:r>
        </w:p>
      </w:sdtContent>
    </w:sdt>
    <w:p w14:paraId="0059743C" w14:textId="77777777" w:rsidR="001C6776" w:rsidRDefault="001C6776" w:rsidP="00586DCC">
      <w:pPr>
        <w:pStyle w:val="Heading1"/>
        <w:rPr>
          <w:color w:val="000000" w:themeColor="text1"/>
        </w:rPr>
      </w:pPr>
      <w:bookmarkStart w:id="1" w:name="_Toc237217077"/>
    </w:p>
    <w:p w14:paraId="077D8BD7" w14:textId="77777777" w:rsidR="001C6776" w:rsidRDefault="001C6776" w:rsidP="00586DCC">
      <w:pPr>
        <w:pStyle w:val="Heading1"/>
        <w:rPr>
          <w:color w:val="000000" w:themeColor="text1"/>
        </w:rPr>
      </w:pPr>
    </w:p>
    <w:p w14:paraId="6A7BE0D9" w14:textId="77777777" w:rsidR="001C6776" w:rsidRDefault="001C6776" w:rsidP="00586DCC">
      <w:pPr>
        <w:pStyle w:val="Heading1"/>
        <w:rPr>
          <w:color w:val="000000" w:themeColor="text1"/>
        </w:rPr>
      </w:pPr>
    </w:p>
    <w:p w14:paraId="6A8E2C3C" w14:textId="77777777" w:rsidR="001C6776" w:rsidRDefault="001C6776" w:rsidP="00586DCC">
      <w:pPr>
        <w:pStyle w:val="Heading1"/>
        <w:rPr>
          <w:color w:val="000000" w:themeColor="text1"/>
        </w:rPr>
      </w:pPr>
    </w:p>
    <w:p w14:paraId="271D433B" w14:textId="77777777" w:rsidR="001C6776" w:rsidRDefault="001C6776" w:rsidP="00586DCC">
      <w:pPr>
        <w:pStyle w:val="Heading1"/>
        <w:rPr>
          <w:color w:val="000000" w:themeColor="text1"/>
        </w:rPr>
      </w:pPr>
    </w:p>
    <w:p w14:paraId="731A6BDD" w14:textId="77777777" w:rsidR="001C6776" w:rsidRDefault="001C6776" w:rsidP="00586DCC">
      <w:pPr>
        <w:pStyle w:val="Heading1"/>
        <w:rPr>
          <w:color w:val="000000" w:themeColor="text1"/>
        </w:rPr>
      </w:pPr>
    </w:p>
    <w:p w14:paraId="18CCB495" w14:textId="28A8E9B4" w:rsidR="00C370DF" w:rsidRPr="00EA5335" w:rsidRDefault="00C370DF" w:rsidP="00586DCC">
      <w:pPr>
        <w:pStyle w:val="Heading1"/>
        <w:rPr>
          <w:color w:val="000000" w:themeColor="text1"/>
        </w:rPr>
      </w:pPr>
      <w:r w:rsidRPr="00EA5335">
        <w:rPr>
          <w:color w:val="000000" w:themeColor="text1"/>
        </w:rPr>
        <w:t>SECTION 1</w:t>
      </w:r>
      <w:bookmarkEnd w:id="1"/>
    </w:p>
    <w:p w14:paraId="0038749A" w14:textId="77777777" w:rsidR="004565DD" w:rsidRPr="00EA5335" w:rsidRDefault="004565DD" w:rsidP="00586DCC">
      <w:pPr>
        <w:pStyle w:val="Heading2"/>
        <w:rPr>
          <w:color w:val="000000" w:themeColor="text1"/>
        </w:rPr>
      </w:pPr>
      <w:bookmarkStart w:id="2" w:name="_Toc237217078"/>
      <w:r w:rsidRPr="00EA5335">
        <w:rPr>
          <w:color w:val="000000" w:themeColor="text1"/>
        </w:rPr>
        <w:t>1. Introduction</w:t>
      </w:r>
      <w:bookmarkEnd w:id="2"/>
    </w:p>
    <w:p w14:paraId="10DDDB77" w14:textId="77777777" w:rsidR="004565DD" w:rsidRPr="00EA5335" w:rsidRDefault="00BD19A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Primark is an Irish value-fashion company, who are a fusion of fashion, wide ranges and unparalleled selling prices. By 2026 it had over 480 stores in nineteen countries and India was not part of its formal network (Primark, 2026a). This report is based on data available as of 1 June 2026, and looks at prospective entry. National scale masks the huge income disparity, infrastructure, regulation and consumer behaviours in India, but India is a very special market. Primark has pointed to India as one of the countries in which it may consider entering the market, but hasn't officially declared that it plans to do so (Davey, 2024). The analysis is thus limited to strategic suitability and does not presume that simply because the scale is there, it will be profitable. The report should consist of the global strategy, conditions in the macro-environment, Dunning's OLI framework, decision on entry mode, recommendations and reflection, as specified. It uses current evidence effectively and critically as Primark needs to manage growth needs in relation to capital discipline, local responsiveness and reputational responsibility</w:t>
      </w:r>
      <w:r w:rsidR="004565DD" w:rsidRPr="00EA5335">
        <w:rPr>
          <w:rFonts w:ascii="Arial" w:hAnsi="Arial" w:cs="Arial"/>
          <w:color w:val="000000" w:themeColor="text1"/>
          <w:sz w:val="24"/>
          <w:lang w:val="en-IN"/>
        </w:rPr>
        <w:t>.</w:t>
      </w:r>
    </w:p>
    <w:p w14:paraId="2A391B75" w14:textId="77777777" w:rsidR="004565DD" w:rsidRPr="00EA5335" w:rsidRDefault="004565DD" w:rsidP="00586DCC">
      <w:pPr>
        <w:pStyle w:val="Heading2"/>
        <w:rPr>
          <w:color w:val="000000" w:themeColor="text1"/>
        </w:rPr>
      </w:pPr>
      <w:bookmarkStart w:id="3" w:name="_Toc237217079"/>
      <w:r w:rsidRPr="00EA5335">
        <w:rPr>
          <w:color w:val="000000" w:themeColor="text1"/>
        </w:rPr>
        <w:t>2. Organisational Classification and Global Strategy</w:t>
      </w:r>
      <w:bookmarkEnd w:id="3"/>
    </w:p>
    <w:p w14:paraId="6BDF1453" w14:textId="77777777" w:rsidR="004565DD" w:rsidRPr="00EA5335" w:rsidRDefault="004565DD" w:rsidP="00586DCC">
      <w:pPr>
        <w:pStyle w:val="Heading3"/>
        <w:rPr>
          <w:color w:val="000000" w:themeColor="text1"/>
        </w:rPr>
      </w:pPr>
      <w:bookmarkStart w:id="4" w:name="_Toc237217080"/>
      <w:r w:rsidRPr="00EA5335">
        <w:rPr>
          <w:color w:val="000000" w:themeColor="text1"/>
        </w:rPr>
        <w:t>2.1 Strategic Categorisation</w:t>
      </w:r>
      <w:bookmarkEnd w:id="4"/>
    </w:p>
    <w:p w14:paraId="681BA8BD" w14:textId="77777777" w:rsidR="00C06B02" w:rsidRPr="00EA5335" w:rsidRDefault="00E155E6"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The Bartlett and Ghoshal integration-responsiveness framework identifies four strategic positions: international, multidomestic, global and transnational, based on pressures towards global integration and local responsiveness (Larsen et al., 2023). Mainly global as core buying, product, sourcing, technology and investment decisions are made from the head office, and local teams execute stores, recruitment, marketing and property management. The selective local adaptation suggests that it is not a complete transnational approach, but it shows the potential of transnational capacities.</w:t>
      </w:r>
      <w:r w:rsidR="00BD19AA" w:rsidRPr="00EA5335">
        <w:rPr>
          <w:rFonts w:ascii="Arial" w:hAnsi="Arial" w:cs="Arial"/>
          <w:color w:val="000000" w:themeColor="text1"/>
          <w:sz w:val="24"/>
        </w:rPr>
        <w:t xml:space="preserve"> This setup combines buying volumes, and distributes product-development costs on the international estate. The income from its 473 stores was £9.489 billion in 2025 (Associated British Foods, 2025a), with its adjusted operating profit reaching £1.126 billion.</w:t>
      </w:r>
    </w:p>
    <w:p w14:paraId="08254CC8" w14:textId="77777777" w:rsidR="00C06B02" w:rsidRPr="00EA5335" w:rsidRDefault="00C06B02" w:rsidP="00F40A22">
      <w:pPr>
        <w:spacing w:after="0" w:line="360" w:lineRule="auto"/>
        <w:jc w:val="center"/>
        <w:rPr>
          <w:rFonts w:ascii="Arial" w:hAnsi="Arial" w:cs="Arial"/>
          <w:color w:val="000000" w:themeColor="text1"/>
          <w:sz w:val="24"/>
          <w:lang w:val="en-IN"/>
        </w:rPr>
      </w:pPr>
      <w:r w:rsidRPr="00EA5335">
        <w:rPr>
          <w:rFonts w:ascii="Arial" w:hAnsi="Arial" w:cs="Arial"/>
          <w:noProof/>
          <w:color w:val="000000" w:themeColor="text1"/>
          <w:sz w:val="24"/>
          <w:lang w:val="en-IN"/>
        </w:rPr>
        <w:drawing>
          <wp:inline distT="0" distB="0" distL="0" distR="0" wp14:anchorId="2681A884" wp14:editId="18B2826E">
            <wp:extent cx="5379720" cy="2596284"/>
            <wp:effectExtent l="19050" t="19050" r="1143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86895" cy="2599747"/>
                    </a:xfrm>
                    <a:prstGeom prst="rect">
                      <a:avLst/>
                    </a:prstGeom>
                    <a:ln>
                      <a:solidFill>
                        <a:schemeClr val="tx1"/>
                      </a:solidFill>
                    </a:ln>
                  </pic:spPr>
                </pic:pic>
              </a:graphicData>
            </a:graphic>
          </wp:inline>
        </w:drawing>
      </w:r>
    </w:p>
    <w:p w14:paraId="19FF3A46" w14:textId="77777777" w:rsidR="00C06B02" w:rsidRPr="00EA5335" w:rsidRDefault="00C06B02" w:rsidP="00F40A22">
      <w:pPr>
        <w:spacing w:after="0" w:line="360" w:lineRule="auto"/>
        <w:jc w:val="center"/>
        <w:rPr>
          <w:rFonts w:ascii="Arial" w:hAnsi="Arial" w:cs="Arial"/>
          <w:b/>
          <w:color w:val="000000" w:themeColor="text1"/>
          <w:sz w:val="24"/>
        </w:rPr>
      </w:pPr>
      <w:r w:rsidRPr="00EA5335">
        <w:rPr>
          <w:rFonts w:ascii="Arial" w:hAnsi="Arial" w:cs="Arial"/>
          <w:b/>
          <w:color w:val="000000" w:themeColor="text1"/>
          <w:sz w:val="24"/>
          <w:lang w:val="en-IN"/>
        </w:rPr>
        <w:t xml:space="preserve">Figure 1: </w:t>
      </w:r>
      <w:r w:rsidRPr="00EA5335">
        <w:rPr>
          <w:rFonts w:ascii="Arial" w:hAnsi="Arial" w:cs="Arial"/>
          <w:b/>
          <w:color w:val="000000" w:themeColor="text1"/>
          <w:sz w:val="24"/>
        </w:rPr>
        <w:t>Primark’s revenue grew 1%</w:t>
      </w:r>
    </w:p>
    <w:p w14:paraId="6F6B49F2" w14:textId="77777777" w:rsidR="00C06B02" w:rsidRPr="00EA5335" w:rsidRDefault="00C06B02" w:rsidP="00F40A22">
      <w:pPr>
        <w:spacing w:after="0" w:line="360" w:lineRule="auto"/>
        <w:jc w:val="center"/>
        <w:rPr>
          <w:rFonts w:ascii="Arial" w:hAnsi="Arial" w:cs="Arial"/>
          <w:color w:val="000000" w:themeColor="text1"/>
          <w:sz w:val="24"/>
          <w:lang w:val="en-IN"/>
        </w:rPr>
      </w:pPr>
      <w:r w:rsidRPr="00EA5335">
        <w:rPr>
          <w:rFonts w:ascii="Arial" w:hAnsi="Arial" w:cs="Arial"/>
          <w:color w:val="000000" w:themeColor="text1"/>
          <w:sz w:val="24"/>
          <w:lang w:val="en-IN"/>
        </w:rPr>
        <w:t>(Source: Abf, 2025)</w:t>
      </w:r>
    </w:p>
    <w:p w14:paraId="0200C3CD" w14:textId="77777777" w:rsidR="00BD19AA" w:rsidRPr="00EA5335" w:rsidRDefault="00BD19A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These findings illustrate scale benefits, but do not establish the over distance format success of these. More recent work defines internationalisation as a process that takes place in stages, which includes entry, learning, reconsideration, and reconfigure (Domínguez Romero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2024). The size of stores, the services used on digital platforms, and partnerships, are being adapted increasingly as a result of performance observation at Primark. India must thus move towards a controlled market for learning, instead of merely an extension of standardisation.</w:t>
      </w:r>
    </w:p>
    <w:p w14:paraId="72643EC0" w14:textId="77777777" w:rsidR="004565DD" w:rsidRPr="00EA5335" w:rsidRDefault="00BD19A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Multinational attributes are also apparent at Primark as there is regional marketing, as well as devolved operational leadership. In the face of environmental uncertainty, firms that incorporate market strategy into flexible organisational capabilities are repaid with value (Adejare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2023). However, Primark is still not as responsive as a transnational company as the majority of strategic knowledge and systems are centralised. Primark is a globalised value retailer with emerging transnational capabilities and India needs responsiveness with regards to fit, climate, modesty, festivals, language and accessibility. The adaptations should be consistent with the main value proposition, and not establish any separate Indian identity</w:t>
      </w:r>
      <w:r w:rsidR="004565DD" w:rsidRPr="00EA5335">
        <w:rPr>
          <w:rFonts w:ascii="Arial" w:hAnsi="Arial" w:cs="Arial"/>
          <w:color w:val="000000" w:themeColor="text1"/>
          <w:sz w:val="24"/>
          <w:lang w:val="en-IN"/>
        </w:rPr>
        <w:t>.</w:t>
      </w:r>
    </w:p>
    <w:p w14:paraId="0AC83D33" w14:textId="77777777" w:rsidR="004565DD" w:rsidRPr="00EA5335" w:rsidRDefault="004565DD" w:rsidP="00586DCC">
      <w:pPr>
        <w:pStyle w:val="Heading3"/>
        <w:rPr>
          <w:color w:val="000000" w:themeColor="text1"/>
        </w:rPr>
      </w:pPr>
      <w:bookmarkStart w:id="5" w:name="_Toc237217081"/>
      <w:r w:rsidRPr="00EA5335">
        <w:rPr>
          <w:color w:val="000000" w:themeColor="text1"/>
        </w:rPr>
        <w:t>2.2 Global Configuration and Competitive Advantage</w:t>
      </w:r>
      <w:bookmarkEnd w:id="5"/>
    </w:p>
    <w:p w14:paraId="3EE071B8" w14:textId="77777777" w:rsidR="00BD19AA" w:rsidRPr="00EA5335" w:rsidRDefault="00BD19A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value added by Primark's network is through the way they buy, the way they relate with suppliers, the technology they share, store theatre and the disciplined routines they have. The great big international stores allow people to roam through a wide range of stores, and boost basket values. The low product prices also do not easily cover the costs of home delivery that the model avoids. Physical-store dependence also entails large sunk investment in the existing ‘store business model'. Retail sales increased by two</w:t>
      </w:r>
      <w:r w:rsidR="00F40A22" w:rsidRPr="00EA5335">
        <w:rPr>
          <w:rFonts w:ascii="Arial" w:hAnsi="Arial" w:cs="Arial"/>
          <w:color w:val="000000" w:themeColor="text1"/>
          <w:sz w:val="24"/>
          <w:lang w:val="en-IN"/>
        </w:rPr>
        <w:t>%</w:t>
      </w:r>
      <w:r w:rsidRPr="00EA5335">
        <w:rPr>
          <w:rFonts w:ascii="Arial" w:hAnsi="Arial" w:cs="Arial"/>
          <w:color w:val="000000" w:themeColor="text1"/>
          <w:sz w:val="24"/>
          <w:lang w:val="en-IN"/>
        </w:rPr>
        <w:t xml:space="preserve"> in early 2026 and European like-for-like sales fell 5.6</w:t>
      </w:r>
      <w:r w:rsidR="00F40A22" w:rsidRPr="00EA5335">
        <w:rPr>
          <w:rFonts w:ascii="Arial" w:hAnsi="Arial" w:cs="Arial"/>
          <w:color w:val="000000" w:themeColor="text1"/>
          <w:sz w:val="24"/>
          <w:lang w:val="en-IN"/>
        </w:rPr>
        <w:t>%</w:t>
      </w:r>
      <w:r w:rsidRPr="00EA5335">
        <w:rPr>
          <w:rFonts w:ascii="Arial" w:hAnsi="Arial" w:cs="Arial"/>
          <w:color w:val="000000" w:themeColor="text1"/>
          <w:sz w:val="24"/>
          <w:lang w:val="en-IN"/>
        </w:rPr>
        <w:t xml:space="preserve"> (2026, Associated British Foods). So store expansion may bring in more income but productivity may drop with the passage of time.</w:t>
      </w:r>
    </w:p>
    <w:p w14:paraId="43776F6B" w14:textId="77777777" w:rsidR="004565DD" w:rsidRPr="00EA5335" w:rsidRDefault="00BD19A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Other rules and expectations, like those that lack familiarity, raise the cost of coordination and uncertainty, which hinders entry (Donnelly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2024). India is unique in terms of federal administration, sourcing conditions, weak infrastructure and diverse demand, and financial resources cannot offset the need for local managerial expertise. When the partners are inappropriate, creative assets may help in fostering ownership control as they can negatively affect the customer experience and intangible value (Wang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2024). Primark needs to keep all of the power and control over the quality, sourcing, visual identity, and pricing in the central office. However, if the company was fully held, it could be susceptible to property, licensing, and demand mistakes</w:t>
      </w:r>
      <w:r w:rsidR="004565DD" w:rsidRPr="00EA5335">
        <w:rPr>
          <w:rFonts w:ascii="Arial" w:hAnsi="Arial" w:cs="Arial"/>
          <w:color w:val="000000" w:themeColor="text1"/>
          <w:sz w:val="24"/>
          <w:lang w:val="en-IN"/>
        </w:rPr>
        <w:t>.</w:t>
      </w:r>
    </w:p>
    <w:p w14:paraId="57FA31F6" w14:textId="77777777" w:rsidR="004565DD" w:rsidRPr="00EA5335" w:rsidRDefault="004565DD" w:rsidP="00586DCC">
      <w:pPr>
        <w:pStyle w:val="Heading2"/>
        <w:rPr>
          <w:color w:val="000000" w:themeColor="text1"/>
        </w:rPr>
      </w:pPr>
      <w:bookmarkStart w:id="6" w:name="_Toc237217082"/>
      <w:r w:rsidRPr="00EA5335">
        <w:rPr>
          <w:color w:val="000000" w:themeColor="text1"/>
        </w:rPr>
        <w:t>3. Macro-Environmental Appraisal and Market Attractiveness</w:t>
      </w:r>
      <w:bookmarkEnd w:id="6"/>
    </w:p>
    <w:p w14:paraId="345B9F42" w14:textId="77777777" w:rsidR="004565DD" w:rsidRPr="00EA5335" w:rsidRDefault="004565DD" w:rsidP="00586DCC">
      <w:pPr>
        <w:pStyle w:val="Heading3"/>
        <w:rPr>
          <w:color w:val="000000" w:themeColor="text1"/>
        </w:rPr>
      </w:pPr>
      <w:bookmarkStart w:id="7" w:name="_Toc237217083"/>
      <w:r w:rsidRPr="00EA5335">
        <w:rPr>
          <w:color w:val="000000" w:themeColor="text1"/>
        </w:rPr>
        <w:t>3.1 Political and Regulatory Conditions</w:t>
      </w:r>
      <w:bookmarkEnd w:id="7"/>
    </w:p>
    <w:p w14:paraId="39F9683D" w14:textId="77777777" w:rsidR="00F05826" w:rsidRPr="00EA5335" w:rsidRDefault="00F05826"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Under the fairly stable retail policy environment in India, it is now possible to invest in single-brand retailing. Foreign investors can have 100</w:t>
      </w:r>
      <w:r w:rsidR="00F40A22" w:rsidRPr="00EA5335">
        <w:rPr>
          <w:rFonts w:ascii="Arial" w:hAnsi="Arial" w:cs="Arial"/>
          <w:color w:val="000000" w:themeColor="text1"/>
          <w:sz w:val="24"/>
          <w:lang w:val="en-IN"/>
        </w:rPr>
        <w:t>%</w:t>
      </w:r>
      <w:r w:rsidRPr="00EA5335">
        <w:rPr>
          <w:rFonts w:ascii="Arial" w:hAnsi="Arial" w:cs="Arial"/>
          <w:color w:val="000000" w:themeColor="text1"/>
          <w:sz w:val="24"/>
          <w:lang w:val="en-IN"/>
        </w:rPr>
        <w:t>, automatically, on the condition, prescribed. If ownership is over 51</w:t>
      </w:r>
      <w:r w:rsidR="00F40A22" w:rsidRPr="00EA5335">
        <w:rPr>
          <w:rFonts w:ascii="Arial" w:hAnsi="Arial" w:cs="Arial"/>
          <w:color w:val="000000" w:themeColor="text1"/>
          <w:sz w:val="24"/>
          <w:lang w:val="en-IN"/>
        </w:rPr>
        <w:t>%</w:t>
      </w:r>
      <w:r w:rsidRPr="00EA5335">
        <w:rPr>
          <w:rFonts w:ascii="Arial" w:hAnsi="Arial" w:cs="Arial"/>
          <w:color w:val="000000" w:themeColor="text1"/>
          <w:sz w:val="24"/>
          <w:lang w:val="en-IN"/>
        </w:rPr>
        <w:t>, it'll be required to source 30</w:t>
      </w:r>
      <w:r w:rsidR="00F40A22" w:rsidRPr="00EA5335">
        <w:rPr>
          <w:rFonts w:ascii="Arial" w:hAnsi="Arial" w:cs="Arial"/>
          <w:color w:val="000000" w:themeColor="text1"/>
          <w:sz w:val="24"/>
          <w:lang w:val="en-IN"/>
        </w:rPr>
        <w:t>%</w:t>
      </w:r>
      <w:r w:rsidRPr="00EA5335">
        <w:rPr>
          <w:rFonts w:ascii="Arial" w:hAnsi="Arial" w:cs="Arial"/>
          <w:color w:val="000000" w:themeColor="text1"/>
          <w:sz w:val="24"/>
          <w:lang w:val="en-IN"/>
        </w:rPr>
        <w:t xml:space="preserve"> from the local market (Press Information Bureau, 2019). This may be beneficial for Primark when entering the Indian market as they will be relying on their sourcing connections. Administrative complexity does not vanish as a result of a formal openness between national, state and municipal authorities. Several approvals must be obtained for store development and state variations add to costs and timelines. Primark ought to focus on market locations with easily accessible malls and stable administration in the process of expansion.</w:t>
      </w:r>
    </w:p>
    <w:p w14:paraId="3020CE05" w14:textId="77777777" w:rsidR="004565DD" w:rsidRPr="00EA5335" w:rsidRDefault="00F05826"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The entry mode selections are in response to the institution, their resources and their planned level of control (Wan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2023). While full ownership may help to secure standards, a strong partner investment is more valuable due to local uncertainty and legal permissions are not a guarantee of strategic advantage. The four labour codes deal with four aspects of labour – wages, industrial relations, social security and occupational safety. The implementation will involve having employers review contracts, benefits, registers, working conditions and compliance systems (Ministry of Labour and Employment, 2026), and Primark will have to oversee contractors that assist stores and distribution</w:t>
      </w:r>
      <w:r w:rsidR="004565DD" w:rsidRPr="00EA5335">
        <w:rPr>
          <w:rFonts w:ascii="Arial" w:hAnsi="Arial" w:cs="Arial"/>
          <w:color w:val="000000" w:themeColor="text1"/>
          <w:sz w:val="24"/>
          <w:lang w:val="en-IN"/>
        </w:rPr>
        <w:t>.</w:t>
      </w:r>
    </w:p>
    <w:p w14:paraId="758C51D5" w14:textId="77777777" w:rsidR="004565DD" w:rsidRPr="00EA5335" w:rsidRDefault="004565DD" w:rsidP="00586DCC">
      <w:pPr>
        <w:pStyle w:val="Heading3"/>
        <w:rPr>
          <w:color w:val="000000" w:themeColor="text1"/>
        </w:rPr>
      </w:pPr>
      <w:bookmarkStart w:id="8" w:name="_Toc237217084"/>
      <w:r w:rsidRPr="00EA5335">
        <w:rPr>
          <w:color w:val="000000" w:themeColor="text1"/>
        </w:rPr>
        <w:t>3.2 Economic Attractiveness and Purchasing Power</w:t>
      </w:r>
      <w:bookmarkEnd w:id="8"/>
    </w:p>
    <w:p w14:paraId="232C452D" w14:textId="77777777" w:rsidR="00EC5311" w:rsidRPr="00EA5335" w:rsidRDefault="00F05826"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Indian economy has plenty of growth while the consumers' purchasing power is low. It had about 1,46 billion people and in 2025 it had a gross domestic product of almost $3,96 trillion dollars (World Bank, 2026). In the case of income per person, it was approximately $2,703 which had high mass-market price sensitivity. The International Monetary Fund (IMF, 2026) forecast the continuation of growth in 2026, even in the face of trade, energy and geopolitical uncertainty</w:t>
      </w:r>
      <w:r w:rsidR="004565DD" w:rsidRPr="00EA5335">
        <w:rPr>
          <w:rFonts w:ascii="Arial" w:hAnsi="Arial" w:cs="Arial"/>
          <w:color w:val="000000" w:themeColor="text1"/>
          <w:sz w:val="24"/>
          <w:lang w:val="en-IN"/>
        </w:rPr>
        <w:t xml:space="preserve">. </w:t>
      </w:r>
    </w:p>
    <w:p w14:paraId="74669F4B" w14:textId="77777777" w:rsidR="00EC5311" w:rsidRPr="00EA5335" w:rsidRDefault="00EC5311" w:rsidP="00F40A22">
      <w:pPr>
        <w:spacing w:after="0" w:line="360" w:lineRule="auto"/>
        <w:jc w:val="center"/>
        <w:rPr>
          <w:rFonts w:ascii="Arial" w:hAnsi="Arial" w:cs="Arial"/>
          <w:color w:val="000000" w:themeColor="text1"/>
          <w:sz w:val="24"/>
          <w:lang w:val="en-IN"/>
        </w:rPr>
      </w:pPr>
      <w:r w:rsidRPr="00EA5335">
        <w:rPr>
          <w:rFonts w:ascii="Arial" w:hAnsi="Arial" w:cs="Arial"/>
          <w:noProof/>
          <w:color w:val="000000" w:themeColor="text1"/>
          <w:sz w:val="24"/>
          <w:lang w:val="en-IN"/>
        </w:rPr>
        <w:drawing>
          <wp:inline distT="0" distB="0" distL="0" distR="0" wp14:anchorId="12ECF905" wp14:editId="19FAEAAC">
            <wp:extent cx="4473328" cy="5883150"/>
            <wp:effectExtent l="19050" t="19050" r="22860" b="228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73328" cy="5883150"/>
                    </a:xfrm>
                    <a:prstGeom prst="rect">
                      <a:avLst/>
                    </a:prstGeom>
                    <a:ln>
                      <a:solidFill>
                        <a:schemeClr val="tx1"/>
                      </a:solidFill>
                    </a:ln>
                  </pic:spPr>
                </pic:pic>
              </a:graphicData>
            </a:graphic>
          </wp:inline>
        </w:drawing>
      </w:r>
    </w:p>
    <w:p w14:paraId="1FF9F92F" w14:textId="77777777" w:rsidR="00EC5311" w:rsidRPr="00EA5335" w:rsidRDefault="00EC5311" w:rsidP="00F40A22">
      <w:pPr>
        <w:spacing w:after="0" w:line="360" w:lineRule="auto"/>
        <w:jc w:val="center"/>
        <w:rPr>
          <w:rFonts w:ascii="Arial" w:hAnsi="Arial" w:cs="Arial"/>
          <w:b/>
          <w:color w:val="000000" w:themeColor="text1"/>
          <w:sz w:val="24"/>
          <w:lang w:val="en-IN"/>
        </w:rPr>
      </w:pPr>
      <w:r w:rsidRPr="00EA5335">
        <w:rPr>
          <w:rFonts w:ascii="Arial" w:hAnsi="Arial" w:cs="Arial"/>
          <w:b/>
          <w:color w:val="000000" w:themeColor="text1"/>
          <w:sz w:val="24"/>
          <w:lang w:val="en-IN"/>
        </w:rPr>
        <w:t>Figure 2:  India: Recent Macroeconomic Developments</w:t>
      </w:r>
    </w:p>
    <w:p w14:paraId="53D939FE" w14:textId="77777777" w:rsidR="00EC5311" w:rsidRPr="00EA5335" w:rsidRDefault="00EC5311" w:rsidP="00F40A22">
      <w:pPr>
        <w:spacing w:after="0" w:line="360" w:lineRule="auto"/>
        <w:jc w:val="center"/>
        <w:rPr>
          <w:rFonts w:ascii="Arial" w:hAnsi="Arial" w:cs="Arial"/>
          <w:color w:val="000000" w:themeColor="text1"/>
          <w:sz w:val="24"/>
          <w:lang w:val="en-IN"/>
        </w:rPr>
      </w:pPr>
      <w:r w:rsidRPr="00EA5335">
        <w:rPr>
          <w:rFonts w:ascii="Arial" w:hAnsi="Arial" w:cs="Arial"/>
          <w:color w:val="000000" w:themeColor="text1"/>
          <w:sz w:val="24"/>
          <w:lang w:val="en-IN"/>
        </w:rPr>
        <w:t xml:space="preserve">(Source: </w:t>
      </w:r>
      <w:r w:rsidR="0080742E" w:rsidRPr="00EA5335">
        <w:rPr>
          <w:rFonts w:ascii="Arial" w:hAnsi="Arial" w:cs="Arial"/>
          <w:color w:val="000000" w:themeColor="text1"/>
          <w:sz w:val="24"/>
          <w:lang w:val="en-IN"/>
        </w:rPr>
        <w:t>Imf, 2025</w:t>
      </w:r>
      <w:r w:rsidRPr="00EA5335">
        <w:rPr>
          <w:rFonts w:ascii="Arial" w:hAnsi="Arial" w:cs="Arial"/>
          <w:color w:val="000000" w:themeColor="text1"/>
          <w:sz w:val="24"/>
          <w:lang w:val="en-IN"/>
        </w:rPr>
        <w:t>)</w:t>
      </w:r>
    </w:p>
    <w:p w14:paraId="4F92AEC6" w14:textId="77777777" w:rsidR="0080742E" w:rsidRPr="00EA5335" w:rsidRDefault="00F05826"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Growth feeds consumption, but it's not even; so, rather than assuming national growth is uniform demand, Primark has to analyse customers in the metropoles. In FY26, private final consumption accounted for about 61.5</w:t>
      </w:r>
      <w:r w:rsidR="00F40A22" w:rsidRPr="00EA5335">
        <w:rPr>
          <w:rFonts w:ascii="Arial" w:hAnsi="Arial" w:cs="Arial"/>
          <w:color w:val="000000" w:themeColor="text1"/>
          <w:sz w:val="24"/>
        </w:rPr>
        <w:t>%</w:t>
      </w:r>
      <w:r w:rsidRPr="00EA5335">
        <w:rPr>
          <w:rFonts w:ascii="Arial" w:hAnsi="Arial" w:cs="Arial"/>
          <w:color w:val="000000" w:themeColor="text1"/>
          <w:sz w:val="24"/>
        </w:rPr>
        <w:t xml:space="preserve"> of the nominal gross domestic product (GDP) (Ministry of Finance, 2026). But essential expenditure still consumes a significant share of household budgets, so Primark's strategy of low price is more suited to the economic environment than a position of high price. The retail market in India is estimated to have grown to $1.09 trillion in 2025 and the organised retail market has grown in the malls and online via digital platforms (India Brand Equity Foundation, 2026a)</w:t>
      </w:r>
      <w:r w:rsidR="004565DD" w:rsidRPr="00EA5335">
        <w:rPr>
          <w:rFonts w:ascii="Arial" w:hAnsi="Arial" w:cs="Arial"/>
          <w:color w:val="000000" w:themeColor="text1"/>
          <w:sz w:val="24"/>
          <w:lang w:val="en-IN"/>
        </w:rPr>
        <w:t xml:space="preserve">. </w:t>
      </w:r>
    </w:p>
    <w:p w14:paraId="4947B22D" w14:textId="77777777" w:rsidR="0080742E" w:rsidRPr="00EA5335" w:rsidRDefault="0080742E" w:rsidP="00F40A22">
      <w:pPr>
        <w:spacing w:after="0" w:line="360" w:lineRule="auto"/>
        <w:jc w:val="center"/>
        <w:rPr>
          <w:rFonts w:ascii="Arial" w:hAnsi="Arial" w:cs="Arial"/>
          <w:color w:val="000000" w:themeColor="text1"/>
          <w:sz w:val="24"/>
          <w:lang w:val="en-IN"/>
        </w:rPr>
      </w:pPr>
      <w:r w:rsidRPr="00EA5335">
        <w:rPr>
          <w:rFonts w:ascii="Arial" w:hAnsi="Arial" w:cs="Arial"/>
          <w:noProof/>
          <w:color w:val="000000" w:themeColor="text1"/>
          <w:sz w:val="24"/>
          <w:lang w:val="en-IN"/>
        </w:rPr>
        <w:drawing>
          <wp:inline distT="0" distB="0" distL="0" distR="0" wp14:anchorId="38EC0931" wp14:editId="3D8FAB38">
            <wp:extent cx="5731510" cy="4735195"/>
            <wp:effectExtent l="19050" t="19050" r="21590" b="273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735195"/>
                    </a:xfrm>
                    <a:prstGeom prst="rect">
                      <a:avLst/>
                    </a:prstGeom>
                    <a:ln>
                      <a:solidFill>
                        <a:schemeClr val="tx1"/>
                      </a:solidFill>
                    </a:ln>
                  </pic:spPr>
                </pic:pic>
              </a:graphicData>
            </a:graphic>
          </wp:inline>
        </w:drawing>
      </w:r>
    </w:p>
    <w:p w14:paraId="5E8B56CA" w14:textId="77777777" w:rsidR="0080742E" w:rsidRPr="00EA5335" w:rsidRDefault="0080742E" w:rsidP="00F40A22">
      <w:pPr>
        <w:spacing w:after="0" w:line="360" w:lineRule="auto"/>
        <w:jc w:val="center"/>
        <w:rPr>
          <w:rFonts w:ascii="Arial" w:hAnsi="Arial" w:cs="Arial"/>
          <w:b/>
          <w:color w:val="000000" w:themeColor="text1"/>
          <w:sz w:val="24"/>
        </w:rPr>
      </w:pPr>
      <w:r w:rsidRPr="00EA5335">
        <w:rPr>
          <w:rFonts w:ascii="Arial" w:hAnsi="Arial" w:cs="Arial"/>
          <w:b/>
          <w:color w:val="000000" w:themeColor="text1"/>
          <w:sz w:val="24"/>
          <w:lang w:val="en-IN"/>
        </w:rPr>
        <w:t xml:space="preserve">Figure 3: </w:t>
      </w:r>
      <w:r w:rsidRPr="00EA5335">
        <w:rPr>
          <w:rFonts w:ascii="Arial" w:hAnsi="Arial" w:cs="Arial"/>
          <w:b/>
          <w:color w:val="000000" w:themeColor="text1"/>
          <w:sz w:val="24"/>
        </w:rPr>
        <w:t>India – Consumer Spending Trends Across Categories (INR Billion)</w:t>
      </w:r>
    </w:p>
    <w:p w14:paraId="228D798C" w14:textId="77777777" w:rsidR="0080742E" w:rsidRPr="00EA5335" w:rsidRDefault="0080742E" w:rsidP="00F40A22">
      <w:pPr>
        <w:spacing w:after="0" w:line="360" w:lineRule="auto"/>
        <w:jc w:val="center"/>
        <w:rPr>
          <w:rFonts w:ascii="Arial" w:hAnsi="Arial" w:cs="Arial"/>
          <w:color w:val="000000" w:themeColor="text1"/>
          <w:sz w:val="24"/>
          <w:lang w:val="en-IN"/>
        </w:rPr>
      </w:pPr>
      <w:r w:rsidRPr="00EA5335">
        <w:rPr>
          <w:rFonts w:ascii="Arial" w:hAnsi="Arial" w:cs="Arial"/>
          <w:color w:val="000000" w:themeColor="text1"/>
          <w:sz w:val="24"/>
          <w:lang w:val="en-IN"/>
        </w:rPr>
        <w:t>(Source: Mktgdocs, 2024)</w:t>
      </w:r>
    </w:p>
    <w:p w14:paraId="287CB47F" w14:textId="77777777" w:rsidR="007F531C" w:rsidRPr="00EA5335" w:rsidRDefault="00F05826"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Online retail was approaching $115 billion, signifying that there was significant online awareness; Primark can't rely on off-line awareness alone. The Indian apparel market was estimated to be worth of $102.8 billion in 2022 and is projected to grow up to $146.3 billion by 2032 (India Brand Equity Foundation, 2025)</w:t>
      </w:r>
      <w:r w:rsidR="004565DD" w:rsidRPr="00EA5335">
        <w:rPr>
          <w:rFonts w:ascii="Arial" w:hAnsi="Arial" w:cs="Arial"/>
          <w:color w:val="000000" w:themeColor="text1"/>
          <w:sz w:val="24"/>
          <w:lang w:val="en-IN"/>
        </w:rPr>
        <w:t xml:space="preserve">. </w:t>
      </w:r>
    </w:p>
    <w:p w14:paraId="53252E4C" w14:textId="77777777" w:rsidR="007F531C" w:rsidRPr="00EA5335" w:rsidRDefault="007F531C" w:rsidP="00F40A22">
      <w:pPr>
        <w:spacing w:after="0" w:line="360" w:lineRule="auto"/>
        <w:jc w:val="center"/>
        <w:rPr>
          <w:rFonts w:ascii="Arial" w:hAnsi="Arial" w:cs="Arial"/>
          <w:color w:val="000000" w:themeColor="text1"/>
          <w:sz w:val="24"/>
          <w:lang w:val="en-IN"/>
        </w:rPr>
      </w:pPr>
      <w:r w:rsidRPr="00EA5335">
        <w:rPr>
          <w:rFonts w:ascii="Arial" w:hAnsi="Arial" w:cs="Arial"/>
          <w:noProof/>
          <w:color w:val="000000" w:themeColor="text1"/>
          <w:sz w:val="24"/>
          <w:lang w:val="en-IN"/>
        </w:rPr>
        <w:drawing>
          <wp:inline distT="0" distB="0" distL="0" distR="0" wp14:anchorId="5C649C50" wp14:editId="07811742">
            <wp:extent cx="5731510" cy="2159635"/>
            <wp:effectExtent l="19050" t="19050" r="21590"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59635"/>
                    </a:xfrm>
                    <a:prstGeom prst="rect">
                      <a:avLst/>
                    </a:prstGeom>
                    <a:ln>
                      <a:solidFill>
                        <a:schemeClr val="tx1"/>
                      </a:solidFill>
                    </a:ln>
                  </pic:spPr>
                </pic:pic>
              </a:graphicData>
            </a:graphic>
          </wp:inline>
        </w:drawing>
      </w:r>
    </w:p>
    <w:p w14:paraId="546E025C" w14:textId="77777777" w:rsidR="007F531C" w:rsidRPr="00EA5335" w:rsidRDefault="007F531C" w:rsidP="00F40A22">
      <w:pPr>
        <w:spacing w:after="0" w:line="360" w:lineRule="auto"/>
        <w:jc w:val="center"/>
        <w:rPr>
          <w:rFonts w:ascii="Arial" w:hAnsi="Arial" w:cs="Arial"/>
          <w:b/>
          <w:color w:val="000000" w:themeColor="text1"/>
          <w:sz w:val="24"/>
          <w:lang w:val="en-IN"/>
        </w:rPr>
      </w:pPr>
      <w:r w:rsidRPr="00EA5335">
        <w:rPr>
          <w:rFonts w:ascii="Arial" w:hAnsi="Arial" w:cs="Arial"/>
          <w:b/>
          <w:color w:val="000000" w:themeColor="text1"/>
          <w:sz w:val="24"/>
          <w:lang w:val="en-IN"/>
        </w:rPr>
        <w:t xml:space="preserve">Figure 4: </w:t>
      </w:r>
      <w:r w:rsidRPr="00EA5335">
        <w:rPr>
          <w:rFonts w:ascii="Arial" w:hAnsi="Arial" w:cs="Arial"/>
          <w:b/>
          <w:color w:val="000000" w:themeColor="text1"/>
          <w:sz w:val="24"/>
        </w:rPr>
        <w:t>The apparel market in India is marking its growth trajectory</w:t>
      </w:r>
    </w:p>
    <w:p w14:paraId="1B5D5AB7" w14:textId="77777777" w:rsidR="007F531C" w:rsidRPr="00EA5335" w:rsidRDefault="007F531C" w:rsidP="00F40A22">
      <w:pPr>
        <w:spacing w:after="0" w:line="360" w:lineRule="auto"/>
        <w:jc w:val="center"/>
        <w:rPr>
          <w:rFonts w:ascii="Arial" w:hAnsi="Arial" w:cs="Arial"/>
          <w:color w:val="000000" w:themeColor="text1"/>
          <w:sz w:val="24"/>
          <w:lang w:val="en-IN"/>
        </w:rPr>
      </w:pPr>
      <w:r w:rsidRPr="00EA5335">
        <w:rPr>
          <w:rFonts w:ascii="Arial" w:hAnsi="Arial" w:cs="Arial"/>
          <w:color w:val="000000" w:themeColor="text1"/>
          <w:sz w:val="24"/>
          <w:lang w:val="en-IN"/>
        </w:rPr>
        <w:t>(Source: Deloitte, 2026)</w:t>
      </w:r>
    </w:p>
    <w:p w14:paraId="676DE968" w14:textId="77777777" w:rsidR="004565DD" w:rsidRPr="00EA5335" w:rsidRDefault="00F05826"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Forecasts are uncertain, as the definitions and informal transactions and value apparel is expected to be supported by long-term demand. Inflation shifts assortment, promotion, channel and willingness to buy discretionary goods (Dekimpe and van Heerde, 2023) . Primark has been the leader in prices and offers a bit of protection, but if prices start to increase, margins will be squeezed. There is a need to balance affordability and profitability through the local sourcing and careful price ladders</w:t>
      </w:r>
      <w:r w:rsidR="004565DD" w:rsidRPr="00EA5335">
        <w:rPr>
          <w:rFonts w:ascii="Arial" w:hAnsi="Arial" w:cs="Arial"/>
          <w:color w:val="000000" w:themeColor="text1"/>
          <w:sz w:val="24"/>
          <w:lang w:val="en-IN"/>
        </w:rPr>
        <w:t>.</w:t>
      </w:r>
    </w:p>
    <w:p w14:paraId="7EA02D31" w14:textId="77777777" w:rsidR="004565DD" w:rsidRPr="00EA5335" w:rsidRDefault="004565DD" w:rsidP="00586DCC">
      <w:pPr>
        <w:pStyle w:val="Heading3"/>
        <w:rPr>
          <w:color w:val="000000" w:themeColor="text1"/>
        </w:rPr>
      </w:pPr>
      <w:bookmarkStart w:id="9" w:name="_Toc237217085"/>
      <w:r w:rsidRPr="00EA5335">
        <w:rPr>
          <w:color w:val="000000" w:themeColor="text1"/>
        </w:rPr>
        <w:t>3.3 Competitive Conditions and Retail Economics</w:t>
      </w:r>
      <w:bookmarkEnd w:id="9"/>
    </w:p>
    <w:p w14:paraId="61F2BF03" w14:textId="77777777" w:rsidR="009708E2"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India's fashion industry consists of local brands, global brands, departmental stores, e-commerce platforms, social commerce, and informal brands. Primark would take on the likes of Zudio, Max Fashion, Trends, Westside, H&amp;M and digital-only companies. Local competitors are already on top of local fit, festivals, property and very low price points. The first categories with the most potential are homeware (selected), accessories, beauty, licensed products, childrenswear, nightwear and family basics. These categories provide repeat demand and easy price comparison; heavy winter products to be limited until evidence local to them to expand is available.</w:t>
      </w:r>
    </w:p>
    <w:p w14:paraId="3896CCDA" w14:textId="77777777" w:rsidR="009708E2"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In sustainable clothing, decision-making was found to be influenced by price, availability, knowledge and product attributes in urban Indian research (Tryphena and Aram, 2023). Claims on sustainability are not enough when it comes to design or pricing; improvements need to be responsible and build value and trust. Indian green-apparel perceptions vary from perceived value, involvement, environmental concern, attitude, and generation (Pandey and Yadav 2023). This helps to segment the communication, as younger shoppers may identify with it, whereas families will look for affordability and durability.</w:t>
      </w:r>
    </w:p>
    <w:p w14:paraId="0C3D9D37" w14:textId="77777777" w:rsidR="009708E2"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According to research from fast fashion, materialism, fashion leadership, social norms and perceived behavioural control affect purchase intentions of younger consumers (Wojdyla and Chi, 2024). This implies that Primark should employ robust value communication alongside product novelty and the incorporation of social relevance. But high product turnover would continue to drive down profits, loss and reputational risk. The visible price points along with category profitability are also impacted by India's differentiated tax rates on goods. The taxation of clothing is based on certain value limits, hence price adjustments of clothing have a commercial impact (Central Board of Indirect Taxes and Customs, 2025). It would be better for Primark to create price structure based on taxes instead of simply converting prices which are already in Europe.</w:t>
      </w:r>
    </w:p>
    <w:p w14:paraId="32C50E8A" w14:textId="77777777" w:rsidR="004565DD"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right property might limit Primark's strategy of a big box in its first phase of growth in India. India had about 110 million square feet (mSq) of grade-A malls, a lesser amount than China and the United States (Reuters, 2026). With a shortage of quality space, bargaining power of landlords can be reinforced throughout the urban retail market. The most likely size for Primark to test is between 35,000 and 55,000 square feet. Smaller stores would be less exposed to capital, have higher sales densities and higher choice of location. The company needs to maintain the appeal of the destination by offering a wide range of categories, excellent navigation and a high level of frequent replenishment, not by having super floor area</w:t>
      </w:r>
      <w:r w:rsidR="004565DD" w:rsidRPr="00EA5335">
        <w:rPr>
          <w:rFonts w:ascii="Arial" w:hAnsi="Arial" w:cs="Arial"/>
          <w:color w:val="000000" w:themeColor="text1"/>
          <w:sz w:val="24"/>
          <w:lang w:val="en-IN"/>
        </w:rPr>
        <w:t>.</w:t>
      </w:r>
    </w:p>
    <w:p w14:paraId="4CCB8984" w14:textId="77777777" w:rsidR="004565DD" w:rsidRPr="00EA5335" w:rsidRDefault="004565DD" w:rsidP="00586DCC">
      <w:pPr>
        <w:pStyle w:val="Heading3"/>
        <w:rPr>
          <w:color w:val="000000" w:themeColor="text1"/>
        </w:rPr>
      </w:pPr>
      <w:bookmarkStart w:id="10" w:name="_Toc237217086"/>
      <w:r w:rsidRPr="00EA5335">
        <w:rPr>
          <w:color w:val="000000" w:themeColor="text1"/>
        </w:rPr>
        <w:t>3.4 Legal, Digital, and Consumer Responsibilities</w:t>
      </w:r>
      <w:bookmarkEnd w:id="10"/>
    </w:p>
    <w:p w14:paraId="37676E70" w14:textId="77777777" w:rsidR="009708E2"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Primark would also have to deal with consumer rights, product safety, advertising, leases, employment, tax, data and supplier conduct issues in India. Minimal price errors are less likely to greatly impact compliance failures and adversely affect trust. A local compliance office, then, should be separate from any immediate targets for sales. The Digital Personal Data Protection Rules, 2025, prescribe rules related to notices, consent, security, accountability and individuals' rights for India (Ministry of Electronics and Information Technology, 2025). This work will impact on recruitment, loyalty schemes, mobile apps, digital receipts, click and collect, customer service records and more. Minimize data collection until local governance is reliable, cybersecurity is in place and incident response procedures are in place and effective.</w:t>
      </w:r>
    </w:p>
    <w:p w14:paraId="16047E3B" w14:textId="77777777" w:rsidR="009708E2"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findings from omnichannel research suggest that omnichannel fashion promotions enhance customer satisfaction by integrating promotions across all channels, ensuring convenient shopping experiences, delivering a consistent level of service, and providing enjoyable experiences (Khalid, 2024). The things that people should be able to do in their app is browse, have access to local stock, have digital receipts and have the option to pick up. Nationwide home delivery must continue to be a limited supply until there is sustainable economics due to basket values and return costs. Usefulness, convenience, technical confidence and visual experience are key factors for younger customers' acceptance of augmented reality (Kovács and Keresztes, 2024) . There is scope for simple tools to be tested at Primark's at the beauty or accessories end of the business but not at the cost of inventory accuracy. A reliable stock information would be more valuable than costly experimental interfaces.</w:t>
      </w:r>
    </w:p>
    <w:p w14:paraId="456B521C" w14:textId="77777777" w:rsidR="004565DD"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They propose four motivators for the adoption of a virtual try-on system: utilitarian, emotional, symbolic, and personal (Chen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2024). So virtual fitting shouldn't be a main way of getting customers in the door, but rather a pilot. For advanced visual simulation to provide reliable results, better sizing information is needed for Indian fit problems. They found that visual marketing could consolidate the intention to purchase fast fashion by brand attitude and perceived value of customers ( Zhang and Huang, 2024) . Local social media should make product idea flow straight to where products are available and to where they are stored. Marketing cannot first create a demand which cannot be met consistently by the stores.</w:t>
      </w:r>
    </w:p>
    <w:p w14:paraId="4139CA3F" w14:textId="77777777" w:rsidR="004565DD" w:rsidRPr="00EA5335" w:rsidRDefault="004565DD" w:rsidP="00586DCC">
      <w:pPr>
        <w:pStyle w:val="Heading3"/>
        <w:rPr>
          <w:color w:val="000000" w:themeColor="text1"/>
        </w:rPr>
      </w:pPr>
      <w:bookmarkStart w:id="11" w:name="_Toc237217087"/>
      <w:r w:rsidRPr="00EA5335">
        <w:rPr>
          <w:color w:val="000000" w:themeColor="text1"/>
        </w:rPr>
        <w:t>3.5 Cultural Responsiveness and Consumer Behaviour</w:t>
      </w:r>
      <w:bookmarkEnd w:id="11"/>
    </w:p>
    <w:p w14:paraId="6110B710" w14:textId="77777777" w:rsidR="009708E2"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There are significant variations in India with respect to language, religion, dress, climate, body shape, family structure and the festival calendar. The stock would be imbalanced and mark down, if there is a uniform mix of the assortment across the regions. The development of local responsiveness should start with the selection, sizing, colours, fabrics and seasonality of products. The first key areas to highlight are breathable fabrics, long lines, extended sizes, family ranges and customisation of layers, which will be critical for Primark. Traditional Indian clothes must be selective since local established clothing suppliers have a better design validity and expertise in suppliers. Instead, Primark can do a pretty good job of providing products inspired globally, to go with the clothes they already have.</w:t>
      </w:r>
    </w:p>
    <w:p w14:paraId="594BDB65" w14:textId="77777777" w:rsidR="009708E2"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The study on Sustainable fashion marketing reveals that there are tensions between environmental communication and the business models that promote frequent consumption (Ray and Nayak, 2023). Given this, Primark should, therefore, make clear-cut and measurable statements on fibres, durability, traceability and emissions. The idea of consuming something that is harmless would be an attractive target and morally dubious. Sustainable brand customers appear similar to their non-sustainable counterparts and make cross-brand purchases (Sharp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2023) . But environmental claims should not be assumed to be a one-way commitment to loyalty or premium prices for Primark. Sustainability needs to become a way of working that enhances the legitimacy, quality and risk management.</w:t>
      </w:r>
    </w:p>
    <w:p w14:paraId="4E2C91D3" w14:textId="77777777" w:rsidR="004565DD"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Based on a review of sustainable-apparel behaviour, knowledge, design, social influence, availability, price, and attitudes are found to be interconnected drivers of sustainable-apparel behaviour (Balasubramanian and Sheykhmaleki, 2024). Research into the extent to which transactions result in India's launch should thus be a combination of survey and observed transactions, returns and repeat visits. Ethical intentions are not sufficient to gauge the demand for strategic planning. Due to the pandemic, evidence indicates that the awareness was raised about overconsumption and local production, but not necessarily permanent change was observed in behaviour (Chakraborty and Sadachar, 2023). It is therefore not a good idea for Primark to base its plan on estimated changes in buying habits, and instead assess real change in buying habits as a sign of structural change in the market. In practice, responsible ranges will still have to fight it out in terms of style, usefulness, and price</w:t>
      </w:r>
      <w:r w:rsidR="004565DD" w:rsidRPr="00EA5335">
        <w:rPr>
          <w:rFonts w:ascii="Arial" w:hAnsi="Arial" w:cs="Arial"/>
          <w:color w:val="000000" w:themeColor="text1"/>
          <w:sz w:val="24"/>
          <w:lang w:val="en-IN"/>
        </w:rPr>
        <w:t>.</w:t>
      </w:r>
    </w:p>
    <w:p w14:paraId="1EE32738" w14:textId="77777777" w:rsidR="004565DD" w:rsidRPr="00EA5335" w:rsidRDefault="004565DD" w:rsidP="00586DCC">
      <w:pPr>
        <w:pStyle w:val="Heading3"/>
        <w:rPr>
          <w:color w:val="000000" w:themeColor="text1"/>
        </w:rPr>
      </w:pPr>
      <w:bookmarkStart w:id="12" w:name="_Toc237217088"/>
      <w:r w:rsidRPr="00EA5335">
        <w:rPr>
          <w:color w:val="000000" w:themeColor="text1"/>
        </w:rPr>
        <w:t>3.6 Sustainability and Supply-Chain Legitimacy</w:t>
      </w:r>
      <w:bookmarkEnd w:id="12"/>
    </w:p>
    <w:p w14:paraId="0B644179" w14:textId="77777777" w:rsidR="00087257" w:rsidRPr="00EA5335" w:rsidRDefault="009708E2"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Primark already has key relationships in India's upstream, making it not as unfamiliar as a new entry. It started in India where it has helped to train over 300,000 farmers in India, Bangladesh and Pakistan (Primark, 2026b). This base can facilitate the local sourcing, supplier development, stakeholders and story telling of products. But the experience is not always the same from upstream, however, and does not ensure retail knowledge or public trust. Consumers may be unaware of programmes and civil-society organisations may doubt working conditions and high volume consumption.</w:t>
      </w:r>
      <w:r w:rsidR="004565DD" w:rsidRPr="00EA5335">
        <w:rPr>
          <w:rFonts w:ascii="Arial" w:hAnsi="Arial" w:cs="Arial"/>
          <w:color w:val="000000" w:themeColor="text1"/>
          <w:sz w:val="24"/>
          <w:lang w:val="en-IN"/>
        </w:rPr>
        <w:t xml:space="preserve"> </w:t>
      </w:r>
      <w:r w:rsidR="00087257" w:rsidRPr="00EA5335">
        <w:rPr>
          <w:rFonts w:ascii="Arial" w:hAnsi="Arial" w:cs="Arial"/>
          <w:color w:val="000000" w:themeColor="text1"/>
          <w:sz w:val="24"/>
          <w:lang w:val="en-IN"/>
        </w:rPr>
        <w:t>Indian entry would lead to greater scrutiny as it would be obvious that Indian sold and produced.</w:t>
      </w:r>
    </w:p>
    <w:p w14:paraId="2030864B" w14:textId="77777777" w:rsidR="00087257"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During 2024/25, 74</w:t>
      </w:r>
      <w:r w:rsidR="00F40A22" w:rsidRPr="00EA5335">
        <w:rPr>
          <w:rFonts w:ascii="Arial" w:hAnsi="Arial" w:cs="Arial"/>
          <w:color w:val="000000" w:themeColor="text1"/>
          <w:sz w:val="24"/>
          <w:lang w:val="en-IN"/>
        </w:rPr>
        <w:t>%</w:t>
      </w:r>
      <w:r w:rsidRPr="00EA5335">
        <w:rPr>
          <w:rFonts w:ascii="Arial" w:hAnsi="Arial" w:cs="Arial"/>
          <w:color w:val="000000" w:themeColor="text1"/>
          <w:sz w:val="24"/>
          <w:lang w:val="en-IN"/>
        </w:rPr>
        <w:t xml:space="preserve"> of clothing used fibres that were recycled or used more sustainably sourced fibres (Primark, 2025a). Company reported measures show progress, but have some caveats with regards to their bounds and definitions. Communications in India should thus be aligned to auditable product information and reporting criteria, which are transparent. Perceived value, awareness, availability, and trust, along with environmental concern are factors driving circular textile acceptance in India (Shamsi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2023). Primark must focus on the fundamentals, care instructions, take-back testing, and repackaging. More complex rental models seem less suitable as they have the potential to diminish customer savings and retailer economics due to low prices in the product market.</w:t>
      </w:r>
    </w:p>
    <w:p w14:paraId="009C9BBB" w14:textId="77777777" w:rsidR="00087257"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Personal values, knowledge of care, repair capabilities, and social norms shape garment-life-extension practices (Burton and Eike, 2023). Primark could therefore enhance durability by providing instructions for washing, accessibility to repair parts, and replacement parts. These moves would greatly increase the value added to the product, but not alter the retail business model as is. Hedonic and utilitarian shopping value (Lin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2023) is another factor that shapes sustainable apparel consumption, alongside personal norms and corporate responsibility expectations. Indian stores should be fun, appealing and be able to convey genuine and reliable ethical protections. Responsibility should not be a stand-alone premium offering, but should add to the customer experience.</w:t>
      </w:r>
    </w:p>
    <w:p w14:paraId="130EF60E" w14:textId="77777777" w:rsidR="00087257"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Consumer segments are very different in terms of knowledge, motivation and clothing disposal habits (Guo and Kim, 2023) therefore it is imperative that Primark do not use a blanket sustainability message for all metropolitan customers. Families, students, fashion minded and good conscience people can be communicated in different ways and meant by different messages since the categories are segmented. Circular apparel frameworks look at acquisition, maintenance and disposal as interrelated consumer choices throughout the garment lifecycle (Patwary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2023). All the information regarding a product, care support, take-back policy and the handling of collected textiles should be taken into consideration in Primark's Indian model. A "narrowly promotional" recycling campaign would not represent a true circular capability.</w:t>
      </w:r>
    </w:p>
    <w:p w14:paraId="40023581" w14:textId="77777777" w:rsidR="00087257"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motivation to rent fashion may be raised by fun and economy, and social and performance risks may be an obstacle to participation (Lang and Zhang, 2024). It would be better for Primark not to focus on rental in early market entry, as a small pilot take-back would have less complexity and provide operational learning. Innovativeness, attitudes, social representations, and practical barriers are also found as factors influencing willingness in the case of online clothing research (Dovalienė and Salciute, 2024). The uncertainties further highlight the need for simpler circular services; Primark should first build trusted product quality and convenient stores.</w:t>
      </w:r>
    </w:p>
    <w:p w14:paraId="2FCB609B" w14:textId="77777777" w:rsidR="004565DD"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 xml:space="preserve">The results of choice experiments indicate that preference for fashion products is influenced by durability, repairability, recyclability, recycled content, and price (Klemm and Kaufman, 2024). Primark should conduct tests to see if Indian consumers appreciate these qualities in real buying decisions and the enhancements should be consistent with the brand's low price promise. Regulatory policies can push for more sustainable innovations in the textile industry, but also drive up the costs of compliance and operational complexity (Bibi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2024). Primark should make a contribution to the suppliers' ability to achieve all of the above. Imposing compliance while not providing capability building may lead to fewer suppliers being available, and reduce the ability to use local suppliers</w:t>
      </w:r>
      <w:r w:rsidR="004565DD" w:rsidRPr="00EA5335">
        <w:rPr>
          <w:rFonts w:ascii="Arial" w:hAnsi="Arial" w:cs="Arial"/>
          <w:color w:val="000000" w:themeColor="text1"/>
          <w:sz w:val="24"/>
          <w:lang w:val="en-IN"/>
        </w:rPr>
        <w:t>.</w:t>
      </w:r>
    </w:p>
    <w:p w14:paraId="2845E829" w14:textId="77777777" w:rsidR="004565DD" w:rsidRPr="00EA5335" w:rsidRDefault="004565DD" w:rsidP="00586DCC">
      <w:pPr>
        <w:pStyle w:val="Heading2"/>
        <w:rPr>
          <w:color w:val="000000" w:themeColor="text1"/>
        </w:rPr>
      </w:pPr>
      <w:bookmarkStart w:id="13" w:name="_Toc237217089"/>
      <w:r w:rsidRPr="00EA5335">
        <w:rPr>
          <w:color w:val="000000" w:themeColor="text1"/>
        </w:rPr>
        <w:t>4. OLI Analysis and Entry-Mode Strategy</w:t>
      </w:r>
      <w:bookmarkEnd w:id="1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4"/>
        <w:gridCol w:w="4747"/>
        <w:gridCol w:w="2525"/>
      </w:tblGrid>
      <w:tr w:rsidR="004565DD" w:rsidRPr="00EA5335" w14:paraId="29E550AF" w14:textId="77777777" w:rsidTr="00491C11">
        <w:trPr>
          <w:tblHeader/>
          <w:tblCellSpacing w:w="15" w:type="dxa"/>
        </w:trPr>
        <w:tc>
          <w:tcPr>
            <w:tcW w:w="0" w:type="auto"/>
            <w:vAlign w:val="center"/>
            <w:hideMark/>
          </w:tcPr>
          <w:p w14:paraId="1CE83C2C" w14:textId="77777777" w:rsidR="004565DD" w:rsidRPr="00EA5335" w:rsidRDefault="004565DD" w:rsidP="00F40A22">
            <w:pPr>
              <w:spacing w:after="0" w:line="360" w:lineRule="auto"/>
              <w:jc w:val="both"/>
              <w:rPr>
                <w:rFonts w:ascii="Arial" w:hAnsi="Arial" w:cs="Arial"/>
                <w:b/>
                <w:bCs/>
                <w:color w:val="000000" w:themeColor="text1"/>
                <w:sz w:val="24"/>
                <w:lang w:val="en-IN"/>
              </w:rPr>
            </w:pPr>
            <w:r w:rsidRPr="00EA5335">
              <w:rPr>
                <w:rFonts w:ascii="Arial" w:hAnsi="Arial" w:cs="Arial"/>
                <w:b/>
                <w:bCs/>
                <w:color w:val="000000" w:themeColor="text1"/>
                <w:sz w:val="24"/>
                <w:lang w:val="en-IN"/>
              </w:rPr>
              <w:t>OLI dimension</w:t>
            </w:r>
          </w:p>
        </w:tc>
        <w:tc>
          <w:tcPr>
            <w:tcW w:w="0" w:type="auto"/>
            <w:vAlign w:val="center"/>
            <w:hideMark/>
          </w:tcPr>
          <w:p w14:paraId="14591E35" w14:textId="77777777" w:rsidR="004565DD" w:rsidRPr="00EA5335" w:rsidRDefault="004565DD" w:rsidP="00F40A22">
            <w:pPr>
              <w:spacing w:after="0" w:line="360" w:lineRule="auto"/>
              <w:jc w:val="both"/>
              <w:rPr>
                <w:rFonts w:ascii="Arial" w:hAnsi="Arial" w:cs="Arial"/>
                <w:b/>
                <w:bCs/>
                <w:color w:val="000000" w:themeColor="text1"/>
                <w:sz w:val="24"/>
                <w:lang w:val="en-IN"/>
              </w:rPr>
            </w:pPr>
            <w:r w:rsidRPr="00EA5335">
              <w:rPr>
                <w:rFonts w:ascii="Arial" w:hAnsi="Arial" w:cs="Arial"/>
                <w:b/>
                <w:bCs/>
                <w:color w:val="000000" w:themeColor="text1"/>
                <w:sz w:val="24"/>
                <w:lang w:val="en-IN"/>
              </w:rPr>
              <w:t>Primark position</w:t>
            </w:r>
          </w:p>
        </w:tc>
        <w:tc>
          <w:tcPr>
            <w:tcW w:w="0" w:type="auto"/>
            <w:vAlign w:val="center"/>
            <w:hideMark/>
          </w:tcPr>
          <w:p w14:paraId="39E88FE7" w14:textId="77777777" w:rsidR="004565DD" w:rsidRPr="00EA5335" w:rsidRDefault="004565DD" w:rsidP="00F40A22">
            <w:pPr>
              <w:spacing w:after="0" w:line="360" w:lineRule="auto"/>
              <w:jc w:val="both"/>
              <w:rPr>
                <w:rFonts w:ascii="Arial" w:hAnsi="Arial" w:cs="Arial"/>
                <w:b/>
                <w:bCs/>
                <w:color w:val="000000" w:themeColor="text1"/>
                <w:sz w:val="24"/>
                <w:lang w:val="en-IN"/>
              </w:rPr>
            </w:pPr>
            <w:r w:rsidRPr="00EA5335">
              <w:rPr>
                <w:rFonts w:ascii="Arial" w:hAnsi="Arial" w:cs="Arial"/>
                <w:b/>
                <w:bCs/>
                <w:color w:val="000000" w:themeColor="text1"/>
                <w:sz w:val="24"/>
                <w:lang w:val="en-IN"/>
              </w:rPr>
              <w:t>Implication</w:t>
            </w:r>
          </w:p>
        </w:tc>
      </w:tr>
      <w:tr w:rsidR="004565DD" w:rsidRPr="00EA5335" w14:paraId="092FC0AC" w14:textId="77777777" w:rsidTr="00491C11">
        <w:trPr>
          <w:tblCellSpacing w:w="15" w:type="dxa"/>
        </w:trPr>
        <w:tc>
          <w:tcPr>
            <w:tcW w:w="0" w:type="auto"/>
            <w:vAlign w:val="center"/>
            <w:hideMark/>
          </w:tcPr>
          <w:p w14:paraId="5D551327"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Ownership</w:t>
            </w:r>
          </w:p>
        </w:tc>
        <w:tc>
          <w:tcPr>
            <w:tcW w:w="0" w:type="auto"/>
            <w:vAlign w:val="center"/>
            <w:hideMark/>
          </w:tcPr>
          <w:p w14:paraId="23CCA73F"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Strong brand and scale; limited local knowledge</w:t>
            </w:r>
          </w:p>
        </w:tc>
        <w:tc>
          <w:tcPr>
            <w:tcW w:w="0" w:type="auto"/>
            <w:vAlign w:val="center"/>
            <w:hideMark/>
          </w:tcPr>
          <w:p w14:paraId="7D38DAD3"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Controlled partnership</w:t>
            </w:r>
          </w:p>
        </w:tc>
      </w:tr>
      <w:tr w:rsidR="004565DD" w:rsidRPr="00EA5335" w14:paraId="59DC86FD" w14:textId="77777777" w:rsidTr="00491C11">
        <w:trPr>
          <w:tblCellSpacing w:w="15" w:type="dxa"/>
        </w:trPr>
        <w:tc>
          <w:tcPr>
            <w:tcW w:w="0" w:type="auto"/>
            <w:vAlign w:val="center"/>
            <w:hideMark/>
          </w:tcPr>
          <w:p w14:paraId="07FF4F3E"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Location</w:t>
            </w:r>
          </w:p>
        </w:tc>
        <w:tc>
          <w:tcPr>
            <w:tcW w:w="0" w:type="auto"/>
            <w:vAlign w:val="center"/>
            <w:hideMark/>
          </w:tcPr>
          <w:p w14:paraId="688FBF4F"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Large market; regional complexity</w:t>
            </w:r>
          </w:p>
        </w:tc>
        <w:tc>
          <w:tcPr>
            <w:tcW w:w="0" w:type="auto"/>
            <w:vAlign w:val="center"/>
            <w:hideMark/>
          </w:tcPr>
          <w:p w14:paraId="6DAB25F8"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Metropolitan pilot</w:t>
            </w:r>
          </w:p>
        </w:tc>
      </w:tr>
      <w:tr w:rsidR="004565DD" w:rsidRPr="00EA5335" w14:paraId="6B26AEBF" w14:textId="77777777" w:rsidTr="00491C11">
        <w:trPr>
          <w:tblCellSpacing w:w="15" w:type="dxa"/>
        </w:trPr>
        <w:tc>
          <w:tcPr>
            <w:tcW w:w="0" w:type="auto"/>
            <w:vAlign w:val="center"/>
            <w:hideMark/>
          </w:tcPr>
          <w:p w14:paraId="7C338753"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Internalisation</w:t>
            </w:r>
          </w:p>
        </w:tc>
        <w:tc>
          <w:tcPr>
            <w:tcW w:w="0" w:type="auto"/>
            <w:vAlign w:val="center"/>
            <w:hideMark/>
          </w:tcPr>
          <w:p w14:paraId="5FDB7F2D"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Protect standards; localise execution</w:t>
            </w:r>
          </w:p>
        </w:tc>
        <w:tc>
          <w:tcPr>
            <w:tcW w:w="0" w:type="auto"/>
            <w:vAlign w:val="center"/>
            <w:hideMark/>
          </w:tcPr>
          <w:p w14:paraId="02AABD24" w14:textId="77777777" w:rsidR="004565DD" w:rsidRPr="00EA5335" w:rsidRDefault="004565DD"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Master franchise initially</w:t>
            </w:r>
          </w:p>
        </w:tc>
      </w:tr>
    </w:tbl>
    <w:p w14:paraId="460AB6B9" w14:textId="77777777" w:rsidR="004565DD" w:rsidRPr="00EA5335" w:rsidRDefault="004565DD" w:rsidP="00586DCC">
      <w:pPr>
        <w:pStyle w:val="Heading3"/>
        <w:rPr>
          <w:color w:val="000000" w:themeColor="text1"/>
        </w:rPr>
      </w:pPr>
      <w:bookmarkStart w:id="14" w:name="_Toc237217090"/>
      <w:r w:rsidRPr="00EA5335">
        <w:rPr>
          <w:color w:val="000000" w:themeColor="text1"/>
        </w:rPr>
        <w:t>4.1 Ownership, Location, and Internalisation</w:t>
      </w:r>
      <w:bookmarkEnd w:id="14"/>
    </w:p>
    <w:p w14:paraId="24109FD1" w14:textId="77777777" w:rsidR="00087257"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Dunning's OLI model is used to evaluate the advantages of foreign investment – ownership, location, and internalisation. Unlike other retailers, Primark has the brand recognition, the scale of buying, the product development, the store know-how, the sourcing connections and the cost management. Their worth is always related to maintaining relevant price disparities with Indian competitors.</w:t>
      </w:r>
      <w:r w:rsidR="00827998"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 xml:space="preserve">The limited Indian retail experience, lack of transactional e-commerce capacity, and reliance on big brick-and-mortar retail stores act as moderators of ownership strengths. Formal and informal differences have the potential to differently affect equity choices in several competing ways (Silva </w:t>
      </w:r>
      <w:r w:rsidR="00F40A22" w:rsidRPr="00EA5335">
        <w:rPr>
          <w:rFonts w:ascii="Arial" w:hAnsi="Arial" w:cs="Arial"/>
          <w:i/>
          <w:color w:val="000000" w:themeColor="text1"/>
          <w:sz w:val="24"/>
          <w:lang w:val="en-IN"/>
        </w:rPr>
        <w:t>et al.</w:t>
      </w:r>
      <w:r w:rsidRPr="00EA5335">
        <w:rPr>
          <w:rFonts w:ascii="Arial" w:hAnsi="Arial" w:cs="Arial"/>
          <w:color w:val="000000" w:themeColor="text1"/>
          <w:sz w:val="24"/>
          <w:lang w:val="en-IN"/>
        </w:rPr>
        <w:t xml:space="preserve"> 2024) . Therefore, Primark must not consider the strength of the brand as an adequate learning to make the brand work independently.</w:t>
      </w:r>
    </w:p>
    <w:p w14:paraId="2CCFC8C7" w14:textId="77777777" w:rsidR="004565DD"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market scale, urban consumption, young shoppers, textile capacity, digital engagement and growing organised retail is the India advantage. Local sourcing can help to minimize lead time, currency risk, meet regulatory requirements, and enhance legitimacy. These are counterbalanced by income inequalities, lack of infrastructure, high price of property and value competition.</w:t>
      </w:r>
      <w:r w:rsidR="00827998"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Internalisation benefits include holding product design, quality control, supplier approval, pricing structure, data management and brand communication in-house. Regional adaptation, distribution, employment, property access and licensing, however, can be more efficiently done by local partners. The best boundary is then selection in the internalisation and not ownership or uncontrolled franchising</w:t>
      </w:r>
      <w:r w:rsidR="004565DD" w:rsidRPr="00EA5335">
        <w:rPr>
          <w:rFonts w:ascii="Arial" w:hAnsi="Arial" w:cs="Arial"/>
          <w:color w:val="000000" w:themeColor="text1"/>
          <w:sz w:val="24"/>
          <w:lang w:val="en-IN"/>
        </w:rPr>
        <w:t>.</w:t>
      </w:r>
    </w:p>
    <w:p w14:paraId="3A564872" w14:textId="77777777" w:rsidR="004565DD" w:rsidRPr="00EA5335" w:rsidRDefault="004565DD" w:rsidP="00586DCC">
      <w:pPr>
        <w:pStyle w:val="Heading3"/>
        <w:rPr>
          <w:color w:val="000000" w:themeColor="text1"/>
        </w:rPr>
      </w:pPr>
      <w:bookmarkStart w:id="15" w:name="_Toc237217091"/>
      <w:r w:rsidRPr="00EA5335">
        <w:rPr>
          <w:color w:val="000000" w:themeColor="text1"/>
        </w:rPr>
        <w:t>4.2 Historical Entry Pattern</w:t>
      </w:r>
      <w:bookmarkEnd w:id="15"/>
    </w:p>
    <w:p w14:paraId="1B260233" w14:textId="77777777" w:rsidR="004565DD"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Expansion has come primarily through company-owned outlets, with a centralised buying and sourcing team. After reaching scale, markets were shielded from the risk of brand erosion and the loss of operating returns by this structure. It also established high fixed exposure via leases, fit-out, inventory, systems and employees.</w:t>
      </w:r>
      <w:r w:rsidR="00827998"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Later the company facilitated franchising with Alshaya Group, and set up the first franchise store in Kuwait in 2025 (Primark, 2025b) . In other Middle Eastern expansions, management showed its willingness to embrace the use of partnerships as local institutional access became valuable. India is an even stronger case for shared execution, in that it's larger, and more diverse, so it adds to the operational uncertainty.</w:t>
      </w:r>
      <w:r w:rsidR="00827998"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The success of the entry mode is determined by alignment of the control, resources, environmental risk and strategic objectives. The ownership preference of the past should, thus, be taken into account in the design of Primark but not be an automatic inclusion in the design. The company needs sufficient control to safeguard value with a minimal amount of early capital exposure</w:t>
      </w:r>
      <w:r w:rsidR="004565DD" w:rsidRPr="00EA5335">
        <w:rPr>
          <w:rFonts w:ascii="Arial" w:hAnsi="Arial" w:cs="Arial"/>
          <w:color w:val="000000" w:themeColor="text1"/>
          <w:sz w:val="24"/>
          <w:lang w:val="en-IN"/>
        </w:rPr>
        <w:t>.</w:t>
      </w:r>
    </w:p>
    <w:p w14:paraId="1C2F2EA1" w14:textId="77777777" w:rsidR="004565DD" w:rsidRPr="00EA5335" w:rsidRDefault="004565DD" w:rsidP="00586DCC">
      <w:pPr>
        <w:pStyle w:val="Heading3"/>
        <w:rPr>
          <w:color w:val="000000" w:themeColor="text1"/>
        </w:rPr>
      </w:pPr>
      <w:bookmarkStart w:id="16" w:name="_Toc237217092"/>
      <w:r w:rsidRPr="00EA5335">
        <w:rPr>
          <w:color w:val="000000" w:themeColor="text1"/>
        </w:rPr>
        <w:t>4.3 Recommended Mode and Implementation</w:t>
      </w:r>
      <w:bookmarkEnd w:id="16"/>
    </w:p>
    <w:p w14:paraId="591C90A2" w14:textId="77777777" w:rsidR="004565DD"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Primark should go into India via a master-franchise business model with an existing nation-wide retail chain, which is heavily regulated. The partner needs to have major-mall relations, distribution, regulatory experience, and good employment systems. The management of product, sourcing, brand, store design, technology and audit should be concentrated and centralized in Primark.</w:t>
      </w:r>
      <w:r w:rsidR="00827998"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The five-year agreement should start with three stores in the Mumbai, Delhi National Capital Region and Bengaluru cities. Each outlet should be modular, and have a proven assortment; a public promise is not an adequate basis for expansion.</w:t>
      </w:r>
      <w:r w:rsidR="00827998"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Reserved decisions, approved suppliers, ethics, data standards, audits, step-in rights and termination protections are some of the items that should be included in the agreement. The best approach to secure future equity options is to have performance thresholds set, while giving flexibility and allowing for internalisation later on.</w:t>
      </w:r>
    </w:p>
    <w:p w14:paraId="37E56EE5" w14:textId="77777777" w:rsidR="004565DD" w:rsidRPr="00EA5335" w:rsidRDefault="00087257"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Local browsing, stock visibility, click and collect, digital receipts and customer service are all areas that should be covered with digital support. Home delivery should be kept to a minimum until basket values, returns and fulfilment costs can become sustainable; this sequence helps to keep the price low</w:t>
      </w:r>
      <w:r w:rsidR="004565DD" w:rsidRPr="00EA5335">
        <w:rPr>
          <w:rFonts w:ascii="Arial" w:hAnsi="Arial" w:cs="Arial"/>
          <w:color w:val="000000" w:themeColor="text1"/>
          <w:sz w:val="24"/>
          <w:lang w:val="en-IN"/>
        </w:rPr>
        <w:t>.</w:t>
      </w:r>
      <w:r w:rsidR="009C221C" w:rsidRPr="00EA5335">
        <w:rPr>
          <w:rFonts w:ascii="Arial" w:hAnsi="Arial" w:cs="Arial"/>
          <w:color w:val="000000" w:themeColor="text1"/>
          <w:sz w:val="24"/>
          <w:lang w:val="en-IN"/>
        </w:rPr>
        <w:t xml:space="preserve"> </w:t>
      </w:r>
      <w:r w:rsidR="008657EA" w:rsidRPr="00EA5335">
        <w:rPr>
          <w:rFonts w:ascii="Arial" w:hAnsi="Arial" w:cs="Arial"/>
          <w:color w:val="000000" w:themeColor="text1"/>
          <w:sz w:val="24"/>
          <w:lang w:val="en-IN"/>
        </w:rPr>
        <w:t>The local partner needs to bring Indian sourcing to the standards of Primark quality and ethics. The first items that should be purchased are cotton basics, children's wear, nightwear, accessories and selected home textiles. Sourcing locally can enhance the replenishment, currency resilience, regulatory compliance, and stakeholder acceptance.</w:t>
      </w:r>
      <w:r w:rsidR="009C221C" w:rsidRPr="00EA5335">
        <w:rPr>
          <w:rFonts w:ascii="Arial" w:hAnsi="Arial" w:cs="Arial"/>
          <w:color w:val="000000" w:themeColor="text1"/>
          <w:sz w:val="24"/>
          <w:lang w:val="en-IN"/>
        </w:rPr>
        <w:t xml:space="preserve"> </w:t>
      </w:r>
      <w:r w:rsidR="008657EA" w:rsidRPr="00EA5335">
        <w:rPr>
          <w:rFonts w:ascii="Arial" w:hAnsi="Arial" w:cs="Arial"/>
          <w:color w:val="000000" w:themeColor="text1"/>
          <w:sz w:val="24"/>
          <w:lang w:val="en-IN"/>
        </w:rPr>
        <w:t>After 24 months, management should have a sales density, gross margin, markdowns, inventory turns, repeat visits, returns, compliance and customer satisfaction review. If they have positive evidence they could justify extra stores or converting to a joint venture. If a product or service consistently fails to meet the expectations, it needs to be redesigned, scaled back or pulled</w:t>
      </w:r>
      <w:r w:rsidR="004565DD" w:rsidRPr="00EA5335">
        <w:rPr>
          <w:rFonts w:ascii="Arial" w:hAnsi="Arial" w:cs="Arial"/>
          <w:color w:val="000000" w:themeColor="text1"/>
          <w:sz w:val="24"/>
          <w:lang w:val="en-IN"/>
        </w:rPr>
        <w:t>.</w:t>
      </w:r>
    </w:p>
    <w:p w14:paraId="77DC0B13" w14:textId="77777777" w:rsidR="004565DD" w:rsidRPr="00EA5335" w:rsidRDefault="004565DD" w:rsidP="00586DCC">
      <w:pPr>
        <w:pStyle w:val="Heading2"/>
        <w:rPr>
          <w:color w:val="000000" w:themeColor="text1"/>
        </w:rPr>
      </w:pPr>
      <w:bookmarkStart w:id="17" w:name="_Toc237217093"/>
      <w:r w:rsidRPr="00EA5335">
        <w:rPr>
          <w:color w:val="000000" w:themeColor="text1"/>
        </w:rPr>
        <w:t>5. Conclusion</w:t>
      </w:r>
      <w:bookmarkEnd w:id="17"/>
    </w:p>
    <w:p w14:paraId="4FA1C778" w14:textId="77777777" w:rsidR="008657EA"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 xml:space="preserve">Scale, value-conscious consumers, organized retail, and apparel sourcing are the drivers of scale in India for Primark. But, size does not eliminate risks of buying power, competition, property, regulation and cultural diversity. Primark can be described as a retailer with selective transnational capabilities, globally integrated. India needs more local responsiveness than what is ordinarily available in Europe. </w:t>
      </w:r>
      <w:r w:rsidR="00E155E6" w:rsidRPr="00EA5335">
        <w:rPr>
          <w:rFonts w:ascii="Arial" w:hAnsi="Arial" w:cs="Arial"/>
          <w:color w:val="000000" w:themeColor="text1"/>
          <w:sz w:val="24"/>
        </w:rPr>
        <w:t>In general, the evidence suggests that strategic fit is related to the product, size, climate, language, and digital support and store economics.</w:t>
      </w:r>
    </w:p>
    <w:p w14:paraId="0C6E3245" w14:textId="77777777" w:rsidR="004565DD"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rPr>
        <w:t xml:space="preserve">The master-franchise pilot is the best initial mode at the moment, tightly controlled. </w:t>
      </w:r>
      <w:r w:rsidR="00E155E6" w:rsidRPr="00EA5335">
        <w:rPr>
          <w:rFonts w:ascii="Arial" w:hAnsi="Arial" w:cs="Arial"/>
          <w:color w:val="000000" w:themeColor="text1"/>
          <w:sz w:val="24"/>
        </w:rPr>
        <w:t>The OLI analysis reveals the advantages that Primark has in its brand, sourcing, product development, cost control, and the complexity that the country of India brings to the regulatory, property, and operational aspects. It also indicates the need to have some internal control of standards and gain access to local market knowledge. India overall is strategically attractive but still there is a risk of its viability in the long term because of commercial, operational, customers and compliance performance</w:t>
      </w:r>
      <w:r w:rsidRPr="00EA5335">
        <w:rPr>
          <w:rFonts w:ascii="Arial" w:hAnsi="Arial" w:cs="Arial"/>
          <w:color w:val="000000" w:themeColor="text1"/>
          <w:sz w:val="24"/>
        </w:rPr>
        <w:t>.</w:t>
      </w:r>
    </w:p>
    <w:p w14:paraId="7A8B3537" w14:textId="77777777" w:rsidR="00586DCC" w:rsidRPr="00EA5335" w:rsidRDefault="00586DCC" w:rsidP="00586DCC">
      <w:pPr>
        <w:pStyle w:val="Heading1"/>
        <w:rPr>
          <w:color w:val="000000" w:themeColor="text1"/>
        </w:rPr>
      </w:pPr>
      <w:bookmarkStart w:id="18" w:name="_Toc237217094"/>
      <w:r w:rsidRPr="00EA5335">
        <w:rPr>
          <w:color w:val="000000" w:themeColor="text1"/>
        </w:rPr>
        <w:t>SECTION 2</w:t>
      </w:r>
      <w:bookmarkEnd w:id="18"/>
    </w:p>
    <w:p w14:paraId="49856901" w14:textId="77777777" w:rsidR="004565DD" w:rsidRPr="00EA5335" w:rsidRDefault="004565DD" w:rsidP="00586DCC">
      <w:pPr>
        <w:pStyle w:val="Heading2"/>
        <w:rPr>
          <w:color w:val="000000" w:themeColor="text1"/>
        </w:rPr>
      </w:pPr>
      <w:bookmarkStart w:id="19" w:name="_Toc237217095"/>
      <w:r w:rsidRPr="00EA5335">
        <w:rPr>
          <w:color w:val="000000" w:themeColor="text1"/>
        </w:rPr>
        <w:t>6. Reflective Account Using Gibbs’ Reflective Cycle</w:t>
      </w:r>
      <w:bookmarkEnd w:id="19"/>
    </w:p>
    <w:p w14:paraId="1E1A261B" w14:textId="77777777" w:rsidR="004565DD" w:rsidRPr="00EA5335" w:rsidRDefault="004565DD" w:rsidP="00586DCC">
      <w:pPr>
        <w:pStyle w:val="Heading3"/>
        <w:rPr>
          <w:color w:val="000000" w:themeColor="text1"/>
        </w:rPr>
      </w:pPr>
      <w:bookmarkStart w:id="20" w:name="_Toc237217096"/>
      <w:r w:rsidRPr="00EA5335">
        <w:rPr>
          <w:color w:val="000000" w:themeColor="text1"/>
        </w:rPr>
        <w:t>6.1 Description</w:t>
      </w:r>
      <w:bookmarkEnd w:id="20"/>
    </w:p>
    <w:p w14:paraId="6C348C02" w14:textId="77777777" w:rsidR="004565DD"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assessment requirements were first broken down into a research plan. The plan divided into organisational classification, macro-environmental analysis, OLI synthesis, entry-mode evaluation, recommendations, and reflection. This avoided a non-actionable research report of a country without strategic value.</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Primark was chosen as the company because it has a store-led approach as opposed to India's digital growth and regional complexity. By that time, India also didn't have much of the Primark business, thus fulfilling the said date. Finally, I classified the evidence related to company information, statistics, regulation, theory, consumer behaviour and industry reporting.</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The method comprised collecting recent open access journals, as well as company, government, international-organisation and newspaper evidence. Drafted a source map with dates, authors, findings, links and planned sections; this minimized duplication and facilitated fair coverage</w:t>
      </w:r>
      <w:r w:rsidR="004565DD" w:rsidRPr="00EA5335">
        <w:rPr>
          <w:rFonts w:ascii="Arial" w:hAnsi="Arial" w:cs="Arial"/>
          <w:color w:val="000000" w:themeColor="text1"/>
          <w:sz w:val="24"/>
          <w:lang w:val="en-IN"/>
        </w:rPr>
        <w:t>.</w:t>
      </w:r>
    </w:p>
    <w:p w14:paraId="36EC1D64" w14:textId="77777777" w:rsidR="004565DD" w:rsidRPr="00EA5335" w:rsidRDefault="004565DD" w:rsidP="00586DCC">
      <w:pPr>
        <w:pStyle w:val="Heading3"/>
        <w:rPr>
          <w:color w:val="000000" w:themeColor="text1"/>
        </w:rPr>
      </w:pPr>
      <w:bookmarkStart w:id="21" w:name="_Toc237217097"/>
      <w:r w:rsidRPr="00EA5335">
        <w:rPr>
          <w:color w:val="000000" w:themeColor="text1"/>
        </w:rPr>
        <w:t>6.2 Feelings</w:t>
      </w:r>
      <w:bookmarkEnd w:id="21"/>
    </w:p>
    <w:p w14:paraId="1B305820" w14:textId="77777777" w:rsidR="004565DD"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At first I thought it was a no-brainer that India was a target market due to its size, growth and its booming retail market. Further analysis caused that confidence to diminish due to income restrictions, geographic variations, lack of land and an aggressive market competitor. In practice, my focus instead became more strategic, rather than opportunity recognition.</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I was initially unsure when various sources were giving conflicting estimates of retail markets. Some sources reported on total retail spending, others on organised retail, e-commerce, apparel or discretionary retail spending. I realized that I would be giving one forecast as fact and that would give the impression of being accurate and not sound academic.</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The reflection was placed at the beginning and in Gibbs’ sequence, he explained how he chose his research to influence his recommendation. My initial inclination towards 100% ownership was more from the history of Primark than from Indian evidence</w:t>
      </w:r>
      <w:r w:rsidR="004565DD" w:rsidRPr="00EA5335">
        <w:rPr>
          <w:rFonts w:ascii="Arial" w:hAnsi="Arial" w:cs="Arial"/>
          <w:color w:val="000000" w:themeColor="text1"/>
          <w:sz w:val="24"/>
          <w:lang w:val="en-IN"/>
        </w:rPr>
        <w:t>.</w:t>
      </w:r>
    </w:p>
    <w:p w14:paraId="28B19274" w14:textId="77777777" w:rsidR="004565DD" w:rsidRPr="00EA5335" w:rsidRDefault="004565DD" w:rsidP="00586DCC">
      <w:pPr>
        <w:pStyle w:val="Heading3"/>
        <w:rPr>
          <w:color w:val="000000" w:themeColor="text1"/>
        </w:rPr>
      </w:pPr>
      <w:bookmarkStart w:id="22" w:name="_Toc237217098"/>
      <w:r w:rsidRPr="00EA5335">
        <w:rPr>
          <w:color w:val="000000" w:themeColor="text1"/>
        </w:rPr>
        <w:t>6.3 Evaluation</w:t>
      </w:r>
      <w:bookmarkEnd w:id="22"/>
    </w:p>
    <w:p w14:paraId="3F4C22EA" w14:textId="77777777" w:rsidR="004565DD"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best thing I did in my process was to make sure that there was a clear linkage from theory to applied evidence. Bartlett and Ghoshal's framework helped to explain the balance of integration and responsiveness that Primark had to strike and OLI helped to arrange the investment logic. Compare ownership, partnership, acquisition, and franchising was then facilitated by entry-mode literature.</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In addition, the process of selecting sources made the report more reliable during the research process. Official documents were used for legal and economic interpretations, and academic research for behavioural and strategic. Company reports were used to provide operational detail but treated with caution as companies have their own sustainability reporting metrics.</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One of the shortcomings was that there was no primary research conducted with Indian consumers, landlords, suppliers, or even the retail executives. Public data may reveal potential opportunities and threats, but will not provide conclusive proof of intent to visit Primark stores. So the recommendation was to be tested on a step-by-step basis and not to be launched en masse on a national scale.</w:t>
      </w:r>
    </w:p>
    <w:p w14:paraId="66E43C61" w14:textId="77777777" w:rsidR="004565DD" w:rsidRPr="00EA5335" w:rsidRDefault="004565DD" w:rsidP="00586DCC">
      <w:pPr>
        <w:pStyle w:val="Heading3"/>
        <w:rPr>
          <w:color w:val="000000" w:themeColor="text1"/>
        </w:rPr>
      </w:pPr>
      <w:bookmarkStart w:id="23" w:name="_Toc237217099"/>
      <w:r w:rsidRPr="00EA5335">
        <w:rPr>
          <w:color w:val="000000" w:themeColor="text1"/>
        </w:rPr>
        <w:t>6.4 Analysis</w:t>
      </w:r>
      <w:bookmarkEnd w:id="23"/>
    </w:p>
    <w:p w14:paraId="5CED391E" w14:textId="77777777" w:rsidR="008657EA"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The big lesson was around the attractiveness of the market and whether the product is strategically fit. In India, it can be very attractive at the national level, but not at the format level or local level or ownership level. Whether or not this price edge can withstand rent, tax, compliance, sourcing and adaptation costs is crucial to Primark's success.</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Another course of learning I got was the fact that international strategy frameworks are not supposed to be used as classification exercises. Bartlett and Ghoshal discussed the organisation's structure, and OLI did investment analysis and looked at internal boundaries. From those conclusions, a structure of governance for entry mode theory was directly translated into something that would be implemented.</w:t>
      </w:r>
    </w:p>
    <w:p w14:paraId="13B5129C" w14:textId="77777777" w:rsidR="004565DD"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When I was researching the subject of sustainability, I was primarily working with it as a reputational issue; I looked at it more like it is a thing to do because it is the right thing to do. The evidence demonstrated that other resilience strategies, such as traceability, durability, local sourcing, cleaner production and product care can also help to improve resilience, compliance and customer value.</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Another area where the project highlighted the importance of challenging corporate narratives during analysis, was the importance of doing so. While relevant, the stated sourcing programmes and progress to sustainable materials at Primark do not demonstrate good labour outcomes or circularity by themselves. It took the critical analysis to recognise that there had been some good progress made, and to identify the boundaries of measurement, tensions with commerce and the concerns of stakeholders</w:t>
      </w:r>
      <w:r w:rsidR="004565DD" w:rsidRPr="00EA5335">
        <w:rPr>
          <w:rFonts w:ascii="Arial" w:hAnsi="Arial" w:cs="Arial"/>
          <w:color w:val="000000" w:themeColor="text1"/>
          <w:sz w:val="24"/>
          <w:lang w:val="en-IN"/>
        </w:rPr>
        <w:t>.</w:t>
      </w:r>
    </w:p>
    <w:p w14:paraId="2497B4EE" w14:textId="77777777" w:rsidR="004565DD" w:rsidRPr="00EA5335" w:rsidRDefault="004565DD" w:rsidP="00586DCC">
      <w:pPr>
        <w:pStyle w:val="Heading3"/>
        <w:rPr>
          <w:color w:val="000000" w:themeColor="text1"/>
        </w:rPr>
      </w:pPr>
      <w:bookmarkStart w:id="24" w:name="_Toc237217100"/>
      <w:r w:rsidRPr="00EA5335">
        <w:rPr>
          <w:color w:val="000000" w:themeColor="text1"/>
        </w:rPr>
        <w:t>6.5 Conclusion</w:t>
      </w:r>
      <w:bookmarkEnd w:id="24"/>
    </w:p>
    <w:p w14:paraId="6B04C229" w14:textId="77777777" w:rsidR="008657EA"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My research skills improved in the way of organizing complex evidence from international-business situation around a specific managerial decision. I shifted my mindsets from general thoughts of India, to a conditional one based on strategic fit, risk and learning. My own judgement aside and separating out the verified facts and scholarly interpretation of the final argument, the argument became more persuasive.</w:t>
      </w:r>
    </w:p>
    <w:p w14:paraId="30998579" w14:textId="77777777" w:rsidR="004565DD" w:rsidRPr="00EA5335" w:rsidRDefault="008657EA"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I also realised that with incomplete evidence there is no reason why responsible decisions cannot be made. It needs to be based on clear assumptions, slow down the decision-making process, set measurable benchmarks, and establish clear out options. The insight is directly relevant to the decisions of managers that are made prior to the availability of complete information about the international market</w:t>
      </w:r>
      <w:r w:rsidR="004565DD" w:rsidRPr="00EA5335">
        <w:rPr>
          <w:rFonts w:ascii="Arial" w:hAnsi="Arial" w:cs="Arial"/>
          <w:color w:val="000000" w:themeColor="text1"/>
          <w:sz w:val="24"/>
          <w:lang w:val="en-IN"/>
        </w:rPr>
        <w:t>.</w:t>
      </w:r>
    </w:p>
    <w:p w14:paraId="0CA24010" w14:textId="77777777" w:rsidR="004565DD" w:rsidRPr="00EA5335" w:rsidRDefault="004565DD" w:rsidP="00586DCC">
      <w:pPr>
        <w:pStyle w:val="Heading3"/>
        <w:rPr>
          <w:color w:val="000000" w:themeColor="text1"/>
        </w:rPr>
      </w:pPr>
      <w:bookmarkStart w:id="25" w:name="_Toc237217101"/>
      <w:r w:rsidRPr="00EA5335">
        <w:rPr>
          <w:color w:val="000000" w:themeColor="text1"/>
        </w:rPr>
        <w:t>6.6 Action Plan</w:t>
      </w:r>
      <w:bookmarkEnd w:id="25"/>
    </w:p>
    <w:p w14:paraId="478055C4" w14:textId="77777777" w:rsidR="002F1C4B" w:rsidRPr="00EA5335" w:rsidRDefault="002F1C4B" w:rsidP="00F40A22">
      <w:pPr>
        <w:spacing w:after="0" w:line="360" w:lineRule="auto"/>
        <w:jc w:val="both"/>
        <w:rPr>
          <w:rFonts w:ascii="Arial" w:hAnsi="Arial" w:cs="Arial"/>
          <w:color w:val="000000" w:themeColor="text1"/>
          <w:sz w:val="24"/>
          <w:lang w:val="en-IN"/>
        </w:rPr>
      </w:pPr>
      <w:r w:rsidRPr="00EA5335">
        <w:rPr>
          <w:rFonts w:ascii="Arial" w:hAnsi="Arial" w:cs="Arial"/>
          <w:color w:val="000000" w:themeColor="text1"/>
          <w:sz w:val="24"/>
          <w:lang w:val="en-IN"/>
        </w:rPr>
        <w:t>In the final posting, I'll include more competitive benchmarking based on similar product prices, store sizes, and assumptions for the properties based on city. The financial dimension will also be reinforced by an indicative pilot budget, sensitivity analysis and break-even scenarios. These addictions would draw strategic discussions more closely to the overall investment feasibility.</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I will enhance future research by creating tables of evidence prior to writing paragraphs. Each table will differentiate between type of source, its reliability, date, geographical relevance and analytical purpose. This should help minimise duplication and ensure contradictory evidence is easier to compare.</w:t>
      </w:r>
    </w:p>
    <w:p w14:paraId="216723A3" w14:textId="77777777" w:rsidR="004565DD" w:rsidRPr="00586DCC" w:rsidRDefault="002F1C4B" w:rsidP="00586DCC">
      <w:pPr>
        <w:spacing w:after="0" w:line="360" w:lineRule="auto"/>
        <w:jc w:val="both"/>
        <w:rPr>
          <w:rFonts w:ascii="Arial" w:hAnsi="Arial" w:cs="Arial"/>
          <w:sz w:val="24"/>
          <w:lang w:val="en-IN"/>
        </w:rPr>
      </w:pPr>
      <w:r w:rsidRPr="00EA5335">
        <w:rPr>
          <w:rFonts w:ascii="Arial" w:hAnsi="Arial" w:cs="Arial"/>
          <w:color w:val="000000" w:themeColor="text1"/>
          <w:sz w:val="24"/>
          <w:lang w:val="en-IN"/>
        </w:rPr>
        <w:t>Would do primary research to avoid any serious recommendation of investment. The assumptions made here could be revealed in interviews with mall developers, suppliers, value-fashion customers and employees. Concept testing for stores may include aspects of assortment, sizing, price perception, navigation, and expectations for digital.</w:t>
      </w:r>
      <w:r w:rsidR="00586DCC" w:rsidRPr="00EA5335">
        <w:rPr>
          <w:rFonts w:ascii="Arial" w:hAnsi="Arial" w:cs="Arial"/>
          <w:color w:val="000000" w:themeColor="text1"/>
          <w:sz w:val="24"/>
          <w:lang w:val="en-IN"/>
        </w:rPr>
        <w:t xml:space="preserve"> </w:t>
      </w:r>
      <w:r w:rsidRPr="00EA5335">
        <w:rPr>
          <w:rFonts w:ascii="Arial" w:hAnsi="Arial" w:cs="Arial"/>
          <w:color w:val="000000" w:themeColor="text1"/>
          <w:sz w:val="24"/>
          <w:lang w:val="en-IN"/>
        </w:rPr>
        <w:t>Lastly, I will always maintain the essential strategy that emerged in this evaluation. In the future, international-business research should not be interpreted as offering a mechanical solution or predicting a definite outcome. Theory should structure evidence and managerial recommendations should be subject to measurable results and further learning</w:t>
      </w:r>
      <w:r w:rsidR="00586DCC" w:rsidRPr="00EA5335">
        <w:rPr>
          <w:rFonts w:ascii="Arial" w:hAnsi="Arial" w:cs="Arial"/>
          <w:color w:val="000000" w:themeColor="text1"/>
          <w:sz w:val="24"/>
          <w:lang w:val="en-IN"/>
        </w:rPr>
        <w:t>.</w:t>
      </w:r>
      <w:r w:rsidR="004565DD">
        <w:rPr>
          <w:rFonts w:ascii="Arial" w:hAnsi="Arial" w:cs="Arial"/>
          <w:b/>
          <w:bCs/>
          <w:sz w:val="24"/>
          <w:lang w:val="en-IN"/>
        </w:rPr>
        <w:br w:type="page"/>
      </w:r>
    </w:p>
    <w:p w14:paraId="0CCED91E" w14:textId="77777777" w:rsidR="004565DD" w:rsidRPr="004565DD" w:rsidRDefault="004565DD" w:rsidP="00586DCC">
      <w:pPr>
        <w:pStyle w:val="Heading1"/>
      </w:pPr>
      <w:bookmarkStart w:id="26" w:name="_Toc237217102"/>
      <w:r w:rsidRPr="004565DD">
        <w:t>Reference List</w:t>
      </w:r>
      <w:bookmarkEnd w:id="26"/>
    </w:p>
    <w:p w14:paraId="766C1083" w14:textId="77777777" w:rsidR="00BD19AA" w:rsidRPr="00BD19AA" w:rsidRDefault="00BD19AA" w:rsidP="00BD19AA">
      <w:pPr>
        <w:spacing w:line="360" w:lineRule="auto"/>
        <w:jc w:val="both"/>
        <w:rPr>
          <w:rFonts w:ascii="Arial" w:hAnsi="Arial" w:cs="Arial"/>
          <w:sz w:val="24"/>
          <w:lang w:val="en-IN"/>
        </w:rPr>
      </w:pPr>
      <w:r w:rsidRPr="00BD19AA">
        <w:rPr>
          <w:rFonts w:ascii="Arial" w:hAnsi="Arial" w:cs="Arial"/>
          <w:sz w:val="24"/>
          <w:lang w:val="en-IN"/>
        </w:rPr>
        <w:t xml:space="preserve">Associated British Foods plc (2025) </w:t>
      </w:r>
      <w:r w:rsidRPr="00BD19AA">
        <w:rPr>
          <w:rFonts w:ascii="Arial" w:hAnsi="Arial" w:cs="Arial"/>
          <w:i/>
          <w:iCs/>
          <w:sz w:val="24"/>
          <w:lang w:val="en-IN"/>
        </w:rPr>
        <w:t>Annual Results 2025 Presentation</w:t>
      </w:r>
      <w:r w:rsidRPr="00BD19AA">
        <w:rPr>
          <w:rFonts w:ascii="Arial" w:hAnsi="Arial" w:cs="Arial"/>
          <w:sz w:val="24"/>
          <w:lang w:val="en-IN"/>
        </w:rPr>
        <w:t xml:space="preserve">. 4 November. Available at: </w:t>
      </w:r>
      <w:hyperlink r:id="rId12" w:tgtFrame="_new" w:history="1">
        <w:r w:rsidRPr="00BD19AA">
          <w:rPr>
            <w:rStyle w:val="Hyperlink"/>
            <w:rFonts w:ascii="Arial" w:hAnsi="Arial" w:cs="Arial"/>
            <w:sz w:val="24"/>
            <w:lang w:val="en-IN"/>
          </w:rPr>
          <w:t>https://www.abf.co.uk/content/dam/abf/corporate/Documents/investors/results-and-presentations/2025/abf-annual-results-2025-presentation.pdf.downloadasset.pdf</w:t>
        </w:r>
      </w:hyperlink>
    </w:p>
    <w:p w14:paraId="2AC26FC5" w14:textId="77777777" w:rsidR="00BD19AA" w:rsidRPr="00BD19AA" w:rsidRDefault="00BD19AA" w:rsidP="00BD19AA">
      <w:pPr>
        <w:spacing w:line="360" w:lineRule="auto"/>
        <w:jc w:val="both"/>
        <w:rPr>
          <w:rFonts w:ascii="Arial" w:hAnsi="Arial" w:cs="Arial"/>
          <w:sz w:val="24"/>
          <w:lang w:val="en-IN"/>
        </w:rPr>
      </w:pPr>
      <w:r w:rsidRPr="00BD19AA">
        <w:rPr>
          <w:rFonts w:ascii="Arial" w:hAnsi="Arial" w:cs="Arial"/>
          <w:sz w:val="24"/>
          <w:lang w:val="en-IN"/>
        </w:rPr>
        <w:t xml:space="preserve">CBRE (2025) </w:t>
      </w:r>
      <w:r w:rsidRPr="00BD19AA">
        <w:rPr>
          <w:rFonts w:ascii="Arial" w:hAnsi="Arial" w:cs="Arial"/>
          <w:i/>
          <w:iCs/>
          <w:sz w:val="24"/>
          <w:lang w:val="en-IN"/>
        </w:rPr>
        <w:t>India Retail Figures H2 2024</w:t>
      </w:r>
      <w:r w:rsidRPr="00BD19AA">
        <w:rPr>
          <w:rFonts w:ascii="Arial" w:hAnsi="Arial" w:cs="Arial"/>
          <w:sz w:val="24"/>
          <w:lang w:val="en-IN"/>
        </w:rPr>
        <w:t xml:space="preserve">. 21 January. Available at: </w:t>
      </w:r>
      <w:hyperlink r:id="rId13" w:tgtFrame="_new" w:history="1">
        <w:r w:rsidRPr="00BD19AA">
          <w:rPr>
            <w:rStyle w:val="Hyperlink"/>
            <w:rFonts w:ascii="Arial" w:hAnsi="Arial" w:cs="Arial"/>
            <w:sz w:val="24"/>
            <w:lang w:val="en-IN"/>
          </w:rPr>
          <w:t>https://mktgdocs.cbre.com/2299/d732b613-45ac-4c7b-b49a-17a602b53520-163154750/India_Retail_Figures_-_H2_2024.pdf</w:t>
        </w:r>
      </w:hyperlink>
    </w:p>
    <w:p w14:paraId="0046ADEA" w14:textId="77777777" w:rsidR="00BD19AA" w:rsidRPr="00BD19AA" w:rsidRDefault="00BD19AA" w:rsidP="00BD19AA">
      <w:pPr>
        <w:spacing w:line="360" w:lineRule="auto"/>
        <w:jc w:val="both"/>
        <w:rPr>
          <w:rFonts w:ascii="Arial" w:hAnsi="Arial" w:cs="Arial"/>
          <w:sz w:val="24"/>
          <w:lang w:val="en-IN"/>
        </w:rPr>
      </w:pPr>
      <w:r w:rsidRPr="00BD19AA">
        <w:rPr>
          <w:rFonts w:ascii="Arial" w:hAnsi="Arial" w:cs="Arial"/>
          <w:sz w:val="24"/>
          <w:lang w:val="en-IN"/>
        </w:rPr>
        <w:t xml:space="preserve">Deloitte (2026) </w:t>
      </w:r>
      <w:r w:rsidRPr="00BD19AA">
        <w:rPr>
          <w:rFonts w:ascii="Arial" w:hAnsi="Arial" w:cs="Arial"/>
          <w:i/>
          <w:iCs/>
          <w:sz w:val="24"/>
          <w:lang w:val="en-IN"/>
        </w:rPr>
        <w:t>Weaving a New India Identity: The Rise of Fast Fashion and Affordable Premium</w:t>
      </w:r>
      <w:r w:rsidRPr="00BD19AA">
        <w:rPr>
          <w:rFonts w:ascii="Arial" w:hAnsi="Arial" w:cs="Arial"/>
          <w:sz w:val="24"/>
          <w:lang w:val="en-IN"/>
        </w:rPr>
        <w:t>. Available at: https://www.deloitte.com/content/dam/assets-zone1/in/en/docs/industries/consumer/2026/in-consumer-deloitte-india-fashion-report-2026-final.pdf</w:t>
      </w:r>
    </w:p>
    <w:p w14:paraId="328A9937" w14:textId="77777777" w:rsidR="00BD19AA" w:rsidRDefault="00BD19AA" w:rsidP="004565DD">
      <w:pPr>
        <w:spacing w:line="360" w:lineRule="auto"/>
        <w:jc w:val="both"/>
        <w:rPr>
          <w:rFonts w:ascii="Arial" w:hAnsi="Arial" w:cs="Arial"/>
          <w:sz w:val="24"/>
          <w:lang w:val="en-IN"/>
        </w:rPr>
      </w:pPr>
      <w:r w:rsidRPr="00BD19AA">
        <w:rPr>
          <w:rFonts w:ascii="Arial" w:hAnsi="Arial" w:cs="Arial"/>
          <w:sz w:val="24"/>
          <w:lang w:val="en-IN"/>
        </w:rPr>
        <w:t xml:space="preserve">International Monetary Fund (2025) </w:t>
      </w:r>
      <w:r w:rsidRPr="00BD19AA">
        <w:rPr>
          <w:rFonts w:ascii="Arial" w:hAnsi="Arial" w:cs="Arial"/>
          <w:i/>
          <w:iCs/>
          <w:sz w:val="24"/>
          <w:lang w:val="en-IN"/>
        </w:rPr>
        <w:t>India: 2025 Article IV Consultation—Press Release; Staff Report; and Statement by the Executive Director for India</w:t>
      </w:r>
      <w:r w:rsidRPr="00BD19AA">
        <w:rPr>
          <w:rFonts w:ascii="Arial" w:hAnsi="Arial" w:cs="Arial"/>
          <w:sz w:val="24"/>
          <w:lang w:val="en-IN"/>
        </w:rPr>
        <w:t xml:space="preserve">. IMF Country Report No. 25/314. Available at: </w:t>
      </w:r>
      <w:hyperlink r:id="rId14" w:tgtFrame="_new" w:history="1">
        <w:r w:rsidRPr="00BD19AA">
          <w:rPr>
            <w:rStyle w:val="Hyperlink"/>
            <w:rFonts w:ascii="Arial" w:hAnsi="Arial" w:cs="Arial"/>
            <w:sz w:val="24"/>
            <w:lang w:val="en-IN"/>
          </w:rPr>
          <w:t>https://www.imf.org/-/media/files/publications/cr/2025/english/1indea2025003-source-pdf.pdf</w:t>
        </w:r>
      </w:hyperlink>
    </w:p>
    <w:p w14:paraId="0A249718"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Associated British Foods plc (2025a) </w:t>
      </w:r>
      <w:r w:rsidRPr="004565DD">
        <w:rPr>
          <w:rFonts w:ascii="Arial" w:hAnsi="Arial" w:cs="Arial"/>
          <w:i/>
          <w:iCs/>
          <w:sz w:val="24"/>
          <w:lang w:val="en-IN"/>
        </w:rPr>
        <w:t>Annual Report and Accounts 2025</w:t>
      </w:r>
      <w:r w:rsidRPr="004565DD">
        <w:rPr>
          <w:rFonts w:ascii="Arial" w:hAnsi="Arial" w:cs="Arial"/>
          <w:sz w:val="24"/>
          <w:lang w:val="en-IN"/>
        </w:rPr>
        <w:t xml:space="preserve">. Available at: </w:t>
      </w:r>
      <w:hyperlink r:id="rId15" w:tgtFrame="_new" w:history="1">
        <w:r w:rsidRPr="004565DD">
          <w:rPr>
            <w:rStyle w:val="Hyperlink"/>
            <w:rFonts w:ascii="Arial" w:hAnsi="Arial" w:cs="Arial"/>
            <w:sz w:val="24"/>
            <w:lang w:val="en-IN"/>
          </w:rPr>
          <w:t>https://www.abf.co.uk/investors/annual-report-2025</w:t>
        </w:r>
      </w:hyperlink>
    </w:p>
    <w:p w14:paraId="38C539DA"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Associated British Foods plc (2026) </w:t>
      </w:r>
      <w:r w:rsidRPr="004565DD">
        <w:rPr>
          <w:rFonts w:ascii="Arial" w:hAnsi="Arial" w:cs="Arial"/>
          <w:i/>
          <w:iCs/>
          <w:sz w:val="24"/>
          <w:lang w:val="en-IN"/>
        </w:rPr>
        <w:t>Interim Results Announcement 2026</w:t>
      </w:r>
      <w:r w:rsidRPr="004565DD">
        <w:rPr>
          <w:rFonts w:ascii="Arial" w:hAnsi="Arial" w:cs="Arial"/>
          <w:sz w:val="24"/>
          <w:lang w:val="en-IN"/>
        </w:rPr>
        <w:t xml:space="preserve">. Available at: </w:t>
      </w:r>
      <w:hyperlink r:id="rId16" w:tgtFrame="_new" w:history="1">
        <w:r w:rsidRPr="004565DD">
          <w:rPr>
            <w:rStyle w:val="Hyperlink"/>
            <w:rFonts w:ascii="Arial" w:hAnsi="Arial" w:cs="Arial"/>
            <w:sz w:val="24"/>
            <w:lang w:val="en-IN"/>
          </w:rPr>
          <w:t>https://www.abf.co.uk/media/news/2026/interim-results-announcement</w:t>
        </w:r>
      </w:hyperlink>
    </w:p>
    <w:p w14:paraId="01493AA3"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Adejare, B.O., Udofia, E.E. and Olaore, G.O. (2023) ‘Strategy integration, sustainable drivers of firm internationalization performance—moderated by environmental uncertainty and firm capabilities’, </w:t>
      </w:r>
      <w:r w:rsidRPr="004565DD">
        <w:rPr>
          <w:rFonts w:ascii="Arial" w:hAnsi="Arial" w:cs="Arial"/>
          <w:i/>
          <w:iCs/>
          <w:sz w:val="24"/>
          <w:lang w:val="en-IN"/>
        </w:rPr>
        <w:t>Journal of International Entrepreneurship</w:t>
      </w:r>
      <w:r w:rsidRPr="004565DD">
        <w:rPr>
          <w:rFonts w:ascii="Arial" w:hAnsi="Arial" w:cs="Arial"/>
          <w:sz w:val="24"/>
          <w:lang w:val="en-IN"/>
        </w:rPr>
        <w:t xml:space="preserve">, 21(3), pp. 301–328. Available at: </w:t>
      </w:r>
      <w:hyperlink r:id="rId17" w:tgtFrame="_new" w:history="1">
        <w:r w:rsidRPr="004565DD">
          <w:rPr>
            <w:rStyle w:val="Hyperlink"/>
            <w:rFonts w:ascii="Arial" w:hAnsi="Arial" w:cs="Arial"/>
            <w:sz w:val="24"/>
            <w:lang w:val="en-IN"/>
          </w:rPr>
          <w:t>https://doi.org/10.1007/s10843-023-00328-3</w:t>
        </w:r>
      </w:hyperlink>
    </w:p>
    <w:p w14:paraId="715B3BE7"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Balasubramanian, M. and Sheykhmaleki, P. (2024) ‘Comprehending the consumer behavior toward sustainable apparel’, </w:t>
      </w:r>
      <w:r w:rsidRPr="004565DD">
        <w:rPr>
          <w:rFonts w:ascii="Arial" w:hAnsi="Arial" w:cs="Arial"/>
          <w:i/>
          <w:iCs/>
          <w:sz w:val="24"/>
          <w:lang w:val="en-IN"/>
        </w:rPr>
        <w:t>Sustainability</w:t>
      </w:r>
      <w:r w:rsidRPr="004565DD">
        <w:rPr>
          <w:rFonts w:ascii="Arial" w:hAnsi="Arial" w:cs="Arial"/>
          <w:sz w:val="24"/>
          <w:lang w:val="en-IN"/>
        </w:rPr>
        <w:t xml:space="preserve">, 16(18), 8026. Available at: </w:t>
      </w:r>
      <w:hyperlink r:id="rId18" w:tgtFrame="_new" w:history="1">
        <w:r w:rsidRPr="004565DD">
          <w:rPr>
            <w:rStyle w:val="Hyperlink"/>
            <w:rFonts w:ascii="Arial" w:hAnsi="Arial" w:cs="Arial"/>
            <w:sz w:val="24"/>
            <w:lang w:val="en-IN"/>
          </w:rPr>
          <w:t>https://doi.org/10.3390/su16188026</w:t>
        </w:r>
      </w:hyperlink>
    </w:p>
    <w:p w14:paraId="54161211"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Bibi, S., Khan, A., Fubing, X., Jianfeng, H., Hussain, S. and Khan, A.N. (2024) ‘Impact of environmental policies, regulations, technologies, and renewable energy on environmental sustainability in China’s textile and fashion industry’, </w:t>
      </w:r>
      <w:r w:rsidRPr="004565DD">
        <w:rPr>
          <w:rFonts w:ascii="Arial" w:hAnsi="Arial" w:cs="Arial"/>
          <w:i/>
          <w:iCs/>
          <w:sz w:val="24"/>
          <w:lang w:val="en-IN"/>
        </w:rPr>
        <w:t>Frontiers in Environmental Science</w:t>
      </w:r>
      <w:r w:rsidRPr="004565DD">
        <w:rPr>
          <w:rFonts w:ascii="Arial" w:hAnsi="Arial" w:cs="Arial"/>
          <w:sz w:val="24"/>
          <w:lang w:val="en-IN"/>
        </w:rPr>
        <w:t>, 12, 1496454. Available at: https://doi.org/10.3389/fenvs.2024.1496454</w:t>
      </w:r>
    </w:p>
    <w:p w14:paraId="6DBFF2DC"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Burton, M. and Eike, R. (2023) ‘The sustainability-conscious consumer: An exploration of the motivations, values, beliefs, and norms guiding garment life-extension practices’, </w:t>
      </w:r>
      <w:r w:rsidRPr="004565DD">
        <w:rPr>
          <w:rFonts w:ascii="Arial" w:hAnsi="Arial" w:cs="Arial"/>
          <w:i/>
          <w:iCs/>
          <w:sz w:val="24"/>
          <w:lang w:val="en-IN"/>
        </w:rPr>
        <w:t>Sustainability</w:t>
      </w:r>
      <w:r w:rsidRPr="004565DD">
        <w:rPr>
          <w:rFonts w:ascii="Arial" w:hAnsi="Arial" w:cs="Arial"/>
          <w:sz w:val="24"/>
          <w:lang w:val="en-IN"/>
        </w:rPr>
        <w:t xml:space="preserve">, 15(15), 12033. Available at: </w:t>
      </w:r>
      <w:hyperlink r:id="rId19" w:tgtFrame="_new" w:history="1">
        <w:r w:rsidRPr="004565DD">
          <w:rPr>
            <w:rStyle w:val="Hyperlink"/>
            <w:rFonts w:ascii="Arial" w:hAnsi="Arial" w:cs="Arial"/>
            <w:sz w:val="24"/>
            <w:lang w:val="en-IN"/>
          </w:rPr>
          <w:t>https://doi.org/10.3390/su151512033</w:t>
        </w:r>
      </w:hyperlink>
    </w:p>
    <w:p w14:paraId="77D4D635"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Central Board of Indirect Taxes and Customs (2025) </w:t>
      </w:r>
      <w:r w:rsidRPr="004565DD">
        <w:rPr>
          <w:rFonts w:ascii="Arial" w:hAnsi="Arial" w:cs="Arial"/>
          <w:i/>
          <w:iCs/>
          <w:sz w:val="24"/>
          <w:lang w:val="en-IN"/>
        </w:rPr>
        <w:t>GST Goods and Services Rates</w:t>
      </w:r>
      <w:r w:rsidRPr="004565DD">
        <w:rPr>
          <w:rFonts w:ascii="Arial" w:hAnsi="Arial" w:cs="Arial"/>
          <w:sz w:val="24"/>
          <w:lang w:val="en-IN"/>
        </w:rPr>
        <w:t xml:space="preserve">. Available at: </w:t>
      </w:r>
      <w:hyperlink r:id="rId20" w:tgtFrame="_new" w:history="1">
        <w:r w:rsidRPr="004565DD">
          <w:rPr>
            <w:rStyle w:val="Hyperlink"/>
            <w:rFonts w:ascii="Arial" w:hAnsi="Arial" w:cs="Arial"/>
            <w:sz w:val="24"/>
            <w:lang w:val="en-IN"/>
          </w:rPr>
          <w:t>https://cbic-gst.gov.in/gst-goods-services-rates.html</w:t>
        </w:r>
      </w:hyperlink>
    </w:p>
    <w:p w14:paraId="3B2AABDC"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Chakraborty, S. and Sadachar, A. (2023) ‘Did anything good come out of the pandemic? COVID-19-stress induced self-regulatory sustainable apparel consumption among millennials in the United States’, </w:t>
      </w:r>
      <w:r w:rsidRPr="004565DD">
        <w:rPr>
          <w:rFonts w:ascii="Arial" w:hAnsi="Arial" w:cs="Arial"/>
          <w:i/>
          <w:iCs/>
          <w:sz w:val="24"/>
          <w:lang w:val="en-IN"/>
        </w:rPr>
        <w:t>Sustainability</w:t>
      </w:r>
      <w:r w:rsidRPr="004565DD">
        <w:rPr>
          <w:rFonts w:ascii="Arial" w:hAnsi="Arial" w:cs="Arial"/>
          <w:sz w:val="24"/>
          <w:lang w:val="en-IN"/>
        </w:rPr>
        <w:t xml:space="preserve">, 15(9), 7356. Available at: </w:t>
      </w:r>
      <w:hyperlink r:id="rId21" w:tgtFrame="_new" w:history="1">
        <w:r w:rsidRPr="004565DD">
          <w:rPr>
            <w:rStyle w:val="Hyperlink"/>
            <w:rFonts w:ascii="Arial" w:hAnsi="Arial" w:cs="Arial"/>
            <w:sz w:val="24"/>
            <w:lang w:val="en-IN"/>
          </w:rPr>
          <w:t>https://doi.org/10.3390/su15097356</w:t>
        </w:r>
      </w:hyperlink>
    </w:p>
    <w:p w14:paraId="6F0FF375"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Chen, C., Ni, J. and Zhang, P. (2024) ‘Virtual try-on systems in fashion consumption: A systematic review’, </w:t>
      </w:r>
      <w:r w:rsidRPr="004565DD">
        <w:rPr>
          <w:rFonts w:ascii="Arial" w:hAnsi="Arial" w:cs="Arial"/>
          <w:i/>
          <w:iCs/>
          <w:sz w:val="24"/>
          <w:lang w:val="en-IN"/>
        </w:rPr>
        <w:t>Applied Sciences</w:t>
      </w:r>
      <w:r w:rsidRPr="004565DD">
        <w:rPr>
          <w:rFonts w:ascii="Arial" w:hAnsi="Arial" w:cs="Arial"/>
          <w:sz w:val="24"/>
          <w:lang w:val="en-IN"/>
        </w:rPr>
        <w:t xml:space="preserve">, 14(24), 11839. Available at: </w:t>
      </w:r>
      <w:hyperlink r:id="rId22" w:tgtFrame="_new" w:history="1">
        <w:r w:rsidRPr="004565DD">
          <w:rPr>
            <w:rStyle w:val="Hyperlink"/>
            <w:rFonts w:ascii="Arial" w:hAnsi="Arial" w:cs="Arial"/>
            <w:sz w:val="24"/>
            <w:lang w:val="en-IN"/>
          </w:rPr>
          <w:t>https://doi.org/10.3390/app142411839</w:t>
        </w:r>
      </w:hyperlink>
    </w:p>
    <w:p w14:paraId="51FBB5DB"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Davey, J. (2024) ‘Primark looking to expand click-and-collect trial’, </w:t>
      </w:r>
      <w:r w:rsidRPr="004565DD">
        <w:rPr>
          <w:rFonts w:ascii="Arial" w:hAnsi="Arial" w:cs="Arial"/>
          <w:i/>
          <w:iCs/>
          <w:sz w:val="24"/>
          <w:lang w:val="en-IN"/>
        </w:rPr>
        <w:t>Reuters</w:t>
      </w:r>
      <w:r w:rsidRPr="004565DD">
        <w:rPr>
          <w:rFonts w:ascii="Arial" w:hAnsi="Arial" w:cs="Arial"/>
          <w:sz w:val="24"/>
          <w:lang w:val="en-IN"/>
        </w:rPr>
        <w:t xml:space="preserve">, 13 March. Available at: </w:t>
      </w:r>
      <w:hyperlink r:id="rId23" w:tgtFrame="_new" w:history="1">
        <w:r w:rsidRPr="004565DD">
          <w:rPr>
            <w:rStyle w:val="Hyperlink"/>
            <w:rFonts w:ascii="Arial" w:hAnsi="Arial" w:cs="Arial"/>
            <w:sz w:val="24"/>
            <w:lang w:val="en-IN"/>
          </w:rPr>
          <w:t>https://www.reuters.com/business/retail-consumer/primark-looking-expand-click-collect-trial-2024-03-13/</w:t>
        </w:r>
      </w:hyperlink>
    </w:p>
    <w:p w14:paraId="407C710B"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Dekimpe, M.G. and van Heerde, H.J. (2023) ‘Retailing in times of soaring inflation: What we know, what we do not know, and a research agenda’, </w:t>
      </w:r>
      <w:r w:rsidRPr="004565DD">
        <w:rPr>
          <w:rFonts w:ascii="Arial" w:hAnsi="Arial" w:cs="Arial"/>
          <w:i/>
          <w:iCs/>
          <w:sz w:val="24"/>
          <w:lang w:val="en-IN"/>
        </w:rPr>
        <w:t>Journal of Retailing</w:t>
      </w:r>
      <w:r w:rsidRPr="004565DD">
        <w:rPr>
          <w:rFonts w:ascii="Arial" w:hAnsi="Arial" w:cs="Arial"/>
          <w:sz w:val="24"/>
          <w:lang w:val="en-IN"/>
        </w:rPr>
        <w:t xml:space="preserve">, 99(3), pp. 322–336. Available at: </w:t>
      </w:r>
      <w:hyperlink r:id="rId24" w:tgtFrame="_new" w:history="1">
        <w:r w:rsidRPr="004565DD">
          <w:rPr>
            <w:rStyle w:val="Hyperlink"/>
            <w:rFonts w:ascii="Arial" w:hAnsi="Arial" w:cs="Arial"/>
            <w:sz w:val="24"/>
            <w:lang w:val="en-IN"/>
          </w:rPr>
          <w:t>https://doi.org/10.1016/j.jretai.2023.07.002</w:t>
        </w:r>
      </w:hyperlink>
    </w:p>
    <w:p w14:paraId="01098EB6"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Domínguez Romero, E., Durst, S. and Navarro García, A. (2024) ‘Rethinking internationalization processes: Toward a circular framework’, </w:t>
      </w:r>
      <w:r w:rsidRPr="004565DD">
        <w:rPr>
          <w:rFonts w:ascii="Arial" w:hAnsi="Arial" w:cs="Arial"/>
          <w:i/>
          <w:iCs/>
          <w:sz w:val="24"/>
          <w:lang w:val="en-IN"/>
        </w:rPr>
        <w:t>Review of Managerial Science</w:t>
      </w:r>
      <w:r w:rsidRPr="004565DD">
        <w:rPr>
          <w:rFonts w:ascii="Arial" w:hAnsi="Arial" w:cs="Arial"/>
          <w:sz w:val="24"/>
          <w:lang w:val="en-IN"/>
        </w:rPr>
        <w:t xml:space="preserve">, 18(11), pp. 3363–3394. Available at: </w:t>
      </w:r>
      <w:hyperlink r:id="rId25" w:tgtFrame="_new" w:history="1">
        <w:r w:rsidRPr="004565DD">
          <w:rPr>
            <w:rStyle w:val="Hyperlink"/>
            <w:rFonts w:ascii="Arial" w:hAnsi="Arial" w:cs="Arial"/>
            <w:sz w:val="24"/>
            <w:lang w:val="en-IN"/>
          </w:rPr>
          <w:t>https://doi.org/10.1007/s11846-023-00719-9</w:t>
        </w:r>
      </w:hyperlink>
    </w:p>
    <w:p w14:paraId="66B49C2E"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Donnelly, R., Purkayastha, S., Manolova, T.S. and Edelman, L.F. (2024) ‘Institutional distance, slack resources, and foreign market entry’, </w:t>
      </w:r>
      <w:r w:rsidRPr="004565DD">
        <w:rPr>
          <w:rFonts w:ascii="Arial" w:hAnsi="Arial" w:cs="Arial"/>
          <w:i/>
          <w:iCs/>
          <w:sz w:val="24"/>
          <w:lang w:val="en-IN"/>
        </w:rPr>
        <w:t>Journal of International Business Studies</w:t>
      </w:r>
      <w:r w:rsidRPr="004565DD">
        <w:rPr>
          <w:rFonts w:ascii="Arial" w:hAnsi="Arial" w:cs="Arial"/>
          <w:sz w:val="24"/>
          <w:lang w:val="en-IN"/>
        </w:rPr>
        <w:t xml:space="preserve">, 55(2), pp. 194–211. Available at: </w:t>
      </w:r>
      <w:hyperlink r:id="rId26" w:tgtFrame="_new" w:history="1">
        <w:r w:rsidRPr="004565DD">
          <w:rPr>
            <w:rStyle w:val="Hyperlink"/>
            <w:rFonts w:ascii="Arial" w:hAnsi="Arial" w:cs="Arial"/>
            <w:sz w:val="24"/>
            <w:lang w:val="en-IN"/>
          </w:rPr>
          <w:t>https://doi.org/10.1057/s41267-023-00647-6</w:t>
        </w:r>
      </w:hyperlink>
    </w:p>
    <w:p w14:paraId="39D8762A"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Dovalienė, A. and Salciute, L. (2024) ‘An investigation of circular fashion: Antecedents of consumer willingness to rent clothes online’, </w:t>
      </w:r>
      <w:r w:rsidRPr="004565DD">
        <w:rPr>
          <w:rFonts w:ascii="Arial" w:hAnsi="Arial" w:cs="Arial"/>
          <w:i/>
          <w:iCs/>
          <w:sz w:val="24"/>
          <w:lang w:val="en-IN"/>
        </w:rPr>
        <w:t>Sustainability</w:t>
      </w:r>
      <w:r w:rsidRPr="004565DD">
        <w:rPr>
          <w:rFonts w:ascii="Arial" w:hAnsi="Arial" w:cs="Arial"/>
          <w:sz w:val="24"/>
          <w:lang w:val="en-IN"/>
        </w:rPr>
        <w:t xml:space="preserve">, 16(9), 3862. Available at: </w:t>
      </w:r>
      <w:hyperlink r:id="rId27" w:tgtFrame="_new" w:history="1">
        <w:r w:rsidRPr="004565DD">
          <w:rPr>
            <w:rStyle w:val="Hyperlink"/>
            <w:rFonts w:ascii="Arial" w:hAnsi="Arial" w:cs="Arial"/>
            <w:sz w:val="24"/>
            <w:lang w:val="en-IN"/>
          </w:rPr>
          <w:t>https://doi.org/10.3390/su16093862</w:t>
        </w:r>
      </w:hyperlink>
    </w:p>
    <w:p w14:paraId="403A0C50"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Eisen, C., Schenten, J., Theis, A., Rehn-Groenendijk, J., Helferich, M., Müller, H. and Hanss, D. (2024) ‘Toward system innovation for more sustainable chemistry: Insights into consumers’ perceptions, knowledge, and behaviour related to traceability and product-design strategies along leather supply chains’, </w:t>
      </w:r>
      <w:r w:rsidRPr="004565DD">
        <w:rPr>
          <w:rFonts w:ascii="Arial" w:hAnsi="Arial" w:cs="Arial"/>
          <w:i/>
          <w:iCs/>
          <w:sz w:val="24"/>
          <w:lang w:val="en-IN"/>
        </w:rPr>
        <w:t>Frontiers in Sustainability</w:t>
      </w:r>
      <w:r w:rsidRPr="004565DD">
        <w:rPr>
          <w:rFonts w:ascii="Arial" w:hAnsi="Arial" w:cs="Arial"/>
          <w:sz w:val="24"/>
          <w:lang w:val="en-IN"/>
        </w:rPr>
        <w:t xml:space="preserve">, 5, 1351638. Available at: </w:t>
      </w:r>
      <w:hyperlink r:id="rId28" w:tgtFrame="_new" w:history="1">
        <w:r w:rsidRPr="004565DD">
          <w:rPr>
            <w:rStyle w:val="Hyperlink"/>
            <w:rFonts w:ascii="Arial" w:hAnsi="Arial" w:cs="Arial"/>
            <w:sz w:val="24"/>
            <w:lang w:val="en-IN"/>
          </w:rPr>
          <w:t>https://doi.org/10.3389/frsus.2024.1351638</w:t>
        </w:r>
      </w:hyperlink>
    </w:p>
    <w:p w14:paraId="0DF737DA"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Guo, W. and Kim, E. (2023) ‘Categorizing Chinese consumers’ behavior to identify factors related to sustainable clothing consumption’, </w:t>
      </w:r>
      <w:r w:rsidRPr="004565DD">
        <w:rPr>
          <w:rFonts w:ascii="Arial" w:hAnsi="Arial" w:cs="Arial"/>
          <w:i/>
          <w:iCs/>
          <w:sz w:val="24"/>
          <w:lang w:val="en-IN"/>
        </w:rPr>
        <w:t>Sustainability</w:t>
      </w:r>
      <w:r w:rsidRPr="004565DD">
        <w:rPr>
          <w:rFonts w:ascii="Arial" w:hAnsi="Arial" w:cs="Arial"/>
          <w:sz w:val="24"/>
          <w:lang w:val="en-IN"/>
        </w:rPr>
        <w:t>, 15(7), 6126. Available at: https://doi.org/10.3390/su15076126</w:t>
      </w:r>
    </w:p>
    <w:p w14:paraId="6026510D"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India Brand Equity Foundation (2025) ‘Fashion forward: An analysis of India’s growing apparel market’. Available at: </w:t>
      </w:r>
      <w:hyperlink r:id="rId29" w:tgtFrame="_new" w:history="1">
        <w:r w:rsidRPr="004565DD">
          <w:rPr>
            <w:rStyle w:val="Hyperlink"/>
            <w:rFonts w:ascii="Arial" w:hAnsi="Arial" w:cs="Arial"/>
            <w:sz w:val="24"/>
            <w:lang w:val="en-IN"/>
          </w:rPr>
          <w:t>https://www.ibef.org/blogs/fashion-forward-an-analysis-of-india-s-growing-apparel-market</w:t>
        </w:r>
      </w:hyperlink>
    </w:p>
    <w:p w14:paraId="39005C08"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India Brand Equity Foundation (2026a) ‘Retail industry in India’. Available at: </w:t>
      </w:r>
      <w:hyperlink r:id="rId30" w:tgtFrame="_new" w:history="1">
        <w:r w:rsidRPr="004565DD">
          <w:rPr>
            <w:rStyle w:val="Hyperlink"/>
            <w:rFonts w:ascii="Arial" w:hAnsi="Arial" w:cs="Arial"/>
            <w:sz w:val="24"/>
            <w:lang w:val="en-IN"/>
          </w:rPr>
          <w:t>https://www.ibef.org/industry/retail-india</w:t>
        </w:r>
      </w:hyperlink>
    </w:p>
    <w:p w14:paraId="5DD75F7E"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International Monetary Fund (2026) </w:t>
      </w:r>
      <w:r w:rsidRPr="004565DD">
        <w:rPr>
          <w:rFonts w:ascii="Arial" w:hAnsi="Arial" w:cs="Arial"/>
          <w:i/>
          <w:iCs/>
          <w:sz w:val="24"/>
          <w:lang w:val="en-IN"/>
        </w:rPr>
        <w:t>World Economic Outlook Database: India</w:t>
      </w:r>
      <w:r w:rsidRPr="004565DD">
        <w:rPr>
          <w:rFonts w:ascii="Arial" w:hAnsi="Arial" w:cs="Arial"/>
          <w:sz w:val="24"/>
          <w:lang w:val="en-IN"/>
        </w:rPr>
        <w:t xml:space="preserve">. Available at: </w:t>
      </w:r>
      <w:hyperlink r:id="rId31" w:tgtFrame="_new" w:history="1">
        <w:r w:rsidRPr="004565DD">
          <w:rPr>
            <w:rStyle w:val="Hyperlink"/>
            <w:rFonts w:ascii="Arial" w:hAnsi="Arial" w:cs="Arial"/>
            <w:sz w:val="24"/>
            <w:lang w:val="en-IN"/>
          </w:rPr>
          <w:t>https://www.imf.org/external/datamapper/profile/IND/WEO</w:t>
        </w:r>
      </w:hyperlink>
    </w:p>
    <w:p w14:paraId="2A7754A5"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Khalid, B. (2024) ‘Evaluating customer perspectives on omnichannel shopping satisfaction in the fashion retail sector’, </w:t>
      </w:r>
      <w:r w:rsidRPr="004565DD">
        <w:rPr>
          <w:rFonts w:ascii="Arial" w:hAnsi="Arial" w:cs="Arial"/>
          <w:i/>
          <w:iCs/>
          <w:sz w:val="24"/>
          <w:lang w:val="en-IN"/>
        </w:rPr>
        <w:t>Heliyon</w:t>
      </w:r>
      <w:r w:rsidRPr="004565DD">
        <w:rPr>
          <w:rFonts w:ascii="Arial" w:hAnsi="Arial" w:cs="Arial"/>
          <w:sz w:val="24"/>
          <w:lang w:val="en-IN"/>
        </w:rPr>
        <w:t xml:space="preserve">, 10(16), e36027. Available at: </w:t>
      </w:r>
      <w:hyperlink r:id="rId32" w:tgtFrame="_new" w:history="1">
        <w:r w:rsidRPr="004565DD">
          <w:rPr>
            <w:rStyle w:val="Hyperlink"/>
            <w:rFonts w:ascii="Arial" w:hAnsi="Arial" w:cs="Arial"/>
            <w:sz w:val="24"/>
            <w:lang w:val="en-IN"/>
          </w:rPr>
          <w:t>https://doi.org/10.1016/j.heliyon.2024.e36027</w:t>
        </w:r>
      </w:hyperlink>
    </w:p>
    <w:p w14:paraId="3EF6F8B0"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Klemm, C. and Kaufman, S. (2024) ‘The importance of circular attributes for consumer choice of fashion and textile products in Australia’, </w:t>
      </w:r>
      <w:r w:rsidRPr="004565DD">
        <w:rPr>
          <w:rFonts w:ascii="Arial" w:hAnsi="Arial" w:cs="Arial"/>
          <w:i/>
          <w:iCs/>
          <w:sz w:val="24"/>
          <w:lang w:val="en-IN"/>
        </w:rPr>
        <w:t>Sustainable Production and Consumption</w:t>
      </w:r>
      <w:r w:rsidRPr="004565DD">
        <w:rPr>
          <w:rFonts w:ascii="Arial" w:hAnsi="Arial" w:cs="Arial"/>
          <w:sz w:val="24"/>
          <w:lang w:val="en-IN"/>
        </w:rPr>
        <w:t xml:space="preserve">, 45, pp. 538–550. Available at: </w:t>
      </w:r>
      <w:hyperlink r:id="rId33" w:tgtFrame="_new" w:history="1">
        <w:r w:rsidRPr="004565DD">
          <w:rPr>
            <w:rStyle w:val="Hyperlink"/>
            <w:rFonts w:ascii="Arial" w:hAnsi="Arial" w:cs="Arial"/>
            <w:sz w:val="24"/>
            <w:lang w:val="en-IN"/>
          </w:rPr>
          <w:t>https://doi.org/10.1016/j.spc.2024.01.021</w:t>
        </w:r>
      </w:hyperlink>
    </w:p>
    <w:p w14:paraId="23AF3B00"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Kovács, I. and Keresztes, É.R. (2024) ‘Digital innovations in e-commerce: Augmented-reality applications in online fashion retail’, </w:t>
      </w:r>
      <w:r w:rsidRPr="004565DD">
        <w:rPr>
          <w:rFonts w:ascii="Arial" w:hAnsi="Arial" w:cs="Arial"/>
          <w:i/>
          <w:iCs/>
          <w:sz w:val="24"/>
          <w:lang w:val="en-IN"/>
        </w:rPr>
        <w:t>Informatics</w:t>
      </w:r>
      <w:r w:rsidRPr="004565DD">
        <w:rPr>
          <w:rFonts w:ascii="Arial" w:hAnsi="Arial" w:cs="Arial"/>
          <w:sz w:val="24"/>
          <w:lang w:val="en-IN"/>
        </w:rPr>
        <w:t>, 11(3), 56. Available at: https://doi.org/10.3390/informatics11030056</w:t>
      </w:r>
    </w:p>
    <w:p w14:paraId="14773848"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Lang, C. and Zhang, R. (2024) ‘Motivators of circular fashion: The antecedents of Chinese consumers’ fashion-renting intentions’, </w:t>
      </w:r>
      <w:r w:rsidRPr="004565DD">
        <w:rPr>
          <w:rFonts w:ascii="Arial" w:hAnsi="Arial" w:cs="Arial"/>
          <w:i/>
          <w:iCs/>
          <w:sz w:val="24"/>
          <w:lang w:val="en-IN"/>
        </w:rPr>
        <w:t>Sustainability</w:t>
      </w:r>
      <w:r w:rsidRPr="004565DD">
        <w:rPr>
          <w:rFonts w:ascii="Arial" w:hAnsi="Arial" w:cs="Arial"/>
          <w:sz w:val="24"/>
          <w:lang w:val="en-IN"/>
        </w:rPr>
        <w:t xml:space="preserve">, 16(5), 2184. Available at: </w:t>
      </w:r>
      <w:hyperlink r:id="rId34" w:tgtFrame="_new" w:history="1">
        <w:r w:rsidRPr="004565DD">
          <w:rPr>
            <w:rStyle w:val="Hyperlink"/>
            <w:rFonts w:ascii="Arial" w:hAnsi="Arial" w:cs="Arial"/>
            <w:sz w:val="24"/>
            <w:lang w:val="en-IN"/>
          </w:rPr>
          <w:t>https://doi.org/10.3390/su16052184</w:t>
        </w:r>
      </w:hyperlink>
    </w:p>
    <w:p w14:paraId="3CB6EE5C" w14:textId="1298362B" w:rsidR="007D2B2B" w:rsidRPr="00EA5335" w:rsidRDefault="00C4250F">
      <w:pPr>
        <w:spacing w:line="360" w:lineRule="auto"/>
        <w:jc w:val="both"/>
        <w:rPr>
          <w:color w:val="000000" w:themeColor="text1"/>
        </w:rPr>
      </w:pPr>
      <w:r w:rsidRPr="00EA5335">
        <w:rPr>
          <w:rFonts w:ascii="Arial" w:hAnsi="Arial" w:cs="Arial"/>
          <w:color w:val="000000" w:themeColor="text1"/>
          <w:sz w:val="24"/>
        </w:rPr>
        <w:t xml:space="preserve">Larsen, M.M., Birkinshaw, J., Zhou, Y.M. and Benito, G.R.G. (2023) ‘Complexity and multinationals’, </w:t>
      </w:r>
      <w:r w:rsidRPr="00EA5335">
        <w:rPr>
          <w:rFonts w:ascii="Arial" w:hAnsi="Arial" w:cs="Arial"/>
          <w:i/>
          <w:color w:val="000000" w:themeColor="text1"/>
          <w:sz w:val="24"/>
        </w:rPr>
        <w:t>Global Strategy Journal</w:t>
      </w:r>
      <w:r w:rsidRPr="00EA5335">
        <w:rPr>
          <w:rFonts w:ascii="Arial" w:hAnsi="Arial" w:cs="Arial"/>
          <w:color w:val="000000" w:themeColor="text1"/>
          <w:sz w:val="24"/>
        </w:rPr>
        <w:t xml:space="preserve">, 13(3), pp. 535–551. Available at: </w:t>
      </w:r>
      <w:hyperlink r:id="rId35" w:history="1">
        <w:r w:rsidR="00EA5335" w:rsidRPr="009138BC">
          <w:rPr>
            <w:rStyle w:val="Hyperlink"/>
            <w:rFonts w:ascii="Arial" w:hAnsi="Arial" w:cs="Arial"/>
            <w:sz w:val="24"/>
          </w:rPr>
          <w:t>https://doi.org/10.1002/gsj.1493</w:t>
        </w:r>
      </w:hyperlink>
      <w:r w:rsidR="00EA5335">
        <w:rPr>
          <w:rFonts w:ascii="Arial" w:hAnsi="Arial" w:cs="Arial"/>
          <w:color w:val="000000" w:themeColor="text1"/>
          <w:sz w:val="24"/>
        </w:rPr>
        <w:t xml:space="preserve"> </w:t>
      </w:r>
    </w:p>
    <w:p w14:paraId="50E30ED8"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Lin, C.A., Wang, X. and Yang, Y. (2023) ‘Sustainable apparel consumption: Personal norms, corporate responsibility expectations, and hedonic versus utilitarian shopping value’, </w:t>
      </w:r>
      <w:r w:rsidRPr="004565DD">
        <w:rPr>
          <w:rFonts w:ascii="Arial" w:hAnsi="Arial" w:cs="Arial"/>
          <w:i/>
          <w:iCs/>
          <w:sz w:val="24"/>
          <w:lang w:val="en-IN"/>
        </w:rPr>
        <w:t>Sustainability</w:t>
      </w:r>
      <w:r w:rsidRPr="004565DD">
        <w:rPr>
          <w:rFonts w:ascii="Arial" w:hAnsi="Arial" w:cs="Arial"/>
          <w:sz w:val="24"/>
          <w:lang w:val="en-IN"/>
        </w:rPr>
        <w:t>, 15(11), 9116. Available at: https://doi.org/10.3390/su15119116</w:t>
      </w:r>
    </w:p>
    <w:p w14:paraId="31BD62FD"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Ministry of Electronics and Information Technology (2025) </w:t>
      </w:r>
      <w:r w:rsidRPr="004565DD">
        <w:rPr>
          <w:rFonts w:ascii="Arial" w:hAnsi="Arial" w:cs="Arial"/>
          <w:i/>
          <w:iCs/>
          <w:sz w:val="24"/>
          <w:lang w:val="en-IN"/>
        </w:rPr>
        <w:t>Digital Personal Data Protection Rules 2025</w:t>
      </w:r>
      <w:r w:rsidRPr="004565DD">
        <w:rPr>
          <w:rFonts w:ascii="Arial" w:hAnsi="Arial" w:cs="Arial"/>
          <w:sz w:val="24"/>
          <w:lang w:val="en-IN"/>
        </w:rPr>
        <w:t xml:space="preserve">. Available at: </w:t>
      </w:r>
      <w:hyperlink r:id="rId36" w:tgtFrame="_new" w:history="1">
        <w:r w:rsidRPr="004565DD">
          <w:rPr>
            <w:rStyle w:val="Hyperlink"/>
            <w:rFonts w:ascii="Arial" w:hAnsi="Arial" w:cs="Arial"/>
            <w:sz w:val="24"/>
            <w:lang w:val="en-IN"/>
          </w:rPr>
          <w:t>https://www.meity.gov.in/documents/act-and-policies/digital-personal-data-protection-rules-2025-gDOxUjMtQWa</w:t>
        </w:r>
      </w:hyperlink>
    </w:p>
    <w:p w14:paraId="498B5AAD"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Ministry of Finance (2026) </w:t>
      </w:r>
      <w:r w:rsidRPr="004565DD">
        <w:rPr>
          <w:rFonts w:ascii="Arial" w:hAnsi="Arial" w:cs="Arial"/>
          <w:i/>
          <w:iCs/>
          <w:sz w:val="24"/>
          <w:lang w:val="en-IN"/>
        </w:rPr>
        <w:t>Economic Survey 2025–26: State of the Economy</w:t>
      </w:r>
      <w:r w:rsidRPr="004565DD">
        <w:rPr>
          <w:rFonts w:ascii="Arial" w:hAnsi="Arial" w:cs="Arial"/>
          <w:sz w:val="24"/>
          <w:lang w:val="en-IN"/>
        </w:rPr>
        <w:t xml:space="preserve">. Available at: </w:t>
      </w:r>
      <w:hyperlink r:id="rId37" w:tgtFrame="_new" w:history="1">
        <w:r w:rsidRPr="004565DD">
          <w:rPr>
            <w:rStyle w:val="Hyperlink"/>
            <w:rFonts w:ascii="Arial" w:hAnsi="Arial" w:cs="Arial"/>
            <w:sz w:val="24"/>
            <w:lang w:val="en-IN"/>
          </w:rPr>
          <w:t>https://www.indiabudget.gov.in/economicsurvey/doc/echapter.pdf</w:t>
        </w:r>
      </w:hyperlink>
    </w:p>
    <w:p w14:paraId="022285BA"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Ministry of Labour and Employment (2026) ‘Labour Codes’. Available at: </w:t>
      </w:r>
      <w:hyperlink r:id="rId38" w:tgtFrame="_new" w:history="1">
        <w:r w:rsidRPr="004565DD">
          <w:rPr>
            <w:rStyle w:val="Hyperlink"/>
            <w:rFonts w:ascii="Arial" w:hAnsi="Arial" w:cs="Arial"/>
            <w:sz w:val="24"/>
            <w:lang w:val="en-IN"/>
          </w:rPr>
          <w:t>https://www.labour.gov.in/offerings/schemes-and-services/details/labour-codes-gzNzQzMtQWa</w:t>
        </w:r>
      </w:hyperlink>
    </w:p>
    <w:p w14:paraId="0170F31C"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Pandey, M. and Yadav, P.S. (2023) ‘Understanding the role of individual concerns, attitude, and perceived value in green-apparel purchase intention’, </w:t>
      </w:r>
      <w:r w:rsidRPr="004565DD">
        <w:rPr>
          <w:rFonts w:ascii="Arial" w:hAnsi="Arial" w:cs="Arial"/>
          <w:i/>
          <w:iCs/>
          <w:sz w:val="24"/>
          <w:lang w:val="en-IN"/>
        </w:rPr>
        <w:t>Cleaner and Responsible Consumption</w:t>
      </w:r>
      <w:r w:rsidRPr="004565DD">
        <w:rPr>
          <w:rFonts w:ascii="Arial" w:hAnsi="Arial" w:cs="Arial"/>
          <w:sz w:val="24"/>
          <w:lang w:val="en-IN"/>
        </w:rPr>
        <w:t xml:space="preserve">, 9, 100120. Available at: </w:t>
      </w:r>
      <w:hyperlink r:id="rId39" w:tgtFrame="_new" w:history="1">
        <w:r w:rsidRPr="004565DD">
          <w:rPr>
            <w:rStyle w:val="Hyperlink"/>
            <w:rFonts w:ascii="Arial" w:hAnsi="Arial" w:cs="Arial"/>
            <w:sz w:val="24"/>
            <w:lang w:val="en-IN"/>
          </w:rPr>
          <w:t>https://doi.org/10.1016/j.clrc.2023.100120</w:t>
        </w:r>
      </w:hyperlink>
    </w:p>
    <w:p w14:paraId="652B380A"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Patwary, S., Haque, M.A., Kharraz, J.A., Khanzada, N.K., Farid, M.U. and Kumar, N.M. (2023) ‘Apparel consumer behavior and circular economy: Towards a decision-tree framework for mindful clothing consumption’, </w:t>
      </w:r>
      <w:r w:rsidRPr="004565DD">
        <w:rPr>
          <w:rFonts w:ascii="Arial" w:hAnsi="Arial" w:cs="Arial"/>
          <w:i/>
          <w:iCs/>
          <w:sz w:val="24"/>
          <w:lang w:val="en-IN"/>
        </w:rPr>
        <w:t>Sustainability</w:t>
      </w:r>
      <w:r w:rsidRPr="004565DD">
        <w:rPr>
          <w:rFonts w:ascii="Arial" w:hAnsi="Arial" w:cs="Arial"/>
          <w:sz w:val="24"/>
          <w:lang w:val="en-IN"/>
        </w:rPr>
        <w:t xml:space="preserve">, 15(1), 656. Available at: </w:t>
      </w:r>
      <w:hyperlink r:id="rId40" w:tgtFrame="_new" w:history="1">
        <w:r w:rsidRPr="004565DD">
          <w:rPr>
            <w:rStyle w:val="Hyperlink"/>
            <w:rFonts w:ascii="Arial" w:hAnsi="Arial" w:cs="Arial"/>
            <w:sz w:val="24"/>
            <w:lang w:val="en-IN"/>
          </w:rPr>
          <w:t>https://doi.org/10.3390/su15010656</w:t>
        </w:r>
      </w:hyperlink>
    </w:p>
    <w:p w14:paraId="4611B151"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Press Information Bureau (2019) ‘Guidelines for foreign direct investment in single-brand retail trading’. Available at: </w:t>
      </w:r>
      <w:hyperlink r:id="rId41" w:tgtFrame="_new" w:history="1">
        <w:r w:rsidRPr="004565DD">
          <w:rPr>
            <w:rStyle w:val="Hyperlink"/>
            <w:rFonts w:ascii="Arial" w:hAnsi="Arial" w:cs="Arial"/>
            <w:sz w:val="24"/>
            <w:lang w:val="en-IN"/>
          </w:rPr>
          <w:t>https://www.pib.gov.in/Pressreleaseshare.aspx?PRID=1585481&amp;lang=2&amp;reg=48</w:t>
        </w:r>
      </w:hyperlink>
    </w:p>
    <w:p w14:paraId="2FCC476B"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Primark (2025a) </w:t>
      </w:r>
      <w:r w:rsidRPr="004565DD">
        <w:rPr>
          <w:rFonts w:ascii="Arial" w:hAnsi="Arial" w:cs="Arial"/>
          <w:i/>
          <w:iCs/>
          <w:sz w:val="24"/>
          <w:lang w:val="en-IN"/>
        </w:rPr>
        <w:t>Sustainability and Ethics Progress Report 2024/25</w:t>
      </w:r>
      <w:r w:rsidRPr="004565DD">
        <w:rPr>
          <w:rFonts w:ascii="Arial" w:hAnsi="Arial" w:cs="Arial"/>
          <w:sz w:val="24"/>
          <w:lang w:val="en-IN"/>
        </w:rPr>
        <w:t xml:space="preserve">. Available at: </w:t>
      </w:r>
      <w:hyperlink r:id="rId42" w:tgtFrame="_new" w:history="1">
        <w:r w:rsidRPr="004565DD">
          <w:rPr>
            <w:rStyle w:val="Hyperlink"/>
            <w:rFonts w:ascii="Arial" w:hAnsi="Arial" w:cs="Arial"/>
            <w:sz w:val="24"/>
            <w:lang w:val="en-IN"/>
          </w:rPr>
          <w:t>https://corporate.primark.com/en-us/primark-cares/sustainability-report</w:t>
        </w:r>
      </w:hyperlink>
    </w:p>
    <w:p w14:paraId="4ADCA94A"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Primark (2025b) ‘Primark opens first Middle East store in Kuwait in partnership with Alshaya Group’. Available at: </w:t>
      </w:r>
      <w:hyperlink r:id="rId43" w:tgtFrame="_new" w:history="1">
        <w:r w:rsidRPr="004565DD">
          <w:rPr>
            <w:rStyle w:val="Hyperlink"/>
            <w:rFonts w:ascii="Arial" w:hAnsi="Arial" w:cs="Arial"/>
            <w:sz w:val="24"/>
            <w:lang w:val="en-IN"/>
          </w:rPr>
          <w:t>https://corporate.primark.com/en-gb/a/news/corporate-news/primark-opens-first-middle-east-store-in-kuwait-in-partnership-with-alshaya-group</w:t>
        </w:r>
      </w:hyperlink>
    </w:p>
    <w:p w14:paraId="0E57586C"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Primark (2026a) ‘Who we are’. Available at: </w:t>
      </w:r>
      <w:hyperlink r:id="rId44" w:tgtFrame="_new" w:history="1">
        <w:r w:rsidRPr="004565DD">
          <w:rPr>
            <w:rStyle w:val="Hyperlink"/>
            <w:rFonts w:ascii="Arial" w:hAnsi="Arial" w:cs="Arial"/>
            <w:sz w:val="24"/>
            <w:lang w:val="en-IN"/>
          </w:rPr>
          <w:t>https://corporate.primark.com/en-us/a/about-us/who-we-are</w:t>
        </w:r>
      </w:hyperlink>
    </w:p>
    <w:p w14:paraId="47E7E739"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Primark (2026b) ‘The Primark Cotton Project’. Available at: </w:t>
      </w:r>
      <w:hyperlink r:id="rId45" w:tgtFrame="_new" w:history="1">
        <w:r w:rsidRPr="004565DD">
          <w:rPr>
            <w:rStyle w:val="Hyperlink"/>
            <w:rFonts w:ascii="Arial" w:hAnsi="Arial" w:cs="Arial"/>
            <w:sz w:val="24"/>
            <w:lang w:val="en-IN"/>
          </w:rPr>
          <w:t>https://corporate.primark.com/en-us/a/sustainability-and-ethics/product/primark-cotton-project</w:t>
        </w:r>
      </w:hyperlink>
    </w:p>
    <w:p w14:paraId="269E5432"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Ray, S. and Nayak, L. (2023) ‘Marketing sustainable fashion: Trends and future directions’, </w:t>
      </w:r>
      <w:r w:rsidRPr="004565DD">
        <w:rPr>
          <w:rFonts w:ascii="Arial" w:hAnsi="Arial" w:cs="Arial"/>
          <w:i/>
          <w:iCs/>
          <w:sz w:val="24"/>
          <w:lang w:val="en-IN"/>
        </w:rPr>
        <w:t>Sustainability</w:t>
      </w:r>
      <w:r w:rsidRPr="004565DD">
        <w:rPr>
          <w:rFonts w:ascii="Arial" w:hAnsi="Arial" w:cs="Arial"/>
          <w:sz w:val="24"/>
          <w:lang w:val="en-IN"/>
        </w:rPr>
        <w:t xml:space="preserve">, 15(7), 6202. Available at: </w:t>
      </w:r>
      <w:hyperlink r:id="rId46" w:tgtFrame="_new" w:history="1">
        <w:r w:rsidRPr="004565DD">
          <w:rPr>
            <w:rStyle w:val="Hyperlink"/>
            <w:rFonts w:ascii="Arial" w:hAnsi="Arial" w:cs="Arial"/>
            <w:sz w:val="24"/>
            <w:lang w:val="en-IN"/>
          </w:rPr>
          <w:t>https://doi.org/10.3390/su15076202</w:t>
        </w:r>
      </w:hyperlink>
    </w:p>
    <w:p w14:paraId="2310B784"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Reuters (2026) ‘India’s luxury promise hits a wall: Not enough malls to shop in’, 27 March. Available at: </w:t>
      </w:r>
      <w:hyperlink r:id="rId47" w:tgtFrame="_new" w:history="1">
        <w:r w:rsidRPr="004565DD">
          <w:rPr>
            <w:rStyle w:val="Hyperlink"/>
            <w:rFonts w:ascii="Arial" w:hAnsi="Arial" w:cs="Arial"/>
            <w:sz w:val="24"/>
            <w:lang w:val="en-IN"/>
          </w:rPr>
          <w:t>https://www.reuters.com/world/india/indias-luxury-promise-hits-wall-not-enough-malls-shop-2026-03-27/</w:t>
        </w:r>
      </w:hyperlink>
    </w:p>
    <w:p w14:paraId="535D0304"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Sharp, A., Wheeler, M. and Nenycz-Thiel, M. (2023) ‘Myths and realities of retail shopper behaviour towards sustainable brands’, </w:t>
      </w:r>
      <w:r w:rsidRPr="004565DD">
        <w:rPr>
          <w:rFonts w:ascii="Arial" w:hAnsi="Arial" w:cs="Arial"/>
          <w:i/>
          <w:iCs/>
          <w:sz w:val="24"/>
          <w:lang w:val="en-IN"/>
        </w:rPr>
        <w:t>Sustainability</w:t>
      </w:r>
      <w:r w:rsidRPr="004565DD">
        <w:rPr>
          <w:rFonts w:ascii="Arial" w:hAnsi="Arial" w:cs="Arial"/>
          <w:sz w:val="24"/>
          <w:lang w:val="en-IN"/>
        </w:rPr>
        <w:t xml:space="preserve">, 15(24), 16661. Available at: </w:t>
      </w:r>
      <w:hyperlink r:id="rId48" w:tgtFrame="_new" w:history="1">
        <w:r w:rsidRPr="004565DD">
          <w:rPr>
            <w:rStyle w:val="Hyperlink"/>
            <w:rFonts w:ascii="Arial" w:hAnsi="Arial" w:cs="Arial"/>
            <w:sz w:val="24"/>
            <w:lang w:val="en-IN"/>
          </w:rPr>
          <w:t>https://doi.org/10.3390/su152416661</w:t>
        </w:r>
      </w:hyperlink>
    </w:p>
    <w:p w14:paraId="324995E8"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Shamsi, M.A., Anwar, I., Chaudhary, A., Akhtar, S. and Ahmad, A. (2023) ‘Sustainable transition through circular textile products: An empirical study of consumers’ acceptance in India’, </w:t>
      </w:r>
      <w:r w:rsidRPr="004565DD">
        <w:rPr>
          <w:rFonts w:ascii="Arial" w:hAnsi="Arial" w:cs="Arial"/>
          <w:i/>
          <w:iCs/>
          <w:sz w:val="24"/>
          <w:lang w:val="en-IN"/>
        </w:rPr>
        <w:t>Sustainability</w:t>
      </w:r>
      <w:r w:rsidRPr="004565DD">
        <w:rPr>
          <w:rFonts w:ascii="Arial" w:hAnsi="Arial" w:cs="Arial"/>
          <w:sz w:val="24"/>
          <w:lang w:val="en-IN"/>
        </w:rPr>
        <w:t>, 15(18), 13656. Available at: https://doi.org/10.3390/su151813656</w:t>
      </w:r>
    </w:p>
    <w:p w14:paraId="4C08BCDF"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Silva, F.M., Ogasavara, M.H. and Pereira, R. (2024) ‘Institutional distances and equity-based entry modes: A systematic literature review’, </w:t>
      </w:r>
      <w:r w:rsidRPr="004565DD">
        <w:rPr>
          <w:rFonts w:ascii="Arial" w:hAnsi="Arial" w:cs="Arial"/>
          <w:i/>
          <w:iCs/>
          <w:sz w:val="24"/>
          <w:lang w:val="en-IN"/>
        </w:rPr>
        <w:t>Management Review Quarterly</w:t>
      </w:r>
      <w:r w:rsidRPr="004565DD">
        <w:rPr>
          <w:rFonts w:ascii="Arial" w:hAnsi="Arial" w:cs="Arial"/>
          <w:sz w:val="24"/>
          <w:lang w:val="en-IN"/>
        </w:rPr>
        <w:t xml:space="preserve">, 74(3), pp. 1723–1790. Available at: </w:t>
      </w:r>
      <w:hyperlink r:id="rId49" w:tgtFrame="_new" w:history="1">
        <w:r w:rsidRPr="004565DD">
          <w:rPr>
            <w:rStyle w:val="Hyperlink"/>
            <w:rFonts w:ascii="Arial" w:hAnsi="Arial" w:cs="Arial"/>
            <w:sz w:val="24"/>
            <w:lang w:val="en-IN"/>
          </w:rPr>
          <w:t>https://doi.org/10.1007/s11301-023-00346-4</w:t>
        </w:r>
      </w:hyperlink>
    </w:p>
    <w:p w14:paraId="06429DD1"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Tryphena, R. and Aram, I.A. (2023) ‘Consumer perception on sustainable clothing among urban Indians’, </w:t>
      </w:r>
      <w:r w:rsidRPr="004565DD">
        <w:rPr>
          <w:rFonts w:ascii="Arial" w:hAnsi="Arial" w:cs="Arial"/>
          <w:i/>
          <w:iCs/>
          <w:sz w:val="24"/>
          <w:lang w:val="en-IN"/>
        </w:rPr>
        <w:t>Journal of Engineered Fibers and Fabrics</w:t>
      </w:r>
      <w:r w:rsidRPr="004565DD">
        <w:rPr>
          <w:rFonts w:ascii="Arial" w:hAnsi="Arial" w:cs="Arial"/>
          <w:sz w:val="24"/>
          <w:lang w:val="en-IN"/>
        </w:rPr>
        <w:t xml:space="preserve">, 18, pp. 1–13. Available at: </w:t>
      </w:r>
      <w:hyperlink r:id="rId50" w:tgtFrame="_new" w:history="1">
        <w:r w:rsidRPr="004565DD">
          <w:rPr>
            <w:rStyle w:val="Hyperlink"/>
            <w:rFonts w:ascii="Arial" w:hAnsi="Arial" w:cs="Arial"/>
            <w:sz w:val="24"/>
            <w:lang w:val="en-IN"/>
          </w:rPr>
          <w:t>https://doi.org/10.1177/15589250231168964</w:t>
        </w:r>
      </w:hyperlink>
    </w:p>
    <w:p w14:paraId="44AD167E"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Wan, C., Sousa, C.M.P., Lengler, J. and Tan, Q. (2023) ‘Entry mode choice: A meta-analysis of antecedents and outcomes’, </w:t>
      </w:r>
      <w:r w:rsidRPr="004565DD">
        <w:rPr>
          <w:rFonts w:ascii="Arial" w:hAnsi="Arial" w:cs="Arial"/>
          <w:i/>
          <w:iCs/>
          <w:sz w:val="24"/>
          <w:lang w:val="en-IN"/>
        </w:rPr>
        <w:t>Management International Review</w:t>
      </w:r>
      <w:r w:rsidRPr="004565DD">
        <w:rPr>
          <w:rFonts w:ascii="Arial" w:hAnsi="Arial" w:cs="Arial"/>
          <w:sz w:val="24"/>
          <w:lang w:val="en-IN"/>
        </w:rPr>
        <w:t xml:space="preserve">, 63(2), pp. 193–246. Available at: </w:t>
      </w:r>
      <w:hyperlink r:id="rId51" w:tgtFrame="_new" w:history="1">
        <w:r w:rsidRPr="004565DD">
          <w:rPr>
            <w:rStyle w:val="Hyperlink"/>
            <w:rFonts w:ascii="Arial" w:hAnsi="Arial" w:cs="Arial"/>
            <w:sz w:val="24"/>
            <w:lang w:val="en-IN"/>
          </w:rPr>
          <w:t>https://doi.org/10.1007/s11575-022-00499-6</w:t>
        </w:r>
      </w:hyperlink>
    </w:p>
    <w:p w14:paraId="3F44C91F"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Wang, C., Tao, K., Cui, X. and Qin, S. (2024) ‘How do creative assets affect overseas market entry modes of enterprises?’, </w:t>
      </w:r>
      <w:r w:rsidRPr="004565DD">
        <w:rPr>
          <w:rFonts w:ascii="Arial" w:hAnsi="Arial" w:cs="Arial"/>
          <w:i/>
          <w:iCs/>
          <w:sz w:val="24"/>
          <w:lang w:val="en-IN"/>
        </w:rPr>
        <w:t>PLOS ONE</w:t>
      </w:r>
      <w:r w:rsidRPr="004565DD">
        <w:rPr>
          <w:rFonts w:ascii="Arial" w:hAnsi="Arial" w:cs="Arial"/>
          <w:sz w:val="24"/>
          <w:lang w:val="en-IN"/>
        </w:rPr>
        <w:t xml:space="preserve">, 19(2), e0296791. Available at: </w:t>
      </w:r>
      <w:hyperlink r:id="rId52" w:tgtFrame="_new" w:history="1">
        <w:r w:rsidRPr="004565DD">
          <w:rPr>
            <w:rStyle w:val="Hyperlink"/>
            <w:rFonts w:ascii="Arial" w:hAnsi="Arial" w:cs="Arial"/>
            <w:sz w:val="24"/>
            <w:lang w:val="en-IN"/>
          </w:rPr>
          <w:t>https://doi.org/10.1371/journal.pone.0296791</w:t>
        </w:r>
      </w:hyperlink>
    </w:p>
    <w:p w14:paraId="4CE492F0"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Wojdyla, W. and Chi, T. (2024) ‘Decoding the fashion quotient: Key factors influencing Generation Z’s purchase intention toward fast fashion’, </w:t>
      </w:r>
      <w:r w:rsidRPr="004565DD">
        <w:rPr>
          <w:rFonts w:ascii="Arial" w:hAnsi="Arial" w:cs="Arial"/>
          <w:i/>
          <w:iCs/>
          <w:sz w:val="24"/>
          <w:lang w:val="en-IN"/>
        </w:rPr>
        <w:t>Sustainability</w:t>
      </w:r>
      <w:r w:rsidRPr="004565DD">
        <w:rPr>
          <w:rFonts w:ascii="Arial" w:hAnsi="Arial" w:cs="Arial"/>
          <w:sz w:val="24"/>
          <w:lang w:val="en-IN"/>
        </w:rPr>
        <w:t>, 16(12), 5116. Available at: https://doi.org/10.3390/su16125116</w:t>
      </w:r>
    </w:p>
    <w:p w14:paraId="77E5D182"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World Bank (2026) ‘India data’. Available at: </w:t>
      </w:r>
      <w:hyperlink r:id="rId53" w:tgtFrame="_new" w:history="1">
        <w:r w:rsidRPr="004565DD">
          <w:rPr>
            <w:rStyle w:val="Hyperlink"/>
            <w:rFonts w:ascii="Arial" w:hAnsi="Arial" w:cs="Arial"/>
            <w:sz w:val="24"/>
            <w:lang w:val="en-IN"/>
          </w:rPr>
          <w:t>https://data.worldbank.org/country/india</w:t>
        </w:r>
      </w:hyperlink>
    </w:p>
    <w:p w14:paraId="46A35DA4" w14:textId="77777777" w:rsidR="004565DD" w:rsidRPr="004565DD" w:rsidRDefault="004565DD" w:rsidP="004565DD">
      <w:pPr>
        <w:spacing w:line="360" w:lineRule="auto"/>
        <w:jc w:val="both"/>
        <w:rPr>
          <w:rFonts w:ascii="Arial" w:hAnsi="Arial" w:cs="Arial"/>
          <w:sz w:val="24"/>
          <w:lang w:val="en-IN"/>
        </w:rPr>
      </w:pPr>
      <w:r w:rsidRPr="004565DD">
        <w:rPr>
          <w:rFonts w:ascii="Arial" w:hAnsi="Arial" w:cs="Arial"/>
          <w:sz w:val="24"/>
          <w:lang w:val="en-IN"/>
        </w:rPr>
        <w:t xml:space="preserve">Zhang, Y. and Huang, S. (2024) ‘The influence of visual marketing on consumers’ purchase intention of fast-fashion brands’, </w:t>
      </w:r>
      <w:r w:rsidRPr="004565DD">
        <w:rPr>
          <w:rFonts w:ascii="Arial" w:hAnsi="Arial" w:cs="Arial"/>
          <w:i/>
          <w:iCs/>
          <w:sz w:val="24"/>
          <w:lang w:val="en-IN"/>
        </w:rPr>
        <w:t>Frontiers in Psychology</w:t>
      </w:r>
      <w:r w:rsidRPr="004565DD">
        <w:rPr>
          <w:rFonts w:ascii="Arial" w:hAnsi="Arial" w:cs="Arial"/>
          <w:sz w:val="24"/>
          <w:lang w:val="en-IN"/>
        </w:rPr>
        <w:t xml:space="preserve">, 15, 1190571. Available at: </w:t>
      </w:r>
      <w:hyperlink r:id="rId54" w:tgtFrame="_new" w:history="1">
        <w:r w:rsidRPr="004565DD">
          <w:rPr>
            <w:rStyle w:val="Hyperlink"/>
            <w:rFonts w:ascii="Arial" w:hAnsi="Arial" w:cs="Arial"/>
            <w:sz w:val="24"/>
            <w:lang w:val="en-IN"/>
          </w:rPr>
          <w:t>https://doi.org/10.3389/fpsyg.2024.1190571</w:t>
        </w:r>
      </w:hyperlink>
    </w:p>
    <w:p w14:paraId="044C2856" w14:textId="77777777" w:rsidR="008B632A" w:rsidRPr="004565DD" w:rsidRDefault="008B632A" w:rsidP="00F503E0">
      <w:pPr>
        <w:spacing w:line="360" w:lineRule="auto"/>
        <w:jc w:val="both"/>
        <w:rPr>
          <w:rFonts w:ascii="Arial" w:hAnsi="Arial" w:cs="Arial"/>
          <w:sz w:val="24"/>
        </w:rPr>
      </w:pPr>
    </w:p>
    <w:sectPr w:rsidR="008B632A" w:rsidRPr="004565DD" w:rsidSect="007D2879">
      <w:footerReference w:type="default" r:id="rId55"/>
      <w:pgSz w:w="11906" w:h="16838"/>
      <w:pgMar w:top="1440" w:right="1440" w:bottom="1440" w:left="1440" w:header="708" w:footer="708" w:gutter="0"/>
      <w:pgBorders w:offsetFrom="page">
        <w:top w:val="triple" w:sz="12" w:space="24" w:color="auto"/>
        <w:left w:val="triple" w:sz="12" w:space="24" w:color="auto"/>
        <w:bottom w:val="triple" w:sz="12" w:space="24" w:color="auto"/>
        <w:right w:val="trip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35D09" w14:textId="77777777" w:rsidR="00EC56D1" w:rsidRDefault="00EC56D1" w:rsidP="00F503E0">
      <w:pPr>
        <w:spacing w:after="0" w:line="240" w:lineRule="auto"/>
      </w:pPr>
      <w:r>
        <w:separator/>
      </w:r>
    </w:p>
  </w:endnote>
  <w:endnote w:type="continuationSeparator" w:id="0">
    <w:p w14:paraId="7057FEA8" w14:textId="77777777" w:rsidR="00EC56D1" w:rsidRDefault="00EC56D1" w:rsidP="00F50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745846952"/>
      <w:docPartObj>
        <w:docPartGallery w:val="Page Numbers (Bottom of Page)"/>
        <w:docPartUnique/>
      </w:docPartObj>
    </w:sdtPr>
    <w:sdtEndPr>
      <w:rPr>
        <w:noProof/>
      </w:rPr>
    </w:sdtEndPr>
    <w:sdtContent>
      <w:p w14:paraId="4C1334BB" w14:textId="77777777" w:rsidR="00F503E0" w:rsidRPr="00F503E0" w:rsidRDefault="00F503E0">
        <w:pPr>
          <w:pStyle w:val="Footer"/>
          <w:jc w:val="right"/>
          <w:rPr>
            <w:rFonts w:ascii="Times New Roman" w:hAnsi="Times New Roman" w:cs="Times New Roman"/>
            <w:sz w:val="20"/>
            <w:szCs w:val="20"/>
          </w:rPr>
        </w:pPr>
        <w:r w:rsidRPr="00F503E0">
          <w:rPr>
            <w:rFonts w:ascii="Times New Roman" w:hAnsi="Times New Roman" w:cs="Times New Roman"/>
            <w:sz w:val="20"/>
            <w:szCs w:val="20"/>
          </w:rPr>
          <w:fldChar w:fldCharType="begin"/>
        </w:r>
        <w:r w:rsidRPr="00F503E0">
          <w:rPr>
            <w:rFonts w:ascii="Times New Roman" w:hAnsi="Times New Roman" w:cs="Times New Roman"/>
            <w:sz w:val="20"/>
            <w:szCs w:val="20"/>
          </w:rPr>
          <w:instrText xml:space="preserve"> PAGE   \* MERGEFORMAT </w:instrText>
        </w:r>
        <w:r w:rsidRPr="00F503E0">
          <w:rPr>
            <w:rFonts w:ascii="Times New Roman" w:hAnsi="Times New Roman" w:cs="Times New Roman"/>
            <w:sz w:val="20"/>
            <w:szCs w:val="20"/>
          </w:rPr>
          <w:fldChar w:fldCharType="separate"/>
        </w:r>
        <w:r w:rsidRPr="00F503E0">
          <w:rPr>
            <w:rFonts w:ascii="Times New Roman" w:hAnsi="Times New Roman" w:cs="Times New Roman"/>
            <w:noProof/>
            <w:sz w:val="20"/>
            <w:szCs w:val="20"/>
          </w:rPr>
          <w:t>2</w:t>
        </w:r>
        <w:r w:rsidRPr="00F503E0">
          <w:rPr>
            <w:rFonts w:ascii="Times New Roman" w:hAnsi="Times New Roman" w:cs="Times New Roman"/>
            <w:noProof/>
            <w:sz w:val="20"/>
            <w:szCs w:val="20"/>
          </w:rPr>
          <w:fldChar w:fldCharType="end"/>
        </w:r>
      </w:p>
    </w:sdtContent>
  </w:sdt>
  <w:p w14:paraId="17DACCC4" w14:textId="77777777" w:rsidR="00F503E0" w:rsidRPr="00F503E0" w:rsidRDefault="00F503E0">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2CD3B" w14:textId="77777777" w:rsidR="00EC56D1" w:rsidRDefault="00EC56D1" w:rsidP="00F503E0">
      <w:pPr>
        <w:spacing w:after="0" w:line="240" w:lineRule="auto"/>
      </w:pPr>
      <w:r>
        <w:separator/>
      </w:r>
    </w:p>
  </w:footnote>
  <w:footnote w:type="continuationSeparator" w:id="0">
    <w:p w14:paraId="319D3F50" w14:textId="77777777" w:rsidR="00EC56D1" w:rsidRDefault="00EC56D1" w:rsidP="00F503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3E0"/>
    <w:rsid w:val="000748A4"/>
    <w:rsid w:val="00087257"/>
    <w:rsid w:val="000D271B"/>
    <w:rsid w:val="000F65F7"/>
    <w:rsid w:val="001A5F5F"/>
    <w:rsid w:val="001C6776"/>
    <w:rsid w:val="00257BAB"/>
    <w:rsid w:val="002F1C4B"/>
    <w:rsid w:val="002F6F99"/>
    <w:rsid w:val="003B4252"/>
    <w:rsid w:val="004565DD"/>
    <w:rsid w:val="00485529"/>
    <w:rsid w:val="00491C11"/>
    <w:rsid w:val="004E67DB"/>
    <w:rsid w:val="00586DCC"/>
    <w:rsid w:val="005B74B6"/>
    <w:rsid w:val="005D34A4"/>
    <w:rsid w:val="005E517D"/>
    <w:rsid w:val="00601387"/>
    <w:rsid w:val="00631E10"/>
    <w:rsid w:val="00754D85"/>
    <w:rsid w:val="007C5D8E"/>
    <w:rsid w:val="007D2879"/>
    <w:rsid w:val="007D2B2B"/>
    <w:rsid w:val="007F531C"/>
    <w:rsid w:val="0080742E"/>
    <w:rsid w:val="00825418"/>
    <w:rsid w:val="00827998"/>
    <w:rsid w:val="008657EA"/>
    <w:rsid w:val="008B632A"/>
    <w:rsid w:val="00911B6B"/>
    <w:rsid w:val="00915C74"/>
    <w:rsid w:val="009708E2"/>
    <w:rsid w:val="009C221C"/>
    <w:rsid w:val="009E1B40"/>
    <w:rsid w:val="00B110DA"/>
    <w:rsid w:val="00BC0149"/>
    <w:rsid w:val="00BC4E89"/>
    <w:rsid w:val="00BD19AA"/>
    <w:rsid w:val="00C06B02"/>
    <w:rsid w:val="00C370DF"/>
    <w:rsid w:val="00C4250F"/>
    <w:rsid w:val="00CA52EC"/>
    <w:rsid w:val="00D23667"/>
    <w:rsid w:val="00E155E6"/>
    <w:rsid w:val="00E32ECA"/>
    <w:rsid w:val="00E93620"/>
    <w:rsid w:val="00EA5335"/>
    <w:rsid w:val="00EB1145"/>
    <w:rsid w:val="00EC5311"/>
    <w:rsid w:val="00EC56D1"/>
    <w:rsid w:val="00ED174D"/>
    <w:rsid w:val="00ED6DE2"/>
    <w:rsid w:val="00F05826"/>
    <w:rsid w:val="00F40A22"/>
    <w:rsid w:val="00F503E0"/>
    <w:rsid w:val="00F74DD2"/>
    <w:rsid w:val="00F87FD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7C1A1"/>
  <w15:chartTrackingRefBased/>
  <w15:docId w15:val="{1C2CE402-94CC-45CA-9341-609DD80C0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586DCC"/>
    <w:pPr>
      <w:spacing w:after="0" w:line="360" w:lineRule="auto"/>
      <w:jc w:val="both"/>
      <w:outlineLvl w:val="0"/>
    </w:pPr>
    <w:rPr>
      <w:rFonts w:ascii="Arial" w:hAnsi="Arial" w:cs="Arial"/>
      <w:b/>
      <w:bCs/>
      <w:sz w:val="28"/>
      <w:lang w:val="en-IN"/>
    </w:rPr>
  </w:style>
  <w:style w:type="paragraph" w:styleId="Heading2">
    <w:name w:val="heading 2"/>
    <w:basedOn w:val="Normal"/>
    <w:next w:val="Normal"/>
    <w:link w:val="Heading2Char"/>
    <w:uiPriority w:val="9"/>
    <w:unhideWhenUsed/>
    <w:qFormat/>
    <w:rsid w:val="00586DCC"/>
    <w:pPr>
      <w:spacing w:after="0" w:line="360" w:lineRule="auto"/>
      <w:jc w:val="both"/>
      <w:outlineLvl w:val="1"/>
    </w:pPr>
    <w:rPr>
      <w:rFonts w:ascii="Arial" w:hAnsi="Arial" w:cs="Arial"/>
      <w:b/>
      <w:bCs/>
      <w:sz w:val="24"/>
      <w:lang w:val="en-IN"/>
    </w:rPr>
  </w:style>
  <w:style w:type="paragraph" w:styleId="Heading3">
    <w:name w:val="heading 3"/>
    <w:basedOn w:val="Normal"/>
    <w:next w:val="Normal"/>
    <w:link w:val="Heading3Char"/>
    <w:uiPriority w:val="9"/>
    <w:unhideWhenUsed/>
    <w:qFormat/>
    <w:rsid w:val="00586DCC"/>
    <w:pPr>
      <w:spacing w:after="0" w:line="360" w:lineRule="auto"/>
      <w:jc w:val="both"/>
      <w:outlineLvl w:val="2"/>
    </w:pPr>
    <w:rPr>
      <w:rFonts w:ascii="Arial" w:hAnsi="Arial" w:cs="Arial"/>
      <w:b/>
      <w:bCs/>
      <w:sz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03E0"/>
    <w:rPr>
      <w:color w:val="0563C1" w:themeColor="hyperlink"/>
      <w:u w:val="single"/>
    </w:rPr>
  </w:style>
  <w:style w:type="character" w:styleId="UnresolvedMention">
    <w:name w:val="Unresolved Mention"/>
    <w:basedOn w:val="DefaultParagraphFont"/>
    <w:uiPriority w:val="99"/>
    <w:semiHidden/>
    <w:unhideWhenUsed/>
    <w:rsid w:val="00F503E0"/>
    <w:rPr>
      <w:color w:val="605E5C"/>
      <w:shd w:val="clear" w:color="auto" w:fill="E1DFDD"/>
    </w:rPr>
  </w:style>
  <w:style w:type="paragraph" w:styleId="Header">
    <w:name w:val="header"/>
    <w:basedOn w:val="Normal"/>
    <w:link w:val="HeaderChar"/>
    <w:uiPriority w:val="99"/>
    <w:unhideWhenUsed/>
    <w:rsid w:val="00F503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3E0"/>
    <w:rPr>
      <w:lang w:val="en-AU"/>
    </w:rPr>
  </w:style>
  <w:style w:type="paragraph" w:styleId="Footer">
    <w:name w:val="footer"/>
    <w:basedOn w:val="Normal"/>
    <w:link w:val="FooterChar"/>
    <w:uiPriority w:val="99"/>
    <w:unhideWhenUsed/>
    <w:rsid w:val="00F503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3E0"/>
    <w:rPr>
      <w:lang w:val="en-AU"/>
    </w:rPr>
  </w:style>
  <w:style w:type="character" w:customStyle="1" w:styleId="Heading1Char">
    <w:name w:val="Heading 1 Char"/>
    <w:basedOn w:val="DefaultParagraphFont"/>
    <w:link w:val="Heading1"/>
    <w:uiPriority w:val="9"/>
    <w:rsid w:val="00586DCC"/>
    <w:rPr>
      <w:rFonts w:ascii="Arial" w:hAnsi="Arial" w:cs="Arial"/>
      <w:b/>
      <w:bCs/>
      <w:sz w:val="28"/>
    </w:rPr>
  </w:style>
  <w:style w:type="character" w:customStyle="1" w:styleId="Heading2Char">
    <w:name w:val="Heading 2 Char"/>
    <w:basedOn w:val="DefaultParagraphFont"/>
    <w:link w:val="Heading2"/>
    <w:uiPriority w:val="9"/>
    <w:rsid w:val="00586DCC"/>
    <w:rPr>
      <w:rFonts w:ascii="Arial" w:hAnsi="Arial" w:cs="Arial"/>
      <w:b/>
      <w:bCs/>
      <w:sz w:val="24"/>
    </w:rPr>
  </w:style>
  <w:style w:type="character" w:customStyle="1" w:styleId="Heading3Char">
    <w:name w:val="Heading 3 Char"/>
    <w:basedOn w:val="DefaultParagraphFont"/>
    <w:link w:val="Heading3"/>
    <w:uiPriority w:val="9"/>
    <w:rsid w:val="00586DCC"/>
    <w:rPr>
      <w:rFonts w:ascii="Arial" w:hAnsi="Arial" w:cs="Arial"/>
      <w:b/>
      <w:bCs/>
      <w:sz w:val="24"/>
    </w:rPr>
  </w:style>
  <w:style w:type="paragraph" w:styleId="TOCHeading">
    <w:name w:val="TOC Heading"/>
    <w:basedOn w:val="Heading1"/>
    <w:next w:val="Normal"/>
    <w:uiPriority w:val="39"/>
    <w:unhideWhenUsed/>
    <w:qFormat/>
    <w:rsid w:val="0082541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825418"/>
    <w:pPr>
      <w:spacing w:after="100"/>
    </w:pPr>
  </w:style>
  <w:style w:type="paragraph" w:styleId="TOC2">
    <w:name w:val="toc 2"/>
    <w:basedOn w:val="Normal"/>
    <w:next w:val="Normal"/>
    <w:autoRedefine/>
    <w:uiPriority w:val="39"/>
    <w:unhideWhenUsed/>
    <w:rsid w:val="00825418"/>
    <w:pPr>
      <w:spacing w:after="100"/>
      <w:ind w:left="220"/>
    </w:pPr>
  </w:style>
  <w:style w:type="paragraph" w:styleId="TOC3">
    <w:name w:val="toc 3"/>
    <w:basedOn w:val="Normal"/>
    <w:next w:val="Normal"/>
    <w:autoRedefine/>
    <w:uiPriority w:val="39"/>
    <w:unhideWhenUsed/>
    <w:rsid w:val="00825418"/>
    <w:pPr>
      <w:spacing w:after="100"/>
      <w:ind w:left="440"/>
    </w:pPr>
  </w:style>
  <w:style w:type="paragraph" w:styleId="Title">
    <w:name w:val="Title"/>
    <w:basedOn w:val="Normal"/>
    <w:next w:val="Normal"/>
    <w:link w:val="TitleChar"/>
    <w:rsid w:val="001C6776"/>
    <w:pPr>
      <w:keepNext/>
      <w:keepLines/>
      <w:spacing w:after="0" w:line="360" w:lineRule="auto"/>
      <w:jc w:val="center"/>
    </w:pPr>
    <w:rPr>
      <w:rFonts w:ascii="Arial" w:eastAsia="Times New Roman" w:hAnsi="Arial" w:cs="Times New Roman"/>
      <w:b/>
      <w:bCs/>
      <w:sz w:val="32"/>
      <w:szCs w:val="32"/>
      <w:lang w:val="en-IN" w:eastAsia="en-IN"/>
    </w:rPr>
  </w:style>
  <w:style w:type="character" w:customStyle="1" w:styleId="TitleChar">
    <w:name w:val="Title Char"/>
    <w:basedOn w:val="DefaultParagraphFont"/>
    <w:link w:val="Title"/>
    <w:rsid w:val="001C6776"/>
    <w:rPr>
      <w:rFonts w:ascii="Arial" w:eastAsia="Times New Roman" w:hAnsi="Arial" w:cs="Times New Roman"/>
      <w:b/>
      <w:bCs/>
      <w:sz w:val="32"/>
      <w:szCs w:val="32"/>
      <w:lang w:eastAsia="en-IN"/>
    </w:rPr>
  </w:style>
  <w:style w:type="paragraph" w:customStyle="1" w:styleId="TableParagraph">
    <w:name w:val="Table Paragraph"/>
    <w:basedOn w:val="Normal"/>
    <w:uiPriority w:val="1"/>
    <w:qFormat/>
    <w:rsid w:val="001C6776"/>
    <w:pPr>
      <w:widowControl w:val="0"/>
      <w:autoSpaceDE w:val="0"/>
      <w:autoSpaceDN w:val="0"/>
      <w:spacing w:after="0" w:line="240" w:lineRule="auto"/>
      <w:ind w:left="108"/>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900763">
      <w:bodyDiv w:val="1"/>
      <w:marLeft w:val="0"/>
      <w:marRight w:val="0"/>
      <w:marTop w:val="0"/>
      <w:marBottom w:val="0"/>
      <w:divBdr>
        <w:top w:val="none" w:sz="0" w:space="0" w:color="auto"/>
        <w:left w:val="none" w:sz="0" w:space="0" w:color="auto"/>
        <w:bottom w:val="none" w:sz="0" w:space="0" w:color="auto"/>
        <w:right w:val="none" w:sz="0" w:space="0" w:color="auto"/>
      </w:divBdr>
    </w:div>
    <w:div w:id="460225522">
      <w:bodyDiv w:val="1"/>
      <w:marLeft w:val="0"/>
      <w:marRight w:val="0"/>
      <w:marTop w:val="0"/>
      <w:marBottom w:val="0"/>
      <w:divBdr>
        <w:top w:val="none" w:sz="0" w:space="0" w:color="auto"/>
        <w:left w:val="none" w:sz="0" w:space="0" w:color="auto"/>
        <w:bottom w:val="none" w:sz="0" w:space="0" w:color="auto"/>
        <w:right w:val="none" w:sz="0" w:space="0" w:color="auto"/>
      </w:divBdr>
      <w:divsChild>
        <w:div w:id="1984581675">
          <w:marLeft w:val="0"/>
          <w:marRight w:val="0"/>
          <w:marTop w:val="0"/>
          <w:marBottom w:val="0"/>
          <w:divBdr>
            <w:top w:val="none" w:sz="0" w:space="0" w:color="auto"/>
            <w:left w:val="none" w:sz="0" w:space="0" w:color="auto"/>
            <w:bottom w:val="none" w:sz="0" w:space="0" w:color="auto"/>
            <w:right w:val="none" w:sz="0" w:space="0" w:color="auto"/>
          </w:divBdr>
          <w:divsChild>
            <w:div w:id="90669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626005">
      <w:bodyDiv w:val="1"/>
      <w:marLeft w:val="0"/>
      <w:marRight w:val="0"/>
      <w:marTop w:val="0"/>
      <w:marBottom w:val="0"/>
      <w:divBdr>
        <w:top w:val="none" w:sz="0" w:space="0" w:color="auto"/>
        <w:left w:val="none" w:sz="0" w:space="0" w:color="auto"/>
        <w:bottom w:val="none" w:sz="0" w:space="0" w:color="auto"/>
        <w:right w:val="none" w:sz="0" w:space="0" w:color="auto"/>
      </w:divBdr>
    </w:div>
    <w:div w:id="1425539833">
      <w:bodyDiv w:val="1"/>
      <w:marLeft w:val="0"/>
      <w:marRight w:val="0"/>
      <w:marTop w:val="0"/>
      <w:marBottom w:val="0"/>
      <w:divBdr>
        <w:top w:val="none" w:sz="0" w:space="0" w:color="auto"/>
        <w:left w:val="none" w:sz="0" w:space="0" w:color="auto"/>
        <w:bottom w:val="none" w:sz="0" w:space="0" w:color="auto"/>
        <w:right w:val="none" w:sz="0" w:space="0" w:color="auto"/>
      </w:divBdr>
    </w:div>
    <w:div w:id="1805661536">
      <w:bodyDiv w:val="1"/>
      <w:marLeft w:val="0"/>
      <w:marRight w:val="0"/>
      <w:marTop w:val="0"/>
      <w:marBottom w:val="0"/>
      <w:divBdr>
        <w:top w:val="none" w:sz="0" w:space="0" w:color="auto"/>
        <w:left w:val="none" w:sz="0" w:space="0" w:color="auto"/>
        <w:bottom w:val="none" w:sz="0" w:space="0" w:color="auto"/>
        <w:right w:val="none" w:sz="0" w:space="0" w:color="auto"/>
      </w:divBdr>
    </w:div>
    <w:div w:id="2084524322">
      <w:bodyDiv w:val="1"/>
      <w:marLeft w:val="0"/>
      <w:marRight w:val="0"/>
      <w:marTop w:val="0"/>
      <w:marBottom w:val="0"/>
      <w:divBdr>
        <w:top w:val="none" w:sz="0" w:space="0" w:color="auto"/>
        <w:left w:val="none" w:sz="0" w:space="0" w:color="auto"/>
        <w:bottom w:val="none" w:sz="0" w:space="0" w:color="auto"/>
        <w:right w:val="none" w:sz="0" w:space="0" w:color="auto"/>
      </w:divBdr>
      <w:divsChild>
        <w:div w:id="1422096536">
          <w:marLeft w:val="0"/>
          <w:marRight w:val="0"/>
          <w:marTop w:val="0"/>
          <w:marBottom w:val="0"/>
          <w:divBdr>
            <w:top w:val="none" w:sz="0" w:space="0" w:color="auto"/>
            <w:left w:val="none" w:sz="0" w:space="0" w:color="auto"/>
            <w:bottom w:val="none" w:sz="0" w:space="0" w:color="auto"/>
            <w:right w:val="none" w:sz="0" w:space="0" w:color="auto"/>
          </w:divBdr>
          <w:divsChild>
            <w:div w:id="135399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ktgdocs.cbre.com/2299/d732b613-45ac-4c7b-b49a-17a602b53520-163154750/India_Retail_Figures_-_H2_2024.pdf" TargetMode="External" /><Relationship Id="rId18" Type="http://schemas.openxmlformats.org/officeDocument/2006/relationships/hyperlink" Target="https://doi.org/10.3390/su16188026?utm_source=chatgpt.com" TargetMode="External" /><Relationship Id="rId26" Type="http://schemas.openxmlformats.org/officeDocument/2006/relationships/hyperlink" Target="https://doi.org/10.1057/s41267-023-00647-6" TargetMode="External" /><Relationship Id="rId39" Type="http://schemas.openxmlformats.org/officeDocument/2006/relationships/hyperlink" Target="https://doi.org/10.1016/j.clrc.2023.100120" TargetMode="External" /><Relationship Id="rId21" Type="http://schemas.openxmlformats.org/officeDocument/2006/relationships/hyperlink" Target="https://doi.org/10.3390/su15097356?utm_source=chatgpt.com" TargetMode="External" /><Relationship Id="rId34" Type="http://schemas.openxmlformats.org/officeDocument/2006/relationships/hyperlink" Target="https://doi.org/10.3390/su16052184?utm_source=chatgpt.com" TargetMode="External" /><Relationship Id="rId42" Type="http://schemas.openxmlformats.org/officeDocument/2006/relationships/hyperlink" Target="https://corporate.primark.com/en-us/primark-cares/sustainability-report" TargetMode="External" /><Relationship Id="rId47" Type="http://schemas.openxmlformats.org/officeDocument/2006/relationships/hyperlink" Target="https://www.reuters.com/world/india/indias-luxury-promise-hits-wall-not-enough-malls-shop-2026-03-27/?utm_source=chatgpt.com" TargetMode="External" /><Relationship Id="rId50" Type="http://schemas.openxmlformats.org/officeDocument/2006/relationships/hyperlink" Target="https://doi.org/10.1177/15589250231168964" TargetMode="External" /><Relationship Id="rId55" Type="http://schemas.openxmlformats.org/officeDocument/2006/relationships/footer" Target="footer1.xml" /><Relationship Id="rId7" Type="http://schemas.openxmlformats.org/officeDocument/2006/relationships/image" Target="media/image1.jpeg" /><Relationship Id="rId12" Type="http://schemas.openxmlformats.org/officeDocument/2006/relationships/hyperlink" Target="https://www.abf.co.uk/content/dam/abf/corporate/Documents/investors/results-and-presentations/2025/abf-annual-results-2025-presentation.pdf.downloadasset.pdf?utm_source=chatgpt.com" TargetMode="External" /><Relationship Id="rId17" Type="http://schemas.openxmlformats.org/officeDocument/2006/relationships/hyperlink" Target="https://doi.org/10.1007/s10843-023-00328-3" TargetMode="External" /><Relationship Id="rId25" Type="http://schemas.openxmlformats.org/officeDocument/2006/relationships/hyperlink" Target="https://doi.org/10.1007/s11846-023-00719-9?utm_source=chatgpt.com" TargetMode="External" /><Relationship Id="rId33" Type="http://schemas.openxmlformats.org/officeDocument/2006/relationships/hyperlink" Target="https://doi.org/10.1016/j.spc.2024.01.021" TargetMode="External" /><Relationship Id="rId38" Type="http://schemas.openxmlformats.org/officeDocument/2006/relationships/hyperlink" Target="https://www.labour.gov.in/offerings/schemes-and-services/details/labour-codes-gzNzQzMtQWa?utm_source=chatgpt.com" TargetMode="External" /><Relationship Id="rId46" Type="http://schemas.openxmlformats.org/officeDocument/2006/relationships/hyperlink" Target="https://doi.org/10.3390/su15076202" TargetMode="External" /><Relationship Id="rId2" Type="http://schemas.openxmlformats.org/officeDocument/2006/relationships/styles" Target="styles.xml" /><Relationship Id="rId16" Type="http://schemas.openxmlformats.org/officeDocument/2006/relationships/hyperlink" Target="https://www.abf.co.uk/media/news/2026/interim-results-announcement?utm_source=chatgpt.com" TargetMode="External" /><Relationship Id="rId20" Type="http://schemas.openxmlformats.org/officeDocument/2006/relationships/hyperlink" Target="https://cbic-gst.gov.in/gst-goods-services-rates.html" TargetMode="External" /><Relationship Id="rId29" Type="http://schemas.openxmlformats.org/officeDocument/2006/relationships/hyperlink" Target="https://www.ibef.org/blogs/fashion-forward-an-analysis-of-india-s-growing-apparel-market?utm_source=chatgpt.com" TargetMode="External" /><Relationship Id="rId41" Type="http://schemas.openxmlformats.org/officeDocument/2006/relationships/hyperlink" Target="https://www.pib.gov.in/Pressreleaseshare.aspx?PRID=1585481&amp;lang=2&amp;reg=48" TargetMode="External" /><Relationship Id="rId54" Type="http://schemas.openxmlformats.org/officeDocument/2006/relationships/hyperlink" Target="https://doi.org/10.3389/fpsyg.2024.1190571?utm_source=chatgpt.com"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10.1016/j.jretai.2023.07.002" TargetMode="External" /><Relationship Id="rId32" Type="http://schemas.openxmlformats.org/officeDocument/2006/relationships/hyperlink" Target="https://doi.org/10.1016/j.heliyon.2024.e36027" TargetMode="External" /><Relationship Id="rId37" Type="http://schemas.openxmlformats.org/officeDocument/2006/relationships/hyperlink" Target="https://www.indiabudget.gov.in/economicsurvey/doc/echapter.pdf" TargetMode="External" /><Relationship Id="rId40" Type="http://schemas.openxmlformats.org/officeDocument/2006/relationships/hyperlink" Target="https://doi.org/10.3390/su15010656?utm_source=chatgpt.com" TargetMode="External" /><Relationship Id="rId45" Type="http://schemas.openxmlformats.org/officeDocument/2006/relationships/hyperlink" Target="https://corporate.primark.com/en-us/a/sustainability-and-ethics/product/primark-cotton-project" TargetMode="External" /><Relationship Id="rId53" Type="http://schemas.openxmlformats.org/officeDocument/2006/relationships/hyperlink" Target="https://data.worldbank.org/country/india" TargetMode="External" /><Relationship Id="rId5" Type="http://schemas.openxmlformats.org/officeDocument/2006/relationships/footnotes" Target="footnotes.xml" /><Relationship Id="rId15" Type="http://schemas.openxmlformats.org/officeDocument/2006/relationships/hyperlink" Target="https://www.abf.co.uk/investors/annual-report-2025?utm_source=chatgpt.com" TargetMode="External" /><Relationship Id="rId23" Type="http://schemas.openxmlformats.org/officeDocument/2006/relationships/hyperlink" Target="https://www.reuters.com/business/retail-consumer/primark-looking-expand-click-collect-trial-2024-03-13/?utm_source=chatgpt.com" TargetMode="External" /><Relationship Id="rId28" Type="http://schemas.openxmlformats.org/officeDocument/2006/relationships/hyperlink" Target="https://doi.org/10.3389/frsus.2024.1351638?utm_source=chatgpt.com" TargetMode="External" /><Relationship Id="rId36" Type="http://schemas.openxmlformats.org/officeDocument/2006/relationships/hyperlink" Target="https://www.meity.gov.in/documents/act-and-policies/digital-personal-data-protection-rules-2025-gDOxUjMtQWa?utm_source=chatgpt.com" TargetMode="External" /><Relationship Id="rId49" Type="http://schemas.openxmlformats.org/officeDocument/2006/relationships/hyperlink" Target="https://doi.org/10.1007/s11301-023-00346-4" TargetMode="External" /><Relationship Id="rId57"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hyperlink" Target="https://doi.org/10.3390/su151512033?utm_source=chatgpt.com" TargetMode="External" /><Relationship Id="rId31" Type="http://schemas.openxmlformats.org/officeDocument/2006/relationships/hyperlink" Target="https://www.imf.org/external/datamapper/profile/IND/WEO" TargetMode="External" /><Relationship Id="rId44" Type="http://schemas.openxmlformats.org/officeDocument/2006/relationships/hyperlink" Target="https://corporate.primark.com/en-us/a/about-us/who-we-are?utm_source=chatgpt.com" TargetMode="External" /><Relationship Id="rId52" Type="http://schemas.openxmlformats.org/officeDocument/2006/relationships/hyperlink" Target="https://doi.org/10.1371/journal.pone.0296791?utm_source=chatgpt.com"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imf.org/-/media/files/publications/cr/2025/english/1indea2025003-source-pdf.pdf" TargetMode="External" /><Relationship Id="rId22" Type="http://schemas.openxmlformats.org/officeDocument/2006/relationships/hyperlink" Target="https://doi.org/10.3390/app142411839?utm_source=chatgpt.com" TargetMode="External" /><Relationship Id="rId27" Type="http://schemas.openxmlformats.org/officeDocument/2006/relationships/hyperlink" Target="https://doi.org/10.3390/su16093862?utm_source=chatgpt.com" TargetMode="External" /><Relationship Id="rId30" Type="http://schemas.openxmlformats.org/officeDocument/2006/relationships/hyperlink" Target="https://www.ibef.org/industry/retail-india" TargetMode="External" /><Relationship Id="rId35" Type="http://schemas.openxmlformats.org/officeDocument/2006/relationships/hyperlink" Target="https://doi.org/10.1002/gsj.1493" TargetMode="External" /><Relationship Id="rId43" Type="http://schemas.openxmlformats.org/officeDocument/2006/relationships/hyperlink" Target="https://corporate.primark.com/en-gb/a/news/corporate-news/primark-opens-first-middle-east-store-in-kuwait-in-partnership-with-alshaya-group" TargetMode="External" /><Relationship Id="rId48" Type="http://schemas.openxmlformats.org/officeDocument/2006/relationships/hyperlink" Target="https://doi.org/10.3390/su152416661?utm_source=chatgpt.com" TargetMode="External" /><Relationship Id="rId56" Type="http://schemas.openxmlformats.org/officeDocument/2006/relationships/fontTable" Target="fontTable.xml" /><Relationship Id="rId8" Type="http://schemas.openxmlformats.org/officeDocument/2006/relationships/image" Target="media/image2.png" /><Relationship Id="rId51" Type="http://schemas.openxmlformats.org/officeDocument/2006/relationships/hyperlink" Target="https://doi.org/10.1007/s11575-022-00499-6" TargetMode="External" /><Relationship Id="rId3"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FA4DDC8-9334-489B-B152-BA49F0A207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8264</Words>
  <Characters>47110</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Ranjit Keshvala</cp:lastModifiedBy>
  <cp:revision>2</cp:revision>
  <dcterms:created xsi:type="dcterms:W3CDTF">2026-08-14T09:35:00Z</dcterms:created>
  <dcterms:modified xsi:type="dcterms:W3CDTF">2026-08-14T09:35:00Z</dcterms:modified>
</cp:coreProperties>
</file>