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AB787" w14:textId="77777777" w:rsidR="00652B16" w:rsidRDefault="00652B16" w:rsidP="00652B16">
      <w:pPr>
        <w:spacing w:line="360" w:lineRule="auto"/>
      </w:pPr>
      <w:r>
        <w:rPr>
          <w:noProof/>
        </w:rPr>
        <w:drawing>
          <wp:inline distT="0" distB="0" distL="0" distR="0" wp14:anchorId="31E369D5" wp14:editId="7C5FCFD7">
            <wp:extent cx="2695575" cy="857087"/>
            <wp:effectExtent l="0" t="0" r="0" b="635"/>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r:link="rId7" cstate="print">
                      <a:extLst>
                        <a:ext uri="{28A0092B-C50C-407E-A947-70E740481C1C}">
                          <a14:useLocalDpi xmlns:a14="http://schemas.microsoft.com/office/drawing/2010/main" val="0"/>
                        </a:ext>
                      </a:extLst>
                    </a:blip>
                    <a:srcRect/>
                    <a:stretch>
                      <a:fillRect/>
                    </a:stretch>
                  </pic:blipFill>
                  <pic:spPr bwMode="auto">
                    <a:xfrm>
                      <a:off x="0" y="0"/>
                      <a:ext cx="2710960" cy="861979"/>
                    </a:xfrm>
                    <a:prstGeom prst="rect">
                      <a:avLst/>
                    </a:prstGeom>
                    <a:noFill/>
                    <a:ln>
                      <a:noFill/>
                    </a:ln>
                  </pic:spPr>
                </pic:pic>
              </a:graphicData>
            </a:graphic>
          </wp:inline>
        </w:drawing>
      </w:r>
    </w:p>
    <w:p w14:paraId="4A0FA1B7" w14:textId="77777777" w:rsidR="00652B16" w:rsidRDefault="00652B16" w:rsidP="00652B16">
      <w:pPr>
        <w:spacing w:line="360" w:lineRule="auto"/>
        <w:rPr>
          <w:rStyle w:val="Strong"/>
          <w:rFonts w:ascii="Segoe UI" w:hAnsi="Segoe UI" w:cs="Segoe UI"/>
          <w:color w:val="1D2125"/>
        </w:rPr>
      </w:pPr>
    </w:p>
    <w:p w14:paraId="54BBC3FE" w14:textId="77777777" w:rsidR="00652B16" w:rsidRDefault="00652B16" w:rsidP="00652B16">
      <w:pPr>
        <w:spacing w:line="360" w:lineRule="auto"/>
        <w:rPr>
          <w:rStyle w:val="Strong"/>
          <w:rFonts w:ascii="Arial" w:hAnsi="Arial" w:cs="Arial"/>
          <w:color w:val="1D2125"/>
          <w:sz w:val="36"/>
          <w:szCs w:val="36"/>
        </w:rPr>
      </w:pPr>
    </w:p>
    <w:p w14:paraId="425AD14C" w14:textId="77777777" w:rsidR="00652B16" w:rsidRDefault="00652B16" w:rsidP="00652B16">
      <w:pPr>
        <w:spacing w:line="360" w:lineRule="auto"/>
        <w:jc w:val="center"/>
        <w:rPr>
          <w:rStyle w:val="Strong"/>
          <w:rFonts w:ascii="Arial" w:hAnsi="Arial" w:cs="Arial"/>
          <w:color w:val="1D2125"/>
          <w:sz w:val="36"/>
          <w:szCs w:val="36"/>
        </w:rPr>
      </w:pPr>
    </w:p>
    <w:p w14:paraId="00924F60" w14:textId="77777777" w:rsidR="00324CC4" w:rsidRPr="00324CC4" w:rsidRDefault="00324CC4" w:rsidP="00324CC4">
      <w:pPr>
        <w:spacing w:line="360" w:lineRule="auto"/>
        <w:jc w:val="center"/>
        <w:rPr>
          <w:rFonts w:ascii="Arial" w:hAnsi="Arial" w:cs="Arial"/>
          <w:b/>
          <w:bCs/>
          <w:color w:val="1D2125"/>
          <w:sz w:val="36"/>
          <w:szCs w:val="36"/>
        </w:rPr>
      </w:pPr>
      <w:r w:rsidRPr="00324CC4">
        <w:rPr>
          <w:rFonts w:ascii="Arial" w:hAnsi="Arial" w:cs="Arial"/>
          <w:b/>
          <w:bCs/>
          <w:color w:val="1D2125"/>
          <w:sz w:val="36"/>
          <w:szCs w:val="36"/>
        </w:rPr>
        <w:t>Health, Wellbeing and Sustainable Development</w:t>
      </w:r>
    </w:p>
    <w:p w14:paraId="311C2B46" w14:textId="5E091F64" w:rsidR="00652B16" w:rsidRDefault="00652B16" w:rsidP="00652B16">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w:t>
      </w:r>
      <w:r w:rsidR="00324CC4" w:rsidRPr="00324CC4">
        <w:rPr>
          <w:rFonts w:ascii="Arial" w:hAnsi="Arial" w:cs="Arial"/>
          <w:b/>
          <w:bCs/>
          <w:color w:val="1D2125"/>
          <w:sz w:val="36"/>
          <w:szCs w:val="36"/>
        </w:rPr>
        <w:t>BMHP6030</w:t>
      </w:r>
      <w:r>
        <w:rPr>
          <w:rStyle w:val="Strong"/>
          <w:rFonts w:ascii="Arial" w:hAnsi="Arial" w:cs="Arial"/>
          <w:color w:val="1D2125"/>
          <w:sz w:val="36"/>
          <w:szCs w:val="36"/>
        </w:rPr>
        <w:t>)</w:t>
      </w:r>
    </w:p>
    <w:p w14:paraId="20B4EE07" w14:textId="77777777" w:rsidR="00652B16" w:rsidRDefault="00652B16" w:rsidP="00652B16">
      <w:pPr>
        <w:spacing w:line="360" w:lineRule="auto"/>
        <w:jc w:val="center"/>
        <w:rPr>
          <w:rStyle w:val="Strong"/>
          <w:rFonts w:ascii="Arial" w:hAnsi="Arial" w:cs="Arial"/>
          <w:color w:val="1D2125"/>
          <w:sz w:val="36"/>
          <w:szCs w:val="36"/>
        </w:rPr>
      </w:pPr>
    </w:p>
    <w:p w14:paraId="51F45A13" w14:textId="77777777" w:rsidR="00652B16" w:rsidRDefault="00652B16" w:rsidP="00652B16">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Cosmin Barbu</w:t>
      </w:r>
      <w:r>
        <w:rPr>
          <w:rStyle w:val="Strong"/>
          <w:rFonts w:ascii="Arial" w:hAnsi="Arial" w:cs="Arial"/>
          <w:color w:val="1D2125"/>
          <w:sz w:val="32"/>
          <w:szCs w:val="32"/>
        </w:rPr>
        <w:tab/>
      </w:r>
    </w:p>
    <w:p w14:paraId="26307CA5" w14:textId="77777777" w:rsidR="00652B16" w:rsidRDefault="00652B16" w:rsidP="00652B16">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9318292</w:t>
      </w:r>
    </w:p>
    <w:p w14:paraId="2D2A9571" w14:textId="5321BDBB" w:rsidR="00652B16" w:rsidRDefault="00652B16" w:rsidP="00652B16">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Lecturer name: </w:t>
      </w:r>
      <w:r w:rsidR="002A5625" w:rsidRPr="002A5625">
        <w:rPr>
          <w:rFonts w:ascii="Arial" w:hAnsi="Arial" w:cs="Arial"/>
          <w:b/>
          <w:bCs/>
          <w:color w:val="1D2125"/>
          <w:sz w:val="32"/>
          <w:szCs w:val="32"/>
        </w:rPr>
        <w:t xml:space="preserve">Dr </w:t>
      </w:r>
      <w:proofErr w:type="spellStart"/>
      <w:r w:rsidR="002A5625" w:rsidRPr="002A5625">
        <w:rPr>
          <w:rFonts w:ascii="Arial" w:hAnsi="Arial" w:cs="Arial"/>
          <w:b/>
          <w:bCs/>
          <w:color w:val="1D2125"/>
          <w:sz w:val="32"/>
          <w:szCs w:val="32"/>
        </w:rPr>
        <w:t>Itse</w:t>
      </w:r>
      <w:proofErr w:type="spellEnd"/>
      <w:r w:rsidR="002A5625" w:rsidRPr="002A5625">
        <w:rPr>
          <w:rFonts w:ascii="Arial" w:hAnsi="Arial" w:cs="Arial"/>
          <w:b/>
          <w:bCs/>
          <w:color w:val="1D2125"/>
          <w:sz w:val="32"/>
          <w:szCs w:val="32"/>
        </w:rPr>
        <w:t xml:space="preserve"> Olaoye</w:t>
      </w:r>
    </w:p>
    <w:p w14:paraId="55B3DF2D" w14:textId="77777777" w:rsidR="00652B16" w:rsidRDefault="00652B16" w:rsidP="00652B16">
      <w:pPr>
        <w:spacing w:line="360" w:lineRule="auto"/>
        <w:rPr>
          <w:sz w:val="36"/>
          <w:szCs w:val="36"/>
        </w:rPr>
      </w:pPr>
    </w:p>
    <w:p w14:paraId="708593FE" w14:textId="77777777" w:rsidR="00652B16" w:rsidRDefault="00652B16" w:rsidP="00652B16">
      <w:pPr>
        <w:spacing w:line="360" w:lineRule="auto"/>
        <w:rPr>
          <w:sz w:val="36"/>
          <w:szCs w:val="36"/>
        </w:rPr>
      </w:pPr>
    </w:p>
    <w:p w14:paraId="4F8B5E86" w14:textId="77777777" w:rsidR="00652B16" w:rsidRPr="00FA7732" w:rsidRDefault="00652B16" w:rsidP="00652B16">
      <w:pPr>
        <w:spacing w:line="360" w:lineRule="auto"/>
        <w:rPr>
          <w:rFonts w:ascii="Arial" w:hAnsi="Arial" w:cs="Arial"/>
          <w:sz w:val="22"/>
        </w:rPr>
      </w:pPr>
      <w:r w:rsidRPr="00FA7732">
        <w:rPr>
          <w:rFonts w:ascii="Arial" w:hAnsi="Arial" w:cs="Arial"/>
          <w:sz w:val="22"/>
        </w:rPr>
        <w:t>I confirm that I have not used any AI tools in the research and creation of this</w:t>
      </w:r>
    </w:p>
    <w:p w14:paraId="30B62035" w14:textId="77777777" w:rsidR="00652B16" w:rsidRPr="00FA7732" w:rsidRDefault="00652B16" w:rsidP="00652B16">
      <w:pPr>
        <w:spacing w:line="360" w:lineRule="auto"/>
        <w:rPr>
          <w:rFonts w:ascii="Arial" w:hAnsi="Arial" w:cs="Arial"/>
          <w:sz w:val="22"/>
        </w:rPr>
      </w:pPr>
      <w:r w:rsidRPr="00FA7732">
        <w:rPr>
          <w:rFonts w:ascii="Arial" w:hAnsi="Arial" w:cs="Arial"/>
          <w:sz w:val="22"/>
        </w:rPr>
        <w:t>assignment. I confirm that I have not presented any AI generated materials as my own</w:t>
      </w:r>
    </w:p>
    <w:p w14:paraId="55FE6FD0" w14:textId="77777777" w:rsidR="00652B16" w:rsidRPr="00FA7732" w:rsidRDefault="00652B16" w:rsidP="00652B16">
      <w:pPr>
        <w:spacing w:line="360" w:lineRule="auto"/>
        <w:rPr>
          <w:rFonts w:ascii="Arial" w:hAnsi="Arial" w:cs="Arial"/>
          <w:sz w:val="22"/>
        </w:rPr>
      </w:pPr>
      <w:r w:rsidRPr="00FA7732">
        <w:rPr>
          <w:rFonts w:ascii="Arial" w:hAnsi="Arial" w:cs="Arial"/>
          <w:sz w:val="22"/>
        </w:rPr>
        <w:t>work. I confirm I have copies of my drafts, notes, and other resources I used, which I</w:t>
      </w:r>
    </w:p>
    <w:p w14:paraId="1D14613F" w14:textId="77777777" w:rsidR="00652B16" w:rsidRPr="00FA7732" w:rsidRDefault="00652B16" w:rsidP="00652B16">
      <w:pPr>
        <w:spacing w:line="360" w:lineRule="auto"/>
        <w:rPr>
          <w:rFonts w:ascii="Arial" w:hAnsi="Arial" w:cs="Arial"/>
          <w:sz w:val="22"/>
        </w:rPr>
      </w:pPr>
      <w:r w:rsidRPr="00FA7732">
        <w:rPr>
          <w:rFonts w:ascii="Arial" w:hAnsi="Arial" w:cs="Arial"/>
          <w:sz w:val="22"/>
        </w:rPr>
        <w:t>may be asked to provide in evidence.</w:t>
      </w:r>
    </w:p>
    <w:p w14:paraId="43D484BE" w14:textId="77777777" w:rsidR="00A256F3" w:rsidRDefault="00A256F3" w:rsidP="00375CAF"/>
    <w:p w14:paraId="0AD3A1DE" w14:textId="77777777" w:rsidR="002A5625" w:rsidRDefault="002A5625" w:rsidP="00375CAF"/>
    <w:p w14:paraId="297BAB3B" w14:textId="77777777" w:rsidR="002A5625" w:rsidRDefault="002A5625" w:rsidP="00375CAF"/>
    <w:sdt>
      <w:sdtPr>
        <w:rPr>
          <w:rFonts w:ascii="Aptos" w:eastAsia="Aptos" w:hAnsi="Aptos" w:cs="Times New Roman"/>
          <w:color w:val="auto"/>
          <w:kern w:val="2"/>
          <w:sz w:val="24"/>
          <w:szCs w:val="24"/>
          <w:lang w:eastAsia="en-US"/>
        </w:rPr>
        <w:id w:val="-1490242168"/>
        <w:docPartObj>
          <w:docPartGallery w:val="Table of Contents"/>
          <w:docPartUnique/>
        </w:docPartObj>
      </w:sdtPr>
      <w:sdtEndPr>
        <w:rPr>
          <w:b/>
          <w:bCs/>
        </w:rPr>
      </w:sdtEndPr>
      <w:sdtContent>
        <w:p w14:paraId="6A28B1AF" w14:textId="527452BC" w:rsidR="00ED7F70" w:rsidRDefault="00ED7F70">
          <w:pPr>
            <w:pStyle w:val="TOCHeading"/>
          </w:pPr>
          <w:r>
            <w:t>Table of Contents</w:t>
          </w:r>
        </w:p>
        <w:p w14:paraId="4BE37CBA" w14:textId="1B4D23B5" w:rsidR="00E02D1F" w:rsidRDefault="00ED7F70">
          <w:pPr>
            <w:pStyle w:val="TOC1"/>
            <w:tabs>
              <w:tab w:val="left" w:pos="480"/>
              <w:tab w:val="right" w:leader="dot" w:pos="9016"/>
            </w:tabs>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36697815" w:history="1">
            <w:r w:rsidR="00E02D1F" w:rsidRPr="00F6089D">
              <w:rPr>
                <w:rStyle w:val="Hyperlink"/>
                <w:noProof/>
              </w:rPr>
              <w:t>1.</w:t>
            </w:r>
            <w:r w:rsidR="00E02D1F">
              <w:rPr>
                <w:rFonts w:asciiTheme="minorHAnsi" w:eastAsiaTheme="minorEastAsia" w:hAnsiTheme="minorHAnsi" w:cstheme="minorBidi"/>
                <w:noProof/>
                <w:lang w:eastAsia="en-GB"/>
                <w14:ligatures w14:val="standardContextual"/>
              </w:rPr>
              <w:tab/>
            </w:r>
            <w:r w:rsidR="00E02D1F" w:rsidRPr="00F6089D">
              <w:rPr>
                <w:rStyle w:val="Hyperlink"/>
                <w:noProof/>
              </w:rPr>
              <w:t>Introduction</w:t>
            </w:r>
            <w:r w:rsidR="00E02D1F">
              <w:rPr>
                <w:noProof/>
                <w:webHidden/>
              </w:rPr>
              <w:tab/>
            </w:r>
            <w:r w:rsidR="00E02D1F">
              <w:rPr>
                <w:noProof/>
                <w:webHidden/>
              </w:rPr>
              <w:fldChar w:fldCharType="begin"/>
            </w:r>
            <w:r w:rsidR="00E02D1F">
              <w:rPr>
                <w:noProof/>
                <w:webHidden/>
              </w:rPr>
              <w:instrText xml:space="preserve"> PAGEREF _Toc236697815 \h </w:instrText>
            </w:r>
            <w:r w:rsidR="00E02D1F">
              <w:rPr>
                <w:noProof/>
                <w:webHidden/>
              </w:rPr>
            </w:r>
            <w:r w:rsidR="00E02D1F">
              <w:rPr>
                <w:noProof/>
                <w:webHidden/>
              </w:rPr>
              <w:fldChar w:fldCharType="separate"/>
            </w:r>
            <w:r w:rsidR="00E02D1F">
              <w:rPr>
                <w:noProof/>
                <w:webHidden/>
              </w:rPr>
              <w:t>2</w:t>
            </w:r>
            <w:r w:rsidR="00E02D1F">
              <w:rPr>
                <w:noProof/>
                <w:webHidden/>
              </w:rPr>
              <w:fldChar w:fldCharType="end"/>
            </w:r>
          </w:hyperlink>
        </w:p>
        <w:p w14:paraId="7134BC0A" w14:textId="624C5F56"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16" w:history="1">
            <w:r w:rsidRPr="00F6089D">
              <w:rPr>
                <w:rStyle w:val="Hyperlink"/>
                <w:noProof/>
              </w:rPr>
              <w:t>2.</w:t>
            </w:r>
            <w:r>
              <w:rPr>
                <w:rFonts w:asciiTheme="minorHAnsi" w:eastAsiaTheme="minorEastAsia" w:hAnsiTheme="minorHAnsi" w:cstheme="minorBidi"/>
                <w:noProof/>
                <w:lang w:eastAsia="en-GB"/>
                <w14:ligatures w14:val="standardContextual"/>
              </w:rPr>
              <w:tab/>
            </w:r>
            <w:r w:rsidRPr="00F6089D">
              <w:rPr>
                <w:rStyle w:val="Hyperlink"/>
                <w:noProof/>
              </w:rPr>
              <w:t>Sustainable Development Goal 3: Good Health and Well-being</w:t>
            </w:r>
            <w:r>
              <w:rPr>
                <w:noProof/>
                <w:webHidden/>
              </w:rPr>
              <w:tab/>
            </w:r>
            <w:r>
              <w:rPr>
                <w:noProof/>
                <w:webHidden/>
              </w:rPr>
              <w:fldChar w:fldCharType="begin"/>
            </w:r>
            <w:r>
              <w:rPr>
                <w:noProof/>
                <w:webHidden/>
              </w:rPr>
              <w:instrText xml:space="preserve"> PAGEREF _Toc236697816 \h </w:instrText>
            </w:r>
            <w:r>
              <w:rPr>
                <w:noProof/>
                <w:webHidden/>
              </w:rPr>
            </w:r>
            <w:r>
              <w:rPr>
                <w:noProof/>
                <w:webHidden/>
              </w:rPr>
              <w:fldChar w:fldCharType="separate"/>
            </w:r>
            <w:r>
              <w:rPr>
                <w:noProof/>
                <w:webHidden/>
              </w:rPr>
              <w:t>2</w:t>
            </w:r>
            <w:r>
              <w:rPr>
                <w:noProof/>
                <w:webHidden/>
              </w:rPr>
              <w:fldChar w:fldCharType="end"/>
            </w:r>
          </w:hyperlink>
        </w:p>
        <w:p w14:paraId="0F1ECEFC" w14:textId="37CD6913"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17" w:history="1">
            <w:r w:rsidRPr="00F6089D">
              <w:rPr>
                <w:rStyle w:val="Hyperlink"/>
                <w:noProof/>
              </w:rPr>
              <w:t>3.</w:t>
            </w:r>
            <w:r>
              <w:rPr>
                <w:rFonts w:asciiTheme="minorHAnsi" w:eastAsiaTheme="minorEastAsia" w:hAnsiTheme="minorHAnsi" w:cstheme="minorBidi"/>
                <w:noProof/>
                <w:lang w:eastAsia="en-GB"/>
                <w14:ligatures w14:val="standardContextual"/>
              </w:rPr>
              <w:tab/>
            </w:r>
            <w:r w:rsidRPr="00F6089D">
              <w:rPr>
                <w:rStyle w:val="Hyperlink"/>
                <w:noProof/>
              </w:rPr>
              <w:t>Sustainable Development Goal 4: Quality Education</w:t>
            </w:r>
            <w:r>
              <w:rPr>
                <w:noProof/>
                <w:webHidden/>
              </w:rPr>
              <w:tab/>
            </w:r>
            <w:r>
              <w:rPr>
                <w:noProof/>
                <w:webHidden/>
              </w:rPr>
              <w:fldChar w:fldCharType="begin"/>
            </w:r>
            <w:r>
              <w:rPr>
                <w:noProof/>
                <w:webHidden/>
              </w:rPr>
              <w:instrText xml:space="preserve"> PAGEREF _Toc236697817 \h </w:instrText>
            </w:r>
            <w:r>
              <w:rPr>
                <w:noProof/>
                <w:webHidden/>
              </w:rPr>
            </w:r>
            <w:r>
              <w:rPr>
                <w:noProof/>
                <w:webHidden/>
              </w:rPr>
              <w:fldChar w:fldCharType="separate"/>
            </w:r>
            <w:r>
              <w:rPr>
                <w:noProof/>
                <w:webHidden/>
              </w:rPr>
              <w:t>4</w:t>
            </w:r>
            <w:r>
              <w:rPr>
                <w:noProof/>
                <w:webHidden/>
              </w:rPr>
              <w:fldChar w:fldCharType="end"/>
            </w:r>
          </w:hyperlink>
        </w:p>
        <w:p w14:paraId="2BF75D0F" w14:textId="13125A51"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18" w:history="1">
            <w:r w:rsidRPr="00F6089D">
              <w:rPr>
                <w:rStyle w:val="Hyperlink"/>
                <w:noProof/>
              </w:rPr>
              <w:t>4.</w:t>
            </w:r>
            <w:r>
              <w:rPr>
                <w:rFonts w:asciiTheme="minorHAnsi" w:eastAsiaTheme="minorEastAsia" w:hAnsiTheme="minorHAnsi" w:cstheme="minorBidi"/>
                <w:noProof/>
                <w:lang w:eastAsia="en-GB"/>
                <w14:ligatures w14:val="standardContextual"/>
              </w:rPr>
              <w:tab/>
            </w:r>
            <w:r w:rsidRPr="00F6089D">
              <w:rPr>
                <w:rStyle w:val="Hyperlink"/>
                <w:noProof/>
              </w:rPr>
              <w:t>National Wellbeing and Sustainable Development Initiatives</w:t>
            </w:r>
            <w:r>
              <w:rPr>
                <w:noProof/>
                <w:webHidden/>
              </w:rPr>
              <w:tab/>
            </w:r>
            <w:r>
              <w:rPr>
                <w:noProof/>
                <w:webHidden/>
              </w:rPr>
              <w:fldChar w:fldCharType="begin"/>
            </w:r>
            <w:r>
              <w:rPr>
                <w:noProof/>
                <w:webHidden/>
              </w:rPr>
              <w:instrText xml:space="preserve"> PAGEREF _Toc236697818 \h </w:instrText>
            </w:r>
            <w:r>
              <w:rPr>
                <w:noProof/>
                <w:webHidden/>
              </w:rPr>
            </w:r>
            <w:r>
              <w:rPr>
                <w:noProof/>
                <w:webHidden/>
              </w:rPr>
              <w:fldChar w:fldCharType="separate"/>
            </w:r>
            <w:r>
              <w:rPr>
                <w:noProof/>
                <w:webHidden/>
              </w:rPr>
              <w:t>6</w:t>
            </w:r>
            <w:r>
              <w:rPr>
                <w:noProof/>
                <w:webHidden/>
              </w:rPr>
              <w:fldChar w:fldCharType="end"/>
            </w:r>
          </w:hyperlink>
        </w:p>
        <w:p w14:paraId="4BB9D52D" w14:textId="51E77427" w:rsidR="00E02D1F" w:rsidRDefault="00E02D1F">
          <w:pPr>
            <w:pStyle w:val="TOC2"/>
            <w:tabs>
              <w:tab w:val="right" w:leader="dot" w:pos="9016"/>
            </w:tabs>
            <w:rPr>
              <w:noProof/>
            </w:rPr>
          </w:pPr>
          <w:hyperlink w:anchor="_Toc236697819" w:history="1">
            <w:r w:rsidRPr="00F6089D">
              <w:rPr>
                <w:rStyle w:val="Hyperlink"/>
                <w:noProof/>
              </w:rPr>
              <w:t>4.1 Initiative 1: NHS Health and Wellbeing Framework</w:t>
            </w:r>
            <w:r>
              <w:rPr>
                <w:noProof/>
                <w:webHidden/>
              </w:rPr>
              <w:tab/>
            </w:r>
            <w:r>
              <w:rPr>
                <w:noProof/>
                <w:webHidden/>
              </w:rPr>
              <w:fldChar w:fldCharType="begin"/>
            </w:r>
            <w:r>
              <w:rPr>
                <w:noProof/>
                <w:webHidden/>
              </w:rPr>
              <w:instrText xml:space="preserve"> PAGEREF _Toc236697819 \h </w:instrText>
            </w:r>
            <w:r>
              <w:rPr>
                <w:noProof/>
                <w:webHidden/>
              </w:rPr>
            </w:r>
            <w:r>
              <w:rPr>
                <w:noProof/>
                <w:webHidden/>
              </w:rPr>
              <w:fldChar w:fldCharType="separate"/>
            </w:r>
            <w:r>
              <w:rPr>
                <w:noProof/>
                <w:webHidden/>
              </w:rPr>
              <w:t>6</w:t>
            </w:r>
            <w:r>
              <w:rPr>
                <w:noProof/>
                <w:webHidden/>
              </w:rPr>
              <w:fldChar w:fldCharType="end"/>
            </w:r>
          </w:hyperlink>
        </w:p>
        <w:p w14:paraId="3333F930" w14:textId="75D237AB" w:rsidR="00E02D1F" w:rsidRDefault="00E02D1F">
          <w:pPr>
            <w:pStyle w:val="TOC2"/>
            <w:tabs>
              <w:tab w:val="right" w:leader="dot" w:pos="9016"/>
            </w:tabs>
            <w:rPr>
              <w:noProof/>
            </w:rPr>
          </w:pPr>
          <w:hyperlink w:anchor="_Toc236697820" w:history="1">
            <w:r w:rsidRPr="00F6089D">
              <w:rPr>
                <w:rStyle w:val="Hyperlink"/>
                <w:noProof/>
              </w:rPr>
              <w:t>4.2 Initiative 2: NHS Long-Term Plan</w:t>
            </w:r>
            <w:r>
              <w:rPr>
                <w:noProof/>
                <w:webHidden/>
              </w:rPr>
              <w:tab/>
            </w:r>
            <w:r>
              <w:rPr>
                <w:noProof/>
                <w:webHidden/>
              </w:rPr>
              <w:fldChar w:fldCharType="begin"/>
            </w:r>
            <w:r>
              <w:rPr>
                <w:noProof/>
                <w:webHidden/>
              </w:rPr>
              <w:instrText xml:space="preserve"> PAGEREF _Toc236697820 \h </w:instrText>
            </w:r>
            <w:r>
              <w:rPr>
                <w:noProof/>
                <w:webHidden/>
              </w:rPr>
            </w:r>
            <w:r>
              <w:rPr>
                <w:noProof/>
                <w:webHidden/>
              </w:rPr>
              <w:fldChar w:fldCharType="separate"/>
            </w:r>
            <w:r>
              <w:rPr>
                <w:noProof/>
                <w:webHidden/>
              </w:rPr>
              <w:t>6</w:t>
            </w:r>
            <w:r>
              <w:rPr>
                <w:noProof/>
                <w:webHidden/>
              </w:rPr>
              <w:fldChar w:fldCharType="end"/>
            </w:r>
          </w:hyperlink>
        </w:p>
        <w:p w14:paraId="6BEB781B" w14:textId="6E8CF34C"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21" w:history="1">
            <w:r w:rsidRPr="00F6089D">
              <w:rPr>
                <w:rStyle w:val="Hyperlink"/>
                <w:noProof/>
              </w:rPr>
              <w:t>5.</w:t>
            </w:r>
            <w:r>
              <w:rPr>
                <w:rFonts w:asciiTheme="minorHAnsi" w:eastAsiaTheme="minorEastAsia" w:hAnsiTheme="minorHAnsi" w:cstheme="minorBidi"/>
                <w:noProof/>
                <w:lang w:eastAsia="en-GB"/>
                <w14:ligatures w14:val="standardContextual"/>
              </w:rPr>
              <w:tab/>
            </w:r>
            <w:r w:rsidRPr="00F6089D">
              <w:rPr>
                <w:rStyle w:val="Hyperlink"/>
                <w:noProof/>
              </w:rPr>
              <w:t>Local Wellbeing and Sustainable Development Initiatives</w:t>
            </w:r>
            <w:r>
              <w:rPr>
                <w:noProof/>
                <w:webHidden/>
              </w:rPr>
              <w:tab/>
            </w:r>
            <w:r>
              <w:rPr>
                <w:noProof/>
                <w:webHidden/>
              </w:rPr>
              <w:fldChar w:fldCharType="begin"/>
            </w:r>
            <w:r>
              <w:rPr>
                <w:noProof/>
                <w:webHidden/>
              </w:rPr>
              <w:instrText xml:space="preserve"> PAGEREF _Toc236697821 \h </w:instrText>
            </w:r>
            <w:r>
              <w:rPr>
                <w:noProof/>
                <w:webHidden/>
              </w:rPr>
            </w:r>
            <w:r>
              <w:rPr>
                <w:noProof/>
                <w:webHidden/>
              </w:rPr>
              <w:fldChar w:fldCharType="separate"/>
            </w:r>
            <w:r>
              <w:rPr>
                <w:noProof/>
                <w:webHidden/>
              </w:rPr>
              <w:t>7</w:t>
            </w:r>
            <w:r>
              <w:rPr>
                <w:noProof/>
                <w:webHidden/>
              </w:rPr>
              <w:fldChar w:fldCharType="end"/>
            </w:r>
          </w:hyperlink>
        </w:p>
        <w:p w14:paraId="436BA390" w14:textId="3953302D" w:rsidR="00E02D1F" w:rsidRDefault="00E02D1F">
          <w:pPr>
            <w:pStyle w:val="TOC2"/>
            <w:tabs>
              <w:tab w:val="right" w:leader="dot" w:pos="9016"/>
            </w:tabs>
            <w:rPr>
              <w:noProof/>
            </w:rPr>
          </w:pPr>
          <w:hyperlink w:anchor="_Toc236697822" w:history="1">
            <w:r w:rsidRPr="00F6089D">
              <w:rPr>
                <w:rStyle w:val="Hyperlink"/>
                <w:noProof/>
              </w:rPr>
              <w:t>5.1 Initiative 1: Social Prescribing</w:t>
            </w:r>
            <w:r>
              <w:rPr>
                <w:noProof/>
                <w:webHidden/>
              </w:rPr>
              <w:tab/>
            </w:r>
            <w:r>
              <w:rPr>
                <w:noProof/>
                <w:webHidden/>
              </w:rPr>
              <w:fldChar w:fldCharType="begin"/>
            </w:r>
            <w:r>
              <w:rPr>
                <w:noProof/>
                <w:webHidden/>
              </w:rPr>
              <w:instrText xml:space="preserve"> PAGEREF _Toc236697822 \h </w:instrText>
            </w:r>
            <w:r>
              <w:rPr>
                <w:noProof/>
                <w:webHidden/>
              </w:rPr>
            </w:r>
            <w:r>
              <w:rPr>
                <w:noProof/>
                <w:webHidden/>
              </w:rPr>
              <w:fldChar w:fldCharType="separate"/>
            </w:r>
            <w:r>
              <w:rPr>
                <w:noProof/>
                <w:webHidden/>
              </w:rPr>
              <w:t>7</w:t>
            </w:r>
            <w:r>
              <w:rPr>
                <w:noProof/>
                <w:webHidden/>
              </w:rPr>
              <w:fldChar w:fldCharType="end"/>
            </w:r>
          </w:hyperlink>
        </w:p>
        <w:p w14:paraId="136E999E" w14:textId="16DC071A" w:rsidR="00E02D1F" w:rsidRDefault="00E02D1F">
          <w:pPr>
            <w:pStyle w:val="TOC2"/>
            <w:tabs>
              <w:tab w:val="right" w:leader="dot" w:pos="9016"/>
            </w:tabs>
            <w:rPr>
              <w:noProof/>
            </w:rPr>
          </w:pPr>
          <w:hyperlink w:anchor="_Toc236697823" w:history="1">
            <w:r w:rsidRPr="00F6089D">
              <w:rPr>
                <w:rStyle w:val="Hyperlink"/>
                <w:noProof/>
              </w:rPr>
              <w:t>5.2 Initiative 2: Healthy Schools Programme</w:t>
            </w:r>
            <w:r>
              <w:rPr>
                <w:noProof/>
                <w:webHidden/>
              </w:rPr>
              <w:tab/>
            </w:r>
            <w:r>
              <w:rPr>
                <w:noProof/>
                <w:webHidden/>
              </w:rPr>
              <w:fldChar w:fldCharType="begin"/>
            </w:r>
            <w:r>
              <w:rPr>
                <w:noProof/>
                <w:webHidden/>
              </w:rPr>
              <w:instrText xml:space="preserve"> PAGEREF _Toc236697823 \h </w:instrText>
            </w:r>
            <w:r>
              <w:rPr>
                <w:noProof/>
                <w:webHidden/>
              </w:rPr>
            </w:r>
            <w:r>
              <w:rPr>
                <w:noProof/>
                <w:webHidden/>
              </w:rPr>
              <w:fldChar w:fldCharType="separate"/>
            </w:r>
            <w:r>
              <w:rPr>
                <w:noProof/>
                <w:webHidden/>
              </w:rPr>
              <w:t>7</w:t>
            </w:r>
            <w:r>
              <w:rPr>
                <w:noProof/>
                <w:webHidden/>
              </w:rPr>
              <w:fldChar w:fldCharType="end"/>
            </w:r>
          </w:hyperlink>
        </w:p>
        <w:p w14:paraId="1507EEC2" w14:textId="077C9AD4"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24" w:history="1">
            <w:r w:rsidRPr="00F6089D">
              <w:rPr>
                <w:rStyle w:val="Hyperlink"/>
                <w:noProof/>
              </w:rPr>
              <w:t>6.</w:t>
            </w:r>
            <w:r>
              <w:rPr>
                <w:rFonts w:asciiTheme="minorHAnsi" w:eastAsiaTheme="minorEastAsia" w:hAnsiTheme="minorHAnsi" w:cstheme="minorBidi"/>
                <w:noProof/>
                <w:lang w:eastAsia="en-GB"/>
                <w14:ligatures w14:val="standardContextual"/>
              </w:rPr>
              <w:tab/>
            </w:r>
            <w:r w:rsidRPr="00F6089D">
              <w:rPr>
                <w:rStyle w:val="Hyperlink"/>
                <w:noProof/>
              </w:rPr>
              <w:t>Conclusion</w:t>
            </w:r>
            <w:r>
              <w:rPr>
                <w:noProof/>
                <w:webHidden/>
              </w:rPr>
              <w:tab/>
            </w:r>
            <w:r>
              <w:rPr>
                <w:noProof/>
                <w:webHidden/>
              </w:rPr>
              <w:fldChar w:fldCharType="begin"/>
            </w:r>
            <w:r>
              <w:rPr>
                <w:noProof/>
                <w:webHidden/>
              </w:rPr>
              <w:instrText xml:space="preserve"> PAGEREF _Toc236697824 \h </w:instrText>
            </w:r>
            <w:r>
              <w:rPr>
                <w:noProof/>
                <w:webHidden/>
              </w:rPr>
            </w:r>
            <w:r>
              <w:rPr>
                <w:noProof/>
                <w:webHidden/>
              </w:rPr>
              <w:fldChar w:fldCharType="separate"/>
            </w:r>
            <w:r>
              <w:rPr>
                <w:noProof/>
                <w:webHidden/>
              </w:rPr>
              <w:t>8</w:t>
            </w:r>
            <w:r>
              <w:rPr>
                <w:noProof/>
                <w:webHidden/>
              </w:rPr>
              <w:fldChar w:fldCharType="end"/>
            </w:r>
          </w:hyperlink>
        </w:p>
        <w:p w14:paraId="6C5F5055" w14:textId="5764E38A"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25" w:history="1">
            <w:r w:rsidRPr="00F6089D">
              <w:rPr>
                <w:rStyle w:val="Hyperlink"/>
                <w:noProof/>
              </w:rPr>
              <w:t>7.</w:t>
            </w:r>
            <w:r>
              <w:rPr>
                <w:rFonts w:asciiTheme="minorHAnsi" w:eastAsiaTheme="minorEastAsia" w:hAnsiTheme="minorHAnsi" w:cstheme="minorBidi"/>
                <w:noProof/>
                <w:lang w:eastAsia="en-GB"/>
                <w14:ligatures w14:val="standardContextual"/>
              </w:rPr>
              <w:tab/>
            </w:r>
            <w:r w:rsidRPr="00F6089D">
              <w:rPr>
                <w:rStyle w:val="Hyperlink"/>
                <w:noProof/>
              </w:rPr>
              <w:t>Reference list</w:t>
            </w:r>
            <w:r>
              <w:rPr>
                <w:noProof/>
                <w:webHidden/>
              </w:rPr>
              <w:tab/>
            </w:r>
            <w:r>
              <w:rPr>
                <w:noProof/>
                <w:webHidden/>
              </w:rPr>
              <w:fldChar w:fldCharType="begin"/>
            </w:r>
            <w:r>
              <w:rPr>
                <w:noProof/>
                <w:webHidden/>
              </w:rPr>
              <w:instrText xml:space="preserve"> PAGEREF _Toc236697825 \h </w:instrText>
            </w:r>
            <w:r>
              <w:rPr>
                <w:noProof/>
                <w:webHidden/>
              </w:rPr>
            </w:r>
            <w:r>
              <w:rPr>
                <w:noProof/>
                <w:webHidden/>
              </w:rPr>
              <w:fldChar w:fldCharType="separate"/>
            </w:r>
            <w:r>
              <w:rPr>
                <w:noProof/>
                <w:webHidden/>
              </w:rPr>
              <w:t>8</w:t>
            </w:r>
            <w:r>
              <w:rPr>
                <w:noProof/>
                <w:webHidden/>
              </w:rPr>
              <w:fldChar w:fldCharType="end"/>
            </w:r>
          </w:hyperlink>
        </w:p>
        <w:p w14:paraId="36357F6F" w14:textId="1F99AE23" w:rsidR="00ED7F70" w:rsidRDefault="00ED7F70">
          <w:r>
            <w:rPr>
              <w:b/>
              <w:bCs/>
            </w:rPr>
            <w:fldChar w:fldCharType="end"/>
          </w:r>
        </w:p>
      </w:sdtContent>
    </w:sdt>
    <w:p w14:paraId="1D0FF0B1" w14:textId="77777777" w:rsidR="002A5625" w:rsidRDefault="002A5625" w:rsidP="00375CAF"/>
    <w:p w14:paraId="74036163" w14:textId="77777777" w:rsidR="002A5625" w:rsidRDefault="002A5625" w:rsidP="00375CAF"/>
    <w:p w14:paraId="0AE4A29D" w14:textId="77777777" w:rsidR="002A5625" w:rsidRDefault="002A5625" w:rsidP="00375CAF"/>
    <w:p w14:paraId="4FB59511" w14:textId="68AA8EC8" w:rsidR="0027479E" w:rsidRPr="00E82470" w:rsidRDefault="0027479E" w:rsidP="00E82470">
      <w:pPr>
        <w:pStyle w:val="Heading1"/>
        <w:numPr>
          <w:ilvl w:val="0"/>
          <w:numId w:val="14"/>
        </w:numPr>
        <w:jc w:val="center"/>
        <w:rPr>
          <w:sz w:val="28"/>
          <w:szCs w:val="28"/>
        </w:rPr>
      </w:pPr>
      <w:bookmarkStart w:id="0" w:name="_Toc236697815"/>
      <w:r w:rsidRPr="00E82470">
        <w:rPr>
          <w:sz w:val="28"/>
          <w:szCs w:val="28"/>
        </w:rPr>
        <w:t>Introduction</w:t>
      </w:r>
      <w:bookmarkEnd w:id="0"/>
    </w:p>
    <w:p w14:paraId="29B5C330" w14:textId="77777777" w:rsidR="000B1731" w:rsidRDefault="000B1731" w:rsidP="0027479E"/>
    <w:p w14:paraId="56B78619" w14:textId="77777777" w:rsidR="000B1731" w:rsidRPr="0013667C" w:rsidRDefault="000B1731" w:rsidP="0027479E">
      <w:pPr>
        <w:rPr>
          <w:sz w:val="22"/>
          <w:szCs w:val="22"/>
        </w:rPr>
      </w:pPr>
    </w:p>
    <w:p w14:paraId="0424957B" w14:textId="1C47F685" w:rsidR="0027479E" w:rsidRPr="00715765" w:rsidRDefault="00B71F5A" w:rsidP="00715765">
      <w:pPr>
        <w:spacing w:line="360" w:lineRule="auto"/>
        <w:jc w:val="both"/>
        <w:rPr>
          <w:rFonts w:ascii="Arial" w:hAnsi="Arial" w:cs="Arial"/>
          <w:sz w:val="22"/>
          <w:szCs w:val="22"/>
        </w:rPr>
      </w:pPr>
      <w:r w:rsidRPr="00B71F5A">
        <w:rPr>
          <w:rFonts w:ascii="Arial" w:hAnsi="Arial" w:cs="Arial"/>
          <w:sz w:val="22"/>
          <w:szCs w:val="22"/>
        </w:rPr>
        <w:t xml:space="preserve">A global framework for advancing social, economic, and environmental sustainability by 2030 is provided by the Sustainable Development Goals (SDGs) of the United Nations. Major global issues like poverty, inequality, health, education, and environmental protection are among the objectives. Sustainable Development Goals 3 (health and well-being) and 4 (quality education) are examined in this </w:t>
      </w:r>
      <w:r w:rsidR="007D28DD" w:rsidRPr="00B71F5A">
        <w:rPr>
          <w:rFonts w:ascii="Arial" w:hAnsi="Arial" w:cs="Arial"/>
          <w:sz w:val="22"/>
          <w:szCs w:val="22"/>
        </w:rPr>
        <w:t>paper.</w:t>
      </w:r>
      <w:r w:rsidR="007D28DD">
        <w:rPr>
          <w:rFonts w:ascii="Arial" w:hAnsi="Arial" w:cs="Arial"/>
          <w:sz w:val="22"/>
          <w:szCs w:val="22"/>
        </w:rPr>
        <w:t xml:space="preserve"> </w:t>
      </w:r>
      <w:r w:rsidR="007D28DD" w:rsidRPr="00715765">
        <w:rPr>
          <w:rFonts w:ascii="Arial" w:hAnsi="Arial" w:cs="Arial"/>
          <w:sz w:val="22"/>
          <w:szCs w:val="22"/>
        </w:rPr>
        <w:t>Exploring</w:t>
      </w:r>
      <w:r w:rsidR="0027479E" w:rsidRPr="00715765">
        <w:rPr>
          <w:rFonts w:ascii="Arial" w:hAnsi="Arial" w:cs="Arial"/>
          <w:sz w:val="22"/>
          <w:szCs w:val="22"/>
        </w:rPr>
        <w:t xml:space="preserve"> their key objectives and their impact on the health and wellbeing of citizens. The report further evaluates two national and two local wellbeing and sustainable development initiatives, assessing their effectiveness and providing recommendations to enhance their contribution to public health and sustainable communities.</w:t>
      </w:r>
    </w:p>
    <w:p w14:paraId="0A873D2B" w14:textId="2D4BCAA7" w:rsidR="0027479E" w:rsidRPr="00715765" w:rsidRDefault="0027479E" w:rsidP="00715765">
      <w:pPr>
        <w:spacing w:line="360" w:lineRule="auto"/>
        <w:rPr>
          <w:rFonts w:ascii="Arial" w:hAnsi="Arial" w:cs="Arial"/>
        </w:rPr>
      </w:pPr>
    </w:p>
    <w:p w14:paraId="014257EB" w14:textId="03460C5D" w:rsidR="0027479E" w:rsidRPr="00715765" w:rsidRDefault="0027479E" w:rsidP="00715765">
      <w:pPr>
        <w:pStyle w:val="Heading1"/>
        <w:numPr>
          <w:ilvl w:val="0"/>
          <w:numId w:val="14"/>
        </w:numPr>
        <w:spacing w:line="360" w:lineRule="auto"/>
        <w:jc w:val="center"/>
        <w:rPr>
          <w:rFonts w:cs="Arial"/>
          <w:sz w:val="28"/>
          <w:szCs w:val="28"/>
        </w:rPr>
      </w:pPr>
      <w:bookmarkStart w:id="1" w:name="_Toc236697816"/>
      <w:r w:rsidRPr="00715765">
        <w:rPr>
          <w:rFonts w:cs="Arial"/>
          <w:sz w:val="28"/>
          <w:szCs w:val="28"/>
        </w:rPr>
        <w:t>Sustainable Development Goal 3: Good Health and Well-being</w:t>
      </w:r>
      <w:bookmarkEnd w:id="1"/>
    </w:p>
    <w:p w14:paraId="3BC34802" w14:textId="77777777" w:rsidR="00E82470" w:rsidRPr="00715765" w:rsidRDefault="00E82470" w:rsidP="00715765">
      <w:pPr>
        <w:spacing w:line="360" w:lineRule="auto"/>
        <w:jc w:val="both"/>
        <w:rPr>
          <w:rFonts w:ascii="Arial" w:hAnsi="Arial" w:cs="Arial"/>
          <w:sz w:val="22"/>
          <w:szCs w:val="22"/>
        </w:rPr>
      </w:pPr>
    </w:p>
    <w:p w14:paraId="3CB3ED18" w14:textId="51BD981C" w:rsidR="00FB3C81" w:rsidRPr="00715765" w:rsidRDefault="001952FA" w:rsidP="00715765">
      <w:pPr>
        <w:spacing w:line="360" w:lineRule="auto"/>
        <w:jc w:val="both"/>
        <w:rPr>
          <w:rFonts w:ascii="Arial" w:hAnsi="Arial" w:cs="Arial"/>
          <w:sz w:val="22"/>
          <w:szCs w:val="22"/>
        </w:rPr>
      </w:pPr>
      <w:r w:rsidRPr="001952FA">
        <w:rPr>
          <w:rFonts w:ascii="Arial" w:hAnsi="Arial" w:cs="Arial"/>
          <w:sz w:val="22"/>
          <w:szCs w:val="22"/>
        </w:rPr>
        <w:lastRenderedPageBreak/>
        <w:t>One of the 17 Sustainable Development Goals (SDGs) set forth by the United Nations in 2015 as part of the 2030 Agenda for Sustainable Development is SDG 3 (Good Health and Well-Being). The goal recognizes that health is an essential component of sustainable development and a fundamental human right</w:t>
      </w:r>
      <w:r w:rsidR="008402E7" w:rsidRPr="00715765">
        <w:rPr>
          <w:rFonts w:ascii="Arial" w:hAnsi="Arial" w:cs="Arial"/>
          <w:sz w:val="22"/>
          <w:szCs w:val="22"/>
        </w:rPr>
        <w:t xml:space="preserve"> and it seeks to "guarantee healthy lifestyles and promote well-being for all at all ages." SDG 3 takes a holistic approach to health by addressing</w:t>
      </w:r>
      <w:r w:rsidR="00FB3C81" w:rsidRPr="00715765">
        <w:rPr>
          <w:rFonts w:ascii="Arial" w:hAnsi="Arial" w:cs="Arial"/>
          <w:sz w:val="22"/>
          <w:szCs w:val="22"/>
        </w:rPr>
        <w:t xml:space="preserve"> physical health, mental wellbeing, disease prevention, healthcare access, and health inequalities. </w:t>
      </w:r>
      <w:r w:rsidR="00F57D43" w:rsidRPr="00715765">
        <w:rPr>
          <w:rFonts w:ascii="Arial" w:hAnsi="Arial" w:cs="Arial"/>
          <w:sz w:val="22"/>
          <w:szCs w:val="22"/>
        </w:rPr>
        <w:t xml:space="preserve">The objective is directly related to the accomplishment of numerous other Sustainable progress Goals and recognizes the importance of health for social, economic, and environmental progress. </w:t>
      </w:r>
      <w:r w:rsidR="00FB3C81" w:rsidRPr="00715765">
        <w:rPr>
          <w:rFonts w:ascii="Arial" w:hAnsi="Arial" w:cs="Arial"/>
          <w:sz w:val="22"/>
          <w:szCs w:val="22"/>
        </w:rPr>
        <w:t>(United Nations, 2023; Venkatesh, 2022).</w:t>
      </w:r>
    </w:p>
    <w:p w14:paraId="3B9B129A" w14:textId="7763A5AA" w:rsidR="00FE5F42" w:rsidRPr="00715765" w:rsidRDefault="00FE5F42" w:rsidP="00715765">
      <w:pPr>
        <w:spacing w:line="360" w:lineRule="auto"/>
        <w:jc w:val="both"/>
        <w:rPr>
          <w:rFonts w:ascii="Arial" w:hAnsi="Arial" w:cs="Arial"/>
          <w:sz w:val="22"/>
          <w:szCs w:val="22"/>
        </w:rPr>
      </w:pPr>
      <w:r w:rsidRPr="00715765">
        <w:rPr>
          <w:rFonts w:ascii="Arial" w:hAnsi="Arial" w:cs="Arial"/>
          <w:sz w:val="22"/>
          <w:szCs w:val="22"/>
        </w:rPr>
        <w:t xml:space="preserve">SDG 3 consists of several targets designed to improve health outcomes worldwide. These include reducing maternal mortality, </w:t>
      </w:r>
      <w:r w:rsidR="00C12C45" w:rsidRPr="00C12C45">
        <w:rPr>
          <w:rFonts w:ascii="Arial" w:hAnsi="Arial" w:cs="Arial"/>
          <w:sz w:val="22"/>
          <w:szCs w:val="22"/>
        </w:rPr>
        <w:t xml:space="preserve">fighting infectious diseases including HIV/AIDS, TB, malaria, and hepatitis; eliminating preventable deaths among infants and children under five and decreasing premature mortality from non-communicable diseases like cancer, diabetes, cardiovascular disease, and chronic respiratory ailments. </w:t>
      </w:r>
      <w:r w:rsidR="00B84EC0" w:rsidRPr="00715765">
        <w:rPr>
          <w:rFonts w:ascii="Arial" w:hAnsi="Arial" w:cs="Arial"/>
          <w:sz w:val="22"/>
          <w:szCs w:val="22"/>
        </w:rPr>
        <w:t>Additionally, the objective aims to improve substance abuse prevention and treatment</w:t>
      </w:r>
      <w:r w:rsidRPr="00715765">
        <w:rPr>
          <w:rFonts w:ascii="Arial" w:hAnsi="Arial" w:cs="Arial"/>
          <w:sz w:val="22"/>
          <w:szCs w:val="22"/>
        </w:rPr>
        <w:t xml:space="preserve">, improve road safety, support mental health services, and achieve universal health coverage for all populations. Furthermore, SDG 3 </w:t>
      </w:r>
      <w:r w:rsidR="00BE37B9" w:rsidRPr="00715765">
        <w:rPr>
          <w:rFonts w:ascii="Arial" w:hAnsi="Arial" w:cs="Arial"/>
          <w:sz w:val="22"/>
          <w:szCs w:val="22"/>
        </w:rPr>
        <w:t xml:space="preserve">encourages governments to improve health systems and healthcare infrastructure while </w:t>
      </w:r>
      <w:r w:rsidR="00E04A95" w:rsidRPr="00E04A95">
        <w:rPr>
          <w:rFonts w:ascii="Arial" w:hAnsi="Arial" w:cs="Arial"/>
          <w:sz w:val="22"/>
          <w:szCs w:val="22"/>
        </w:rPr>
        <w:t xml:space="preserve">encouraging the availability of affordable, high-quality, safe, and effective drugs and vaccines </w:t>
      </w:r>
      <w:r w:rsidRPr="00715765">
        <w:rPr>
          <w:rFonts w:ascii="Arial" w:hAnsi="Arial" w:cs="Arial"/>
          <w:sz w:val="22"/>
          <w:szCs w:val="22"/>
        </w:rPr>
        <w:t>(WHO, 2022; United Nations, 2023).</w:t>
      </w:r>
    </w:p>
    <w:p w14:paraId="4725650D" w14:textId="03860829" w:rsidR="00FE5F42" w:rsidRPr="00715765" w:rsidRDefault="00182E48" w:rsidP="00715765">
      <w:pPr>
        <w:spacing w:line="360" w:lineRule="auto"/>
        <w:jc w:val="both"/>
        <w:rPr>
          <w:rFonts w:ascii="Arial" w:hAnsi="Arial" w:cs="Arial"/>
          <w:sz w:val="22"/>
          <w:szCs w:val="22"/>
        </w:rPr>
      </w:pPr>
      <w:r w:rsidRPr="00715765">
        <w:rPr>
          <w:rFonts w:ascii="Arial" w:hAnsi="Arial" w:cs="Arial"/>
          <w:sz w:val="22"/>
          <w:szCs w:val="22"/>
        </w:rPr>
        <w:t xml:space="preserve">The goal of attaining universal health coverage (UHC) is one of the most significant components of SDG 3. Access to necessary healthcare treatments without financial difficulty is ensured via universal health coverage. </w:t>
      </w:r>
      <w:r w:rsidR="00FE5F42" w:rsidRPr="00715765">
        <w:rPr>
          <w:rFonts w:ascii="Arial" w:hAnsi="Arial" w:cs="Arial"/>
          <w:sz w:val="22"/>
          <w:szCs w:val="22"/>
        </w:rPr>
        <w:t xml:space="preserve">Access to healthcare is a significant determinant of health because it enables people to receive preventative services, early diagnosis, treatment, rehabilitation, and ongoing care. When barriers to healthcare are reduced, health outcomes improve and inequalities between different population groups can be minimised. Access to affordable healthcare also prevents individuals from falling into poverty due to medical expenses, thereby supporting both health and socioeconomic wellbeing (United Nations, 2023; </w:t>
      </w:r>
      <w:proofErr w:type="spellStart"/>
      <w:r w:rsidR="00FE5F42" w:rsidRPr="00715765">
        <w:rPr>
          <w:rFonts w:ascii="Arial" w:hAnsi="Arial" w:cs="Arial"/>
          <w:sz w:val="22"/>
          <w:szCs w:val="22"/>
        </w:rPr>
        <w:t>Mikuła</w:t>
      </w:r>
      <w:proofErr w:type="spellEnd"/>
      <w:r w:rsidR="00FE5F42" w:rsidRPr="00715765">
        <w:rPr>
          <w:rFonts w:ascii="Arial" w:hAnsi="Arial" w:cs="Arial"/>
          <w:sz w:val="22"/>
          <w:szCs w:val="22"/>
        </w:rPr>
        <w:t>, Raczkowska and Utzig, 2024).</w:t>
      </w:r>
    </w:p>
    <w:p w14:paraId="00A28C07" w14:textId="2A0FAF9F" w:rsidR="00FE5F42" w:rsidRPr="00715765" w:rsidRDefault="00FE5F42" w:rsidP="00715765">
      <w:pPr>
        <w:spacing w:line="360" w:lineRule="auto"/>
        <w:jc w:val="both"/>
        <w:rPr>
          <w:rFonts w:ascii="Arial" w:hAnsi="Arial" w:cs="Arial"/>
          <w:sz w:val="22"/>
          <w:szCs w:val="22"/>
        </w:rPr>
      </w:pPr>
      <w:r w:rsidRPr="00715765">
        <w:rPr>
          <w:rFonts w:ascii="Arial" w:hAnsi="Arial" w:cs="Arial"/>
          <w:sz w:val="22"/>
          <w:szCs w:val="22"/>
        </w:rPr>
        <w:t xml:space="preserve">Improved healthcare services contribute to longer life expectancy, lower mortality rates, and enhanced quality of life. Individuals who enjoy better physical and mental health are more able to participate in education, employment, and social activities. </w:t>
      </w:r>
      <w:r w:rsidR="001435CF" w:rsidRPr="00715765">
        <w:rPr>
          <w:rFonts w:ascii="Arial" w:hAnsi="Arial" w:cs="Arial"/>
          <w:sz w:val="22"/>
          <w:szCs w:val="22"/>
        </w:rPr>
        <w:t>As a result, families, communities, and national economies all gain from excellent health in addition to individuals</w:t>
      </w:r>
      <w:r w:rsidRPr="00715765">
        <w:rPr>
          <w:rFonts w:ascii="Arial" w:hAnsi="Arial" w:cs="Arial"/>
          <w:sz w:val="22"/>
          <w:szCs w:val="22"/>
        </w:rPr>
        <w:t xml:space="preserve">. Healthy populations are generally more productive, experience lower levels of absenteeism, and are less dependent on healthcare and social support services. As a result, investment in </w:t>
      </w:r>
      <w:r w:rsidRPr="00715765">
        <w:rPr>
          <w:rFonts w:ascii="Arial" w:hAnsi="Arial" w:cs="Arial"/>
          <w:sz w:val="22"/>
          <w:szCs w:val="22"/>
        </w:rPr>
        <w:lastRenderedPageBreak/>
        <w:t>health promotion and disease prevention can generate significant social and economic benefits (Scanlon et al., 2022; Venkatesh, 2022).</w:t>
      </w:r>
    </w:p>
    <w:p w14:paraId="76E29605" w14:textId="5E84F00E" w:rsidR="00FE5F42" w:rsidRPr="00715765" w:rsidRDefault="00FE5F42" w:rsidP="00715765">
      <w:pPr>
        <w:spacing w:line="360" w:lineRule="auto"/>
        <w:jc w:val="both"/>
        <w:rPr>
          <w:rFonts w:ascii="Arial" w:hAnsi="Arial" w:cs="Arial"/>
          <w:sz w:val="22"/>
          <w:szCs w:val="22"/>
        </w:rPr>
      </w:pPr>
      <w:r w:rsidRPr="00715765">
        <w:rPr>
          <w:rFonts w:ascii="Arial" w:hAnsi="Arial" w:cs="Arial"/>
          <w:sz w:val="22"/>
          <w:szCs w:val="22"/>
        </w:rPr>
        <w:t xml:space="preserve">Mental health and wellbeing are also central components of SDG 3. </w:t>
      </w:r>
      <w:r w:rsidR="007C29F3" w:rsidRPr="00715765">
        <w:rPr>
          <w:rFonts w:ascii="Arial" w:hAnsi="Arial" w:cs="Arial"/>
          <w:sz w:val="22"/>
          <w:szCs w:val="22"/>
        </w:rPr>
        <w:t xml:space="preserve">An individual capacity to work, study, and preserve social relationships can be adversely affected by mental health problems like depression, anxiety, and </w:t>
      </w:r>
      <w:proofErr w:type="gramStart"/>
      <w:r w:rsidR="007C29F3" w:rsidRPr="00715765">
        <w:rPr>
          <w:rFonts w:ascii="Arial" w:hAnsi="Arial" w:cs="Arial"/>
          <w:sz w:val="22"/>
          <w:szCs w:val="22"/>
        </w:rPr>
        <w:t>stress.</w:t>
      </w:r>
      <w:r w:rsidRPr="00715765">
        <w:rPr>
          <w:rFonts w:ascii="Arial" w:hAnsi="Arial" w:cs="Arial"/>
          <w:sz w:val="22"/>
          <w:szCs w:val="22"/>
        </w:rPr>
        <w:t>.</w:t>
      </w:r>
      <w:proofErr w:type="gramEnd"/>
      <w:r w:rsidRPr="00715765">
        <w:rPr>
          <w:rFonts w:ascii="Arial" w:hAnsi="Arial" w:cs="Arial"/>
          <w:sz w:val="22"/>
          <w:szCs w:val="22"/>
        </w:rPr>
        <w:t xml:space="preserve"> Recognising the growing burden of mental illness globally, SDG 3 promotes the development of accessible mental health services and wellbeing initiatives. Improved access to mental health support can enhance emotional resilience, reduce social isolation, improve quality of life, and contribute to stronger communities. In addition, prioritising mental health can reduce healthcare costs and improve workplace productivity effectively (United Nations, 2023; The Global Goals, 2025).</w:t>
      </w:r>
    </w:p>
    <w:p w14:paraId="6DA247D5" w14:textId="77777777" w:rsidR="00FE5F42" w:rsidRPr="00715765" w:rsidRDefault="00FE5F42" w:rsidP="00715765">
      <w:pPr>
        <w:spacing w:line="360" w:lineRule="auto"/>
        <w:jc w:val="both"/>
        <w:rPr>
          <w:rFonts w:ascii="Arial" w:hAnsi="Arial" w:cs="Arial"/>
          <w:sz w:val="22"/>
          <w:szCs w:val="22"/>
        </w:rPr>
      </w:pPr>
      <w:r w:rsidRPr="00715765">
        <w:rPr>
          <w:rFonts w:ascii="Arial" w:hAnsi="Arial" w:cs="Arial"/>
          <w:sz w:val="22"/>
          <w:szCs w:val="22"/>
        </w:rPr>
        <w:t>Within the United Kingdom, SDG 3 closely aligns with the objectives of the National Health Service (NHS), which aims to provide healthcare based on need rather than the ability to pay. NHS policies promoting disease prevention, vaccination programmes, mental health services, smoking cessation initiatives, and patient safety all contribute towards achieving the targets outlined in SDG 3. Additionally, the goal supports efforts to reduce health inequalities by improving access to healthcare for disadvantaged and vulnerable populations. This is particularly important because inequalities in income, education, housing, and employment can significantly influence health outcomes (Department of Health and Social Care, 2025; The Global Goals, 2025).</w:t>
      </w:r>
    </w:p>
    <w:p w14:paraId="05AAB217" w14:textId="7ACCC2E5" w:rsidR="00FE5F42" w:rsidRPr="00715765" w:rsidRDefault="008B46B5" w:rsidP="00715765">
      <w:pPr>
        <w:spacing w:line="360" w:lineRule="auto"/>
        <w:jc w:val="both"/>
        <w:rPr>
          <w:rFonts w:ascii="Arial" w:hAnsi="Arial" w:cs="Arial"/>
          <w:sz w:val="22"/>
          <w:szCs w:val="22"/>
        </w:rPr>
      </w:pPr>
      <w:r w:rsidRPr="00715765">
        <w:rPr>
          <w:rFonts w:ascii="Arial" w:hAnsi="Arial" w:cs="Arial"/>
          <w:sz w:val="22"/>
          <w:szCs w:val="22"/>
        </w:rPr>
        <w:t>In summary, SDG 3 is essential to enhancing citizens' health and well-being since it addresses health disparities, lowers the burden of disease, supports mental health, and increases access to healthcare</w:t>
      </w:r>
      <w:r w:rsidR="00FE5F42" w:rsidRPr="00715765">
        <w:rPr>
          <w:rFonts w:ascii="Arial" w:hAnsi="Arial" w:cs="Arial"/>
          <w:sz w:val="22"/>
          <w:szCs w:val="22"/>
        </w:rPr>
        <w:t>. The successful achievement of this goal can contribute to healthier populations, stronger economies, and more sustainable societies. However, continued investment in healthcare services, public health initiatives, and health promotion strategies will be essential if the goal is to be fully realised by 2030 (United Nations, 2023; WHO, 2022).</w:t>
      </w:r>
    </w:p>
    <w:p w14:paraId="572080D7" w14:textId="35ACE33B" w:rsidR="0027479E" w:rsidRPr="00715765" w:rsidRDefault="0027479E" w:rsidP="00715765">
      <w:pPr>
        <w:spacing w:line="360" w:lineRule="auto"/>
        <w:jc w:val="both"/>
        <w:rPr>
          <w:rFonts w:ascii="Arial" w:hAnsi="Arial" w:cs="Arial"/>
        </w:rPr>
      </w:pPr>
    </w:p>
    <w:p w14:paraId="14FB8E5A" w14:textId="3CA029AE" w:rsidR="0027479E" w:rsidRPr="00715765" w:rsidRDefault="0027479E" w:rsidP="00715765">
      <w:pPr>
        <w:pStyle w:val="Heading1"/>
        <w:numPr>
          <w:ilvl w:val="0"/>
          <w:numId w:val="14"/>
        </w:numPr>
        <w:spacing w:line="360" w:lineRule="auto"/>
        <w:jc w:val="center"/>
        <w:rPr>
          <w:rFonts w:cs="Arial"/>
          <w:sz w:val="28"/>
          <w:szCs w:val="28"/>
        </w:rPr>
      </w:pPr>
      <w:bookmarkStart w:id="2" w:name="_Toc236697817"/>
      <w:r w:rsidRPr="00715765">
        <w:rPr>
          <w:rFonts w:cs="Arial"/>
          <w:sz w:val="28"/>
          <w:szCs w:val="28"/>
        </w:rPr>
        <w:t>Sustainable Development Goal 4: Quality Education</w:t>
      </w:r>
      <w:bookmarkEnd w:id="2"/>
    </w:p>
    <w:p w14:paraId="31B1CD54" w14:textId="77777777" w:rsidR="00E82470" w:rsidRPr="00715765" w:rsidRDefault="00E82470" w:rsidP="00715765">
      <w:pPr>
        <w:spacing w:line="360" w:lineRule="auto"/>
        <w:jc w:val="both"/>
        <w:rPr>
          <w:rFonts w:ascii="Arial" w:hAnsi="Arial" w:cs="Arial"/>
          <w:sz w:val="22"/>
          <w:szCs w:val="22"/>
        </w:rPr>
      </w:pPr>
    </w:p>
    <w:p w14:paraId="1390657D" w14:textId="3EB3528F"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 xml:space="preserve">Sustainable Development Goal 4 (SDG 4), known as Quality Education, aims to "ensure inclusive and equitable quality education and promote lifelong learning opportunities for all." </w:t>
      </w:r>
      <w:r w:rsidR="00C87A31" w:rsidRPr="00715765">
        <w:rPr>
          <w:rFonts w:ascii="Arial" w:hAnsi="Arial" w:cs="Arial"/>
          <w:sz w:val="22"/>
          <w:szCs w:val="22"/>
        </w:rPr>
        <w:t xml:space="preserve">SDG 4, which was created as part of the 2030 Agenda for Sustainable Development, acknowledges education as a basic human right and a key factor in the advancement of society, the economy, and the environment. The objective is founded on the idea that everyone </w:t>
      </w:r>
      <w:r w:rsidR="00C87A31" w:rsidRPr="00715765">
        <w:rPr>
          <w:rFonts w:ascii="Arial" w:hAnsi="Arial" w:cs="Arial"/>
          <w:sz w:val="22"/>
          <w:szCs w:val="22"/>
        </w:rPr>
        <w:lastRenderedPageBreak/>
        <w:t>should have access to excellent educational opportunities that allow them to realize their full potential, regardless of their history, gender, financial level, ethnicity, or disability</w:t>
      </w:r>
      <w:r w:rsidR="00591612" w:rsidRPr="00715765">
        <w:rPr>
          <w:rFonts w:ascii="Arial" w:hAnsi="Arial" w:cs="Arial"/>
          <w:sz w:val="22"/>
          <w:szCs w:val="22"/>
        </w:rPr>
        <w:t xml:space="preserve"> </w:t>
      </w:r>
      <w:r w:rsidRPr="00715765">
        <w:rPr>
          <w:rFonts w:ascii="Arial" w:hAnsi="Arial" w:cs="Arial"/>
          <w:sz w:val="22"/>
          <w:szCs w:val="22"/>
        </w:rPr>
        <w:t>(United Nations, 2023; Boeren, 2019).</w:t>
      </w:r>
    </w:p>
    <w:p w14:paraId="25922210" w14:textId="7538D5E3" w:rsidR="00EA110A" w:rsidRPr="00715765" w:rsidRDefault="00835D09" w:rsidP="00715765">
      <w:pPr>
        <w:spacing w:line="360" w:lineRule="auto"/>
        <w:jc w:val="both"/>
        <w:rPr>
          <w:rFonts w:ascii="Arial" w:hAnsi="Arial" w:cs="Arial"/>
          <w:sz w:val="22"/>
          <w:szCs w:val="22"/>
        </w:rPr>
      </w:pPr>
      <w:r w:rsidRPr="00835D09">
        <w:rPr>
          <w:rFonts w:ascii="Arial" w:hAnsi="Arial" w:cs="Arial"/>
          <w:sz w:val="22"/>
          <w:szCs w:val="22"/>
        </w:rPr>
        <w:t xml:space="preserve">The key goals of SDG 4 are to ensure that all children receive free and effective primary and secondary education, improve literacy and numeracy skills, promote opportunities for lifelong learning, eliminate gender gaps in education, and expand access to affordable technical, vocational, and higher education. </w:t>
      </w:r>
      <w:r w:rsidR="00AB7003" w:rsidRPr="00715765">
        <w:rPr>
          <w:rFonts w:ascii="Arial" w:hAnsi="Arial" w:cs="Arial"/>
          <w:sz w:val="22"/>
          <w:szCs w:val="22"/>
        </w:rPr>
        <w:t xml:space="preserve">Additionally, the objective promotes the growth of knowledge and abilities that support global citizenship, sustainable development, and responsible social involvement. </w:t>
      </w:r>
      <w:r w:rsidR="00EA110A" w:rsidRPr="00715765">
        <w:rPr>
          <w:rFonts w:ascii="Arial" w:hAnsi="Arial" w:cs="Arial"/>
          <w:sz w:val="22"/>
          <w:szCs w:val="22"/>
        </w:rPr>
        <w:t>By focusing on educational inclusion and equality, SDG 4 seeks to reduce social and economic inequalities and create opportunities for personal and community development (UNICEF, 2023; Smith and Heyward, 2024).</w:t>
      </w:r>
    </w:p>
    <w:p w14:paraId="72317562" w14:textId="66BE959D" w:rsidR="00EA110A" w:rsidRPr="00715765" w:rsidRDefault="00172C76" w:rsidP="00715765">
      <w:pPr>
        <w:spacing w:line="360" w:lineRule="auto"/>
        <w:jc w:val="both"/>
        <w:rPr>
          <w:rFonts w:ascii="Arial" w:hAnsi="Arial" w:cs="Arial"/>
          <w:sz w:val="22"/>
          <w:szCs w:val="22"/>
        </w:rPr>
      </w:pPr>
      <w:r w:rsidRPr="00715765">
        <w:rPr>
          <w:rFonts w:ascii="Arial" w:hAnsi="Arial" w:cs="Arial"/>
          <w:sz w:val="22"/>
          <w:szCs w:val="22"/>
        </w:rPr>
        <w:t>Because it affects employment prospects, income levels, health literacy, and resource accessibility, it is widely acknowledged as one of the most important social determinants of health. Higher educated people are typically more likely to find steady work, make more money, and have better living conditions</w:t>
      </w:r>
      <w:r w:rsidR="00EA110A" w:rsidRPr="00715765">
        <w:rPr>
          <w:rFonts w:ascii="Arial" w:hAnsi="Arial" w:cs="Arial"/>
          <w:sz w:val="22"/>
          <w:szCs w:val="22"/>
        </w:rPr>
        <w:t>. These factors contribute to improved physical and mental health outcomes and reduce the risk of poverty, social exclusion, and poor wellbeing (Boeren, 2019; Edwards, Asadullah and Webb, 2024).</w:t>
      </w:r>
    </w:p>
    <w:p w14:paraId="6E712BEE" w14:textId="7ACF4FBC" w:rsidR="00EA110A" w:rsidRPr="00715765" w:rsidRDefault="00706C44" w:rsidP="00715765">
      <w:pPr>
        <w:spacing w:line="360" w:lineRule="auto"/>
        <w:jc w:val="both"/>
        <w:rPr>
          <w:rFonts w:ascii="Arial" w:hAnsi="Arial" w:cs="Arial"/>
          <w:sz w:val="22"/>
          <w:szCs w:val="22"/>
        </w:rPr>
      </w:pPr>
      <w:r w:rsidRPr="00706C44">
        <w:rPr>
          <w:rFonts w:ascii="Arial" w:hAnsi="Arial" w:cs="Arial"/>
          <w:sz w:val="22"/>
          <w:szCs w:val="22"/>
        </w:rPr>
        <w:t xml:space="preserve">One of the most important ways that education influences health is through the development of health literacy. Health literacy is the capacity to access, understand, evaluate, and apply health information to make educated decisions about one's health. </w:t>
      </w:r>
      <w:r w:rsidR="000132BF" w:rsidRPr="00715765">
        <w:rPr>
          <w:rFonts w:ascii="Arial" w:hAnsi="Arial" w:cs="Arial"/>
          <w:sz w:val="22"/>
          <w:szCs w:val="22"/>
        </w:rPr>
        <w:t xml:space="preserve">Higher educated individuals are more likely to comprehend public health messaging, practice preventative healthcare behaviours and seek medical attention when necessary. For instance, educated people are more likely to follow medical advice, take part in immunization programs, attend health exams, and lead healthier lifestyles. </w:t>
      </w:r>
      <w:r w:rsidR="00EA110A" w:rsidRPr="00715765">
        <w:rPr>
          <w:rFonts w:ascii="Arial" w:hAnsi="Arial" w:cs="Arial"/>
          <w:sz w:val="22"/>
          <w:szCs w:val="22"/>
        </w:rPr>
        <w:t>As a result, education can contribute to lower rates of chronic disease, improved life expectancy, and enhanced quality of life (Saini et al., 2023; United Nations, 2023).</w:t>
      </w:r>
    </w:p>
    <w:p w14:paraId="06AF4911" w14:textId="4189B25F"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SDG 4 also has a significant impact on mental health and psychological wellbeing</w:t>
      </w:r>
      <w:r w:rsidR="0027730E" w:rsidRPr="00715765">
        <w:rPr>
          <w:rFonts w:ascii="Arial" w:hAnsi="Arial" w:cs="Arial"/>
          <w:sz w:val="22"/>
          <w:szCs w:val="22"/>
        </w:rPr>
        <w:t xml:space="preserve">. </w:t>
      </w:r>
      <w:r w:rsidRPr="00715765">
        <w:rPr>
          <w:rFonts w:ascii="Arial" w:hAnsi="Arial" w:cs="Arial"/>
          <w:sz w:val="22"/>
          <w:szCs w:val="22"/>
        </w:rPr>
        <w:t>Educational environments provide opportunities for individuals to develop social relationships, communication skills, and a sense of belonging, all of which contribute positively to wellbeing. Furthermore, higher educational attainment is often associated with greater employment prospects and financial security, reducing stress and anxiety linked to unemployment and economic hardship. Consequently, education can serve as a protective factor against poor mental health and social isolation (Miller, 2023; Burkhart et al., 2024).</w:t>
      </w:r>
    </w:p>
    <w:p w14:paraId="0D92D18B" w14:textId="77777777"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 xml:space="preserve">Another important aspect of SDG 4 is its contribution to reducing inequalities within society. Educational inequalities often lead to wider social and health inequalities, particularly among </w:t>
      </w:r>
      <w:r w:rsidRPr="00715765">
        <w:rPr>
          <w:rFonts w:ascii="Arial" w:hAnsi="Arial" w:cs="Arial"/>
          <w:sz w:val="22"/>
          <w:szCs w:val="22"/>
        </w:rPr>
        <w:lastRenderedPageBreak/>
        <w:t>disadvantaged populations. Individuals with limited access to education are more likely to experience unemployment, lower incomes, poorer housing conditions, and reduced access to healthcare services. By promoting equal access to quality education, SDG 4 helps address these disparities and creates opportunities for social mobility. This can lead to improved health outcomes and greater wellbeing across communities (Edwards, Asadullah and Webb, 2024; Smith and Heyward, 2024).</w:t>
      </w:r>
    </w:p>
    <w:p w14:paraId="547D7618" w14:textId="77777777"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Within the United Kingdom, SDG 4 aligns with government initiatives aimed at improving educational attainment, widening participation in higher education, supporting apprenticeships, and promoting lifelong learning. Programmes designed to improve literacy, digital skills, and vocational training contribute to workforce development while simultaneously supporting individual wellbeing. Educational institutions also play an increasingly important role in promoting mental health awareness, safeguarding, and wellbeing support for students (Chung, Chung and Lin, 2024; García-Martín and Pérez Fernández, 2026).</w:t>
      </w:r>
    </w:p>
    <w:p w14:paraId="6C286430" w14:textId="380421D2"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In conclusion, SDG 4 is a fundamental component of sustainable development because education influences almost every aspect of an individual</w:t>
      </w:r>
      <w:r w:rsidR="00E02D1F" w:rsidRPr="00715765">
        <w:rPr>
          <w:rFonts w:ascii="Arial" w:hAnsi="Arial" w:cs="Arial"/>
          <w:sz w:val="22"/>
          <w:szCs w:val="22"/>
        </w:rPr>
        <w:t>s</w:t>
      </w:r>
      <w:r w:rsidRPr="00715765">
        <w:rPr>
          <w:rFonts w:ascii="Arial" w:hAnsi="Arial" w:cs="Arial"/>
          <w:sz w:val="22"/>
          <w:szCs w:val="22"/>
        </w:rPr>
        <w:t xml:space="preserve"> life, including health, employment, income, and social participation. By ensuring equitable access to quality education and lifelong learning opportunities, the goal helps improve health literacy, enhance mental wellbeing, reduce inequalities, and support economic growth. Therefore, achieving SDG 4 is essential not only for educational advancement but also for the overall health and wellbeing of citizens and the development of sustainable and inclusive societies (Boeren, 2019; UNICEF, 2023; United Nations, 2023).</w:t>
      </w:r>
    </w:p>
    <w:p w14:paraId="5CAC67F2" w14:textId="37247455" w:rsidR="0027479E" w:rsidRPr="00715765" w:rsidRDefault="0027479E" w:rsidP="00715765">
      <w:pPr>
        <w:spacing w:line="360" w:lineRule="auto"/>
        <w:jc w:val="both"/>
        <w:rPr>
          <w:rFonts w:ascii="Arial" w:hAnsi="Arial" w:cs="Arial"/>
        </w:rPr>
      </w:pPr>
    </w:p>
    <w:p w14:paraId="5D1CA753" w14:textId="68C531AD" w:rsidR="0027479E" w:rsidRPr="00715765" w:rsidRDefault="0027479E" w:rsidP="00715765">
      <w:pPr>
        <w:pStyle w:val="Heading1"/>
        <w:numPr>
          <w:ilvl w:val="0"/>
          <w:numId w:val="14"/>
        </w:numPr>
        <w:spacing w:line="360" w:lineRule="auto"/>
        <w:jc w:val="center"/>
        <w:rPr>
          <w:rFonts w:cs="Arial"/>
          <w:sz w:val="28"/>
          <w:szCs w:val="28"/>
        </w:rPr>
      </w:pPr>
      <w:bookmarkStart w:id="3" w:name="_Toc236697818"/>
      <w:r w:rsidRPr="00715765">
        <w:rPr>
          <w:rFonts w:cs="Arial"/>
          <w:sz w:val="28"/>
          <w:szCs w:val="28"/>
        </w:rPr>
        <w:t>National Wellbeing and Sustainable Development Initiatives</w:t>
      </w:r>
      <w:bookmarkEnd w:id="3"/>
    </w:p>
    <w:p w14:paraId="2BA00E57" w14:textId="77777777" w:rsidR="00E82470" w:rsidRPr="00715765" w:rsidRDefault="00E82470" w:rsidP="00715765">
      <w:pPr>
        <w:spacing w:line="360" w:lineRule="auto"/>
        <w:jc w:val="both"/>
        <w:rPr>
          <w:rFonts w:ascii="Arial" w:hAnsi="Arial" w:cs="Arial"/>
          <w:sz w:val="22"/>
          <w:szCs w:val="22"/>
        </w:rPr>
      </w:pPr>
    </w:p>
    <w:p w14:paraId="3E15AE6F" w14:textId="676BBF8A" w:rsidR="005F5127" w:rsidRPr="00715765" w:rsidRDefault="005F5127" w:rsidP="00715765">
      <w:pPr>
        <w:spacing w:line="360" w:lineRule="auto"/>
        <w:jc w:val="both"/>
        <w:rPr>
          <w:rFonts w:ascii="Arial" w:hAnsi="Arial" w:cs="Arial"/>
          <w:sz w:val="22"/>
          <w:szCs w:val="22"/>
        </w:rPr>
      </w:pPr>
      <w:r w:rsidRPr="00715765">
        <w:rPr>
          <w:rFonts w:ascii="Arial" w:hAnsi="Arial" w:cs="Arial"/>
          <w:sz w:val="22"/>
          <w:szCs w:val="22"/>
        </w:rPr>
        <w:t>The NHS Health and Wellbeing Framework was developed to support the health and wellbeing of NHS employees through a comprehensive organisational approach. The framework focuses on creating healthier workplaces, improving staff wellbeing, promoting positive leadership, and supporting mental and physical health (Department of Health and Social Care, 2025).</w:t>
      </w:r>
    </w:p>
    <w:p w14:paraId="6BA7C7F9" w14:textId="294ADA0A" w:rsidR="00CE2769" w:rsidRPr="00715765" w:rsidRDefault="00CE2769" w:rsidP="00715765">
      <w:pPr>
        <w:pStyle w:val="Heading2"/>
        <w:spacing w:line="360" w:lineRule="auto"/>
        <w:rPr>
          <w:rFonts w:cs="Arial"/>
          <w:sz w:val="24"/>
          <w:szCs w:val="24"/>
        </w:rPr>
      </w:pPr>
      <w:bookmarkStart w:id="4" w:name="_Toc236697819"/>
      <w:r w:rsidRPr="00715765">
        <w:rPr>
          <w:rFonts w:cs="Arial"/>
          <w:sz w:val="24"/>
          <w:szCs w:val="24"/>
        </w:rPr>
        <w:t>4.1 Initiative 1: NHS Health and Wellbeing Framework</w:t>
      </w:r>
      <w:bookmarkEnd w:id="4"/>
    </w:p>
    <w:p w14:paraId="48E7AD8B" w14:textId="77777777" w:rsidR="00CE2769" w:rsidRPr="00715765" w:rsidRDefault="00CE2769" w:rsidP="00715765">
      <w:pPr>
        <w:spacing w:line="360" w:lineRule="auto"/>
        <w:jc w:val="both"/>
        <w:rPr>
          <w:rFonts w:ascii="Arial" w:hAnsi="Arial" w:cs="Arial"/>
          <w:sz w:val="22"/>
          <w:szCs w:val="22"/>
        </w:rPr>
      </w:pPr>
    </w:p>
    <w:p w14:paraId="41D64A40" w14:textId="77777777" w:rsidR="008E36B3" w:rsidRPr="008E36B3" w:rsidRDefault="008E36B3" w:rsidP="008E36B3">
      <w:pPr>
        <w:spacing w:line="360" w:lineRule="auto"/>
        <w:jc w:val="both"/>
        <w:rPr>
          <w:rFonts w:ascii="Arial" w:hAnsi="Arial" w:cs="Arial"/>
          <w:sz w:val="22"/>
          <w:szCs w:val="22"/>
        </w:rPr>
      </w:pPr>
      <w:r w:rsidRPr="008E36B3">
        <w:rPr>
          <w:rFonts w:ascii="Arial" w:hAnsi="Arial" w:cs="Arial"/>
          <w:sz w:val="22"/>
          <w:szCs w:val="22"/>
        </w:rPr>
        <w:lastRenderedPageBreak/>
        <w:t>The National Tutoring Programme (NTP) was introduced by the UK Government in 2020 to support pupils whose learning was disrupted by the COVID-19 pandemic. The initiative aims to reduce the attainment gap between disadvantaged students and their peers by providing targeted academic support through tutoring and mentoring programmes. The programme supports SDG 4 by promoting inclusive and equitable quality education and improving learning outcomes for all students (Department for Education, 2021; Education Endowment Foundation, 2022).</w:t>
      </w:r>
    </w:p>
    <w:p w14:paraId="54EB5C87" w14:textId="77777777" w:rsidR="008E36B3" w:rsidRPr="008E36B3" w:rsidRDefault="008E36B3" w:rsidP="008E36B3">
      <w:pPr>
        <w:spacing w:line="360" w:lineRule="auto"/>
        <w:jc w:val="both"/>
        <w:rPr>
          <w:rFonts w:ascii="Arial" w:hAnsi="Arial" w:cs="Arial"/>
          <w:sz w:val="22"/>
          <w:szCs w:val="22"/>
        </w:rPr>
      </w:pPr>
      <w:r w:rsidRPr="008E36B3">
        <w:rPr>
          <w:rFonts w:ascii="Arial" w:hAnsi="Arial" w:cs="Arial"/>
          <w:sz w:val="22"/>
          <w:szCs w:val="22"/>
        </w:rPr>
        <w:t>The NTP has helped many pupils improve their academic performance, particularly in core subjects such as English and Mathematics. It has also increased access to additional learning support for disadvantaged learners. However, challenges have included variations in programme uptake across schools, difficulties in recruiting tutors, and concerns regarding long-term funding and sustainability (National Audit Office, 2023; House of Commons Education Committee, 2023).</w:t>
      </w:r>
    </w:p>
    <w:p w14:paraId="66AFD24F" w14:textId="7AE146A7" w:rsidR="005F5127" w:rsidRPr="00715765" w:rsidRDefault="005F5127" w:rsidP="00715765">
      <w:pPr>
        <w:spacing w:line="360" w:lineRule="auto"/>
        <w:jc w:val="both"/>
        <w:rPr>
          <w:rFonts w:ascii="Arial" w:hAnsi="Arial" w:cs="Arial"/>
          <w:sz w:val="22"/>
          <w:szCs w:val="22"/>
        </w:rPr>
      </w:pPr>
      <w:r w:rsidRPr="00715765">
        <w:rPr>
          <w:rFonts w:ascii="Arial" w:hAnsi="Arial" w:cs="Arial"/>
          <w:b/>
          <w:bCs/>
          <w:sz w:val="22"/>
          <w:szCs w:val="22"/>
        </w:rPr>
        <w:t>Recommendation</w:t>
      </w:r>
      <w:r w:rsidRPr="00715765">
        <w:rPr>
          <w:rFonts w:ascii="Arial" w:hAnsi="Arial" w:cs="Arial"/>
          <w:sz w:val="22"/>
          <w:szCs w:val="22"/>
        </w:rPr>
        <w:br/>
      </w:r>
      <w:r w:rsidR="00C439D7" w:rsidRPr="00C439D7">
        <w:rPr>
          <w:rFonts w:ascii="Arial" w:hAnsi="Arial" w:cs="Arial"/>
          <w:sz w:val="22"/>
          <w:szCs w:val="22"/>
        </w:rPr>
        <w:t>Additional investment should be provided to ensure the long-term sustainability of tutoring programmes, alongside increased recruitment and training of qualified tutors to support disadvantaged learners and help close educational attainment gaps.</w:t>
      </w:r>
    </w:p>
    <w:p w14:paraId="1A28D47A" w14:textId="77777777" w:rsidR="00340F22" w:rsidRPr="00715765" w:rsidRDefault="00340F22" w:rsidP="00715765">
      <w:pPr>
        <w:spacing w:line="360" w:lineRule="auto"/>
        <w:jc w:val="both"/>
        <w:rPr>
          <w:rFonts w:ascii="Arial" w:hAnsi="Arial" w:cs="Arial"/>
          <w:sz w:val="22"/>
          <w:szCs w:val="22"/>
        </w:rPr>
      </w:pPr>
    </w:p>
    <w:p w14:paraId="741351FB" w14:textId="58E49C2F" w:rsidR="0027479E" w:rsidRPr="007B5470" w:rsidRDefault="00CE2769" w:rsidP="00715765">
      <w:pPr>
        <w:pStyle w:val="Heading2"/>
        <w:spacing w:line="360" w:lineRule="auto"/>
        <w:rPr>
          <w:rFonts w:cs="Arial"/>
        </w:rPr>
      </w:pPr>
      <w:bookmarkStart w:id="5" w:name="_Toc236697820"/>
      <w:r w:rsidRPr="00715765">
        <w:rPr>
          <w:rFonts w:cs="Arial"/>
          <w:sz w:val="24"/>
          <w:szCs w:val="24"/>
        </w:rPr>
        <w:t xml:space="preserve">4.2 </w:t>
      </w:r>
      <w:r w:rsidR="0027479E" w:rsidRPr="00715765">
        <w:rPr>
          <w:rFonts w:cs="Arial"/>
          <w:sz w:val="24"/>
          <w:szCs w:val="24"/>
        </w:rPr>
        <w:t xml:space="preserve">Initiative 2: </w:t>
      </w:r>
      <w:bookmarkEnd w:id="5"/>
      <w:r w:rsidR="007B5470" w:rsidRPr="007B5470">
        <w:rPr>
          <w:rFonts w:cs="Arial"/>
          <w:sz w:val="24"/>
          <w:szCs w:val="24"/>
        </w:rPr>
        <w:t>National Tutoring Programme (NTP)</w:t>
      </w:r>
    </w:p>
    <w:p w14:paraId="017BF5BB" w14:textId="77777777" w:rsidR="00CE2769" w:rsidRPr="00715765" w:rsidRDefault="00CE2769" w:rsidP="00715765">
      <w:pPr>
        <w:spacing w:line="360" w:lineRule="auto"/>
        <w:jc w:val="both"/>
        <w:rPr>
          <w:rFonts w:ascii="Arial" w:hAnsi="Arial" w:cs="Arial"/>
          <w:sz w:val="22"/>
          <w:szCs w:val="22"/>
        </w:rPr>
      </w:pPr>
    </w:p>
    <w:p w14:paraId="744367E1" w14:textId="4E1B1EDD" w:rsidR="005F3785" w:rsidRPr="00715765" w:rsidRDefault="005F3785" w:rsidP="00715765">
      <w:pPr>
        <w:spacing w:line="360" w:lineRule="auto"/>
        <w:jc w:val="both"/>
        <w:rPr>
          <w:rFonts w:ascii="Arial" w:hAnsi="Arial" w:cs="Arial"/>
          <w:sz w:val="22"/>
          <w:szCs w:val="22"/>
        </w:rPr>
      </w:pPr>
      <w:r w:rsidRPr="00715765">
        <w:rPr>
          <w:rFonts w:ascii="Arial" w:hAnsi="Arial" w:cs="Arial"/>
          <w:sz w:val="22"/>
          <w:szCs w:val="22"/>
        </w:rPr>
        <w:t>The NHS Long-Term Plan focuses on prevention, reducing health inequalities, improving mental health services, and providing more integrated healthcare. The initiative aims to shift healthcare from reactive treatment towards early intervention and prevention (</w:t>
      </w:r>
      <w:proofErr w:type="spellStart"/>
      <w:r w:rsidRPr="00715765">
        <w:rPr>
          <w:rFonts w:ascii="Arial" w:hAnsi="Arial" w:cs="Arial"/>
          <w:sz w:val="22"/>
          <w:szCs w:val="22"/>
        </w:rPr>
        <w:t>Alderwick</w:t>
      </w:r>
      <w:proofErr w:type="spellEnd"/>
      <w:r w:rsidRPr="00715765">
        <w:rPr>
          <w:rFonts w:ascii="Arial" w:hAnsi="Arial" w:cs="Arial"/>
          <w:sz w:val="22"/>
          <w:szCs w:val="22"/>
        </w:rPr>
        <w:t xml:space="preserve"> and Dixon, 2019; Iacobucci, 2019).</w:t>
      </w:r>
    </w:p>
    <w:p w14:paraId="58F50C3C" w14:textId="77777777" w:rsidR="005F3785" w:rsidRPr="00715765" w:rsidRDefault="005F3785" w:rsidP="00715765">
      <w:pPr>
        <w:spacing w:line="360" w:lineRule="auto"/>
        <w:jc w:val="both"/>
        <w:rPr>
          <w:rFonts w:ascii="Arial" w:hAnsi="Arial" w:cs="Arial"/>
          <w:sz w:val="22"/>
          <w:szCs w:val="22"/>
        </w:rPr>
      </w:pPr>
      <w:r w:rsidRPr="00715765">
        <w:rPr>
          <w:rFonts w:ascii="Arial" w:hAnsi="Arial" w:cs="Arial"/>
          <w:sz w:val="22"/>
          <w:szCs w:val="22"/>
        </w:rPr>
        <w:t>The plan has contributed to improved access to mental health support and increased emphasis on preventative healthcare approaches. However, challenges remain regarding workforce shortages, increasing demand for services, and waiting times (Cheater, 2019; Burki, 2019).</w:t>
      </w:r>
    </w:p>
    <w:p w14:paraId="4BE35068" w14:textId="77777777" w:rsidR="005F3785" w:rsidRPr="00715765" w:rsidRDefault="005F3785" w:rsidP="00715765">
      <w:pPr>
        <w:spacing w:line="360" w:lineRule="auto"/>
        <w:jc w:val="both"/>
        <w:rPr>
          <w:rFonts w:ascii="Arial" w:hAnsi="Arial" w:cs="Arial"/>
          <w:sz w:val="22"/>
          <w:szCs w:val="22"/>
        </w:rPr>
      </w:pPr>
      <w:r w:rsidRPr="00715765">
        <w:rPr>
          <w:rFonts w:ascii="Arial" w:hAnsi="Arial" w:cs="Arial"/>
          <w:b/>
          <w:bCs/>
          <w:sz w:val="22"/>
          <w:szCs w:val="22"/>
        </w:rPr>
        <w:t>Recommendation</w:t>
      </w:r>
      <w:r w:rsidRPr="00715765">
        <w:rPr>
          <w:rFonts w:ascii="Arial" w:hAnsi="Arial" w:cs="Arial"/>
          <w:sz w:val="22"/>
          <w:szCs w:val="22"/>
        </w:rPr>
        <w:br/>
        <w:t>Additional funding and workforce development programmes should be implemented to ensure services can meet growing healthcare needs while maintaining quality care standards.</w:t>
      </w:r>
    </w:p>
    <w:p w14:paraId="241BBDEE" w14:textId="77777777" w:rsidR="004D7A52" w:rsidRPr="00715765" w:rsidRDefault="004D7A52" w:rsidP="00715765">
      <w:pPr>
        <w:spacing w:line="360" w:lineRule="auto"/>
        <w:jc w:val="both"/>
        <w:rPr>
          <w:rFonts w:ascii="Arial" w:hAnsi="Arial" w:cs="Arial"/>
          <w:sz w:val="22"/>
          <w:szCs w:val="22"/>
        </w:rPr>
      </w:pPr>
    </w:p>
    <w:p w14:paraId="5DC1A4B0" w14:textId="28EDBA38" w:rsidR="0027479E" w:rsidRPr="00715765" w:rsidRDefault="0027479E" w:rsidP="00715765">
      <w:pPr>
        <w:pStyle w:val="Heading1"/>
        <w:numPr>
          <w:ilvl w:val="0"/>
          <w:numId w:val="14"/>
        </w:numPr>
        <w:spacing w:line="360" w:lineRule="auto"/>
        <w:jc w:val="center"/>
        <w:rPr>
          <w:rFonts w:cs="Arial"/>
          <w:sz w:val="28"/>
          <w:szCs w:val="28"/>
        </w:rPr>
      </w:pPr>
      <w:bookmarkStart w:id="6" w:name="_Toc236697821"/>
      <w:r w:rsidRPr="00715765">
        <w:rPr>
          <w:rFonts w:cs="Arial"/>
          <w:sz w:val="28"/>
          <w:szCs w:val="28"/>
        </w:rPr>
        <w:lastRenderedPageBreak/>
        <w:t>Local Wellbeing and Sustainable Development Initiatives</w:t>
      </w:r>
      <w:bookmarkEnd w:id="6"/>
    </w:p>
    <w:p w14:paraId="4D175583" w14:textId="77777777" w:rsidR="00ED2CBE" w:rsidRPr="00715765" w:rsidRDefault="00ED2CBE" w:rsidP="00715765">
      <w:pPr>
        <w:spacing w:line="360" w:lineRule="auto"/>
        <w:jc w:val="both"/>
        <w:rPr>
          <w:rFonts w:ascii="Arial" w:hAnsi="Arial" w:cs="Arial"/>
          <w:b/>
          <w:bCs/>
        </w:rPr>
      </w:pPr>
    </w:p>
    <w:p w14:paraId="68D7D617" w14:textId="63FEA818" w:rsidR="0027479E" w:rsidRPr="00715765" w:rsidRDefault="00ED2CBE" w:rsidP="00715765">
      <w:pPr>
        <w:pStyle w:val="Heading2"/>
        <w:spacing w:line="360" w:lineRule="auto"/>
        <w:rPr>
          <w:rFonts w:cs="Arial"/>
          <w:sz w:val="24"/>
          <w:szCs w:val="24"/>
        </w:rPr>
      </w:pPr>
      <w:bookmarkStart w:id="7" w:name="_Toc236697822"/>
      <w:r w:rsidRPr="00715765">
        <w:rPr>
          <w:rFonts w:cs="Arial"/>
          <w:sz w:val="24"/>
          <w:szCs w:val="24"/>
        </w:rPr>
        <w:t xml:space="preserve">5.1 </w:t>
      </w:r>
      <w:r w:rsidR="0027479E" w:rsidRPr="00715765">
        <w:rPr>
          <w:rFonts w:cs="Arial"/>
          <w:sz w:val="24"/>
          <w:szCs w:val="24"/>
        </w:rPr>
        <w:t>Initiative 1: Social Prescribing</w:t>
      </w:r>
      <w:bookmarkEnd w:id="7"/>
    </w:p>
    <w:p w14:paraId="282DCB16" w14:textId="77777777" w:rsidR="00ED2CBE" w:rsidRPr="00715765" w:rsidRDefault="00ED2CBE" w:rsidP="00715765">
      <w:pPr>
        <w:spacing w:line="360" w:lineRule="auto"/>
        <w:jc w:val="both"/>
        <w:rPr>
          <w:rFonts w:ascii="Arial" w:hAnsi="Arial" w:cs="Arial"/>
          <w:sz w:val="22"/>
          <w:szCs w:val="22"/>
        </w:rPr>
      </w:pPr>
    </w:p>
    <w:p w14:paraId="6DC7157A" w14:textId="28F70955" w:rsidR="00D75336" w:rsidRPr="00715765" w:rsidRDefault="00D75336" w:rsidP="00715765">
      <w:pPr>
        <w:spacing w:line="360" w:lineRule="auto"/>
        <w:jc w:val="both"/>
        <w:rPr>
          <w:rFonts w:ascii="Arial" w:hAnsi="Arial" w:cs="Arial"/>
          <w:sz w:val="22"/>
          <w:szCs w:val="22"/>
        </w:rPr>
      </w:pPr>
      <w:r w:rsidRPr="00715765">
        <w:rPr>
          <w:rFonts w:ascii="Arial" w:hAnsi="Arial" w:cs="Arial"/>
          <w:sz w:val="22"/>
          <w:szCs w:val="22"/>
        </w:rPr>
        <w:t>Social prescribing programmes operate across many local authorities and NHS Integrated Care Systems. Healthcare professionals refer individuals to community-based activities such as exercise groups, volunteering, art programmes, and support networks (Department of Health and Social Care, 2025).</w:t>
      </w:r>
    </w:p>
    <w:p w14:paraId="098FD479" w14:textId="77777777" w:rsidR="00D75336" w:rsidRPr="00715765" w:rsidRDefault="00D75336" w:rsidP="00715765">
      <w:pPr>
        <w:spacing w:line="360" w:lineRule="auto"/>
        <w:jc w:val="both"/>
        <w:rPr>
          <w:rFonts w:ascii="Arial" w:hAnsi="Arial" w:cs="Arial"/>
          <w:sz w:val="22"/>
          <w:szCs w:val="22"/>
        </w:rPr>
      </w:pPr>
      <w:r w:rsidRPr="00715765">
        <w:rPr>
          <w:rFonts w:ascii="Arial" w:hAnsi="Arial" w:cs="Arial"/>
          <w:sz w:val="22"/>
          <w:szCs w:val="22"/>
        </w:rPr>
        <w:t>The initiative has been effective in reducing social isolation, improving mental wellbeing, and promoting community engagement. It provides a holistic approach to health by addressing social factors affecting wellbeing. However, funding limitations and inconsistent availability across regions reduce effectiveness (Department of Health and Social Care, 2025).</w:t>
      </w:r>
    </w:p>
    <w:p w14:paraId="58437EFE" w14:textId="77777777" w:rsidR="0027479E" w:rsidRPr="00715765" w:rsidRDefault="0027479E" w:rsidP="00715765">
      <w:pPr>
        <w:spacing w:line="360" w:lineRule="auto"/>
        <w:jc w:val="both"/>
        <w:rPr>
          <w:rFonts w:ascii="Arial" w:hAnsi="Arial" w:cs="Arial"/>
          <w:b/>
          <w:bCs/>
          <w:sz w:val="22"/>
          <w:szCs w:val="22"/>
        </w:rPr>
      </w:pPr>
      <w:r w:rsidRPr="00715765">
        <w:rPr>
          <w:rFonts w:ascii="Arial" w:hAnsi="Arial" w:cs="Arial"/>
          <w:b/>
          <w:bCs/>
          <w:sz w:val="22"/>
          <w:szCs w:val="22"/>
        </w:rPr>
        <w:t>Recommendation</w:t>
      </w:r>
    </w:p>
    <w:p w14:paraId="306BC11F" w14:textId="77777777" w:rsidR="0027479E" w:rsidRPr="00715765" w:rsidRDefault="0027479E" w:rsidP="00715765">
      <w:pPr>
        <w:spacing w:line="360" w:lineRule="auto"/>
        <w:jc w:val="both"/>
        <w:rPr>
          <w:rFonts w:ascii="Arial" w:hAnsi="Arial" w:cs="Arial"/>
          <w:sz w:val="22"/>
          <w:szCs w:val="22"/>
        </w:rPr>
      </w:pPr>
      <w:r w:rsidRPr="00715765">
        <w:rPr>
          <w:rFonts w:ascii="Arial" w:hAnsi="Arial" w:cs="Arial"/>
          <w:sz w:val="22"/>
          <w:szCs w:val="22"/>
        </w:rPr>
        <w:t>Long-term funding should be provided to ensure sustainable service delivery and equitable access across communities.</w:t>
      </w:r>
    </w:p>
    <w:p w14:paraId="30DC9CDA" w14:textId="34B3D3DF" w:rsidR="0027479E" w:rsidRPr="00715765" w:rsidRDefault="00ED2CBE" w:rsidP="00715765">
      <w:pPr>
        <w:pStyle w:val="Heading2"/>
        <w:spacing w:line="360" w:lineRule="auto"/>
        <w:rPr>
          <w:rFonts w:cs="Arial"/>
          <w:sz w:val="24"/>
          <w:szCs w:val="24"/>
        </w:rPr>
      </w:pPr>
      <w:bookmarkStart w:id="8" w:name="_Toc236697823"/>
      <w:r w:rsidRPr="00715765">
        <w:rPr>
          <w:rFonts w:cs="Arial"/>
          <w:sz w:val="24"/>
          <w:szCs w:val="24"/>
        </w:rPr>
        <w:t xml:space="preserve">5.2 </w:t>
      </w:r>
      <w:r w:rsidR="0027479E" w:rsidRPr="00715765">
        <w:rPr>
          <w:rFonts w:cs="Arial"/>
          <w:sz w:val="24"/>
          <w:szCs w:val="24"/>
        </w:rPr>
        <w:t>Initiative 2: Healthy Schools Programme</w:t>
      </w:r>
      <w:bookmarkEnd w:id="8"/>
    </w:p>
    <w:p w14:paraId="443A9025" w14:textId="77777777" w:rsidR="00ED2CBE" w:rsidRPr="00715765" w:rsidRDefault="00ED2CBE" w:rsidP="00715765">
      <w:pPr>
        <w:spacing w:line="360" w:lineRule="auto"/>
        <w:jc w:val="both"/>
        <w:rPr>
          <w:rFonts w:ascii="Arial" w:hAnsi="Arial" w:cs="Arial"/>
          <w:sz w:val="22"/>
          <w:szCs w:val="22"/>
        </w:rPr>
      </w:pPr>
    </w:p>
    <w:p w14:paraId="0CB1ABF7" w14:textId="3AA41807" w:rsidR="000433CC" w:rsidRPr="00715765" w:rsidRDefault="000433CC" w:rsidP="00715765">
      <w:pPr>
        <w:spacing w:line="360" w:lineRule="auto"/>
        <w:jc w:val="both"/>
        <w:rPr>
          <w:rFonts w:ascii="Arial" w:hAnsi="Arial" w:cs="Arial"/>
          <w:sz w:val="22"/>
          <w:szCs w:val="22"/>
        </w:rPr>
      </w:pPr>
      <w:r w:rsidRPr="00715765">
        <w:rPr>
          <w:rFonts w:ascii="Arial" w:hAnsi="Arial" w:cs="Arial"/>
          <w:sz w:val="22"/>
          <w:szCs w:val="22"/>
        </w:rPr>
        <w:t>Many local authorities operate Healthy Schools programmes that promote physical activity, healthy eating, emotional wellbeing, and health education among children and young people (</w:t>
      </w:r>
      <w:proofErr w:type="spellStart"/>
      <w:r w:rsidRPr="00715765">
        <w:rPr>
          <w:rFonts w:ascii="Arial" w:hAnsi="Arial" w:cs="Arial"/>
          <w:sz w:val="22"/>
          <w:szCs w:val="22"/>
        </w:rPr>
        <w:t>Elinder</w:t>
      </w:r>
      <w:proofErr w:type="spellEnd"/>
      <w:r w:rsidRPr="00715765">
        <w:rPr>
          <w:rFonts w:ascii="Arial" w:hAnsi="Arial" w:cs="Arial"/>
          <w:sz w:val="22"/>
          <w:szCs w:val="22"/>
        </w:rPr>
        <w:t xml:space="preserve"> et al., 2021; Malek et al., 2023).</w:t>
      </w:r>
    </w:p>
    <w:p w14:paraId="171ECB92" w14:textId="77777777" w:rsidR="000433CC" w:rsidRPr="00715765" w:rsidRDefault="000433CC" w:rsidP="00715765">
      <w:pPr>
        <w:spacing w:line="360" w:lineRule="auto"/>
        <w:jc w:val="both"/>
        <w:rPr>
          <w:rFonts w:ascii="Arial" w:hAnsi="Arial" w:cs="Arial"/>
          <w:sz w:val="22"/>
          <w:szCs w:val="22"/>
        </w:rPr>
      </w:pPr>
      <w:r w:rsidRPr="00715765">
        <w:rPr>
          <w:rFonts w:ascii="Arial" w:hAnsi="Arial" w:cs="Arial"/>
          <w:sz w:val="22"/>
          <w:szCs w:val="22"/>
        </w:rPr>
        <w:t>The initiative has positively influenced children's health behaviours and has increased awareness of healthy lifestyles. Early intervention can reduce future health problems and contribute to long-term wellbeing. However, programme delivery often depends on school resources and staffing capacity (</w:t>
      </w:r>
      <w:proofErr w:type="spellStart"/>
      <w:r w:rsidRPr="00715765">
        <w:rPr>
          <w:rFonts w:ascii="Arial" w:hAnsi="Arial" w:cs="Arial"/>
          <w:sz w:val="22"/>
          <w:szCs w:val="22"/>
        </w:rPr>
        <w:t>Elinder</w:t>
      </w:r>
      <w:proofErr w:type="spellEnd"/>
      <w:r w:rsidRPr="00715765">
        <w:rPr>
          <w:rFonts w:ascii="Arial" w:hAnsi="Arial" w:cs="Arial"/>
          <w:sz w:val="22"/>
          <w:szCs w:val="22"/>
        </w:rPr>
        <w:t xml:space="preserve"> et al., 2021; Blackburn et al., 2026).</w:t>
      </w:r>
    </w:p>
    <w:p w14:paraId="26D9BA23" w14:textId="77777777" w:rsidR="0027479E" w:rsidRPr="00715765" w:rsidRDefault="0027479E" w:rsidP="00715765">
      <w:pPr>
        <w:spacing w:line="360" w:lineRule="auto"/>
        <w:jc w:val="both"/>
        <w:rPr>
          <w:rFonts w:ascii="Arial" w:hAnsi="Arial" w:cs="Arial"/>
          <w:b/>
          <w:bCs/>
        </w:rPr>
      </w:pPr>
      <w:r w:rsidRPr="00715765">
        <w:rPr>
          <w:rFonts w:ascii="Arial" w:hAnsi="Arial" w:cs="Arial"/>
          <w:b/>
          <w:bCs/>
        </w:rPr>
        <w:t>Recommendation</w:t>
      </w:r>
    </w:p>
    <w:p w14:paraId="09C69F9E" w14:textId="77777777" w:rsidR="0027479E" w:rsidRPr="00715765" w:rsidRDefault="0027479E" w:rsidP="00715765">
      <w:pPr>
        <w:spacing w:line="360" w:lineRule="auto"/>
        <w:jc w:val="both"/>
        <w:rPr>
          <w:rFonts w:ascii="Arial" w:hAnsi="Arial" w:cs="Arial"/>
          <w:sz w:val="22"/>
          <w:szCs w:val="22"/>
        </w:rPr>
      </w:pPr>
      <w:r w:rsidRPr="00715765">
        <w:rPr>
          <w:rFonts w:ascii="Arial" w:hAnsi="Arial" w:cs="Arial"/>
          <w:sz w:val="22"/>
          <w:szCs w:val="22"/>
        </w:rPr>
        <w:t>Additional financial support and staff training should be provided to enable schools to implement wellbeing programmes consistently and effectively.</w:t>
      </w:r>
    </w:p>
    <w:p w14:paraId="23E62E24" w14:textId="1C4CE61A" w:rsidR="0027479E" w:rsidRPr="00715765" w:rsidRDefault="0027479E" w:rsidP="00715765">
      <w:pPr>
        <w:spacing w:line="360" w:lineRule="auto"/>
        <w:jc w:val="both"/>
        <w:rPr>
          <w:rFonts w:ascii="Arial" w:hAnsi="Arial" w:cs="Arial"/>
        </w:rPr>
      </w:pPr>
    </w:p>
    <w:p w14:paraId="5084E854" w14:textId="386374BD" w:rsidR="0027479E" w:rsidRPr="00715765" w:rsidRDefault="0027479E" w:rsidP="00715765">
      <w:pPr>
        <w:pStyle w:val="Heading1"/>
        <w:numPr>
          <w:ilvl w:val="0"/>
          <w:numId w:val="14"/>
        </w:numPr>
        <w:spacing w:line="360" w:lineRule="auto"/>
        <w:jc w:val="center"/>
        <w:rPr>
          <w:rFonts w:cs="Arial"/>
          <w:sz w:val="28"/>
          <w:szCs w:val="28"/>
        </w:rPr>
      </w:pPr>
      <w:bookmarkStart w:id="9" w:name="_Toc236697824"/>
      <w:r w:rsidRPr="00715765">
        <w:rPr>
          <w:rFonts w:cs="Arial"/>
          <w:sz w:val="28"/>
          <w:szCs w:val="28"/>
        </w:rPr>
        <w:lastRenderedPageBreak/>
        <w:t>Conclusion</w:t>
      </w:r>
      <w:bookmarkEnd w:id="9"/>
    </w:p>
    <w:p w14:paraId="5BD66231" w14:textId="77777777" w:rsidR="00705258" w:rsidRPr="00715765" w:rsidRDefault="00705258" w:rsidP="00715765">
      <w:pPr>
        <w:spacing w:line="360" w:lineRule="auto"/>
        <w:jc w:val="both"/>
        <w:rPr>
          <w:rFonts w:ascii="Arial" w:hAnsi="Arial" w:cs="Arial"/>
          <w:sz w:val="22"/>
          <w:szCs w:val="22"/>
        </w:rPr>
      </w:pPr>
    </w:p>
    <w:p w14:paraId="15D1C2C6" w14:textId="6B2A9656" w:rsidR="0027479E" w:rsidRPr="00715765" w:rsidRDefault="0027479E" w:rsidP="00715765">
      <w:pPr>
        <w:spacing w:line="360" w:lineRule="auto"/>
        <w:jc w:val="both"/>
        <w:rPr>
          <w:rFonts w:ascii="Arial" w:hAnsi="Arial" w:cs="Arial"/>
          <w:sz w:val="22"/>
          <w:szCs w:val="22"/>
        </w:rPr>
      </w:pPr>
      <w:r w:rsidRPr="00715765">
        <w:rPr>
          <w:rFonts w:ascii="Arial" w:hAnsi="Arial" w:cs="Arial"/>
          <w:sz w:val="22"/>
          <w:szCs w:val="22"/>
        </w:rPr>
        <w:t>Sustainable Development Goals play a crucial role in promoting health, wellbeing, and sustainable communities. SDG 3 focuses on improving health outcomes through quality healthcare, disease prevention, and wellbeing promotion, while SDG 4 highlights the importance of education as a key determinant of health and social development. National initiatives such as the NHS Health and Wellbeing Framework and NHS Long-Term Plan demonstrate the UK commitment to improving population health. Similarly, local initiatives including social prescribing and Healthy Schools programmes contribute positively to community wellbeing. Continued investment, collaboration, and innovation are required to maximise their effectiveness and achieve sustainable development objectives.</w:t>
      </w:r>
    </w:p>
    <w:p w14:paraId="0D6D6980" w14:textId="77777777" w:rsidR="002A5625" w:rsidRDefault="002A5625" w:rsidP="00E273C6">
      <w:pPr>
        <w:jc w:val="both"/>
      </w:pPr>
    </w:p>
    <w:p w14:paraId="3438671E" w14:textId="77777777" w:rsidR="00681302" w:rsidRDefault="00681302" w:rsidP="00E273C6">
      <w:pPr>
        <w:jc w:val="both"/>
      </w:pPr>
    </w:p>
    <w:p w14:paraId="0172547B" w14:textId="77777777" w:rsidR="00681302" w:rsidRDefault="00681302" w:rsidP="00E273C6">
      <w:pPr>
        <w:jc w:val="both"/>
      </w:pPr>
    </w:p>
    <w:p w14:paraId="4CEB30E9" w14:textId="77777777" w:rsidR="00681302" w:rsidRDefault="00681302" w:rsidP="00E273C6">
      <w:pPr>
        <w:jc w:val="both"/>
      </w:pPr>
    </w:p>
    <w:p w14:paraId="696F5D68" w14:textId="2BD0A84D" w:rsidR="00681302" w:rsidRPr="00705258" w:rsidRDefault="00681302" w:rsidP="00705258">
      <w:pPr>
        <w:pStyle w:val="Heading1"/>
        <w:numPr>
          <w:ilvl w:val="0"/>
          <w:numId w:val="14"/>
        </w:numPr>
        <w:jc w:val="center"/>
        <w:rPr>
          <w:sz w:val="28"/>
          <w:szCs w:val="28"/>
        </w:rPr>
      </w:pPr>
      <w:bookmarkStart w:id="10" w:name="_Toc236697825"/>
      <w:r w:rsidRPr="00705258">
        <w:rPr>
          <w:sz w:val="28"/>
          <w:szCs w:val="28"/>
        </w:rPr>
        <w:t>Reference list</w:t>
      </w:r>
      <w:bookmarkEnd w:id="10"/>
    </w:p>
    <w:p w14:paraId="3810F3AA" w14:textId="77777777" w:rsidR="00CA63B9" w:rsidRDefault="00CA63B9" w:rsidP="00F23FF4">
      <w:pPr>
        <w:spacing w:line="360" w:lineRule="auto"/>
        <w:rPr>
          <w:rFonts w:ascii="Arial" w:hAnsi="Arial" w:cs="Arial"/>
          <w:sz w:val="22"/>
          <w:szCs w:val="22"/>
        </w:rPr>
      </w:pPr>
    </w:p>
    <w:p w14:paraId="7025E90C" w14:textId="67C6289D" w:rsidR="00F23FF4" w:rsidRPr="00F23FF4" w:rsidRDefault="00CA63B9" w:rsidP="00F23FF4">
      <w:pPr>
        <w:spacing w:line="360" w:lineRule="auto"/>
        <w:rPr>
          <w:rFonts w:ascii="Arial" w:hAnsi="Arial" w:cs="Arial"/>
          <w:sz w:val="22"/>
          <w:szCs w:val="22"/>
        </w:rPr>
      </w:pPr>
      <w:r w:rsidRPr="00F23FF4">
        <w:rPr>
          <w:rFonts w:ascii="Arial" w:hAnsi="Arial" w:cs="Arial"/>
          <w:sz w:val="22"/>
          <w:szCs w:val="22"/>
        </w:rPr>
        <w:t xml:space="preserve"> </w:t>
      </w:r>
    </w:p>
    <w:p w14:paraId="0139EA88" w14:textId="77777777" w:rsidR="00CA63B9" w:rsidRPr="00CA63B9" w:rsidRDefault="00CA63B9" w:rsidP="00CA63B9">
      <w:pPr>
        <w:spacing w:line="360" w:lineRule="auto"/>
        <w:rPr>
          <w:rFonts w:ascii="Arial" w:hAnsi="Arial" w:cs="Arial"/>
          <w:sz w:val="22"/>
          <w:szCs w:val="22"/>
        </w:rPr>
      </w:pPr>
      <w:proofErr w:type="spellStart"/>
      <w:r w:rsidRPr="00CA63B9">
        <w:rPr>
          <w:rFonts w:ascii="Arial" w:hAnsi="Arial" w:cs="Arial"/>
          <w:sz w:val="22"/>
          <w:szCs w:val="22"/>
        </w:rPr>
        <w:t>Alderwick</w:t>
      </w:r>
      <w:proofErr w:type="spellEnd"/>
      <w:r w:rsidRPr="00CA63B9">
        <w:rPr>
          <w:rFonts w:ascii="Arial" w:hAnsi="Arial" w:cs="Arial"/>
          <w:sz w:val="22"/>
          <w:szCs w:val="22"/>
        </w:rPr>
        <w:t xml:space="preserve">, H. and Dixon, J. (2019). The NHS long term plan. </w:t>
      </w:r>
      <w:r w:rsidRPr="00CA63B9">
        <w:rPr>
          <w:rFonts w:ascii="Arial" w:hAnsi="Arial" w:cs="Arial"/>
          <w:i/>
          <w:iCs/>
          <w:sz w:val="22"/>
          <w:szCs w:val="22"/>
        </w:rPr>
        <w:t>BMJ</w:t>
      </w:r>
      <w:r w:rsidRPr="00CA63B9">
        <w:rPr>
          <w:rFonts w:ascii="Arial" w:hAnsi="Arial" w:cs="Arial"/>
          <w:sz w:val="22"/>
          <w:szCs w:val="22"/>
        </w:rPr>
        <w:t xml:space="preserve">, 364(184), p.l84. </w:t>
      </w:r>
      <w:hyperlink r:id="rId8" w:history="1">
        <w:r w:rsidRPr="00CA63B9">
          <w:rPr>
            <w:rStyle w:val="Hyperlink"/>
            <w:rFonts w:ascii="Arial" w:hAnsi="Arial" w:cs="Arial"/>
            <w:i/>
            <w:iCs/>
            <w:sz w:val="22"/>
            <w:szCs w:val="22"/>
          </w:rPr>
          <w:t>https://doi.org/10.1136/bmj.l84</w:t>
        </w:r>
      </w:hyperlink>
    </w:p>
    <w:p w14:paraId="25E72066"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Boeren, E. (2019) “Understanding Sustainable Development Goal (SDG) 4 on ‘quality education’ from micro, </w:t>
      </w:r>
      <w:proofErr w:type="spellStart"/>
      <w:r w:rsidRPr="00CA63B9">
        <w:rPr>
          <w:rFonts w:ascii="Arial" w:hAnsi="Arial" w:cs="Arial"/>
          <w:sz w:val="22"/>
          <w:szCs w:val="22"/>
        </w:rPr>
        <w:t>meso</w:t>
      </w:r>
      <w:proofErr w:type="spellEnd"/>
      <w:r w:rsidRPr="00CA63B9">
        <w:rPr>
          <w:rFonts w:ascii="Arial" w:hAnsi="Arial" w:cs="Arial"/>
          <w:sz w:val="22"/>
          <w:szCs w:val="22"/>
        </w:rPr>
        <w:t xml:space="preserve"> and macro perspectives,” </w:t>
      </w:r>
      <w:r w:rsidRPr="00CA63B9">
        <w:rPr>
          <w:rFonts w:ascii="Arial" w:hAnsi="Arial" w:cs="Arial"/>
          <w:i/>
          <w:iCs/>
          <w:sz w:val="22"/>
          <w:szCs w:val="22"/>
        </w:rPr>
        <w:t>International review of education</w:t>
      </w:r>
      <w:r w:rsidRPr="00CA63B9">
        <w:rPr>
          <w:rFonts w:ascii="Arial" w:hAnsi="Arial" w:cs="Arial"/>
          <w:sz w:val="22"/>
          <w:szCs w:val="22"/>
        </w:rPr>
        <w:t xml:space="preserve">, 65(2), pp. 277–294. Available at: </w:t>
      </w:r>
      <w:hyperlink r:id="rId9" w:history="1">
        <w:r w:rsidRPr="00CA63B9">
          <w:rPr>
            <w:rStyle w:val="Hyperlink"/>
            <w:rFonts w:ascii="Arial" w:hAnsi="Arial" w:cs="Arial"/>
            <w:sz w:val="22"/>
            <w:szCs w:val="22"/>
          </w:rPr>
          <w:t>https://doi.org/10.1007/s11159-019-09772-7</w:t>
        </w:r>
      </w:hyperlink>
      <w:r w:rsidRPr="00CA63B9">
        <w:rPr>
          <w:rFonts w:ascii="Arial" w:hAnsi="Arial" w:cs="Arial"/>
          <w:sz w:val="22"/>
          <w:szCs w:val="22"/>
        </w:rPr>
        <w:t xml:space="preserve">. </w:t>
      </w:r>
    </w:p>
    <w:p w14:paraId="2ED2BD5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Burkhart, S. </w:t>
      </w:r>
      <w:r w:rsidRPr="00CA63B9">
        <w:rPr>
          <w:rFonts w:ascii="Arial" w:hAnsi="Arial" w:cs="Arial"/>
          <w:i/>
          <w:iCs/>
          <w:sz w:val="22"/>
          <w:szCs w:val="22"/>
        </w:rPr>
        <w:t>et al.</w:t>
      </w:r>
      <w:r w:rsidRPr="00CA63B9">
        <w:rPr>
          <w:rFonts w:ascii="Arial" w:hAnsi="Arial" w:cs="Arial"/>
          <w:sz w:val="22"/>
          <w:szCs w:val="22"/>
        </w:rPr>
        <w:t xml:space="preserve"> (2024) “Editorial: Nutrition and sustainable development goal 4: quality education,” </w:t>
      </w:r>
      <w:r w:rsidRPr="00CA63B9">
        <w:rPr>
          <w:rFonts w:ascii="Arial" w:hAnsi="Arial" w:cs="Arial"/>
          <w:i/>
          <w:iCs/>
          <w:sz w:val="22"/>
          <w:szCs w:val="22"/>
        </w:rPr>
        <w:t>Frontiers in nutrition (Lausanne)</w:t>
      </w:r>
      <w:r w:rsidRPr="00CA63B9">
        <w:rPr>
          <w:rFonts w:ascii="Arial" w:hAnsi="Arial" w:cs="Arial"/>
          <w:sz w:val="22"/>
          <w:szCs w:val="22"/>
        </w:rPr>
        <w:t xml:space="preserve">, 11, p. 1447032. Available at: </w:t>
      </w:r>
      <w:hyperlink r:id="rId10" w:history="1">
        <w:r w:rsidRPr="00CA63B9">
          <w:rPr>
            <w:rStyle w:val="Hyperlink"/>
            <w:rFonts w:ascii="Arial" w:hAnsi="Arial" w:cs="Arial"/>
            <w:sz w:val="22"/>
            <w:szCs w:val="22"/>
          </w:rPr>
          <w:t>https://doi.org/10.3389/fnut.2024.1447032</w:t>
        </w:r>
      </w:hyperlink>
      <w:r w:rsidRPr="00CA63B9">
        <w:rPr>
          <w:rFonts w:ascii="Arial" w:hAnsi="Arial" w:cs="Arial"/>
          <w:sz w:val="22"/>
          <w:szCs w:val="22"/>
        </w:rPr>
        <w:t xml:space="preserve">. </w:t>
      </w:r>
    </w:p>
    <w:p w14:paraId="65B6F1EF"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Blackburn, M.-È. </w:t>
      </w:r>
      <w:r w:rsidRPr="00CA63B9">
        <w:rPr>
          <w:rFonts w:ascii="Arial" w:hAnsi="Arial" w:cs="Arial"/>
          <w:i/>
          <w:iCs/>
          <w:sz w:val="22"/>
          <w:szCs w:val="22"/>
        </w:rPr>
        <w:t>et al.</w:t>
      </w:r>
      <w:r w:rsidRPr="00CA63B9">
        <w:rPr>
          <w:rFonts w:ascii="Arial" w:hAnsi="Arial" w:cs="Arial"/>
          <w:sz w:val="22"/>
          <w:szCs w:val="22"/>
        </w:rPr>
        <w:t xml:space="preserve"> (2026) “Evaluating short and mid-term effects of the ‘healthy mind, healthy body’ school-based program among youth,” </w:t>
      </w:r>
      <w:r w:rsidRPr="00CA63B9">
        <w:rPr>
          <w:rFonts w:ascii="Arial" w:hAnsi="Arial" w:cs="Arial"/>
          <w:i/>
          <w:iCs/>
          <w:sz w:val="22"/>
          <w:szCs w:val="22"/>
        </w:rPr>
        <w:t>Journal of affective disorders</w:t>
      </w:r>
      <w:r w:rsidRPr="00CA63B9">
        <w:rPr>
          <w:rFonts w:ascii="Arial" w:hAnsi="Arial" w:cs="Arial"/>
          <w:sz w:val="22"/>
          <w:szCs w:val="22"/>
        </w:rPr>
        <w:t xml:space="preserve">, 406. Available at: </w:t>
      </w:r>
      <w:hyperlink r:id="rId11" w:history="1">
        <w:r w:rsidRPr="00CA63B9">
          <w:rPr>
            <w:rStyle w:val="Hyperlink"/>
            <w:rFonts w:ascii="Arial" w:hAnsi="Arial" w:cs="Arial"/>
            <w:sz w:val="22"/>
            <w:szCs w:val="22"/>
          </w:rPr>
          <w:t>https://doi.org/10.1016/j.jad.2026.121707</w:t>
        </w:r>
      </w:hyperlink>
      <w:r w:rsidRPr="00CA63B9">
        <w:rPr>
          <w:rFonts w:ascii="Arial" w:hAnsi="Arial" w:cs="Arial"/>
          <w:sz w:val="22"/>
          <w:szCs w:val="22"/>
        </w:rPr>
        <w:t xml:space="preserve">. </w:t>
      </w:r>
    </w:p>
    <w:p w14:paraId="366C43E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Burki, T.K. (2019) “NHS England statistics and long-term plan,” </w:t>
      </w:r>
      <w:r w:rsidRPr="00CA63B9">
        <w:rPr>
          <w:rFonts w:ascii="Arial" w:hAnsi="Arial" w:cs="Arial"/>
          <w:i/>
          <w:iCs/>
          <w:sz w:val="22"/>
          <w:szCs w:val="22"/>
        </w:rPr>
        <w:t>The lancet oncology</w:t>
      </w:r>
      <w:r w:rsidRPr="00CA63B9">
        <w:rPr>
          <w:rFonts w:ascii="Arial" w:hAnsi="Arial" w:cs="Arial"/>
          <w:sz w:val="22"/>
          <w:szCs w:val="22"/>
        </w:rPr>
        <w:t xml:space="preserve">, 20(2), pp. 187–187. Available at: </w:t>
      </w:r>
      <w:hyperlink r:id="rId12" w:history="1">
        <w:r w:rsidRPr="00CA63B9">
          <w:rPr>
            <w:rStyle w:val="Hyperlink"/>
            <w:rFonts w:ascii="Arial" w:hAnsi="Arial" w:cs="Arial"/>
            <w:sz w:val="22"/>
            <w:szCs w:val="22"/>
          </w:rPr>
          <w:t>https://doi.org/10.1016/S1470-2045(19)30008-7</w:t>
        </w:r>
      </w:hyperlink>
      <w:r w:rsidRPr="00CA63B9">
        <w:rPr>
          <w:rFonts w:ascii="Arial" w:hAnsi="Arial" w:cs="Arial"/>
          <w:sz w:val="22"/>
          <w:szCs w:val="22"/>
        </w:rPr>
        <w:t xml:space="preserve">. </w:t>
      </w:r>
    </w:p>
    <w:p w14:paraId="72764152"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lastRenderedPageBreak/>
        <w:t xml:space="preserve">Chung, F.-L., Chung, H.-H. and Lin, S.-M. (2024). Current themes and future directions of the sustainable development goals in higher education. </w:t>
      </w:r>
      <w:r w:rsidRPr="00CA63B9">
        <w:rPr>
          <w:rFonts w:ascii="Arial" w:hAnsi="Arial" w:cs="Arial"/>
          <w:i/>
          <w:iCs/>
          <w:sz w:val="22"/>
          <w:szCs w:val="22"/>
        </w:rPr>
        <w:t>International Journal of Sustainability in Higher Education</w:t>
      </w:r>
      <w:r w:rsidRPr="00CA63B9">
        <w:rPr>
          <w:rFonts w:ascii="Arial" w:hAnsi="Arial" w:cs="Arial"/>
          <w:sz w:val="22"/>
          <w:szCs w:val="22"/>
        </w:rPr>
        <w:t xml:space="preserve">, 25(8), pp.1980–1994. </w:t>
      </w:r>
      <w:hyperlink r:id="rId13" w:tgtFrame="_blank" w:history="1">
        <w:r w:rsidRPr="00CA63B9">
          <w:rPr>
            <w:rStyle w:val="Hyperlink"/>
            <w:rFonts w:ascii="Arial" w:hAnsi="Arial" w:cs="Arial"/>
            <w:sz w:val="22"/>
            <w:szCs w:val="22"/>
          </w:rPr>
          <w:t>https://doi.org/10.1108/IJSHE-07-2023-0308</w:t>
        </w:r>
      </w:hyperlink>
    </w:p>
    <w:p w14:paraId="3DB4D469"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Cheater, S. (2019) “The NHS Long-Term Plan,” </w:t>
      </w:r>
      <w:r w:rsidRPr="00CA63B9">
        <w:rPr>
          <w:rFonts w:ascii="Arial" w:hAnsi="Arial" w:cs="Arial"/>
          <w:i/>
          <w:iCs/>
          <w:sz w:val="22"/>
          <w:szCs w:val="22"/>
        </w:rPr>
        <w:t>International journal of health promotion and education</w:t>
      </w:r>
      <w:r w:rsidRPr="00CA63B9">
        <w:rPr>
          <w:rFonts w:ascii="Arial" w:hAnsi="Arial" w:cs="Arial"/>
          <w:sz w:val="22"/>
          <w:szCs w:val="22"/>
        </w:rPr>
        <w:t xml:space="preserve">, 57(3), pp. 174–175. Available at: </w:t>
      </w:r>
      <w:hyperlink r:id="rId14" w:history="1">
        <w:r w:rsidRPr="00CA63B9">
          <w:rPr>
            <w:rStyle w:val="Hyperlink"/>
            <w:rFonts w:ascii="Arial" w:hAnsi="Arial" w:cs="Arial"/>
            <w:sz w:val="22"/>
            <w:szCs w:val="22"/>
          </w:rPr>
          <w:t>https://doi.org/10.1080/14635240.2019.1595526</w:t>
        </w:r>
      </w:hyperlink>
      <w:r w:rsidRPr="00CA63B9">
        <w:rPr>
          <w:rFonts w:ascii="Arial" w:hAnsi="Arial" w:cs="Arial"/>
          <w:sz w:val="22"/>
          <w:szCs w:val="22"/>
        </w:rPr>
        <w:t xml:space="preserve">. </w:t>
      </w:r>
    </w:p>
    <w:p w14:paraId="5D459017"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Department of Health and Social Care (2025). </w:t>
      </w:r>
      <w:r w:rsidRPr="00CA63B9">
        <w:rPr>
          <w:rFonts w:ascii="Arial" w:hAnsi="Arial" w:cs="Arial"/>
          <w:i/>
          <w:iCs/>
          <w:sz w:val="22"/>
          <w:szCs w:val="22"/>
        </w:rPr>
        <w:t>Fit for the future: 10 Year health plan for England - executive summary</w:t>
      </w:r>
      <w:r w:rsidRPr="00CA63B9">
        <w:rPr>
          <w:rFonts w:ascii="Arial" w:hAnsi="Arial" w:cs="Arial"/>
          <w:sz w:val="22"/>
          <w:szCs w:val="22"/>
        </w:rPr>
        <w:t xml:space="preserve">. </w:t>
      </w:r>
      <w:r w:rsidRPr="00CA63B9">
        <w:rPr>
          <w:rFonts w:ascii="Arial" w:hAnsi="Arial" w:cs="Arial"/>
          <w:i/>
          <w:iCs/>
          <w:sz w:val="22"/>
          <w:szCs w:val="22"/>
        </w:rPr>
        <w:t>GOV.UK</w:t>
      </w:r>
      <w:r w:rsidRPr="00CA63B9">
        <w:rPr>
          <w:rFonts w:ascii="Arial" w:hAnsi="Arial" w:cs="Arial"/>
          <w:sz w:val="22"/>
          <w:szCs w:val="22"/>
        </w:rPr>
        <w:t xml:space="preserve">. Available at: </w:t>
      </w:r>
      <w:hyperlink r:id="rId15" w:history="1">
        <w:r w:rsidRPr="00CA63B9">
          <w:rPr>
            <w:rStyle w:val="Hyperlink"/>
            <w:rFonts w:ascii="Arial" w:hAnsi="Arial" w:cs="Arial"/>
            <w:sz w:val="22"/>
            <w:szCs w:val="22"/>
          </w:rPr>
          <w:t>https://www.gov.uk/government/publications/10-year-health-plan-for-england-fit-for-the-future/fit-for-the-future-10-year-health-plan-for-england-executive-summary</w:t>
        </w:r>
      </w:hyperlink>
      <w:r w:rsidRPr="00CA63B9">
        <w:rPr>
          <w:rFonts w:ascii="Arial" w:hAnsi="Arial" w:cs="Arial"/>
          <w:sz w:val="22"/>
          <w:szCs w:val="22"/>
        </w:rPr>
        <w:t xml:space="preserve">  (Accessed 4 Aug. 2026).</w:t>
      </w:r>
    </w:p>
    <w:p w14:paraId="50B5BB4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Department for Education (2021). </w:t>
      </w:r>
      <w:r w:rsidRPr="00CA63B9">
        <w:rPr>
          <w:rFonts w:ascii="Arial" w:hAnsi="Arial" w:cs="Arial"/>
          <w:i/>
          <w:iCs/>
          <w:sz w:val="22"/>
          <w:szCs w:val="22"/>
        </w:rPr>
        <w:t>School-led tutoring: Conditions of grant and funding, 2021 to 2022</w:t>
      </w:r>
      <w:r w:rsidRPr="00CA63B9">
        <w:rPr>
          <w:rFonts w:ascii="Arial" w:hAnsi="Arial" w:cs="Arial"/>
          <w:sz w:val="22"/>
          <w:szCs w:val="22"/>
        </w:rPr>
        <w:t xml:space="preserve">. GOV.UK. Available at: </w:t>
      </w:r>
      <w:hyperlink r:id="rId16" w:history="1">
        <w:r w:rsidRPr="00CA63B9">
          <w:rPr>
            <w:rStyle w:val="Hyperlink"/>
            <w:rFonts w:ascii="Arial" w:hAnsi="Arial" w:cs="Arial"/>
            <w:sz w:val="22"/>
            <w:szCs w:val="22"/>
          </w:rPr>
          <w:t>https://www.gov.uk/government/publications/school-led-tutoring-conditions-of-grant</w:t>
        </w:r>
      </w:hyperlink>
      <w:r w:rsidRPr="00CA63B9">
        <w:rPr>
          <w:rFonts w:ascii="Arial" w:hAnsi="Arial" w:cs="Arial"/>
          <w:sz w:val="22"/>
          <w:szCs w:val="22"/>
        </w:rPr>
        <w:t xml:space="preserve">  (Accessed 4 August 2026).</w:t>
      </w:r>
    </w:p>
    <w:p w14:paraId="66DEE62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Education Endowment Foundation, 2020. Impact of school closures on the attainment gap: rapid evidence assessment. Education Endowment Foundation. Available at: </w:t>
      </w:r>
      <w:hyperlink r:id="rId17" w:history="1">
        <w:r w:rsidRPr="00CA63B9">
          <w:rPr>
            <w:rStyle w:val="Hyperlink"/>
            <w:rFonts w:ascii="Arial" w:hAnsi="Arial" w:cs="Arial"/>
            <w:sz w:val="22"/>
            <w:szCs w:val="22"/>
          </w:rPr>
          <w:t>https://educationendowmentfoundation.org.uk/projects-and-evaluation/projects/national-tutoring-programme-ntp-tuition-par</w:t>
        </w:r>
        <w:r w:rsidRPr="00CA63B9">
          <w:rPr>
            <w:rStyle w:val="Hyperlink"/>
            <w:rFonts w:ascii="Arial" w:hAnsi="Arial" w:cs="Arial"/>
            <w:sz w:val="22"/>
            <w:szCs w:val="22"/>
          </w:rPr>
          <w:t>t</w:t>
        </w:r>
        <w:r w:rsidRPr="00CA63B9">
          <w:rPr>
            <w:rStyle w:val="Hyperlink"/>
            <w:rFonts w:ascii="Arial" w:hAnsi="Arial" w:cs="Arial"/>
            <w:sz w:val="22"/>
            <w:szCs w:val="22"/>
          </w:rPr>
          <w:t>ners</w:t>
        </w:r>
      </w:hyperlink>
      <w:r w:rsidRPr="00CA63B9">
        <w:rPr>
          <w:rFonts w:ascii="Arial" w:hAnsi="Arial" w:cs="Arial"/>
          <w:sz w:val="22"/>
          <w:szCs w:val="22"/>
        </w:rPr>
        <w:t xml:space="preserve">  (Accessed 4 August 2026).</w:t>
      </w:r>
    </w:p>
    <w:p w14:paraId="1030C2C3" w14:textId="77777777" w:rsidR="00CA63B9" w:rsidRPr="00CA63B9" w:rsidRDefault="00CA63B9" w:rsidP="00CA63B9">
      <w:pPr>
        <w:spacing w:line="360" w:lineRule="auto"/>
        <w:rPr>
          <w:rFonts w:ascii="Arial" w:hAnsi="Arial" w:cs="Arial"/>
          <w:sz w:val="22"/>
          <w:szCs w:val="22"/>
        </w:rPr>
      </w:pPr>
    </w:p>
    <w:p w14:paraId="39AC5CBA" w14:textId="77777777" w:rsidR="00CA63B9" w:rsidRPr="00CA63B9" w:rsidRDefault="00CA63B9" w:rsidP="00CA63B9">
      <w:pPr>
        <w:spacing w:line="360" w:lineRule="auto"/>
        <w:rPr>
          <w:rFonts w:ascii="Arial" w:hAnsi="Arial" w:cs="Arial"/>
          <w:sz w:val="22"/>
          <w:szCs w:val="22"/>
        </w:rPr>
      </w:pPr>
      <w:proofErr w:type="spellStart"/>
      <w:r w:rsidRPr="00CA63B9">
        <w:rPr>
          <w:rFonts w:ascii="Arial" w:hAnsi="Arial" w:cs="Arial"/>
          <w:sz w:val="22"/>
          <w:szCs w:val="22"/>
        </w:rPr>
        <w:t>Elinder</w:t>
      </w:r>
      <w:proofErr w:type="spellEnd"/>
      <w:r w:rsidRPr="00CA63B9">
        <w:rPr>
          <w:rFonts w:ascii="Arial" w:hAnsi="Arial" w:cs="Arial"/>
          <w:sz w:val="22"/>
          <w:szCs w:val="22"/>
        </w:rPr>
        <w:t xml:space="preserve">, L.S. </w:t>
      </w:r>
      <w:r w:rsidRPr="00CA63B9">
        <w:rPr>
          <w:rFonts w:ascii="Arial" w:hAnsi="Arial" w:cs="Arial"/>
          <w:i/>
          <w:iCs/>
          <w:sz w:val="22"/>
          <w:szCs w:val="22"/>
        </w:rPr>
        <w:t>et al.</w:t>
      </w:r>
      <w:r w:rsidRPr="00CA63B9">
        <w:rPr>
          <w:rFonts w:ascii="Arial" w:hAnsi="Arial" w:cs="Arial"/>
          <w:sz w:val="22"/>
          <w:szCs w:val="22"/>
        </w:rPr>
        <w:t xml:space="preserve"> (2021) “</w:t>
      </w:r>
      <w:proofErr w:type="spellStart"/>
      <w:r w:rsidRPr="00CA63B9">
        <w:rPr>
          <w:rFonts w:ascii="Arial" w:hAnsi="Arial" w:cs="Arial"/>
          <w:sz w:val="22"/>
          <w:szCs w:val="22"/>
        </w:rPr>
        <w:t>IMplementation</w:t>
      </w:r>
      <w:proofErr w:type="spellEnd"/>
      <w:r w:rsidRPr="00CA63B9">
        <w:rPr>
          <w:rFonts w:ascii="Arial" w:hAnsi="Arial" w:cs="Arial"/>
          <w:sz w:val="22"/>
          <w:szCs w:val="22"/>
        </w:rPr>
        <w:t xml:space="preserve"> and evaluation of the school-based family support </w:t>
      </w:r>
      <w:proofErr w:type="spellStart"/>
      <w:r w:rsidRPr="00CA63B9">
        <w:rPr>
          <w:rFonts w:ascii="Arial" w:hAnsi="Arial" w:cs="Arial"/>
          <w:sz w:val="22"/>
          <w:szCs w:val="22"/>
        </w:rPr>
        <w:t>PRogram</w:t>
      </w:r>
      <w:proofErr w:type="spellEnd"/>
      <w:r w:rsidRPr="00CA63B9">
        <w:rPr>
          <w:rFonts w:ascii="Arial" w:hAnsi="Arial" w:cs="Arial"/>
          <w:sz w:val="22"/>
          <w:szCs w:val="22"/>
        </w:rPr>
        <w:t xml:space="preserve"> a Healthy School Start to promote child health and prevent </w:t>
      </w:r>
      <w:proofErr w:type="spellStart"/>
      <w:r w:rsidRPr="00CA63B9">
        <w:rPr>
          <w:rFonts w:ascii="Arial" w:hAnsi="Arial" w:cs="Arial"/>
          <w:sz w:val="22"/>
          <w:szCs w:val="22"/>
        </w:rPr>
        <w:t>OVErweight</w:t>
      </w:r>
      <w:proofErr w:type="spellEnd"/>
      <w:r w:rsidRPr="00CA63B9">
        <w:rPr>
          <w:rFonts w:ascii="Arial" w:hAnsi="Arial" w:cs="Arial"/>
          <w:sz w:val="22"/>
          <w:szCs w:val="22"/>
        </w:rPr>
        <w:t xml:space="preserve"> and obesity (IMPROVE) – study protocol for a cluster-randomized trial,” </w:t>
      </w:r>
      <w:r w:rsidRPr="00CA63B9">
        <w:rPr>
          <w:rFonts w:ascii="Arial" w:hAnsi="Arial" w:cs="Arial"/>
          <w:i/>
          <w:iCs/>
          <w:sz w:val="22"/>
          <w:szCs w:val="22"/>
        </w:rPr>
        <w:t>BMC PUBLIC HEALTH</w:t>
      </w:r>
      <w:r w:rsidRPr="00CA63B9">
        <w:rPr>
          <w:rFonts w:ascii="Arial" w:hAnsi="Arial" w:cs="Arial"/>
          <w:sz w:val="22"/>
          <w:szCs w:val="22"/>
        </w:rPr>
        <w:t xml:space="preserve">, 21(1). Available at: </w:t>
      </w:r>
      <w:hyperlink r:id="rId18" w:history="1">
        <w:r w:rsidRPr="00CA63B9">
          <w:rPr>
            <w:rStyle w:val="Hyperlink"/>
            <w:rFonts w:ascii="Arial" w:hAnsi="Arial" w:cs="Arial"/>
            <w:sz w:val="22"/>
            <w:szCs w:val="22"/>
          </w:rPr>
          <w:t>https://doi.org/10.1186/s12889-021-11663-2</w:t>
        </w:r>
      </w:hyperlink>
      <w:r w:rsidRPr="00CA63B9">
        <w:rPr>
          <w:rFonts w:ascii="Arial" w:hAnsi="Arial" w:cs="Arial"/>
          <w:sz w:val="22"/>
          <w:szCs w:val="22"/>
        </w:rPr>
        <w:t xml:space="preserve">. </w:t>
      </w:r>
    </w:p>
    <w:p w14:paraId="246E13A7"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Edwards Jr, D.B., Asadullah, M.N. and Webb, A. (2024) “Critical perspectives at the mid-point of Sustainable Development Goal 4: Quality education for all—progress, persistent gaps, problematic paradigms, and the path to 2030,” </w:t>
      </w:r>
      <w:r w:rsidRPr="00CA63B9">
        <w:rPr>
          <w:rFonts w:ascii="Arial" w:hAnsi="Arial" w:cs="Arial"/>
          <w:i/>
          <w:iCs/>
          <w:sz w:val="22"/>
          <w:szCs w:val="22"/>
        </w:rPr>
        <w:t>International journal of educational development</w:t>
      </w:r>
      <w:r w:rsidRPr="00CA63B9">
        <w:rPr>
          <w:rFonts w:ascii="Arial" w:hAnsi="Arial" w:cs="Arial"/>
          <w:sz w:val="22"/>
          <w:szCs w:val="22"/>
        </w:rPr>
        <w:t xml:space="preserve">, 107. Available at: </w:t>
      </w:r>
      <w:hyperlink r:id="rId19" w:history="1">
        <w:r w:rsidRPr="00CA63B9">
          <w:rPr>
            <w:rStyle w:val="Hyperlink"/>
            <w:rFonts w:ascii="Arial" w:hAnsi="Arial" w:cs="Arial"/>
            <w:sz w:val="22"/>
            <w:szCs w:val="22"/>
          </w:rPr>
          <w:t>https://doi.org/10.1016/j.ijedudev.2024.103031</w:t>
        </w:r>
      </w:hyperlink>
      <w:r w:rsidRPr="00CA63B9">
        <w:rPr>
          <w:rFonts w:ascii="Arial" w:hAnsi="Arial" w:cs="Arial"/>
          <w:sz w:val="22"/>
          <w:szCs w:val="22"/>
        </w:rPr>
        <w:t xml:space="preserve">. </w:t>
      </w:r>
    </w:p>
    <w:p w14:paraId="2DF4BD78"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García</w:t>
      </w:r>
      <w:r w:rsidRPr="00CA63B9">
        <w:rPr>
          <w:rFonts w:ascii="Cambria Math" w:hAnsi="Cambria Math" w:cs="Cambria Math"/>
          <w:sz w:val="22"/>
          <w:szCs w:val="22"/>
        </w:rPr>
        <w:t>‐</w:t>
      </w:r>
      <w:r w:rsidRPr="00CA63B9">
        <w:rPr>
          <w:rFonts w:ascii="Arial" w:hAnsi="Arial" w:cs="Arial"/>
          <w:sz w:val="22"/>
          <w:szCs w:val="22"/>
        </w:rPr>
        <w:t xml:space="preserve">Martín, J. and Pérez Fernández, L.M. (2026) “A Review of Global Strategies for Achieving Sustainable Development Goal 4 in Higher Education (2020–2024): Key Actions in the Education for Sustainable Development Framework,” </w:t>
      </w:r>
      <w:r w:rsidRPr="00CA63B9">
        <w:rPr>
          <w:rFonts w:ascii="Arial" w:hAnsi="Arial" w:cs="Arial"/>
          <w:i/>
          <w:iCs/>
          <w:sz w:val="22"/>
          <w:szCs w:val="22"/>
        </w:rPr>
        <w:t>Sustainable development (Bradford, West Yorkshire, England)</w:t>
      </w:r>
      <w:r w:rsidRPr="00CA63B9">
        <w:rPr>
          <w:rFonts w:ascii="Arial" w:hAnsi="Arial" w:cs="Arial"/>
          <w:sz w:val="22"/>
          <w:szCs w:val="22"/>
        </w:rPr>
        <w:t xml:space="preserve">, 34(S2), pp. 843–856. Available at: </w:t>
      </w:r>
      <w:hyperlink r:id="rId20" w:history="1">
        <w:r w:rsidRPr="00CA63B9">
          <w:rPr>
            <w:rStyle w:val="Hyperlink"/>
            <w:rFonts w:ascii="Arial" w:hAnsi="Arial" w:cs="Arial"/>
            <w:sz w:val="22"/>
            <w:szCs w:val="22"/>
          </w:rPr>
          <w:t>https://doi.org/10.1002/sd.70374</w:t>
        </w:r>
      </w:hyperlink>
      <w:r w:rsidRPr="00CA63B9">
        <w:rPr>
          <w:rFonts w:ascii="Arial" w:hAnsi="Arial" w:cs="Arial"/>
          <w:sz w:val="22"/>
          <w:szCs w:val="22"/>
        </w:rPr>
        <w:t xml:space="preserve">. </w:t>
      </w:r>
    </w:p>
    <w:p w14:paraId="2115693B"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lastRenderedPageBreak/>
        <w:t xml:space="preserve">House of Commons Education Committee (2023) </w:t>
      </w:r>
      <w:r w:rsidRPr="00CA63B9">
        <w:rPr>
          <w:rFonts w:ascii="Arial" w:hAnsi="Arial" w:cs="Arial"/>
          <w:i/>
          <w:iCs/>
          <w:sz w:val="22"/>
          <w:szCs w:val="22"/>
        </w:rPr>
        <w:t>Persistent Absence and Support for Disadvantaged Pupils</w:t>
      </w:r>
      <w:r w:rsidRPr="00CA63B9">
        <w:rPr>
          <w:rFonts w:ascii="Arial" w:hAnsi="Arial" w:cs="Arial"/>
          <w:sz w:val="22"/>
          <w:szCs w:val="22"/>
        </w:rPr>
        <w:t xml:space="preserve">. Seventh Report of Session 2022–23. London: House of Commons. Available at: </w:t>
      </w:r>
      <w:hyperlink r:id="rId21" w:history="1">
        <w:r w:rsidRPr="00CA63B9">
          <w:rPr>
            <w:rStyle w:val="Hyperlink"/>
            <w:rFonts w:ascii="Arial" w:hAnsi="Arial" w:cs="Arial"/>
            <w:sz w:val="22"/>
            <w:szCs w:val="22"/>
          </w:rPr>
          <w:t>https://publications.parliament.uk/pa/cm5803/cmselect/cmeduc/970/r</w:t>
        </w:r>
        <w:r w:rsidRPr="00CA63B9">
          <w:rPr>
            <w:rStyle w:val="Hyperlink"/>
            <w:rFonts w:ascii="Arial" w:hAnsi="Arial" w:cs="Arial"/>
            <w:sz w:val="22"/>
            <w:szCs w:val="22"/>
          </w:rPr>
          <w:t>e</w:t>
        </w:r>
        <w:r w:rsidRPr="00CA63B9">
          <w:rPr>
            <w:rStyle w:val="Hyperlink"/>
            <w:rFonts w:ascii="Arial" w:hAnsi="Arial" w:cs="Arial"/>
            <w:sz w:val="22"/>
            <w:szCs w:val="22"/>
          </w:rPr>
          <w:t>port.html</w:t>
        </w:r>
      </w:hyperlink>
      <w:r w:rsidRPr="00CA63B9">
        <w:rPr>
          <w:rFonts w:ascii="Arial" w:hAnsi="Arial" w:cs="Arial"/>
          <w:sz w:val="22"/>
          <w:szCs w:val="22"/>
        </w:rPr>
        <w:t xml:space="preserve"> (Accessed: 4 August 2026).</w:t>
      </w:r>
    </w:p>
    <w:p w14:paraId="4D72BE98"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Iacobucci, G. (2019) “NHS long term plan: Care to be shifted away from hospitals in ‘21st century’ service model,” </w:t>
      </w:r>
      <w:r w:rsidRPr="00CA63B9">
        <w:rPr>
          <w:rFonts w:ascii="Arial" w:hAnsi="Arial" w:cs="Arial"/>
          <w:i/>
          <w:iCs/>
          <w:sz w:val="22"/>
          <w:szCs w:val="22"/>
        </w:rPr>
        <w:t>BMJ. British medical journal (Clinical research ed.)</w:t>
      </w:r>
      <w:r w:rsidRPr="00CA63B9">
        <w:rPr>
          <w:rFonts w:ascii="Arial" w:hAnsi="Arial" w:cs="Arial"/>
          <w:sz w:val="22"/>
          <w:szCs w:val="22"/>
        </w:rPr>
        <w:t xml:space="preserve">, 364, p. l85. Available at: </w:t>
      </w:r>
      <w:hyperlink r:id="rId22" w:history="1">
        <w:r w:rsidRPr="00CA63B9">
          <w:rPr>
            <w:rStyle w:val="Hyperlink"/>
            <w:rFonts w:ascii="Arial" w:hAnsi="Arial" w:cs="Arial"/>
            <w:sz w:val="22"/>
            <w:szCs w:val="22"/>
          </w:rPr>
          <w:t>https://doi.org/10.1136/bmj.l85</w:t>
        </w:r>
      </w:hyperlink>
      <w:r w:rsidRPr="00CA63B9">
        <w:rPr>
          <w:rFonts w:ascii="Arial" w:hAnsi="Arial" w:cs="Arial"/>
          <w:sz w:val="22"/>
          <w:szCs w:val="22"/>
        </w:rPr>
        <w:t xml:space="preserve">. </w:t>
      </w:r>
    </w:p>
    <w:p w14:paraId="4606B5F8"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Miller, A. (2023) “Learning while earning: Barriers and pedagogies toward Sustainable Development Goal 4, ‘quality education’ for child street-sellers in Siem Reap, Cambodia,” </w:t>
      </w:r>
      <w:r w:rsidRPr="00CA63B9">
        <w:rPr>
          <w:rFonts w:ascii="Arial" w:hAnsi="Arial" w:cs="Arial"/>
          <w:i/>
          <w:iCs/>
          <w:sz w:val="22"/>
          <w:szCs w:val="22"/>
        </w:rPr>
        <w:t>Child abuse &amp; neglect</w:t>
      </w:r>
      <w:r w:rsidRPr="00CA63B9">
        <w:rPr>
          <w:rFonts w:ascii="Arial" w:hAnsi="Arial" w:cs="Arial"/>
          <w:sz w:val="22"/>
          <w:szCs w:val="22"/>
        </w:rPr>
        <w:t xml:space="preserve">, 139. Available at: </w:t>
      </w:r>
      <w:hyperlink r:id="rId23" w:history="1">
        <w:r w:rsidRPr="00CA63B9">
          <w:rPr>
            <w:rStyle w:val="Hyperlink"/>
            <w:rFonts w:ascii="Arial" w:hAnsi="Arial" w:cs="Arial"/>
            <w:sz w:val="22"/>
            <w:szCs w:val="22"/>
          </w:rPr>
          <w:t>https://doi.org/10.1016/j.chiabu.2022.105514</w:t>
        </w:r>
      </w:hyperlink>
      <w:r w:rsidRPr="00CA63B9">
        <w:rPr>
          <w:rFonts w:ascii="Arial" w:hAnsi="Arial" w:cs="Arial"/>
          <w:sz w:val="22"/>
          <w:szCs w:val="22"/>
        </w:rPr>
        <w:t xml:space="preserve">. </w:t>
      </w:r>
    </w:p>
    <w:p w14:paraId="0A7FC264" w14:textId="77777777" w:rsidR="00CA63B9" w:rsidRPr="00CA63B9" w:rsidRDefault="00CA63B9" w:rsidP="00CA63B9">
      <w:pPr>
        <w:spacing w:line="360" w:lineRule="auto"/>
        <w:rPr>
          <w:rFonts w:ascii="Arial" w:hAnsi="Arial" w:cs="Arial"/>
          <w:sz w:val="22"/>
          <w:szCs w:val="22"/>
        </w:rPr>
      </w:pPr>
      <w:proofErr w:type="spellStart"/>
      <w:r w:rsidRPr="00CA63B9">
        <w:rPr>
          <w:rFonts w:ascii="Arial" w:hAnsi="Arial" w:cs="Arial"/>
          <w:sz w:val="22"/>
          <w:szCs w:val="22"/>
        </w:rPr>
        <w:t>Mikuła</w:t>
      </w:r>
      <w:proofErr w:type="spellEnd"/>
      <w:r w:rsidRPr="00CA63B9">
        <w:rPr>
          <w:rFonts w:ascii="Arial" w:hAnsi="Arial" w:cs="Arial"/>
          <w:sz w:val="22"/>
          <w:szCs w:val="22"/>
        </w:rPr>
        <w:t xml:space="preserve">, A., Raczkowska, M. and Utzig, M. (2024) “Implementation of Sustainable Development Goal 3: Good Health and Well-Being in European Union Countries in the Context of the COVID-19 Pandemic,” </w:t>
      </w:r>
      <w:r w:rsidRPr="00CA63B9">
        <w:rPr>
          <w:rFonts w:ascii="Arial" w:hAnsi="Arial" w:cs="Arial"/>
          <w:i/>
          <w:iCs/>
          <w:sz w:val="22"/>
          <w:szCs w:val="22"/>
        </w:rPr>
        <w:t>Sustainability</w:t>
      </w:r>
      <w:r w:rsidRPr="00CA63B9">
        <w:rPr>
          <w:rFonts w:ascii="Arial" w:hAnsi="Arial" w:cs="Arial"/>
          <w:sz w:val="22"/>
          <w:szCs w:val="22"/>
        </w:rPr>
        <w:t xml:space="preserve">, 16(18), p. 7921. Available at: </w:t>
      </w:r>
      <w:hyperlink r:id="rId24" w:history="1">
        <w:r w:rsidRPr="00CA63B9">
          <w:rPr>
            <w:rStyle w:val="Hyperlink"/>
            <w:rFonts w:ascii="Arial" w:hAnsi="Arial" w:cs="Arial"/>
            <w:sz w:val="22"/>
            <w:szCs w:val="22"/>
          </w:rPr>
          <w:t>https://doi.org/10.3390/su16187921</w:t>
        </w:r>
      </w:hyperlink>
      <w:r w:rsidRPr="00CA63B9">
        <w:rPr>
          <w:rFonts w:ascii="Arial" w:hAnsi="Arial" w:cs="Arial"/>
          <w:sz w:val="22"/>
          <w:szCs w:val="22"/>
        </w:rPr>
        <w:t xml:space="preserve">. </w:t>
      </w:r>
    </w:p>
    <w:p w14:paraId="62511AE4"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Malek, M.E. </w:t>
      </w:r>
      <w:r w:rsidRPr="00CA63B9">
        <w:rPr>
          <w:rFonts w:ascii="Arial" w:hAnsi="Arial" w:cs="Arial"/>
          <w:i/>
          <w:iCs/>
          <w:sz w:val="22"/>
          <w:szCs w:val="22"/>
        </w:rPr>
        <w:t>et al.</w:t>
      </w:r>
      <w:r w:rsidRPr="00CA63B9">
        <w:rPr>
          <w:rFonts w:ascii="Arial" w:hAnsi="Arial" w:cs="Arial"/>
          <w:sz w:val="22"/>
          <w:szCs w:val="22"/>
        </w:rPr>
        <w:t xml:space="preserve"> (2023) “Parents’ experiences of participating in the Healthy School Start Plus programme – a qualitative study,” </w:t>
      </w:r>
      <w:r w:rsidRPr="00CA63B9">
        <w:rPr>
          <w:rFonts w:ascii="Arial" w:hAnsi="Arial" w:cs="Arial"/>
          <w:i/>
          <w:iCs/>
          <w:sz w:val="22"/>
          <w:szCs w:val="22"/>
        </w:rPr>
        <w:t>BMC PUBLIC HEALTH</w:t>
      </w:r>
      <w:r w:rsidRPr="00CA63B9">
        <w:rPr>
          <w:rFonts w:ascii="Arial" w:hAnsi="Arial" w:cs="Arial"/>
          <w:sz w:val="22"/>
          <w:szCs w:val="22"/>
        </w:rPr>
        <w:t xml:space="preserve">, 23(1). Available at: </w:t>
      </w:r>
      <w:hyperlink r:id="rId25" w:history="1">
        <w:r w:rsidRPr="00CA63B9">
          <w:rPr>
            <w:rStyle w:val="Hyperlink"/>
            <w:rFonts w:ascii="Arial" w:hAnsi="Arial" w:cs="Arial"/>
            <w:sz w:val="22"/>
            <w:szCs w:val="22"/>
          </w:rPr>
          <w:t>https://doi.org/10.1186/s12889-023-15552-8</w:t>
        </w:r>
      </w:hyperlink>
      <w:r w:rsidRPr="00CA63B9">
        <w:rPr>
          <w:rFonts w:ascii="Arial" w:hAnsi="Arial" w:cs="Arial"/>
          <w:sz w:val="22"/>
          <w:szCs w:val="22"/>
        </w:rPr>
        <w:t xml:space="preserve">. </w:t>
      </w:r>
    </w:p>
    <w:p w14:paraId="5C818F3E"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National Audit Office (2024). </w:t>
      </w:r>
      <w:r w:rsidRPr="00CA63B9">
        <w:rPr>
          <w:rFonts w:ascii="Arial" w:hAnsi="Arial" w:cs="Arial"/>
          <w:i/>
          <w:iCs/>
          <w:sz w:val="22"/>
          <w:szCs w:val="22"/>
        </w:rPr>
        <w:t>Support for children and young people with special educational needs - NAO report</w:t>
      </w:r>
      <w:r w:rsidRPr="00CA63B9">
        <w:rPr>
          <w:rFonts w:ascii="Arial" w:hAnsi="Arial" w:cs="Arial"/>
          <w:sz w:val="22"/>
          <w:szCs w:val="22"/>
        </w:rPr>
        <w:t xml:space="preserve">.  </w:t>
      </w:r>
      <w:r w:rsidRPr="00CA63B9">
        <w:rPr>
          <w:rFonts w:ascii="Arial" w:hAnsi="Arial" w:cs="Arial"/>
          <w:i/>
          <w:iCs/>
          <w:sz w:val="22"/>
          <w:szCs w:val="22"/>
        </w:rPr>
        <w:t>National Audit Office (NAO)</w:t>
      </w:r>
      <w:r w:rsidRPr="00CA63B9">
        <w:rPr>
          <w:rFonts w:ascii="Arial" w:hAnsi="Arial" w:cs="Arial"/>
          <w:sz w:val="22"/>
          <w:szCs w:val="22"/>
        </w:rPr>
        <w:t xml:space="preserve">. Available at: </w:t>
      </w:r>
      <w:hyperlink r:id="rId26" w:history="1">
        <w:r w:rsidRPr="00CA63B9">
          <w:rPr>
            <w:rStyle w:val="Hyperlink"/>
            <w:rFonts w:ascii="Arial" w:hAnsi="Arial" w:cs="Arial"/>
            <w:sz w:val="22"/>
            <w:szCs w:val="22"/>
          </w:rPr>
          <w:t>https://www.nao.org.uk/reports/support-for-children-and-young-people-with-special-educational-needs/</w:t>
        </w:r>
      </w:hyperlink>
      <w:r w:rsidRPr="00CA63B9">
        <w:rPr>
          <w:rFonts w:ascii="Arial" w:hAnsi="Arial" w:cs="Arial"/>
          <w:sz w:val="22"/>
          <w:szCs w:val="22"/>
        </w:rPr>
        <w:t xml:space="preserve">  (Accessed 4 August 2026).</w:t>
      </w:r>
    </w:p>
    <w:p w14:paraId="7161255F" w14:textId="77777777" w:rsidR="00CA63B9" w:rsidRPr="00CA63B9" w:rsidRDefault="00CA63B9" w:rsidP="00CA63B9">
      <w:pPr>
        <w:spacing w:line="360" w:lineRule="auto"/>
        <w:rPr>
          <w:rFonts w:ascii="Arial" w:hAnsi="Arial" w:cs="Arial"/>
          <w:sz w:val="22"/>
          <w:szCs w:val="22"/>
        </w:rPr>
      </w:pPr>
    </w:p>
    <w:p w14:paraId="36E3A446"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Özbek, B. and Özbek, S. (2026). Determinants of the sustainable development index in G7 countries. </w:t>
      </w:r>
      <w:r w:rsidRPr="00CA63B9">
        <w:rPr>
          <w:rFonts w:ascii="Arial" w:hAnsi="Arial" w:cs="Arial"/>
          <w:i/>
          <w:iCs/>
          <w:sz w:val="22"/>
          <w:szCs w:val="22"/>
        </w:rPr>
        <w:t>Discover Environment</w:t>
      </w:r>
      <w:r w:rsidRPr="00CA63B9">
        <w:rPr>
          <w:rFonts w:ascii="Arial" w:hAnsi="Arial" w:cs="Arial"/>
          <w:sz w:val="22"/>
          <w:szCs w:val="22"/>
        </w:rPr>
        <w:t xml:space="preserve">, 4(1). </w:t>
      </w:r>
      <w:hyperlink r:id="rId27" w:tgtFrame="_blank" w:history="1">
        <w:r w:rsidRPr="00CA63B9">
          <w:rPr>
            <w:rStyle w:val="Hyperlink"/>
            <w:rFonts w:ascii="Arial" w:hAnsi="Arial" w:cs="Arial"/>
            <w:sz w:val="22"/>
            <w:szCs w:val="22"/>
          </w:rPr>
          <w:t>https://doi.org/10.1007/s44274-026-00615-5</w:t>
        </w:r>
      </w:hyperlink>
    </w:p>
    <w:p w14:paraId="5621E785"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Scanlon, A., Murphy, M., Smolowitz, J. and Lewis, V. (2022). United Nations’ sustainable development goal 3 target indicators: Examples of advanced practice nurses’ actions. </w:t>
      </w:r>
      <w:r w:rsidRPr="00CA63B9">
        <w:rPr>
          <w:rFonts w:ascii="Arial" w:hAnsi="Arial" w:cs="Arial"/>
          <w:i/>
          <w:iCs/>
          <w:sz w:val="22"/>
          <w:szCs w:val="22"/>
        </w:rPr>
        <w:t>The Journal for Nurse Practitioners</w:t>
      </w:r>
      <w:r w:rsidRPr="00CA63B9">
        <w:rPr>
          <w:rFonts w:ascii="Arial" w:hAnsi="Arial" w:cs="Arial"/>
          <w:sz w:val="22"/>
          <w:szCs w:val="22"/>
        </w:rPr>
        <w:t xml:space="preserve">, 18(10). </w:t>
      </w:r>
      <w:hyperlink r:id="rId28" w:tgtFrame="_blank" w:history="1">
        <w:r w:rsidRPr="00CA63B9">
          <w:rPr>
            <w:rStyle w:val="Hyperlink"/>
            <w:rFonts w:ascii="Arial" w:hAnsi="Arial" w:cs="Arial"/>
            <w:sz w:val="22"/>
            <w:szCs w:val="22"/>
          </w:rPr>
          <w:t>https://doi.org/10.1016/j.nurpra.2022.03.005</w:t>
        </w:r>
      </w:hyperlink>
    </w:p>
    <w:p w14:paraId="6DBBCE34"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Shao, C., Chen, S. and Zhan, X. (2026). Sustainable development agenda: Historical evolution, goal progression, and </w:t>
      </w:r>
      <w:proofErr w:type="gramStart"/>
      <w:r w:rsidRPr="00CA63B9">
        <w:rPr>
          <w:rFonts w:ascii="Arial" w:hAnsi="Arial" w:cs="Arial"/>
          <w:sz w:val="22"/>
          <w:szCs w:val="22"/>
        </w:rPr>
        <w:t>future prospects</w:t>
      </w:r>
      <w:proofErr w:type="gramEnd"/>
      <w:r w:rsidRPr="00CA63B9">
        <w:rPr>
          <w:rFonts w:ascii="Arial" w:hAnsi="Arial" w:cs="Arial"/>
          <w:sz w:val="22"/>
          <w:szCs w:val="22"/>
        </w:rPr>
        <w:t xml:space="preserve">. </w:t>
      </w:r>
      <w:r w:rsidRPr="00CA63B9">
        <w:rPr>
          <w:rFonts w:ascii="Arial" w:hAnsi="Arial" w:cs="Arial"/>
          <w:i/>
          <w:iCs/>
          <w:sz w:val="22"/>
          <w:szCs w:val="22"/>
        </w:rPr>
        <w:t>Sustainability</w:t>
      </w:r>
      <w:r w:rsidRPr="00CA63B9">
        <w:rPr>
          <w:rFonts w:ascii="Arial" w:hAnsi="Arial" w:cs="Arial"/>
          <w:sz w:val="22"/>
          <w:szCs w:val="22"/>
        </w:rPr>
        <w:t xml:space="preserve">, 18(2), p.948. </w:t>
      </w:r>
      <w:hyperlink r:id="rId29" w:tgtFrame="_blank" w:history="1">
        <w:r w:rsidRPr="00CA63B9">
          <w:rPr>
            <w:rStyle w:val="Hyperlink"/>
            <w:rFonts w:ascii="Arial" w:hAnsi="Arial" w:cs="Arial"/>
            <w:sz w:val="22"/>
            <w:szCs w:val="22"/>
          </w:rPr>
          <w:t>https://doi.org/10.3390/su18020948</w:t>
        </w:r>
      </w:hyperlink>
    </w:p>
    <w:p w14:paraId="58E28884"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Saini, M. </w:t>
      </w:r>
      <w:r w:rsidRPr="00CA63B9">
        <w:rPr>
          <w:rFonts w:ascii="Arial" w:hAnsi="Arial" w:cs="Arial"/>
          <w:i/>
          <w:iCs/>
          <w:sz w:val="22"/>
          <w:szCs w:val="22"/>
        </w:rPr>
        <w:t>et al.</w:t>
      </w:r>
      <w:r w:rsidRPr="00CA63B9">
        <w:rPr>
          <w:rFonts w:ascii="Arial" w:hAnsi="Arial" w:cs="Arial"/>
          <w:sz w:val="22"/>
          <w:szCs w:val="22"/>
        </w:rPr>
        <w:t xml:space="preserve"> (2023) “Sustainable Development Goal for Quality Education (SDG 4): A study on SDG 4 to extract the pattern of association among the indicators of SDG 4 </w:t>
      </w:r>
      <w:r w:rsidRPr="00CA63B9">
        <w:rPr>
          <w:rFonts w:ascii="Arial" w:hAnsi="Arial" w:cs="Arial"/>
          <w:sz w:val="22"/>
          <w:szCs w:val="22"/>
        </w:rPr>
        <w:lastRenderedPageBreak/>
        <w:t xml:space="preserve">employing a genetic algorithm,” </w:t>
      </w:r>
      <w:r w:rsidRPr="00CA63B9">
        <w:rPr>
          <w:rFonts w:ascii="Arial" w:hAnsi="Arial" w:cs="Arial"/>
          <w:i/>
          <w:iCs/>
          <w:sz w:val="22"/>
          <w:szCs w:val="22"/>
        </w:rPr>
        <w:t>Education and information technologies</w:t>
      </w:r>
      <w:r w:rsidRPr="00CA63B9">
        <w:rPr>
          <w:rFonts w:ascii="Arial" w:hAnsi="Arial" w:cs="Arial"/>
          <w:sz w:val="22"/>
          <w:szCs w:val="22"/>
        </w:rPr>
        <w:t xml:space="preserve">, 28(2), pp. 2031–2069. Available at: </w:t>
      </w:r>
      <w:hyperlink r:id="rId30" w:history="1">
        <w:r w:rsidRPr="00CA63B9">
          <w:rPr>
            <w:rStyle w:val="Hyperlink"/>
            <w:rFonts w:ascii="Arial" w:hAnsi="Arial" w:cs="Arial"/>
            <w:sz w:val="22"/>
            <w:szCs w:val="22"/>
          </w:rPr>
          <w:t>https://doi.org/10.1007/s10639-022-11265-4</w:t>
        </w:r>
      </w:hyperlink>
      <w:r w:rsidRPr="00CA63B9">
        <w:rPr>
          <w:rFonts w:ascii="Arial" w:hAnsi="Arial" w:cs="Arial"/>
          <w:sz w:val="22"/>
          <w:szCs w:val="22"/>
        </w:rPr>
        <w:t xml:space="preserve">. </w:t>
      </w:r>
    </w:p>
    <w:p w14:paraId="059C11E3"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Smith, J. and Heyward, P. (2024) “Policy efforts to meet UNESCO’s Sustainable development Goal 4: A 3-pronged approach,” </w:t>
      </w:r>
      <w:r w:rsidRPr="00CA63B9">
        <w:rPr>
          <w:rFonts w:ascii="Arial" w:hAnsi="Arial" w:cs="Arial"/>
          <w:i/>
          <w:iCs/>
          <w:sz w:val="22"/>
          <w:szCs w:val="22"/>
        </w:rPr>
        <w:t>Journal of Education for Teaching International Research and Pedagogy</w:t>
      </w:r>
      <w:r w:rsidRPr="00CA63B9">
        <w:rPr>
          <w:rFonts w:ascii="Arial" w:hAnsi="Arial" w:cs="Arial"/>
          <w:sz w:val="22"/>
          <w:szCs w:val="22"/>
        </w:rPr>
        <w:t xml:space="preserve">, 50(2), pp. 266–279. Available at: </w:t>
      </w:r>
      <w:hyperlink r:id="rId31" w:history="1">
        <w:r w:rsidRPr="00CA63B9">
          <w:rPr>
            <w:rStyle w:val="Hyperlink"/>
            <w:rFonts w:ascii="Arial" w:hAnsi="Arial" w:cs="Arial"/>
            <w:sz w:val="22"/>
            <w:szCs w:val="22"/>
          </w:rPr>
          <w:t>https://doi.org/10.1080/02607476.2023.2283422</w:t>
        </w:r>
      </w:hyperlink>
      <w:r w:rsidRPr="00CA63B9">
        <w:rPr>
          <w:rFonts w:ascii="Arial" w:hAnsi="Arial" w:cs="Arial"/>
          <w:sz w:val="22"/>
          <w:szCs w:val="22"/>
        </w:rPr>
        <w:t xml:space="preserve">. </w:t>
      </w:r>
    </w:p>
    <w:p w14:paraId="4F66F473"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The Global Goals (2025). </w:t>
      </w:r>
      <w:r w:rsidRPr="00CA63B9">
        <w:rPr>
          <w:rFonts w:ascii="Arial" w:hAnsi="Arial" w:cs="Arial"/>
          <w:i/>
          <w:iCs/>
          <w:sz w:val="22"/>
          <w:szCs w:val="22"/>
        </w:rPr>
        <w:t>Goal 4: Quality education</w:t>
      </w:r>
      <w:r w:rsidRPr="00CA63B9">
        <w:rPr>
          <w:rFonts w:ascii="Arial" w:hAnsi="Arial" w:cs="Arial"/>
          <w:sz w:val="22"/>
          <w:szCs w:val="22"/>
        </w:rPr>
        <w:t xml:space="preserve">. </w:t>
      </w:r>
      <w:r w:rsidRPr="00CA63B9">
        <w:rPr>
          <w:rFonts w:ascii="Arial" w:hAnsi="Arial" w:cs="Arial"/>
          <w:i/>
          <w:iCs/>
          <w:sz w:val="22"/>
          <w:szCs w:val="22"/>
        </w:rPr>
        <w:t>The Global Goals</w:t>
      </w:r>
      <w:r w:rsidRPr="00CA63B9">
        <w:rPr>
          <w:rFonts w:ascii="Arial" w:hAnsi="Arial" w:cs="Arial"/>
          <w:sz w:val="22"/>
          <w:szCs w:val="22"/>
        </w:rPr>
        <w:t xml:space="preserve">. Available at: </w:t>
      </w:r>
      <w:hyperlink r:id="rId32" w:history="1">
        <w:r w:rsidRPr="00CA63B9">
          <w:rPr>
            <w:rStyle w:val="Hyperlink"/>
            <w:rFonts w:ascii="Arial" w:hAnsi="Arial" w:cs="Arial"/>
            <w:sz w:val="22"/>
            <w:szCs w:val="22"/>
          </w:rPr>
          <w:t>https://globalgoals.org/goals/4-quality-education/</w:t>
        </w:r>
      </w:hyperlink>
      <w:r w:rsidRPr="00CA63B9">
        <w:rPr>
          <w:rFonts w:ascii="Arial" w:hAnsi="Arial" w:cs="Arial"/>
          <w:sz w:val="22"/>
          <w:szCs w:val="22"/>
        </w:rPr>
        <w:t xml:space="preserve">  (Accessed 3 Aug. 2026).</w:t>
      </w:r>
    </w:p>
    <w:p w14:paraId="3BBCC874"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The Global Goals (2025). </w:t>
      </w:r>
      <w:r w:rsidRPr="00CA63B9">
        <w:rPr>
          <w:rFonts w:ascii="Arial" w:hAnsi="Arial" w:cs="Arial"/>
          <w:i/>
          <w:iCs/>
          <w:sz w:val="22"/>
          <w:szCs w:val="22"/>
        </w:rPr>
        <w:t>Goal 3: Good health and well-being</w:t>
      </w:r>
      <w:r w:rsidRPr="00CA63B9">
        <w:rPr>
          <w:rFonts w:ascii="Arial" w:hAnsi="Arial" w:cs="Arial"/>
          <w:sz w:val="22"/>
          <w:szCs w:val="22"/>
        </w:rPr>
        <w:t xml:space="preserve">.   </w:t>
      </w:r>
      <w:r w:rsidRPr="00CA63B9">
        <w:rPr>
          <w:rFonts w:ascii="Arial" w:hAnsi="Arial" w:cs="Arial"/>
          <w:i/>
          <w:iCs/>
          <w:sz w:val="22"/>
          <w:szCs w:val="22"/>
        </w:rPr>
        <w:t>The Global Goals</w:t>
      </w:r>
      <w:r w:rsidRPr="00CA63B9">
        <w:rPr>
          <w:rFonts w:ascii="Arial" w:hAnsi="Arial" w:cs="Arial"/>
          <w:sz w:val="22"/>
          <w:szCs w:val="22"/>
        </w:rPr>
        <w:t xml:space="preserve">. Available at: </w:t>
      </w:r>
      <w:hyperlink r:id="rId33" w:history="1">
        <w:r w:rsidRPr="00CA63B9">
          <w:rPr>
            <w:rStyle w:val="Hyperlink"/>
            <w:rFonts w:ascii="Arial" w:hAnsi="Arial" w:cs="Arial"/>
            <w:sz w:val="22"/>
            <w:szCs w:val="22"/>
          </w:rPr>
          <w:t>https://globalgoals.org/goals/3-good-health-and-well-being/</w:t>
        </w:r>
      </w:hyperlink>
      <w:r w:rsidRPr="00CA63B9">
        <w:rPr>
          <w:rFonts w:ascii="Arial" w:hAnsi="Arial" w:cs="Arial"/>
          <w:sz w:val="22"/>
          <w:szCs w:val="22"/>
        </w:rPr>
        <w:t xml:space="preserve">  (Accessed 3 Aug. 2026).</w:t>
      </w:r>
    </w:p>
    <w:p w14:paraId="5462DA76"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United Nations (2023). </w:t>
      </w:r>
      <w:r w:rsidRPr="00CA63B9">
        <w:rPr>
          <w:rFonts w:ascii="Arial" w:hAnsi="Arial" w:cs="Arial"/>
          <w:i/>
          <w:iCs/>
          <w:sz w:val="22"/>
          <w:szCs w:val="22"/>
        </w:rPr>
        <w:t>Goal 3: Ensure healthy lives and promote well-being for all at all ages</w:t>
      </w:r>
      <w:r w:rsidRPr="00CA63B9">
        <w:rPr>
          <w:rFonts w:ascii="Arial" w:hAnsi="Arial" w:cs="Arial"/>
          <w:sz w:val="22"/>
          <w:szCs w:val="22"/>
        </w:rPr>
        <w:t xml:space="preserve">. </w:t>
      </w:r>
      <w:r w:rsidRPr="00CA63B9">
        <w:rPr>
          <w:rFonts w:ascii="Arial" w:hAnsi="Arial" w:cs="Arial"/>
          <w:i/>
          <w:iCs/>
          <w:sz w:val="22"/>
          <w:szCs w:val="22"/>
        </w:rPr>
        <w:t>United Nations Sustainable Development Goals</w:t>
      </w:r>
      <w:r w:rsidRPr="00CA63B9">
        <w:rPr>
          <w:rFonts w:ascii="Arial" w:hAnsi="Arial" w:cs="Arial"/>
          <w:sz w:val="22"/>
          <w:szCs w:val="22"/>
        </w:rPr>
        <w:t xml:space="preserve">. Available at: </w:t>
      </w:r>
      <w:hyperlink r:id="rId34" w:history="1">
        <w:r w:rsidRPr="00CA63B9">
          <w:rPr>
            <w:rStyle w:val="Hyperlink"/>
            <w:rFonts w:ascii="Arial" w:hAnsi="Arial" w:cs="Arial"/>
            <w:sz w:val="22"/>
            <w:szCs w:val="22"/>
          </w:rPr>
          <w:t>https://www.un.org/sustainabledevelopment/health/</w:t>
        </w:r>
      </w:hyperlink>
      <w:r w:rsidRPr="00CA63B9">
        <w:rPr>
          <w:rFonts w:ascii="Arial" w:hAnsi="Arial" w:cs="Arial"/>
          <w:sz w:val="22"/>
          <w:szCs w:val="22"/>
        </w:rPr>
        <w:t xml:space="preserve">  (Accessed 3 Aug. 2026).</w:t>
      </w:r>
    </w:p>
    <w:p w14:paraId="6F63D647"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UK government web archive. (2025). </w:t>
      </w:r>
      <w:r w:rsidRPr="00CA63B9">
        <w:rPr>
          <w:rFonts w:ascii="Arial" w:hAnsi="Arial" w:cs="Arial"/>
          <w:i/>
          <w:iCs/>
          <w:sz w:val="22"/>
          <w:szCs w:val="22"/>
        </w:rPr>
        <w:t>Nationalarchives.gov.uk</w:t>
      </w:r>
      <w:r w:rsidRPr="00CA63B9">
        <w:rPr>
          <w:rFonts w:ascii="Arial" w:hAnsi="Arial" w:cs="Arial"/>
          <w:sz w:val="22"/>
          <w:szCs w:val="22"/>
        </w:rPr>
        <w:t xml:space="preserve">. Available at: </w:t>
      </w:r>
      <w:hyperlink r:id="rId35" w:history="1">
        <w:r w:rsidRPr="00CA63B9">
          <w:rPr>
            <w:rStyle w:val="Hyperlink"/>
            <w:rFonts w:ascii="Arial" w:hAnsi="Arial" w:cs="Arial"/>
            <w:sz w:val="22"/>
            <w:szCs w:val="22"/>
          </w:rPr>
          <w:t>https://webarchive.nationalarchives.gov.uk/ukgwa/20250511091243/https://www.longtermplan.nhs.uk/</w:t>
        </w:r>
      </w:hyperlink>
      <w:r w:rsidRPr="00CA63B9">
        <w:rPr>
          <w:rFonts w:ascii="Arial" w:hAnsi="Arial" w:cs="Arial"/>
          <w:sz w:val="22"/>
          <w:szCs w:val="22"/>
        </w:rPr>
        <w:t xml:space="preserve">  (Accessed 3 Aug. 2026).</w:t>
      </w:r>
    </w:p>
    <w:p w14:paraId="642053D5"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UNICEF (2023). </w:t>
      </w:r>
      <w:r w:rsidRPr="00CA63B9">
        <w:rPr>
          <w:rFonts w:ascii="Arial" w:hAnsi="Arial" w:cs="Arial"/>
          <w:i/>
          <w:iCs/>
          <w:sz w:val="22"/>
          <w:szCs w:val="22"/>
        </w:rPr>
        <w:t>SDG goal 4: Quality education</w:t>
      </w:r>
      <w:r w:rsidRPr="00CA63B9">
        <w:rPr>
          <w:rFonts w:ascii="Arial" w:hAnsi="Arial" w:cs="Arial"/>
          <w:sz w:val="22"/>
          <w:szCs w:val="22"/>
        </w:rPr>
        <w:t xml:space="preserve">. </w:t>
      </w:r>
      <w:proofErr w:type="spellStart"/>
      <w:r w:rsidRPr="00CA63B9">
        <w:rPr>
          <w:rFonts w:ascii="Arial" w:hAnsi="Arial" w:cs="Arial"/>
          <w:i/>
          <w:iCs/>
          <w:sz w:val="22"/>
          <w:szCs w:val="22"/>
        </w:rPr>
        <w:t>Unicef</w:t>
      </w:r>
      <w:proofErr w:type="spellEnd"/>
      <w:r w:rsidRPr="00CA63B9">
        <w:rPr>
          <w:rFonts w:ascii="Arial" w:hAnsi="Arial" w:cs="Arial"/>
          <w:i/>
          <w:iCs/>
          <w:sz w:val="22"/>
          <w:szCs w:val="22"/>
        </w:rPr>
        <w:t xml:space="preserve"> Data</w:t>
      </w:r>
      <w:r w:rsidRPr="00CA63B9">
        <w:rPr>
          <w:rFonts w:ascii="Arial" w:hAnsi="Arial" w:cs="Arial"/>
          <w:sz w:val="22"/>
          <w:szCs w:val="22"/>
        </w:rPr>
        <w:t xml:space="preserve">. UNICEF. Available at: </w:t>
      </w:r>
      <w:hyperlink r:id="rId36" w:history="1">
        <w:r w:rsidRPr="00CA63B9">
          <w:rPr>
            <w:rStyle w:val="Hyperlink"/>
            <w:rFonts w:ascii="Arial" w:hAnsi="Arial" w:cs="Arial"/>
            <w:sz w:val="22"/>
            <w:szCs w:val="22"/>
          </w:rPr>
          <w:t>https://data.unicef.org/sdgs/goal-4-quality-education/</w:t>
        </w:r>
      </w:hyperlink>
      <w:r w:rsidRPr="00CA63B9">
        <w:rPr>
          <w:rFonts w:ascii="Arial" w:hAnsi="Arial" w:cs="Arial"/>
          <w:sz w:val="22"/>
          <w:szCs w:val="22"/>
        </w:rPr>
        <w:t xml:space="preserve">  (Accessed 3 Aug. 2026).</w:t>
      </w:r>
    </w:p>
    <w:p w14:paraId="473CFDE7"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United Nations (2023a). </w:t>
      </w:r>
      <w:r w:rsidRPr="00CA63B9">
        <w:rPr>
          <w:rFonts w:ascii="Arial" w:hAnsi="Arial" w:cs="Arial"/>
          <w:i/>
          <w:iCs/>
          <w:sz w:val="22"/>
          <w:szCs w:val="22"/>
        </w:rPr>
        <w:t>Education - united nations sustainable development</w:t>
      </w:r>
      <w:r w:rsidRPr="00CA63B9">
        <w:rPr>
          <w:rFonts w:ascii="Arial" w:hAnsi="Arial" w:cs="Arial"/>
          <w:sz w:val="22"/>
          <w:szCs w:val="22"/>
        </w:rPr>
        <w:t xml:space="preserve">. </w:t>
      </w:r>
      <w:r w:rsidRPr="00CA63B9">
        <w:rPr>
          <w:rFonts w:ascii="Arial" w:hAnsi="Arial" w:cs="Arial"/>
          <w:i/>
          <w:iCs/>
          <w:sz w:val="22"/>
          <w:szCs w:val="22"/>
        </w:rPr>
        <w:t>United Nations Sustainable Development</w:t>
      </w:r>
      <w:r w:rsidRPr="00CA63B9">
        <w:rPr>
          <w:rFonts w:ascii="Arial" w:hAnsi="Arial" w:cs="Arial"/>
          <w:sz w:val="22"/>
          <w:szCs w:val="22"/>
        </w:rPr>
        <w:t xml:space="preserve">. United Nations. Available at: </w:t>
      </w:r>
      <w:hyperlink r:id="rId37" w:history="1">
        <w:r w:rsidRPr="00CA63B9">
          <w:rPr>
            <w:rStyle w:val="Hyperlink"/>
            <w:rFonts w:ascii="Arial" w:hAnsi="Arial" w:cs="Arial"/>
            <w:sz w:val="22"/>
            <w:szCs w:val="22"/>
          </w:rPr>
          <w:t>https://www.un.org/sustainabledevelopment/education/</w:t>
        </w:r>
      </w:hyperlink>
      <w:r w:rsidRPr="00CA63B9">
        <w:rPr>
          <w:rFonts w:ascii="Arial" w:hAnsi="Arial" w:cs="Arial"/>
          <w:sz w:val="22"/>
          <w:szCs w:val="22"/>
        </w:rPr>
        <w:t xml:space="preserve">  (Accessed 3 Aug. 2026).</w:t>
      </w:r>
    </w:p>
    <w:p w14:paraId="09E55380"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Venkatesh, G. (2022) “A Brief Analysis of SDG 3 – Good Health and Well-being – and its Synergies and Trade-offs with the other Sustainable Development Goals,” </w:t>
      </w:r>
      <w:proofErr w:type="spellStart"/>
      <w:r w:rsidRPr="00CA63B9">
        <w:rPr>
          <w:rFonts w:ascii="Arial" w:hAnsi="Arial" w:cs="Arial"/>
          <w:i/>
          <w:iCs/>
          <w:sz w:val="22"/>
          <w:szCs w:val="22"/>
        </w:rPr>
        <w:t>Problemy</w:t>
      </w:r>
      <w:proofErr w:type="spellEnd"/>
      <w:r w:rsidRPr="00CA63B9">
        <w:rPr>
          <w:rFonts w:ascii="Arial" w:hAnsi="Arial" w:cs="Arial"/>
          <w:i/>
          <w:iCs/>
          <w:sz w:val="22"/>
          <w:szCs w:val="22"/>
        </w:rPr>
        <w:t xml:space="preserve"> </w:t>
      </w:r>
      <w:proofErr w:type="spellStart"/>
      <w:r w:rsidRPr="00CA63B9">
        <w:rPr>
          <w:rFonts w:ascii="Arial" w:hAnsi="Arial" w:cs="Arial"/>
          <w:i/>
          <w:iCs/>
          <w:sz w:val="22"/>
          <w:szCs w:val="22"/>
        </w:rPr>
        <w:t>Ekorozwoju</w:t>
      </w:r>
      <w:proofErr w:type="spellEnd"/>
      <w:r w:rsidRPr="00CA63B9">
        <w:rPr>
          <w:rFonts w:ascii="Arial" w:hAnsi="Arial" w:cs="Arial"/>
          <w:sz w:val="22"/>
          <w:szCs w:val="22"/>
        </w:rPr>
        <w:t xml:space="preserve">, 17(2), pp. 140–147. Available at: </w:t>
      </w:r>
      <w:hyperlink r:id="rId38" w:history="1">
        <w:r w:rsidRPr="00CA63B9">
          <w:rPr>
            <w:rStyle w:val="Hyperlink"/>
            <w:rFonts w:ascii="Arial" w:hAnsi="Arial" w:cs="Arial"/>
            <w:sz w:val="22"/>
            <w:szCs w:val="22"/>
          </w:rPr>
          <w:t>https://doi.org/10.35784/pe.2022.2.15</w:t>
        </w:r>
      </w:hyperlink>
      <w:r w:rsidRPr="00CA63B9">
        <w:rPr>
          <w:rFonts w:ascii="Arial" w:hAnsi="Arial" w:cs="Arial"/>
          <w:sz w:val="22"/>
          <w:szCs w:val="22"/>
        </w:rPr>
        <w:t xml:space="preserve">. </w:t>
      </w:r>
    </w:p>
    <w:p w14:paraId="3DC0FB0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WHO (2022). </w:t>
      </w:r>
      <w:r w:rsidRPr="00CA63B9">
        <w:rPr>
          <w:rFonts w:ascii="Arial" w:hAnsi="Arial" w:cs="Arial"/>
          <w:i/>
          <w:iCs/>
          <w:sz w:val="22"/>
          <w:szCs w:val="22"/>
        </w:rPr>
        <w:t>Targets of sustainable development goal 3</w:t>
      </w:r>
      <w:r w:rsidRPr="00CA63B9">
        <w:rPr>
          <w:rFonts w:ascii="Arial" w:hAnsi="Arial" w:cs="Arial"/>
          <w:sz w:val="22"/>
          <w:szCs w:val="22"/>
        </w:rPr>
        <w:t xml:space="preserve">. [online] </w:t>
      </w:r>
      <w:r w:rsidRPr="00CA63B9">
        <w:rPr>
          <w:rFonts w:ascii="Arial" w:hAnsi="Arial" w:cs="Arial"/>
          <w:i/>
          <w:iCs/>
          <w:sz w:val="22"/>
          <w:szCs w:val="22"/>
        </w:rPr>
        <w:t>World Health Organisation</w:t>
      </w:r>
      <w:r w:rsidRPr="00CA63B9">
        <w:rPr>
          <w:rFonts w:ascii="Arial" w:hAnsi="Arial" w:cs="Arial"/>
          <w:sz w:val="22"/>
          <w:szCs w:val="22"/>
        </w:rPr>
        <w:t xml:space="preserve">. Available at: </w:t>
      </w:r>
      <w:hyperlink r:id="rId39" w:history="1">
        <w:r w:rsidRPr="00CA63B9">
          <w:rPr>
            <w:rStyle w:val="Hyperlink"/>
            <w:rFonts w:ascii="Arial" w:hAnsi="Arial" w:cs="Arial"/>
            <w:sz w:val="22"/>
            <w:szCs w:val="22"/>
          </w:rPr>
          <w:t>https://www.who.int/europe/about-us/our-work/sustainable-development-goals/targets-of-sustainable-development-goal-3</w:t>
        </w:r>
      </w:hyperlink>
      <w:r w:rsidRPr="00CA63B9">
        <w:rPr>
          <w:rFonts w:ascii="Arial" w:hAnsi="Arial" w:cs="Arial"/>
          <w:sz w:val="22"/>
          <w:szCs w:val="22"/>
        </w:rPr>
        <w:t xml:space="preserve">  (Accessed 3 Aug. 2026).</w:t>
      </w:r>
    </w:p>
    <w:p w14:paraId="2F6B888C" w14:textId="77777777" w:rsidR="00CA63B9" w:rsidRPr="00DA62E5" w:rsidRDefault="00CA63B9" w:rsidP="00CA63B9">
      <w:pPr>
        <w:spacing w:line="360" w:lineRule="auto"/>
        <w:rPr>
          <w:sz w:val="22"/>
          <w:szCs w:val="22"/>
        </w:rPr>
      </w:pPr>
    </w:p>
    <w:p w14:paraId="1E103DF7" w14:textId="55E304BF" w:rsidR="00F23FF4" w:rsidRPr="00A1603D" w:rsidRDefault="00F23FF4" w:rsidP="00CA63B9">
      <w:pPr>
        <w:spacing w:line="360" w:lineRule="auto"/>
        <w:rPr>
          <w:rFonts w:ascii="Arial" w:hAnsi="Arial" w:cs="Arial"/>
          <w:sz w:val="22"/>
          <w:szCs w:val="22"/>
        </w:rPr>
      </w:pPr>
    </w:p>
    <w:sectPr w:rsidR="00F23FF4" w:rsidRPr="00A160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119ED"/>
    <w:multiLevelType w:val="multilevel"/>
    <w:tmpl w:val="B60A1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6302F"/>
    <w:multiLevelType w:val="multilevel"/>
    <w:tmpl w:val="62248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604F6"/>
    <w:multiLevelType w:val="multilevel"/>
    <w:tmpl w:val="1F043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243F8C"/>
    <w:multiLevelType w:val="hybridMultilevel"/>
    <w:tmpl w:val="01EE8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C06767"/>
    <w:multiLevelType w:val="multilevel"/>
    <w:tmpl w:val="3DB47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EA120E"/>
    <w:multiLevelType w:val="multilevel"/>
    <w:tmpl w:val="ADCA8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63057F"/>
    <w:multiLevelType w:val="multilevel"/>
    <w:tmpl w:val="1916E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E16634"/>
    <w:multiLevelType w:val="multilevel"/>
    <w:tmpl w:val="57828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5E77C3"/>
    <w:multiLevelType w:val="multilevel"/>
    <w:tmpl w:val="85C08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E05F64"/>
    <w:multiLevelType w:val="multilevel"/>
    <w:tmpl w:val="A5EA7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6B2D06"/>
    <w:multiLevelType w:val="multilevel"/>
    <w:tmpl w:val="3DB47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C06D4B"/>
    <w:multiLevelType w:val="multilevel"/>
    <w:tmpl w:val="68564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3B679E"/>
    <w:multiLevelType w:val="multilevel"/>
    <w:tmpl w:val="C750B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4F762E"/>
    <w:multiLevelType w:val="multilevel"/>
    <w:tmpl w:val="1714C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3983112">
    <w:abstractNumId w:val="12"/>
  </w:num>
  <w:num w:numId="2" w16cid:durableId="1121918278">
    <w:abstractNumId w:val="4"/>
  </w:num>
  <w:num w:numId="3" w16cid:durableId="708190554">
    <w:abstractNumId w:val="9"/>
  </w:num>
  <w:num w:numId="4" w16cid:durableId="367530969">
    <w:abstractNumId w:val="8"/>
  </w:num>
  <w:num w:numId="5" w16cid:durableId="599261203">
    <w:abstractNumId w:val="6"/>
  </w:num>
  <w:num w:numId="6" w16cid:durableId="541988717">
    <w:abstractNumId w:val="2"/>
  </w:num>
  <w:num w:numId="7" w16cid:durableId="177283180">
    <w:abstractNumId w:val="11"/>
  </w:num>
  <w:num w:numId="8" w16cid:durableId="1571692596">
    <w:abstractNumId w:val="1"/>
  </w:num>
  <w:num w:numId="9" w16cid:durableId="776213509">
    <w:abstractNumId w:val="5"/>
  </w:num>
  <w:num w:numId="10" w16cid:durableId="1429811432">
    <w:abstractNumId w:val="7"/>
  </w:num>
  <w:num w:numId="11" w16cid:durableId="1608198853">
    <w:abstractNumId w:val="13"/>
  </w:num>
  <w:num w:numId="12" w16cid:durableId="1342389871">
    <w:abstractNumId w:val="0"/>
  </w:num>
  <w:num w:numId="13" w16cid:durableId="1998725871">
    <w:abstractNumId w:val="10"/>
  </w:num>
  <w:num w:numId="14" w16cid:durableId="12824924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99C"/>
    <w:rsid w:val="00000952"/>
    <w:rsid w:val="0000282F"/>
    <w:rsid w:val="000132BF"/>
    <w:rsid w:val="00030A48"/>
    <w:rsid w:val="0004136A"/>
    <w:rsid w:val="000433CC"/>
    <w:rsid w:val="000836DF"/>
    <w:rsid w:val="000A0BAE"/>
    <w:rsid w:val="000A282C"/>
    <w:rsid w:val="000A2958"/>
    <w:rsid w:val="000B1731"/>
    <w:rsid w:val="000B4BB6"/>
    <w:rsid w:val="000F176B"/>
    <w:rsid w:val="00111F3B"/>
    <w:rsid w:val="00127192"/>
    <w:rsid w:val="0013667C"/>
    <w:rsid w:val="001435CF"/>
    <w:rsid w:val="00146941"/>
    <w:rsid w:val="00152673"/>
    <w:rsid w:val="001609EF"/>
    <w:rsid w:val="00172C76"/>
    <w:rsid w:val="00182E48"/>
    <w:rsid w:val="001952FA"/>
    <w:rsid w:val="001B44AE"/>
    <w:rsid w:val="001B4803"/>
    <w:rsid w:val="00210DE6"/>
    <w:rsid w:val="002118C1"/>
    <w:rsid w:val="002142C1"/>
    <w:rsid w:val="00246E37"/>
    <w:rsid w:val="0027479E"/>
    <w:rsid w:val="0027730E"/>
    <w:rsid w:val="00280419"/>
    <w:rsid w:val="002918C4"/>
    <w:rsid w:val="002A40ED"/>
    <w:rsid w:val="002A5625"/>
    <w:rsid w:val="002B0784"/>
    <w:rsid w:val="002F64F4"/>
    <w:rsid w:val="0030139D"/>
    <w:rsid w:val="00301476"/>
    <w:rsid w:val="00322C83"/>
    <w:rsid w:val="00324CC4"/>
    <w:rsid w:val="003325DD"/>
    <w:rsid w:val="00340F22"/>
    <w:rsid w:val="00353B24"/>
    <w:rsid w:val="00375CAF"/>
    <w:rsid w:val="00385203"/>
    <w:rsid w:val="00397637"/>
    <w:rsid w:val="003A2564"/>
    <w:rsid w:val="003C0A7C"/>
    <w:rsid w:val="003C5E64"/>
    <w:rsid w:val="0043280F"/>
    <w:rsid w:val="00451E2E"/>
    <w:rsid w:val="004520FD"/>
    <w:rsid w:val="004623B0"/>
    <w:rsid w:val="004770AE"/>
    <w:rsid w:val="004829A8"/>
    <w:rsid w:val="0048477E"/>
    <w:rsid w:val="004932D5"/>
    <w:rsid w:val="004A7287"/>
    <w:rsid w:val="004D7A52"/>
    <w:rsid w:val="004E020B"/>
    <w:rsid w:val="004E7E28"/>
    <w:rsid w:val="004F3682"/>
    <w:rsid w:val="005147DC"/>
    <w:rsid w:val="005403FB"/>
    <w:rsid w:val="00544599"/>
    <w:rsid w:val="00552E15"/>
    <w:rsid w:val="0056021F"/>
    <w:rsid w:val="00565063"/>
    <w:rsid w:val="00591612"/>
    <w:rsid w:val="005A2994"/>
    <w:rsid w:val="005B2CD6"/>
    <w:rsid w:val="005C17BB"/>
    <w:rsid w:val="005C5B0B"/>
    <w:rsid w:val="005F3785"/>
    <w:rsid w:val="005F5127"/>
    <w:rsid w:val="00625329"/>
    <w:rsid w:val="00626857"/>
    <w:rsid w:val="00642D2F"/>
    <w:rsid w:val="00652B16"/>
    <w:rsid w:val="00670C63"/>
    <w:rsid w:val="00681302"/>
    <w:rsid w:val="00705258"/>
    <w:rsid w:val="00705B7D"/>
    <w:rsid w:val="00706C44"/>
    <w:rsid w:val="00706E30"/>
    <w:rsid w:val="00715765"/>
    <w:rsid w:val="0071795C"/>
    <w:rsid w:val="007619EA"/>
    <w:rsid w:val="00773B5A"/>
    <w:rsid w:val="0077411D"/>
    <w:rsid w:val="00776CDC"/>
    <w:rsid w:val="007B19B6"/>
    <w:rsid w:val="007B3F8D"/>
    <w:rsid w:val="007B5470"/>
    <w:rsid w:val="007B5ED6"/>
    <w:rsid w:val="007C29F3"/>
    <w:rsid w:val="007D28DD"/>
    <w:rsid w:val="007D61C4"/>
    <w:rsid w:val="007D735E"/>
    <w:rsid w:val="007F5577"/>
    <w:rsid w:val="0081372B"/>
    <w:rsid w:val="00815381"/>
    <w:rsid w:val="00835D09"/>
    <w:rsid w:val="008402E7"/>
    <w:rsid w:val="00866A35"/>
    <w:rsid w:val="00882237"/>
    <w:rsid w:val="00896A81"/>
    <w:rsid w:val="008A44F4"/>
    <w:rsid w:val="008B3684"/>
    <w:rsid w:val="008B46B5"/>
    <w:rsid w:val="008C469D"/>
    <w:rsid w:val="008D0120"/>
    <w:rsid w:val="008E3409"/>
    <w:rsid w:val="008E3682"/>
    <w:rsid w:val="008E36B3"/>
    <w:rsid w:val="008F7B27"/>
    <w:rsid w:val="008F7DFD"/>
    <w:rsid w:val="00924D16"/>
    <w:rsid w:val="0092699C"/>
    <w:rsid w:val="00932DD2"/>
    <w:rsid w:val="00941B18"/>
    <w:rsid w:val="0095506C"/>
    <w:rsid w:val="00973703"/>
    <w:rsid w:val="00986ECD"/>
    <w:rsid w:val="009B4781"/>
    <w:rsid w:val="009C7D07"/>
    <w:rsid w:val="00A1603D"/>
    <w:rsid w:val="00A24856"/>
    <w:rsid w:val="00A256F3"/>
    <w:rsid w:val="00A26984"/>
    <w:rsid w:val="00A824B2"/>
    <w:rsid w:val="00A93050"/>
    <w:rsid w:val="00AA1EB4"/>
    <w:rsid w:val="00AB7003"/>
    <w:rsid w:val="00AD3D0E"/>
    <w:rsid w:val="00AE406B"/>
    <w:rsid w:val="00B0352D"/>
    <w:rsid w:val="00B07FED"/>
    <w:rsid w:val="00B21F9C"/>
    <w:rsid w:val="00B513F3"/>
    <w:rsid w:val="00B607B6"/>
    <w:rsid w:val="00B71F5A"/>
    <w:rsid w:val="00B737AA"/>
    <w:rsid w:val="00B779E7"/>
    <w:rsid w:val="00B84EC0"/>
    <w:rsid w:val="00B976EC"/>
    <w:rsid w:val="00BE37B9"/>
    <w:rsid w:val="00C12C45"/>
    <w:rsid w:val="00C439D7"/>
    <w:rsid w:val="00C535E2"/>
    <w:rsid w:val="00C87A31"/>
    <w:rsid w:val="00C87C45"/>
    <w:rsid w:val="00CA63B9"/>
    <w:rsid w:val="00CB360D"/>
    <w:rsid w:val="00CD4CDF"/>
    <w:rsid w:val="00CE2769"/>
    <w:rsid w:val="00D153D7"/>
    <w:rsid w:val="00D52181"/>
    <w:rsid w:val="00D73C5C"/>
    <w:rsid w:val="00D75336"/>
    <w:rsid w:val="00D93729"/>
    <w:rsid w:val="00D965F4"/>
    <w:rsid w:val="00E01E71"/>
    <w:rsid w:val="00E02D1F"/>
    <w:rsid w:val="00E04A95"/>
    <w:rsid w:val="00E10401"/>
    <w:rsid w:val="00E273C6"/>
    <w:rsid w:val="00E31C07"/>
    <w:rsid w:val="00E67867"/>
    <w:rsid w:val="00E755C8"/>
    <w:rsid w:val="00E77C26"/>
    <w:rsid w:val="00E82470"/>
    <w:rsid w:val="00E9656E"/>
    <w:rsid w:val="00EA110A"/>
    <w:rsid w:val="00EA5257"/>
    <w:rsid w:val="00ED2CBE"/>
    <w:rsid w:val="00ED7F70"/>
    <w:rsid w:val="00F149B0"/>
    <w:rsid w:val="00F14D97"/>
    <w:rsid w:val="00F23FF4"/>
    <w:rsid w:val="00F27EEA"/>
    <w:rsid w:val="00F52D36"/>
    <w:rsid w:val="00F57D43"/>
    <w:rsid w:val="00F7291E"/>
    <w:rsid w:val="00F80243"/>
    <w:rsid w:val="00F827AF"/>
    <w:rsid w:val="00F9379C"/>
    <w:rsid w:val="00FB3C81"/>
    <w:rsid w:val="00FD7637"/>
    <w:rsid w:val="00FE23D1"/>
    <w:rsid w:val="00FE5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ED3D1"/>
  <w15:chartTrackingRefBased/>
  <w15:docId w15:val="{8661794D-91CC-4CA8-921D-9579F0257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8"/>
        <w:szCs w:val="28"/>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B16"/>
    <w:pPr>
      <w:spacing w:line="278" w:lineRule="auto"/>
    </w:pPr>
    <w:rPr>
      <w:rFonts w:ascii="Aptos" w:eastAsia="Aptos" w:hAnsi="Aptos" w:cs="Times New Roman"/>
      <w:sz w:val="24"/>
      <w:szCs w:val="24"/>
      <w14:ligatures w14:val="none"/>
    </w:rPr>
  </w:style>
  <w:style w:type="paragraph" w:styleId="Heading1">
    <w:name w:val="heading 1"/>
    <w:basedOn w:val="Normal"/>
    <w:next w:val="Normal"/>
    <w:link w:val="Heading1Char"/>
    <w:uiPriority w:val="9"/>
    <w:qFormat/>
    <w:rsid w:val="008B3684"/>
    <w:pPr>
      <w:keepNext/>
      <w:keepLines/>
      <w:spacing w:before="360" w:after="80"/>
      <w:outlineLvl w:val="0"/>
    </w:pPr>
    <w:rPr>
      <w:rFonts w:ascii="Arial" w:eastAsiaTheme="majorEastAsia" w:hAnsi="Arial" w:cstheme="majorBidi"/>
      <w:b/>
      <w:sz w:val="40"/>
      <w:szCs w:val="40"/>
    </w:rPr>
  </w:style>
  <w:style w:type="paragraph" w:styleId="Heading2">
    <w:name w:val="heading 2"/>
    <w:basedOn w:val="Normal"/>
    <w:next w:val="Normal"/>
    <w:link w:val="Heading2Char"/>
    <w:uiPriority w:val="9"/>
    <w:unhideWhenUsed/>
    <w:qFormat/>
    <w:rsid w:val="008B3684"/>
    <w:pPr>
      <w:keepNext/>
      <w:keepLines/>
      <w:spacing w:before="160" w:after="80"/>
      <w:outlineLvl w:val="1"/>
    </w:pPr>
    <w:rPr>
      <w:rFonts w:ascii="Arial" w:eastAsiaTheme="majorEastAsia" w:hAnsi="Arial" w:cstheme="majorBidi"/>
      <w:b/>
      <w:sz w:val="32"/>
      <w:szCs w:val="32"/>
    </w:rPr>
  </w:style>
  <w:style w:type="paragraph" w:styleId="Heading3">
    <w:name w:val="heading 3"/>
    <w:basedOn w:val="Normal"/>
    <w:next w:val="Normal"/>
    <w:link w:val="Heading3Char"/>
    <w:uiPriority w:val="9"/>
    <w:semiHidden/>
    <w:unhideWhenUsed/>
    <w:qFormat/>
    <w:rsid w:val="0092699C"/>
    <w:pPr>
      <w:keepNext/>
      <w:keepLines/>
      <w:spacing w:before="160" w:after="80"/>
      <w:outlineLvl w:val="2"/>
    </w:pPr>
    <w:rPr>
      <w:rFonts w:asciiTheme="minorHAnsi" w:eastAsiaTheme="majorEastAsia" w:hAnsiTheme="minorHAnsi" w:cstheme="majorBidi"/>
      <w:color w:val="0F4761" w:themeColor="accent1" w:themeShade="BF"/>
    </w:rPr>
  </w:style>
  <w:style w:type="paragraph" w:styleId="Heading4">
    <w:name w:val="heading 4"/>
    <w:basedOn w:val="Normal"/>
    <w:next w:val="Normal"/>
    <w:link w:val="Heading4Char"/>
    <w:uiPriority w:val="9"/>
    <w:semiHidden/>
    <w:unhideWhenUsed/>
    <w:qFormat/>
    <w:rsid w:val="0092699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2699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2699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2699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2699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2699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684"/>
    <w:rPr>
      <w:rFonts w:eastAsiaTheme="majorEastAsia" w:cstheme="majorBidi"/>
      <w:b/>
      <w:sz w:val="40"/>
      <w:szCs w:val="40"/>
      <w14:ligatures w14:val="none"/>
    </w:rPr>
  </w:style>
  <w:style w:type="character" w:customStyle="1" w:styleId="Heading2Char">
    <w:name w:val="Heading 2 Char"/>
    <w:basedOn w:val="DefaultParagraphFont"/>
    <w:link w:val="Heading2"/>
    <w:uiPriority w:val="9"/>
    <w:rsid w:val="008B3684"/>
    <w:rPr>
      <w:rFonts w:eastAsiaTheme="majorEastAsia" w:cstheme="majorBidi"/>
      <w:b/>
      <w:sz w:val="32"/>
      <w:szCs w:val="32"/>
      <w14:ligatures w14:val="none"/>
    </w:rPr>
  </w:style>
  <w:style w:type="character" w:customStyle="1" w:styleId="Heading3Char">
    <w:name w:val="Heading 3 Char"/>
    <w:basedOn w:val="DefaultParagraphFont"/>
    <w:link w:val="Heading3"/>
    <w:uiPriority w:val="9"/>
    <w:semiHidden/>
    <w:rsid w:val="0092699C"/>
    <w:rPr>
      <w:rFonts w:asciiTheme="minorHAnsi" w:eastAsiaTheme="majorEastAsia" w:hAnsiTheme="minorHAnsi" w:cstheme="majorBidi"/>
      <w:color w:val="0F4761" w:themeColor="accent1" w:themeShade="BF"/>
    </w:rPr>
  </w:style>
  <w:style w:type="character" w:customStyle="1" w:styleId="Heading4Char">
    <w:name w:val="Heading 4 Char"/>
    <w:basedOn w:val="DefaultParagraphFont"/>
    <w:link w:val="Heading4"/>
    <w:uiPriority w:val="9"/>
    <w:semiHidden/>
    <w:rsid w:val="0092699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2699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2699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2699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2699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2699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269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99C"/>
    <w:pPr>
      <w:numPr>
        <w:ilvl w:val="1"/>
      </w:numPr>
    </w:pPr>
    <w:rPr>
      <w:rFonts w:asciiTheme="minorHAnsi" w:eastAsiaTheme="majorEastAsia" w:hAnsiTheme="minorHAnsi" w:cstheme="majorBidi"/>
      <w:color w:val="595959" w:themeColor="text1" w:themeTint="A6"/>
      <w:spacing w:val="15"/>
    </w:rPr>
  </w:style>
  <w:style w:type="character" w:customStyle="1" w:styleId="SubtitleChar">
    <w:name w:val="Subtitle Char"/>
    <w:basedOn w:val="DefaultParagraphFont"/>
    <w:link w:val="Subtitle"/>
    <w:uiPriority w:val="11"/>
    <w:rsid w:val="0092699C"/>
    <w:rPr>
      <w:rFonts w:asciiTheme="minorHAnsi" w:eastAsiaTheme="majorEastAsia" w:hAnsiTheme="minorHAnsi" w:cstheme="majorBidi"/>
      <w:color w:val="595959" w:themeColor="text1" w:themeTint="A6"/>
      <w:spacing w:val="15"/>
    </w:rPr>
  </w:style>
  <w:style w:type="paragraph" w:styleId="Quote">
    <w:name w:val="Quote"/>
    <w:basedOn w:val="Normal"/>
    <w:next w:val="Normal"/>
    <w:link w:val="QuoteChar"/>
    <w:uiPriority w:val="29"/>
    <w:qFormat/>
    <w:rsid w:val="0092699C"/>
    <w:pPr>
      <w:spacing w:before="160"/>
      <w:jc w:val="center"/>
    </w:pPr>
    <w:rPr>
      <w:i/>
      <w:iCs/>
      <w:color w:val="404040" w:themeColor="text1" w:themeTint="BF"/>
    </w:rPr>
  </w:style>
  <w:style w:type="character" w:customStyle="1" w:styleId="QuoteChar">
    <w:name w:val="Quote Char"/>
    <w:basedOn w:val="DefaultParagraphFont"/>
    <w:link w:val="Quote"/>
    <w:uiPriority w:val="29"/>
    <w:rsid w:val="0092699C"/>
    <w:rPr>
      <w:i/>
      <w:iCs/>
      <w:color w:val="404040" w:themeColor="text1" w:themeTint="BF"/>
    </w:rPr>
  </w:style>
  <w:style w:type="paragraph" w:styleId="ListParagraph">
    <w:name w:val="List Paragraph"/>
    <w:basedOn w:val="Normal"/>
    <w:uiPriority w:val="34"/>
    <w:qFormat/>
    <w:rsid w:val="0092699C"/>
    <w:pPr>
      <w:ind w:left="720"/>
      <w:contextualSpacing/>
    </w:pPr>
  </w:style>
  <w:style w:type="character" w:styleId="IntenseEmphasis">
    <w:name w:val="Intense Emphasis"/>
    <w:basedOn w:val="DefaultParagraphFont"/>
    <w:uiPriority w:val="21"/>
    <w:qFormat/>
    <w:rsid w:val="0092699C"/>
    <w:rPr>
      <w:i/>
      <w:iCs/>
      <w:color w:val="0F4761" w:themeColor="accent1" w:themeShade="BF"/>
    </w:rPr>
  </w:style>
  <w:style w:type="paragraph" w:styleId="IntenseQuote">
    <w:name w:val="Intense Quote"/>
    <w:basedOn w:val="Normal"/>
    <w:next w:val="Normal"/>
    <w:link w:val="IntenseQuoteChar"/>
    <w:uiPriority w:val="30"/>
    <w:qFormat/>
    <w:rsid w:val="00926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99C"/>
    <w:rPr>
      <w:i/>
      <w:iCs/>
      <w:color w:val="0F4761" w:themeColor="accent1" w:themeShade="BF"/>
    </w:rPr>
  </w:style>
  <w:style w:type="character" w:styleId="IntenseReference">
    <w:name w:val="Intense Reference"/>
    <w:basedOn w:val="DefaultParagraphFont"/>
    <w:uiPriority w:val="32"/>
    <w:qFormat/>
    <w:rsid w:val="0092699C"/>
    <w:rPr>
      <w:b/>
      <w:bCs/>
      <w:smallCaps/>
      <w:color w:val="0F4761" w:themeColor="accent1" w:themeShade="BF"/>
      <w:spacing w:val="5"/>
    </w:rPr>
  </w:style>
  <w:style w:type="character" w:styleId="Hyperlink">
    <w:name w:val="Hyperlink"/>
    <w:basedOn w:val="DefaultParagraphFont"/>
    <w:uiPriority w:val="99"/>
    <w:unhideWhenUsed/>
    <w:rsid w:val="00B607B6"/>
    <w:rPr>
      <w:color w:val="467886" w:themeColor="hyperlink"/>
      <w:u w:val="single"/>
    </w:rPr>
  </w:style>
  <w:style w:type="character" w:styleId="UnresolvedMention">
    <w:name w:val="Unresolved Mention"/>
    <w:basedOn w:val="DefaultParagraphFont"/>
    <w:uiPriority w:val="99"/>
    <w:semiHidden/>
    <w:unhideWhenUsed/>
    <w:rsid w:val="00B607B6"/>
    <w:rPr>
      <w:color w:val="605E5C"/>
      <w:shd w:val="clear" w:color="auto" w:fill="E1DFDD"/>
    </w:rPr>
  </w:style>
  <w:style w:type="character" w:styleId="FollowedHyperlink">
    <w:name w:val="FollowedHyperlink"/>
    <w:basedOn w:val="DefaultParagraphFont"/>
    <w:uiPriority w:val="99"/>
    <w:semiHidden/>
    <w:unhideWhenUsed/>
    <w:rsid w:val="00FD7637"/>
    <w:rPr>
      <w:color w:val="96607D" w:themeColor="followedHyperlink"/>
      <w:u w:val="single"/>
    </w:rPr>
  </w:style>
  <w:style w:type="character" w:styleId="Strong">
    <w:name w:val="Strong"/>
    <w:uiPriority w:val="22"/>
    <w:qFormat/>
    <w:rsid w:val="00652B16"/>
    <w:rPr>
      <w:b/>
      <w:bCs/>
    </w:rPr>
  </w:style>
  <w:style w:type="paragraph" w:styleId="TOCHeading">
    <w:name w:val="TOC Heading"/>
    <w:basedOn w:val="Heading1"/>
    <w:next w:val="Normal"/>
    <w:uiPriority w:val="39"/>
    <w:unhideWhenUsed/>
    <w:qFormat/>
    <w:rsid w:val="00ED7F70"/>
    <w:pPr>
      <w:spacing w:before="240" w:after="0" w:line="259" w:lineRule="auto"/>
      <w:outlineLvl w:val="9"/>
    </w:pPr>
    <w:rPr>
      <w:rFonts w:asciiTheme="majorHAnsi" w:hAnsiTheme="majorHAnsi"/>
      <w:b w:val="0"/>
      <w:color w:val="0F4761" w:themeColor="accent1" w:themeShade="BF"/>
      <w:kern w:val="0"/>
      <w:sz w:val="32"/>
      <w:szCs w:val="32"/>
      <w:lang w:eastAsia="en-GB"/>
    </w:rPr>
  </w:style>
  <w:style w:type="paragraph" w:styleId="TOC1">
    <w:name w:val="toc 1"/>
    <w:basedOn w:val="Normal"/>
    <w:next w:val="Normal"/>
    <w:autoRedefine/>
    <w:uiPriority w:val="39"/>
    <w:unhideWhenUsed/>
    <w:rsid w:val="00ED7F70"/>
    <w:pPr>
      <w:spacing w:after="100"/>
    </w:pPr>
  </w:style>
  <w:style w:type="paragraph" w:styleId="TOC2">
    <w:name w:val="toc 2"/>
    <w:basedOn w:val="Normal"/>
    <w:next w:val="Normal"/>
    <w:autoRedefine/>
    <w:uiPriority w:val="39"/>
    <w:unhideWhenUsed/>
    <w:rsid w:val="00E02D1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IJSHE-07-2023-0308" TargetMode="External"/><Relationship Id="rId18" Type="http://schemas.openxmlformats.org/officeDocument/2006/relationships/hyperlink" Target="https://doi.org/10.1186/s12889-021-11663-2" TargetMode="External"/><Relationship Id="rId26" Type="http://schemas.openxmlformats.org/officeDocument/2006/relationships/hyperlink" Target="https://www.nao.org.uk/reports/support-for-children-and-young-people-with-special-educational-needs/" TargetMode="External"/><Relationship Id="rId39" Type="http://schemas.openxmlformats.org/officeDocument/2006/relationships/hyperlink" Target="https://www.who.int/europe/about-us/our-work/sustainable-development-goals/targets-of-sustainable-development-goal-3" TargetMode="External"/><Relationship Id="rId21" Type="http://schemas.openxmlformats.org/officeDocument/2006/relationships/hyperlink" Target="https://publications.parliament.uk/pa/cm5803/cmselect/cmeduc/970/report.html" TargetMode="External"/><Relationship Id="rId34" Type="http://schemas.openxmlformats.org/officeDocument/2006/relationships/hyperlink" Target="https://www.un.org/sustainabledevelopment/health/" TargetMode="External"/><Relationship Id="rId7" Type="http://schemas.openxmlformats.org/officeDocument/2006/relationships/image" Target="file:///C:\Users\biancasanfilippo\Library\Group%20Containers\UBF8T346G9.ms\WebArchiveCopyPasteTempFiles\com.microsoft.Word\UWTSD-Logo.jpg" TargetMode="External"/><Relationship Id="rId2" Type="http://schemas.openxmlformats.org/officeDocument/2006/relationships/numbering" Target="numbering.xml"/><Relationship Id="rId16" Type="http://schemas.openxmlformats.org/officeDocument/2006/relationships/hyperlink" Target="https://www.gov.uk/government/publications/school-led-tutoring-conditions-of-grant" TargetMode="External"/><Relationship Id="rId20" Type="http://schemas.openxmlformats.org/officeDocument/2006/relationships/hyperlink" Target="https://doi.org/10.1002/sd.70374" TargetMode="External"/><Relationship Id="rId29" Type="http://schemas.openxmlformats.org/officeDocument/2006/relationships/hyperlink" Target="https://doi.org/10.3390/su18020948"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16/j.jad.2026.121707" TargetMode="External"/><Relationship Id="rId24" Type="http://schemas.openxmlformats.org/officeDocument/2006/relationships/hyperlink" Target="https://doi.org/10.3390/su16187921" TargetMode="External"/><Relationship Id="rId32" Type="http://schemas.openxmlformats.org/officeDocument/2006/relationships/hyperlink" Target="https://globalgoals.org/goals/4-quality-education/" TargetMode="External"/><Relationship Id="rId37" Type="http://schemas.openxmlformats.org/officeDocument/2006/relationships/hyperlink" Target="https://www.un.org/sustainabledevelopment/education/"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10-year-health-plan-for-england-fit-for-the-future/fit-for-the-future-10-year-health-plan-for-england-executive-summary" TargetMode="External"/><Relationship Id="rId23" Type="http://schemas.openxmlformats.org/officeDocument/2006/relationships/hyperlink" Target="https://doi.org/10.1016/j.chiabu.2022.105514" TargetMode="External"/><Relationship Id="rId28" Type="http://schemas.openxmlformats.org/officeDocument/2006/relationships/hyperlink" Target="https://doi.org/10.1016/j.nurpra.2022.03.005" TargetMode="External"/><Relationship Id="rId36" Type="http://schemas.openxmlformats.org/officeDocument/2006/relationships/hyperlink" Target="https://data.unicef.org/sdgs/goal-4-quality-education/" TargetMode="External"/><Relationship Id="rId10" Type="http://schemas.openxmlformats.org/officeDocument/2006/relationships/hyperlink" Target="https://doi.org/10.3389/fnut.2024.1447032" TargetMode="External"/><Relationship Id="rId19" Type="http://schemas.openxmlformats.org/officeDocument/2006/relationships/hyperlink" Target="https://doi.org/10.1016/j.ijedudev.2024.103031" TargetMode="External"/><Relationship Id="rId31" Type="http://schemas.openxmlformats.org/officeDocument/2006/relationships/hyperlink" Target="https://doi.org/10.1080/02607476.2023.2283422" TargetMode="External"/><Relationship Id="rId4" Type="http://schemas.openxmlformats.org/officeDocument/2006/relationships/settings" Target="settings.xml"/><Relationship Id="rId9" Type="http://schemas.openxmlformats.org/officeDocument/2006/relationships/hyperlink" Target="https://doi.org/10.1007/s11159-019-09772-7" TargetMode="External"/><Relationship Id="rId14" Type="http://schemas.openxmlformats.org/officeDocument/2006/relationships/hyperlink" Target="https://doi.org/10.1080/14635240.2019.1595526" TargetMode="External"/><Relationship Id="rId22" Type="http://schemas.openxmlformats.org/officeDocument/2006/relationships/hyperlink" Target="https://doi.org/10.1136/bmj.l85" TargetMode="External"/><Relationship Id="rId27" Type="http://schemas.openxmlformats.org/officeDocument/2006/relationships/hyperlink" Target="https://doi.org/10.1007/s44274-026-00615-5" TargetMode="External"/><Relationship Id="rId30" Type="http://schemas.openxmlformats.org/officeDocument/2006/relationships/hyperlink" Target="https://doi.org/10.1007/s10639-022-11265-4" TargetMode="External"/><Relationship Id="rId35" Type="http://schemas.openxmlformats.org/officeDocument/2006/relationships/hyperlink" Target="https://webarchive.nationalarchives.gov.uk/ukgwa/20250511091243/https://www.longtermplan.nhs.uk/" TargetMode="External"/><Relationship Id="rId8" Type="http://schemas.openxmlformats.org/officeDocument/2006/relationships/hyperlink" Target="https://doi.org/10.1136/bmj.l84" TargetMode="External"/><Relationship Id="rId3" Type="http://schemas.openxmlformats.org/officeDocument/2006/relationships/styles" Target="styles.xml"/><Relationship Id="rId12" Type="http://schemas.openxmlformats.org/officeDocument/2006/relationships/hyperlink" Target="https://doi.org/10.1016/S1470-2045(19)30008-7" TargetMode="External"/><Relationship Id="rId17" Type="http://schemas.openxmlformats.org/officeDocument/2006/relationships/hyperlink" Target="https://educationendowmentfoundation.org.uk/projects-and-evaluation/projects/national-tutoring-programme-ntp-tuition-partners" TargetMode="External"/><Relationship Id="rId25" Type="http://schemas.openxmlformats.org/officeDocument/2006/relationships/hyperlink" Target="https://doi.org/10.1186/s12889-023-15552-8" TargetMode="External"/><Relationship Id="rId33" Type="http://schemas.openxmlformats.org/officeDocument/2006/relationships/hyperlink" Target="https://globalgoals.org/goals/3-good-health-and-well-being/" TargetMode="External"/><Relationship Id="rId38" Type="http://schemas.openxmlformats.org/officeDocument/2006/relationships/hyperlink" Target="https://doi.org/10.35784/pe.2022.2.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01D97-2012-42D4-942D-E3224ED2F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3881</TotalTime>
  <Pages>12</Pages>
  <Words>4173</Words>
  <Characters>23787</Characters>
  <Application>Microsoft Office Word</Application>
  <DocSecurity>0</DocSecurity>
  <Lines>198</Lines>
  <Paragraphs>55</Paragraphs>
  <ScaleCrop>false</ScaleCrop>
  <Company/>
  <LinksUpToDate>false</LinksUpToDate>
  <CharactersWithSpaces>27905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Barbu</dc:creator>
  <cp:keywords/>
  <dc:description/>
  <cp:lastModifiedBy>Cosmin Barbu</cp:lastModifiedBy>
  <cp:revision>179</cp:revision>
  <dcterms:created xsi:type="dcterms:W3CDTF">2026-07-22T19:12:00Z</dcterms:created>
  <dcterms:modified xsi:type="dcterms:W3CDTF">2026-08-04T13:49:00Z</dcterms:modified>
</cp:coreProperties>
</file>