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95ACC"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Student name: Rosena Lucy</w:t>
      </w:r>
    </w:p>
    <w:p w14:paraId="726D1B8C"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Student ID number: 2210256</w:t>
      </w:r>
    </w:p>
    <w:p w14:paraId="5EC6C916"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 xml:space="preserve">Programme: MSc Public Health and Social Care in Practice </w:t>
      </w:r>
    </w:p>
    <w:p w14:paraId="0B1D3B52"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Module: Population Health and Digital Health Promotion</w:t>
      </w:r>
    </w:p>
    <w:p w14:paraId="7B796299"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Module code: LCHS7009</w:t>
      </w:r>
    </w:p>
    <w:p w14:paraId="7AC86F0E"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Lecturer: Dr Besty Jose</w:t>
      </w:r>
    </w:p>
    <w:p w14:paraId="015B7643" w14:textId="7932E7C4" w:rsidR="0032609E" w:rsidRPr="009F5439" w:rsidRDefault="009725CB" w:rsidP="00FD7DD0">
      <w:pPr>
        <w:spacing w:line="360" w:lineRule="auto"/>
        <w:jc w:val="both"/>
        <w:rPr>
          <w:rFonts w:ascii="Arial" w:hAnsi="Arial" w:cs="Arial"/>
          <w:b/>
          <w:bCs/>
          <w:sz w:val="48"/>
          <w:szCs w:val="48"/>
        </w:rPr>
      </w:pPr>
      <w:r w:rsidRPr="009F5439">
        <w:rPr>
          <w:rFonts w:ascii="Arial" w:hAnsi="Arial" w:cs="Arial"/>
          <w:b/>
          <w:bCs/>
          <w:sz w:val="48"/>
          <w:szCs w:val="48"/>
        </w:rPr>
        <w:t>Assignment Title: Component 1 Blog 1</w:t>
      </w:r>
    </w:p>
    <w:p w14:paraId="189443C2" w14:textId="77777777" w:rsidR="0032609E" w:rsidRDefault="0032609E" w:rsidP="003E64C2">
      <w:pPr>
        <w:shd w:val="clear" w:color="auto" w:fill="FFFFFF"/>
        <w:spacing w:before="100" w:beforeAutospacing="1" w:after="100" w:afterAutospacing="1" w:line="240" w:lineRule="auto"/>
        <w:rPr>
          <w:rFonts w:ascii="Arial" w:hAnsi="Arial" w:cs="Arial"/>
        </w:rPr>
      </w:pPr>
    </w:p>
    <w:p w14:paraId="6CC8FF4F" w14:textId="77777777" w:rsidR="0032609E" w:rsidRDefault="0032609E" w:rsidP="003E64C2">
      <w:pPr>
        <w:shd w:val="clear" w:color="auto" w:fill="FFFFFF"/>
        <w:spacing w:before="100" w:beforeAutospacing="1" w:after="100" w:afterAutospacing="1" w:line="240" w:lineRule="auto"/>
        <w:rPr>
          <w:rFonts w:ascii="Arial" w:hAnsi="Arial" w:cs="Arial"/>
        </w:rPr>
      </w:pPr>
    </w:p>
    <w:p w14:paraId="2F54C3F7" w14:textId="77777777" w:rsidR="0032609E" w:rsidRDefault="0032609E" w:rsidP="003E64C2">
      <w:pPr>
        <w:shd w:val="clear" w:color="auto" w:fill="FFFFFF"/>
        <w:spacing w:before="100" w:beforeAutospacing="1" w:after="100" w:afterAutospacing="1" w:line="240" w:lineRule="auto"/>
        <w:rPr>
          <w:rFonts w:ascii="Arial" w:hAnsi="Arial" w:cs="Arial"/>
        </w:rPr>
      </w:pPr>
    </w:p>
    <w:p w14:paraId="18C98DCE" w14:textId="77777777" w:rsidR="0032609E" w:rsidRDefault="0032609E" w:rsidP="003E64C2">
      <w:pPr>
        <w:shd w:val="clear" w:color="auto" w:fill="FFFFFF"/>
        <w:spacing w:before="100" w:beforeAutospacing="1" w:after="100" w:afterAutospacing="1" w:line="240" w:lineRule="auto"/>
        <w:rPr>
          <w:rFonts w:ascii="Arial" w:hAnsi="Arial" w:cs="Arial"/>
        </w:rPr>
      </w:pPr>
    </w:p>
    <w:p w14:paraId="6C415C12" w14:textId="77777777" w:rsidR="0032609E" w:rsidRDefault="0032609E" w:rsidP="003E64C2">
      <w:pPr>
        <w:shd w:val="clear" w:color="auto" w:fill="FFFFFF"/>
        <w:spacing w:before="100" w:beforeAutospacing="1" w:after="100" w:afterAutospacing="1" w:line="240" w:lineRule="auto"/>
        <w:rPr>
          <w:rFonts w:ascii="Arial" w:hAnsi="Arial" w:cs="Arial"/>
        </w:rPr>
      </w:pPr>
    </w:p>
    <w:p w14:paraId="2705021A" w14:textId="77777777" w:rsidR="0032609E" w:rsidRDefault="0032609E" w:rsidP="003E64C2">
      <w:pPr>
        <w:shd w:val="clear" w:color="auto" w:fill="FFFFFF"/>
        <w:spacing w:before="100" w:beforeAutospacing="1" w:after="100" w:afterAutospacing="1" w:line="240" w:lineRule="auto"/>
        <w:rPr>
          <w:rFonts w:ascii="Arial" w:hAnsi="Arial" w:cs="Arial"/>
        </w:rPr>
      </w:pPr>
    </w:p>
    <w:p w14:paraId="3D6EB408" w14:textId="77777777" w:rsidR="0032609E" w:rsidRDefault="0032609E" w:rsidP="003E64C2">
      <w:pPr>
        <w:shd w:val="clear" w:color="auto" w:fill="FFFFFF"/>
        <w:spacing w:before="100" w:beforeAutospacing="1" w:after="100" w:afterAutospacing="1" w:line="240" w:lineRule="auto"/>
        <w:rPr>
          <w:rFonts w:ascii="Arial" w:hAnsi="Arial" w:cs="Arial"/>
        </w:rPr>
      </w:pPr>
    </w:p>
    <w:p w14:paraId="4787C4CF" w14:textId="77777777" w:rsidR="0032609E" w:rsidRDefault="0032609E" w:rsidP="003E64C2">
      <w:pPr>
        <w:shd w:val="clear" w:color="auto" w:fill="FFFFFF"/>
        <w:spacing w:before="100" w:beforeAutospacing="1" w:after="100" w:afterAutospacing="1" w:line="240" w:lineRule="auto"/>
        <w:rPr>
          <w:rFonts w:ascii="Arial" w:hAnsi="Arial" w:cs="Arial"/>
        </w:rPr>
      </w:pPr>
    </w:p>
    <w:p w14:paraId="270CEFD4" w14:textId="77777777" w:rsidR="005B5816" w:rsidRDefault="005B5816" w:rsidP="00666EDF">
      <w:pPr>
        <w:spacing w:line="360" w:lineRule="auto"/>
        <w:jc w:val="both"/>
        <w:rPr>
          <w:rFonts w:ascii="Arial" w:hAnsi="Arial" w:cs="Arial"/>
          <w:b/>
          <w:bCs/>
          <w:noProof/>
          <w:sz w:val="28"/>
          <w:szCs w:val="28"/>
        </w:rPr>
      </w:pPr>
    </w:p>
    <w:p w14:paraId="3643DC2E" w14:textId="75134B9D" w:rsidR="00C52ED6" w:rsidRPr="00F650B0" w:rsidRDefault="00C00E4A" w:rsidP="00DE2A4E">
      <w:pPr>
        <w:shd w:val="clear" w:color="auto" w:fill="FFFFFF"/>
        <w:spacing w:before="100" w:beforeAutospacing="1" w:after="100" w:afterAutospacing="1" w:line="240" w:lineRule="auto"/>
        <w:rPr>
          <w:rFonts w:ascii="Arial" w:hAnsi="Arial" w:cs="Arial"/>
          <w:b/>
          <w:bCs/>
          <w:color w:val="EE0000"/>
          <w:sz w:val="32"/>
          <w:szCs w:val="32"/>
        </w:rPr>
      </w:pPr>
      <w:r w:rsidRPr="00F650B0">
        <w:rPr>
          <w:rFonts w:ascii="Arial" w:hAnsi="Arial" w:cs="Arial"/>
          <w:b/>
          <w:bCs/>
          <w:color w:val="EE0000"/>
          <w:sz w:val="32"/>
          <w:szCs w:val="32"/>
        </w:rPr>
        <w:lastRenderedPageBreak/>
        <w:t>Blog 1: Smoking and Digital Health Promotion</w:t>
      </w:r>
    </w:p>
    <w:tbl>
      <w:tblPr>
        <w:tblStyle w:val="TableGrid"/>
        <w:tblW w:w="11908" w:type="dxa"/>
        <w:tblInd w:w="-1418" w:type="dxa"/>
        <w:tblLook w:val="04A0" w:firstRow="1" w:lastRow="0" w:firstColumn="1" w:lastColumn="0" w:noHBand="0" w:noVBand="1"/>
      </w:tblPr>
      <w:tblGrid>
        <w:gridCol w:w="4552"/>
        <w:gridCol w:w="7356"/>
      </w:tblGrid>
      <w:tr w:rsidR="00C52ED6" w14:paraId="2419F685" w14:textId="77777777" w:rsidTr="001458F9">
        <w:tc>
          <w:tcPr>
            <w:tcW w:w="4820" w:type="dxa"/>
            <w:tcBorders>
              <w:top w:val="nil"/>
              <w:left w:val="nil"/>
              <w:bottom w:val="nil"/>
              <w:right w:val="nil"/>
            </w:tcBorders>
          </w:tcPr>
          <w:p w14:paraId="21814D73" w14:textId="77777777" w:rsidR="00C52ED6" w:rsidRDefault="00C52ED6" w:rsidP="00C52ED6">
            <w:pPr>
              <w:shd w:val="clear" w:color="auto" w:fill="FFFFFF"/>
              <w:spacing w:before="100" w:beforeAutospacing="1" w:after="100" w:afterAutospacing="1" w:line="360" w:lineRule="auto"/>
              <w:rPr>
                <w:rFonts w:ascii="Arial" w:hAnsi="Arial" w:cs="Arial"/>
              </w:rPr>
            </w:pPr>
            <w:r w:rsidRPr="00332619">
              <w:rPr>
                <w:rFonts w:ascii="Arial" w:hAnsi="Arial" w:cs="Arial"/>
              </w:rPr>
              <w:t xml:space="preserve">Smoking remains one of the leading causes of preventable illness and premature death in the United Kingdom, accounting for around </w:t>
            </w:r>
            <w:r w:rsidRPr="00332619">
              <w:rPr>
                <w:rFonts w:ascii="Arial" w:hAnsi="Arial" w:cs="Arial"/>
                <w:b/>
                <w:bCs/>
              </w:rPr>
              <w:t>78,000 deaths annually</w:t>
            </w:r>
            <w:r w:rsidRPr="00332619">
              <w:rPr>
                <w:rFonts w:ascii="Arial" w:hAnsi="Arial" w:cs="Arial"/>
              </w:rPr>
              <w:t xml:space="preserve"> (Office for National Statistics, 2019). </w:t>
            </w:r>
          </w:p>
          <w:p w14:paraId="7884EC69" w14:textId="77777777" w:rsidR="00C52ED6" w:rsidRPr="00332619" w:rsidRDefault="00C52ED6" w:rsidP="00C52ED6">
            <w:pPr>
              <w:shd w:val="clear" w:color="auto" w:fill="FFFFFF"/>
              <w:spacing w:before="100" w:beforeAutospacing="1" w:after="100" w:afterAutospacing="1" w:line="360" w:lineRule="auto"/>
              <w:rPr>
                <w:rFonts w:ascii="Arial" w:hAnsi="Arial" w:cs="Arial"/>
              </w:rPr>
            </w:pPr>
            <w:r w:rsidRPr="00332619">
              <w:rPr>
                <w:rFonts w:ascii="Arial" w:hAnsi="Arial" w:cs="Arial"/>
              </w:rPr>
              <w:t xml:space="preserve">As of </w:t>
            </w:r>
            <w:r w:rsidRPr="00332619">
              <w:rPr>
                <w:rFonts w:ascii="Arial" w:hAnsi="Arial" w:cs="Arial"/>
                <w:b/>
                <w:bCs/>
              </w:rPr>
              <w:t>October 2019</w:t>
            </w:r>
            <w:r w:rsidRPr="00332619">
              <w:rPr>
                <w:rFonts w:ascii="Arial" w:hAnsi="Arial" w:cs="Arial"/>
              </w:rPr>
              <w:t xml:space="preserve">, approximately </w:t>
            </w:r>
            <w:r w:rsidRPr="00332619">
              <w:rPr>
                <w:rFonts w:ascii="Arial" w:hAnsi="Arial" w:cs="Arial"/>
                <w:b/>
                <w:bCs/>
              </w:rPr>
              <w:t>14.1% of adults in England smoked</w:t>
            </w:r>
            <w:r w:rsidRPr="00332619">
              <w:rPr>
                <w:rFonts w:ascii="Arial" w:hAnsi="Arial" w:cs="Arial"/>
              </w:rPr>
              <w:t>, despite long-term declines since the early 2000s (ONS, 2019). Smoking is a major contributor to lung cancer, cardiovascular disease and chronic obstructive pulmonary disease, placing sustained financial and service pressure on the NHS (Office for Health Improvement and Disparities, 2019).</w:t>
            </w:r>
          </w:p>
          <w:p w14:paraId="1E6E601C" w14:textId="77777777" w:rsidR="00C52ED6" w:rsidRPr="00332619" w:rsidRDefault="00C52ED6" w:rsidP="00C52ED6">
            <w:pPr>
              <w:shd w:val="clear" w:color="auto" w:fill="FFFFFF"/>
              <w:spacing w:before="100" w:beforeAutospacing="1" w:after="100" w:afterAutospacing="1" w:line="360" w:lineRule="auto"/>
              <w:rPr>
                <w:rFonts w:ascii="Arial" w:hAnsi="Arial" w:cs="Arial"/>
              </w:rPr>
            </w:pPr>
            <w:r w:rsidRPr="00332619">
              <w:rPr>
                <w:rFonts w:ascii="Arial" w:hAnsi="Arial" w:cs="Arial"/>
              </w:rPr>
              <w:t>Smoking prevalence remains disproportionately higher among individuals in lower socio-economic groups, reinforcing long-standing health inequalities (ONS, 2019). These disparities highlight the need for accessible, innovative cessation support that can reach individuals outside traditional clinical settings (NHS Digital, 2019).</w:t>
            </w:r>
          </w:p>
          <w:p w14:paraId="026838FE" w14:textId="77777777" w:rsidR="00C52ED6" w:rsidRDefault="00C52ED6" w:rsidP="00666EDF">
            <w:pPr>
              <w:spacing w:line="360" w:lineRule="auto"/>
              <w:jc w:val="both"/>
              <w:rPr>
                <w:rFonts w:ascii="Arial" w:hAnsi="Arial" w:cs="Arial"/>
                <w:b/>
                <w:bCs/>
                <w:noProof/>
                <w:sz w:val="28"/>
                <w:szCs w:val="28"/>
              </w:rPr>
            </w:pPr>
          </w:p>
        </w:tc>
        <w:tc>
          <w:tcPr>
            <w:tcW w:w="7088" w:type="dxa"/>
            <w:tcBorders>
              <w:top w:val="nil"/>
              <w:left w:val="nil"/>
              <w:bottom w:val="nil"/>
              <w:right w:val="nil"/>
            </w:tcBorders>
          </w:tcPr>
          <w:p w14:paraId="735F24F6" w14:textId="589C08FA" w:rsidR="00C52ED6" w:rsidRDefault="009104E9" w:rsidP="00666EDF">
            <w:pPr>
              <w:spacing w:line="360" w:lineRule="auto"/>
              <w:jc w:val="both"/>
              <w:rPr>
                <w:rFonts w:ascii="Arial" w:hAnsi="Arial" w:cs="Arial"/>
                <w:b/>
                <w:bCs/>
                <w:noProof/>
                <w:sz w:val="28"/>
                <w:szCs w:val="28"/>
              </w:rPr>
            </w:pPr>
            <w:r w:rsidRPr="00DD4580">
              <w:rPr>
                <w:rFonts w:ascii="Arial" w:hAnsi="Arial" w:cs="Arial"/>
                <w:noProof/>
              </w:rPr>
              <w:drawing>
                <wp:anchor distT="0" distB="0" distL="114300" distR="114300" simplePos="0" relativeHeight="251670016" behindDoc="0" locked="0" layoutInCell="1" allowOverlap="1" wp14:anchorId="509F55F7" wp14:editId="660A6C3F">
                  <wp:simplePos x="0" y="0"/>
                  <wp:positionH relativeFrom="column">
                    <wp:posOffset>-31750</wp:posOffset>
                  </wp:positionH>
                  <wp:positionV relativeFrom="paragraph">
                    <wp:posOffset>0</wp:posOffset>
                  </wp:positionV>
                  <wp:extent cx="4533900" cy="7094220"/>
                  <wp:effectExtent l="0" t="0" r="0" b="0"/>
                  <wp:wrapSquare wrapText="bothSides"/>
                  <wp:docPr id="267581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9672" name=""/>
                          <pic:cNvPicPr/>
                        </pic:nvPicPr>
                        <pic:blipFill>
                          <a:blip r:embed="rId8"/>
                          <a:stretch>
                            <a:fillRect/>
                          </a:stretch>
                        </pic:blipFill>
                        <pic:spPr>
                          <a:xfrm>
                            <a:off x="0" y="0"/>
                            <a:ext cx="4533900" cy="7094220"/>
                          </a:xfrm>
                          <a:prstGeom prst="rect">
                            <a:avLst/>
                          </a:prstGeom>
                        </pic:spPr>
                      </pic:pic>
                    </a:graphicData>
                  </a:graphic>
                  <wp14:sizeRelH relativeFrom="margin">
                    <wp14:pctWidth>0</wp14:pctWidth>
                  </wp14:sizeRelH>
                  <wp14:sizeRelV relativeFrom="margin">
                    <wp14:pctHeight>0</wp14:pctHeight>
                  </wp14:sizeRelV>
                </wp:anchor>
              </w:drawing>
            </w:r>
          </w:p>
        </w:tc>
      </w:tr>
    </w:tbl>
    <w:p w14:paraId="35AEF1FE" w14:textId="77777777" w:rsidR="00C52ED6" w:rsidRDefault="00C52ED6" w:rsidP="00666EDF">
      <w:pPr>
        <w:spacing w:line="360" w:lineRule="auto"/>
        <w:jc w:val="both"/>
        <w:rPr>
          <w:rFonts w:ascii="Arial" w:hAnsi="Arial" w:cs="Arial"/>
          <w:b/>
          <w:bCs/>
          <w:noProof/>
          <w:sz w:val="28"/>
          <w:szCs w:val="28"/>
        </w:rPr>
      </w:pPr>
    </w:p>
    <w:p w14:paraId="0CCBA046" w14:textId="77777777" w:rsidR="005B5816" w:rsidRDefault="005B5816" w:rsidP="00666EDF">
      <w:pPr>
        <w:spacing w:line="360" w:lineRule="auto"/>
        <w:jc w:val="both"/>
        <w:rPr>
          <w:rFonts w:ascii="Arial" w:hAnsi="Arial" w:cs="Arial"/>
          <w:b/>
          <w:bCs/>
          <w:noProof/>
          <w:sz w:val="28"/>
          <w:szCs w:val="28"/>
        </w:rPr>
      </w:pPr>
    </w:p>
    <w:p w14:paraId="54769F4C" w14:textId="77777777" w:rsidR="004A5DEF" w:rsidRPr="004A5DEF" w:rsidRDefault="004A5DEF" w:rsidP="004A5DEF">
      <w:pPr>
        <w:spacing w:line="360" w:lineRule="auto"/>
        <w:jc w:val="both"/>
        <w:rPr>
          <w:rFonts w:ascii="Arial" w:hAnsi="Arial" w:cs="Arial"/>
          <w:b/>
          <w:bCs/>
          <w:noProof/>
          <w:sz w:val="28"/>
          <w:szCs w:val="28"/>
        </w:rPr>
      </w:pPr>
      <w:r w:rsidRPr="004A5DEF">
        <w:rPr>
          <w:rFonts w:ascii="Arial" w:hAnsi="Arial" w:cs="Arial"/>
          <w:b/>
          <w:bCs/>
          <w:noProof/>
          <w:sz w:val="28"/>
          <w:szCs w:val="28"/>
        </w:rPr>
        <w:lastRenderedPageBreak/>
        <w:t>Digital Health and Smoking Cessation</w:t>
      </w:r>
    </w:p>
    <w:p w14:paraId="0B92884D" w14:textId="77777777" w:rsidR="004A5DEF" w:rsidRDefault="004A5DEF" w:rsidP="004A5DEF">
      <w:pPr>
        <w:spacing w:line="360" w:lineRule="auto"/>
        <w:jc w:val="both"/>
        <w:rPr>
          <w:rFonts w:ascii="Arial" w:hAnsi="Arial" w:cs="Arial"/>
          <w:noProof/>
        </w:rPr>
      </w:pPr>
      <w:r w:rsidRPr="004A5DEF">
        <w:rPr>
          <w:rFonts w:ascii="Arial" w:hAnsi="Arial" w:cs="Arial"/>
          <w:noProof/>
        </w:rPr>
        <w:t xml:space="preserve">Digital health promotion has emerged as a valuable tool for addressing behaviour-related public health challenges. Mobile apps and wearable technologies offer continuous, personalised support that can extend beyond clinic-based interventions (Whittaker, 2019). </w:t>
      </w:r>
    </w:p>
    <w:p w14:paraId="65CA0577" w14:textId="36DB066E" w:rsidR="004A5DEF" w:rsidRPr="004A5DEF" w:rsidRDefault="004A5DEF" w:rsidP="004A5DEF">
      <w:pPr>
        <w:spacing w:line="360" w:lineRule="auto"/>
        <w:jc w:val="both"/>
        <w:rPr>
          <w:rFonts w:ascii="Arial" w:hAnsi="Arial" w:cs="Arial"/>
          <w:noProof/>
        </w:rPr>
      </w:pPr>
      <w:r w:rsidRPr="004A5DEF">
        <w:rPr>
          <w:rFonts w:ascii="Arial" w:hAnsi="Arial" w:cs="Arial"/>
          <w:noProof/>
        </w:rPr>
        <w:t>Evidence suggests that digital cessation tools can increase quit attempts and engagement, particularly when grounded in behaviour change theory (Michie, 2017).</w:t>
      </w:r>
    </w:p>
    <w:p w14:paraId="1240A4CA" w14:textId="77777777" w:rsidR="004A5DEF" w:rsidRDefault="004A5DEF" w:rsidP="004A5DEF">
      <w:pPr>
        <w:spacing w:line="360" w:lineRule="auto"/>
        <w:jc w:val="both"/>
        <w:rPr>
          <w:rFonts w:ascii="Arial" w:hAnsi="Arial" w:cs="Arial"/>
          <w:noProof/>
        </w:rPr>
      </w:pPr>
      <w:r w:rsidRPr="004A5DEF">
        <w:rPr>
          <w:rFonts w:ascii="Arial" w:hAnsi="Arial" w:cs="Arial"/>
          <w:noProof/>
        </w:rPr>
        <w:t>Wearable technologies are especially promising due to their ability to deliver real-time, passive support, reducing reliance on user-initiated action during moments of high craving (Nahum-Shani, 2018).</w:t>
      </w:r>
    </w:p>
    <w:p w14:paraId="0C47887C" w14:textId="77777777" w:rsidR="00FC2B97" w:rsidRPr="00FC2B97" w:rsidRDefault="00FC2B97" w:rsidP="00FC2B97">
      <w:pPr>
        <w:spacing w:line="360" w:lineRule="auto"/>
        <w:jc w:val="both"/>
        <w:rPr>
          <w:rFonts w:ascii="Arial" w:hAnsi="Arial" w:cs="Arial"/>
          <w:b/>
          <w:bCs/>
          <w:noProof/>
        </w:rPr>
      </w:pPr>
      <w:r w:rsidRPr="00FC2B97">
        <w:rPr>
          <w:rFonts w:ascii="Arial" w:hAnsi="Arial" w:cs="Arial"/>
          <w:b/>
          <w:bCs/>
          <w:noProof/>
        </w:rPr>
        <w:t>StopWatch: A Smartwatch-Based Smoking Cessation Tool</w:t>
      </w:r>
    </w:p>
    <w:p w14:paraId="2F4BB039" w14:textId="7D77ABEE" w:rsidR="00FC2B97" w:rsidRPr="00FC2B97" w:rsidRDefault="00FC2B97" w:rsidP="00FC2B97">
      <w:pPr>
        <w:spacing w:line="360" w:lineRule="auto"/>
        <w:jc w:val="both"/>
        <w:rPr>
          <w:rFonts w:ascii="Arial" w:hAnsi="Arial" w:cs="Arial"/>
          <w:noProof/>
        </w:rPr>
      </w:pPr>
      <w:r w:rsidRPr="00FC2B97">
        <w:rPr>
          <w:rFonts w:ascii="Arial" w:hAnsi="Arial" w:cs="Arial"/>
          <w:noProof/>
        </w:rPr>
        <w:t xml:space="preserve">StopWatch is a smartwatch-based smoking cessation system developed by Bristol researcher </w:t>
      </w:r>
      <w:r w:rsidRPr="00FC2B97">
        <w:rPr>
          <w:rFonts w:ascii="Arial" w:hAnsi="Arial" w:cs="Arial"/>
          <w:b/>
          <w:bCs/>
          <w:noProof/>
        </w:rPr>
        <w:t>Andy Skinner</w:t>
      </w:r>
      <w:r w:rsidRPr="00FC2B97">
        <w:rPr>
          <w:rFonts w:ascii="Arial" w:hAnsi="Arial" w:cs="Arial"/>
          <w:noProof/>
        </w:rPr>
        <w:t xml:space="preserve"> and behavioural technologist </w:t>
      </w:r>
      <w:r w:rsidRPr="00FC2B97">
        <w:rPr>
          <w:rFonts w:ascii="Arial" w:hAnsi="Arial" w:cs="Arial"/>
          <w:b/>
          <w:bCs/>
          <w:noProof/>
        </w:rPr>
        <w:t>Chris Stone</w:t>
      </w:r>
      <w:r w:rsidRPr="00FC2B97">
        <w:rPr>
          <w:rFonts w:ascii="Arial" w:hAnsi="Arial" w:cs="Arial"/>
          <w:noProof/>
        </w:rPr>
        <w:t>. Designed as both a wearable and app-based intervention, StopWatch delivers real-time prompts and biometric feedback directly to users’ wrists to support smoking cessation (Skinner and Stone, 2019).</w:t>
      </w:r>
    </w:p>
    <w:p w14:paraId="57319186" w14:textId="77777777" w:rsidR="004B159E" w:rsidRDefault="004B159E" w:rsidP="00FC2B97">
      <w:pPr>
        <w:spacing w:line="360" w:lineRule="auto"/>
        <w:jc w:val="both"/>
        <w:rPr>
          <w:rFonts w:ascii="Arial" w:hAnsi="Arial" w:cs="Arial"/>
          <w:noProof/>
        </w:rPr>
      </w:pPr>
      <w:r w:rsidRPr="00332619">
        <w:rPr>
          <w:rFonts w:ascii="Arial" w:hAnsi="Arial" w:cs="Arial"/>
          <w:noProof/>
        </w:rPr>
        <w:drawing>
          <wp:anchor distT="0" distB="0" distL="114300" distR="114300" simplePos="0" relativeHeight="251672064" behindDoc="0" locked="0" layoutInCell="1" allowOverlap="1" wp14:anchorId="574C78F1" wp14:editId="157EC3E2">
            <wp:simplePos x="0" y="0"/>
            <wp:positionH relativeFrom="page">
              <wp:align>left</wp:align>
            </wp:positionH>
            <wp:positionV relativeFrom="paragraph">
              <wp:posOffset>101600</wp:posOffset>
            </wp:positionV>
            <wp:extent cx="3146425" cy="3383915"/>
            <wp:effectExtent l="0" t="0" r="0" b="6985"/>
            <wp:wrapSquare wrapText="bothSides"/>
            <wp:docPr id="45628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53411" name=""/>
                    <pic:cNvPicPr/>
                  </pic:nvPicPr>
                  <pic:blipFill>
                    <a:blip r:embed="rId9"/>
                    <a:stretch>
                      <a:fillRect/>
                    </a:stretch>
                  </pic:blipFill>
                  <pic:spPr>
                    <a:xfrm>
                      <a:off x="0" y="0"/>
                      <a:ext cx="3146425" cy="3383915"/>
                    </a:xfrm>
                    <a:prstGeom prst="rect">
                      <a:avLst/>
                    </a:prstGeom>
                  </pic:spPr>
                </pic:pic>
              </a:graphicData>
            </a:graphic>
            <wp14:sizeRelH relativeFrom="margin">
              <wp14:pctWidth>0</wp14:pctWidth>
            </wp14:sizeRelH>
            <wp14:sizeRelV relativeFrom="margin">
              <wp14:pctHeight>0</wp14:pctHeight>
            </wp14:sizeRelV>
          </wp:anchor>
        </w:drawing>
      </w:r>
      <w:r w:rsidR="00FC2B97" w:rsidRPr="00FC2B97">
        <w:rPr>
          <w:rFonts w:ascii="Arial" w:hAnsi="Arial" w:cs="Arial"/>
          <w:noProof/>
        </w:rPr>
        <w:t xml:space="preserve">The system uses behaviour change techniques including </w:t>
      </w:r>
      <w:r w:rsidR="00FC2B97" w:rsidRPr="00FC2B97">
        <w:rPr>
          <w:rFonts w:ascii="Arial" w:hAnsi="Arial" w:cs="Arial"/>
          <w:b/>
          <w:bCs/>
          <w:noProof/>
        </w:rPr>
        <w:t>self-monitoring, cue-prompting and goal setting</w:t>
      </w:r>
      <w:r w:rsidR="00FC2B97" w:rsidRPr="00FC2B97">
        <w:rPr>
          <w:rFonts w:ascii="Arial" w:hAnsi="Arial" w:cs="Arial"/>
          <w:noProof/>
        </w:rPr>
        <w:t xml:space="preserve">, which are proven to support sustained behaviour change (Michie, 2017). </w:t>
      </w:r>
    </w:p>
    <w:p w14:paraId="05B456DF" w14:textId="3B2D62BC" w:rsidR="00FC2B97" w:rsidRPr="00FC2B97" w:rsidRDefault="00FC2B97" w:rsidP="00FC2B97">
      <w:pPr>
        <w:spacing w:line="360" w:lineRule="auto"/>
        <w:jc w:val="both"/>
        <w:rPr>
          <w:rFonts w:ascii="Arial" w:hAnsi="Arial" w:cs="Arial"/>
          <w:noProof/>
        </w:rPr>
      </w:pPr>
      <w:r w:rsidRPr="00FC2B97">
        <w:rPr>
          <w:rFonts w:ascii="Arial" w:hAnsi="Arial" w:cs="Arial"/>
          <w:noProof/>
        </w:rPr>
        <w:t xml:space="preserve">StopWatch tracks </w:t>
      </w:r>
      <w:r w:rsidRPr="00FC2B97">
        <w:rPr>
          <w:rFonts w:ascii="Arial" w:hAnsi="Arial" w:cs="Arial"/>
          <w:b/>
          <w:bCs/>
          <w:noProof/>
        </w:rPr>
        <w:t>heart rate variability and stress indicators</w:t>
      </w:r>
      <w:r w:rsidRPr="00FC2B97">
        <w:rPr>
          <w:rFonts w:ascii="Arial" w:hAnsi="Arial" w:cs="Arial"/>
          <w:noProof/>
        </w:rPr>
        <w:t xml:space="preserve"> to predict craving episodes, delivering timely motivational messages and guided breathing exercises during high-risk moments (Skinner and Stone, 2019).</w:t>
      </w:r>
    </w:p>
    <w:p w14:paraId="72756C85" w14:textId="1B29DAC7" w:rsidR="00FC2B97" w:rsidRPr="00FC2B97" w:rsidRDefault="00FC2B97" w:rsidP="00FC2B97">
      <w:pPr>
        <w:spacing w:line="360" w:lineRule="auto"/>
        <w:jc w:val="both"/>
        <w:rPr>
          <w:rFonts w:ascii="Arial" w:hAnsi="Arial" w:cs="Arial"/>
          <w:noProof/>
        </w:rPr>
      </w:pPr>
      <w:r w:rsidRPr="00FC2B97">
        <w:rPr>
          <w:rFonts w:ascii="Arial" w:hAnsi="Arial" w:cs="Arial"/>
          <w:noProof/>
        </w:rPr>
        <w:t xml:space="preserve">In real-world use, individuals benefit from features such as </w:t>
      </w:r>
      <w:r w:rsidRPr="00FC2B97">
        <w:rPr>
          <w:rFonts w:ascii="Arial" w:hAnsi="Arial" w:cs="Arial"/>
          <w:b/>
          <w:bCs/>
          <w:noProof/>
        </w:rPr>
        <w:t>smoke-free streak tracking, money saved calculators and visual health improvements</w:t>
      </w:r>
      <w:r w:rsidRPr="00FC2B97">
        <w:rPr>
          <w:rFonts w:ascii="Arial" w:hAnsi="Arial" w:cs="Arial"/>
          <w:noProof/>
        </w:rPr>
        <w:t>, which reinforce motivation through continuous positive feedback (Skinner and Stone, 2019).</w:t>
      </w:r>
    </w:p>
    <w:p w14:paraId="18095BC2" w14:textId="77777777" w:rsidR="00887083" w:rsidRDefault="00887083" w:rsidP="001A6222">
      <w:pPr>
        <w:spacing w:line="360" w:lineRule="auto"/>
        <w:jc w:val="both"/>
        <w:rPr>
          <w:rFonts w:ascii="Arial" w:hAnsi="Arial" w:cs="Arial"/>
          <w:b/>
          <w:bCs/>
          <w:noProof/>
        </w:rPr>
      </w:pPr>
    </w:p>
    <w:p w14:paraId="2D8838FC" w14:textId="54C155E7" w:rsidR="001A6222" w:rsidRPr="001A6222" w:rsidRDefault="001A6222" w:rsidP="001A6222">
      <w:pPr>
        <w:spacing w:line="360" w:lineRule="auto"/>
        <w:jc w:val="both"/>
        <w:rPr>
          <w:rFonts w:ascii="Arial" w:hAnsi="Arial" w:cs="Arial"/>
          <w:b/>
          <w:bCs/>
          <w:noProof/>
        </w:rPr>
      </w:pPr>
      <w:r w:rsidRPr="001A6222">
        <w:rPr>
          <w:rFonts w:ascii="Arial" w:hAnsi="Arial" w:cs="Arial"/>
          <w:b/>
          <w:bCs/>
          <w:noProof/>
        </w:rPr>
        <w:t>Advantages and Limitations of StopWatch</w:t>
      </w:r>
    </w:p>
    <w:p w14:paraId="5DFEE700" w14:textId="77777777" w:rsidR="001A6222" w:rsidRPr="00B11ACE" w:rsidRDefault="001A6222" w:rsidP="001A6222">
      <w:pPr>
        <w:spacing w:line="360" w:lineRule="auto"/>
        <w:jc w:val="both"/>
        <w:rPr>
          <w:rFonts w:ascii="Arial" w:hAnsi="Arial" w:cs="Arial"/>
          <w:noProof/>
        </w:rPr>
      </w:pPr>
      <w:r w:rsidRPr="00B11ACE">
        <w:rPr>
          <w:rFonts w:ascii="Arial" w:hAnsi="Arial" w:cs="Arial"/>
          <w:noProof/>
        </w:rPr>
        <w:t>Advantages of StopWatch include its hands-free delivery, real-time personalisation and ability to intervene during moments of vulnerability, supporting improved self-regulation (Nahum-Shani, 2018). Wearable-based interventions have been shown to strengthen adherence and engagement over time (Whittaker, 2019).</w:t>
      </w:r>
    </w:p>
    <w:p w14:paraId="5D4CBA2D" w14:textId="77777777" w:rsidR="005F358C" w:rsidRDefault="001A6222" w:rsidP="001A6222">
      <w:pPr>
        <w:spacing w:line="360" w:lineRule="auto"/>
        <w:jc w:val="both"/>
        <w:rPr>
          <w:rFonts w:ascii="Arial" w:hAnsi="Arial" w:cs="Arial"/>
          <w:noProof/>
        </w:rPr>
      </w:pPr>
      <w:r w:rsidRPr="00B11ACE">
        <w:rPr>
          <w:rFonts w:ascii="Arial" w:hAnsi="Arial" w:cs="Arial"/>
          <w:noProof/>
        </w:rPr>
        <w:t xml:space="preserve">However, limitations remain. Digital exclusion poses a significant barrier for individuals without access to smartwatches or adequate digital literacy (NHS Digital, 2019). </w:t>
      </w:r>
    </w:p>
    <w:p w14:paraId="16F0C178" w14:textId="6AD3E031" w:rsidR="001A6222" w:rsidRPr="00B11ACE" w:rsidRDefault="001A6222" w:rsidP="001A6222">
      <w:pPr>
        <w:spacing w:line="360" w:lineRule="auto"/>
        <w:jc w:val="both"/>
        <w:rPr>
          <w:rFonts w:ascii="Arial" w:hAnsi="Arial" w:cs="Arial"/>
          <w:noProof/>
        </w:rPr>
      </w:pPr>
      <w:r w:rsidRPr="00B11ACE">
        <w:rPr>
          <w:rFonts w:ascii="Arial" w:hAnsi="Arial" w:cs="Arial"/>
          <w:noProof/>
        </w:rPr>
        <w:t>Engagement may decline without regular content updates or integration with clinical support (Michie, 2017). Additionally, individuals with high nicotine dependence may require pharmacological support alongside behavioural interventions, which StopWatch alone cannot provide (NICE, 2019).</w:t>
      </w:r>
    </w:p>
    <w:p w14:paraId="2D3AE399" w14:textId="0B4F47BE" w:rsidR="001A6222" w:rsidRPr="001A6222" w:rsidRDefault="001A6222" w:rsidP="001A6222">
      <w:pPr>
        <w:spacing w:line="360" w:lineRule="auto"/>
        <w:jc w:val="both"/>
        <w:rPr>
          <w:rFonts w:ascii="Arial" w:hAnsi="Arial" w:cs="Arial"/>
          <w:noProof/>
        </w:rPr>
      </w:pPr>
    </w:p>
    <w:p w14:paraId="473A379A" w14:textId="77777777" w:rsidR="001A6222" w:rsidRPr="005F358C" w:rsidRDefault="001A6222" w:rsidP="001A6222">
      <w:pPr>
        <w:spacing w:line="360" w:lineRule="auto"/>
        <w:jc w:val="both"/>
        <w:rPr>
          <w:rFonts w:ascii="Arial" w:hAnsi="Arial" w:cs="Arial"/>
          <w:b/>
          <w:bCs/>
          <w:noProof/>
        </w:rPr>
      </w:pPr>
      <w:r w:rsidRPr="005F358C">
        <w:rPr>
          <w:rFonts w:ascii="Arial" w:hAnsi="Arial" w:cs="Arial"/>
          <w:b/>
          <w:bCs/>
          <w:noProof/>
        </w:rPr>
        <w:t>Conclusion</w:t>
      </w:r>
    </w:p>
    <w:p w14:paraId="1F73F2AD" w14:textId="77777777" w:rsidR="001A6222" w:rsidRPr="001A6222" w:rsidRDefault="001A6222" w:rsidP="001A6222">
      <w:pPr>
        <w:spacing w:line="360" w:lineRule="auto"/>
        <w:jc w:val="both"/>
        <w:rPr>
          <w:rFonts w:ascii="Arial" w:hAnsi="Arial" w:cs="Arial"/>
          <w:noProof/>
        </w:rPr>
      </w:pPr>
      <w:r w:rsidRPr="001A6222">
        <w:rPr>
          <w:rFonts w:ascii="Arial" w:hAnsi="Arial" w:cs="Arial"/>
          <w:noProof/>
        </w:rPr>
        <w:t>In conclusion, StopWatch represents a promising digital health intervention that embeds smoking cessation support into everyday life. Integrating StopWatch with NHS Stop Smoking Services could enhance equity, effectiveness and long-term outcomes by combining behavioural and pharmacological support while addressing digital exclusion (NICE, 2019).</w:t>
      </w:r>
    </w:p>
    <w:p w14:paraId="3D0FB1E4" w14:textId="77777777" w:rsidR="00FC2B97" w:rsidRPr="004A5DEF" w:rsidRDefault="00FC2B97" w:rsidP="004A5DEF">
      <w:pPr>
        <w:spacing w:line="360" w:lineRule="auto"/>
        <w:jc w:val="both"/>
        <w:rPr>
          <w:rFonts w:ascii="Arial" w:hAnsi="Arial" w:cs="Arial"/>
          <w:noProof/>
        </w:rPr>
      </w:pPr>
    </w:p>
    <w:p w14:paraId="23BFB156" w14:textId="77777777" w:rsidR="005B5816" w:rsidRDefault="005B5816" w:rsidP="00666EDF">
      <w:pPr>
        <w:spacing w:line="360" w:lineRule="auto"/>
        <w:jc w:val="both"/>
        <w:rPr>
          <w:rFonts w:ascii="Arial" w:hAnsi="Arial" w:cs="Arial"/>
          <w:b/>
          <w:bCs/>
          <w:noProof/>
          <w:sz w:val="28"/>
          <w:szCs w:val="28"/>
        </w:rPr>
      </w:pPr>
    </w:p>
    <w:p w14:paraId="41873418" w14:textId="77777777" w:rsidR="005B5816" w:rsidRDefault="005B5816" w:rsidP="00666EDF">
      <w:pPr>
        <w:spacing w:line="360" w:lineRule="auto"/>
        <w:jc w:val="both"/>
        <w:rPr>
          <w:rFonts w:ascii="Arial" w:hAnsi="Arial" w:cs="Arial"/>
          <w:b/>
          <w:bCs/>
          <w:noProof/>
          <w:sz w:val="28"/>
          <w:szCs w:val="28"/>
        </w:rPr>
      </w:pPr>
    </w:p>
    <w:p w14:paraId="739BC636" w14:textId="77777777" w:rsidR="005B5816" w:rsidRDefault="005B5816" w:rsidP="00666EDF">
      <w:pPr>
        <w:spacing w:line="360" w:lineRule="auto"/>
        <w:jc w:val="both"/>
        <w:rPr>
          <w:rFonts w:ascii="Arial" w:hAnsi="Arial" w:cs="Arial"/>
          <w:b/>
          <w:bCs/>
          <w:noProof/>
          <w:sz w:val="28"/>
          <w:szCs w:val="28"/>
        </w:rPr>
      </w:pPr>
    </w:p>
    <w:p w14:paraId="0EEC7FA1" w14:textId="77777777" w:rsidR="005B5816" w:rsidRDefault="005B5816" w:rsidP="00666EDF">
      <w:pPr>
        <w:spacing w:line="360" w:lineRule="auto"/>
        <w:jc w:val="both"/>
        <w:rPr>
          <w:rFonts w:ascii="Arial" w:hAnsi="Arial" w:cs="Arial"/>
          <w:b/>
          <w:bCs/>
          <w:noProof/>
          <w:sz w:val="28"/>
          <w:szCs w:val="28"/>
        </w:rPr>
      </w:pPr>
    </w:p>
    <w:p w14:paraId="041A5398" w14:textId="77777777" w:rsidR="005B5816" w:rsidRDefault="005B5816" w:rsidP="00666EDF">
      <w:pPr>
        <w:spacing w:line="360" w:lineRule="auto"/>
        <w:jc w:val="both"/>
        <w:rPr>
          <w:rFonts w:ascii="Arial" w:hAnsi="Arial" w:cs="Arial"/>
          <w:b/>
          <w:bCs/>
          <w:noProof/>
          <w:sz w:val="28"/>
          <w:szCs w:val="28"/>
        </w:rPr>
      </w:pPr>
    </w:p>
    <w:p w14:paraId="24A19360" w14:textId="0F7B77C0" w:rsidR="0032609E" w:rsidRDefault="0032609E" w:rsidP="003E64C2">
      <w:pPr>
        <w:shd w:val="clear" w:color="auto" w:fill="FFFFFF"/>
        <w:spacing w:before="100" w:beforeAutospacing="1" w:after="100" w:afterAutospacing="1" w:line="240" w:lineRule="auto"/>
        <w:rPr>
          <w:rFonts w:ascii="Arial" w:hAnsi="Arial" w:cs="Arial"/>
        </w:rPr>
      </w:pPr>
    </w:p>
    <w:p w14:paraId="3672AB02" w14:textId="77777777" w:rsidR="0032609E" w:rsidRDefault="0032609E" w:rsidP="003E64C2">
      <w:pPr>
        <w:shd w:val="clear" w:color="auto" w:fill="FFFFFF"/>
        <w:spacing w:before="100" w:beforeAutospacing="1" w:after="100" w:afterAutospacing="1" w:line="240" w:lineRule="auto"/>
        <w:rPr>
          <w:rFonts w:ascii="Arial" w:hAnsi="Arial" w:cs="Arial"/>
        </w:rPr>
      </w:pPr>
    </w:p>
    <w:p w14:paraId="1289189B" w14:textId="77777777" w:rsidR="003E64C2" w:rsidRDefault="003E64C2" w:rsidP="003E64C2">
      <w:pPr>
        <w:shd w:val="clear" w:color="auto" w:fill="FFFFFF"/>
        <w:spacing w:before="100" w:beforeAutospacing="1" w:after="100" w:afterAutospacing="1" w:line="240" w:lineRule="auto"/>
        <w:rPr>
          <w:rFonts w:ascii="Arial" w:hAnsi="Arial" w:cs="Arial"/>
        </w:rPr>
      </w:pPr>
    </w:p>
    <w:p w14:paraId="3D6F5D85" w14:textId="2F61A3B0" w:rsidR="003E64C2" w:rsidRPr="007F2BCC" w:rsidRDefault="003E64C2" w:rsidP="003E64C2">
      <w:pPr>
        <w:shd w:val="clear" w:color="auto" w:fill="FFFFFF"/>
        <w:spacing w:before="100" w:beforeAutospacing="1" w:after="100" w:afterAutospacing="1" w:line="240" w:lineRule="auto"/>
        <w:rPr>
          <w:rFonts w:ascii="Arial" w:hAnsi="Arial" w:cs="Arial"/>
        </w:rPr>
      </w:pPr>
      <w:r w:rsidRPr="007F2BCC">
        <w:rPr>
          <w:rFonts w:ascii="Arial" w:hAnsi="Arial" w:cs="Arial"/>
        </w:rPr>
        <w:t>REFERENCES:</w:t>
      </w:r>
    </w:p>
    <w:p w14:paraId="74637CC6" w14:textId="0611BBD3" w:rsidR="003E64C2" w:rsidRPr="007F2BCC" w:rsidRDefault="003E64C2" w:rsidP="003E64C2">
      <w:pPr>
        <w:shd w:val="clear" w:color="auto" w:fill="FFFFFF"/>
        <w:spacing w:before="100" w:beforeAutospacing="1" w:after="100" w:afterAutospacing="1" w:line="240" w:lineRule="auto"/>
        <w:rPr>
          <w:rFonts w:ascii="Arial" w:eastAsia="Times New Roman" w:hAnsi="Arial" w:cs="Arial"/>
          <w:color w:val="156082" w:themeColor="accent1"/>
          <w:kern w:val="0"/>
          <w:lang w:eastAsia="en-GB"/>
          <w14:ligatures w14:val="none"/>
        </w:rPr>
      </w:pPr>
      <w:r w:rsidRPr="007F2BCC">
        <w:rPr>
          <w:rFonts w:ascii="Arial" w:hAnsi="Arial" w:cs="Arial"/>
        </w:rPr>
        <w:t>Michie, S., Richardson, M., Johnston, M., Abraham, C., Francis, J., Hardeman, W. and Wood, C. (201</w:t>
      </w:r>
      <w:r w:rsidR="00FD49CF" w:rsidRPr="007F2BCC">
        <w:rPr>
          <w:rFonts w:ascii="Arial" w:hAnsi="Arial" w:cs="Arial"/>
        </w:rPr>
        <w:t>3</w:t>
      </w:r>
      <w:r w:rsidRPr="007F2BCC">
        <w:rPr>
          <w:rFonts w:ascii="Arial" w:hAnsi="Arial" w:cs="Arial"/>
        </w:rPr>
        <w:t xml:space="preserve">) ‘The behaviour change technique taxonomy (v1) of 93 hierarchically clustered techniques’, </w:t>
      </w:r>
      <w:r w:rsidRPr="007F2BCC">
        <w:rPr>
          <w:rStyle w:val="Emphasis"/>
          <w:rFonts w:ascii="Arial" w:hAnsi="Arial" w:cs="Arial"/>
        </w:rPr>
        <w:t>Annals of Behavioural Medicine</w:t>
      </w:r>
      <w:r w:rsidRPr="007F2BCC">
        <w:rPr>
          <w:rFonts w:ascii="Arial" w:hAnsi="Arial" w:cs="Arial"/>
        </w:rPr>
        <w:t xml:space="preserve">, 46(1), pp. 81–95.Available at: </w:t>
      </w:r>
      <w:r w:rsidRPr="007F2BCC">
        <w:rPr>
          <w:rFonts w:ascii="Arial" w:eastAsia="Times New Roman" w:hAnsi="Arial" w:cs="Arial"/>
          <w:color w:val="212121"/>
          <w:kern w:val="0"/>
          <w:lang w:eastAsia="en-GB"/>
          <w14:ligatures w14:val="none"/>
        </w:rPr>
        <w:t xml:space="preserve"> DOI: </w:t>
      </w:r>
      <w:hyperlink r:id="rId10" w:tgtFrame="_blank" w:history="1">
        <w:r w:rsidRPr="007F2BCC">
          <w:rPr>
            <w:rFonts w:ascii="Arial" w:eastAsia="Times New Roman" w:hAnsi="Arial" w:cs="Arial"/>
            <w:color w:val="156082" w:themeColor="accent1"/>
            <w:kern w:val="0"/>
            <w:lang w:eastAsia="en-GB"/>
            <w14:ligatures w14:val="none"/>
          </w:rPr>
          <w:t>10.1007/s12160-013-9486-6</w:t>
        </w:r>
      </w:hyperlink>
      <w:r w:rsidRPr="007F2BCC">
        <w:rPr>
          <w:rFonts w:ascii="Arial" w:eastAsia="Times New Roman" w:hAnsi="Arial" w:cs="Arial"/>
          <w:color w:val="156082" w:themeColor="accent1"/>
          <w:kern w:val="0"/>
          <w:lang w:eastAsia="en-GB"/>
          <w14:ligatures w14:val="none"/>
        </w:rPr>
        <w:t>.</w:t>
      </w:r>
    </w:p>
    <w:p w14:paraId="24D6A0D4" w14:textId="0D785D92" w:rsidR="007F2BCC" w:rsidRPr="007F2BCC" w:rsidRDefault="007F2BCC" w:rsidP="003E64C2">
      <w:pPr>
        <w:shd w:val="clear" w:color="auto" w:fill="FFFFFF"/>
        <w:spacing w:before="100" w:beforeAutospacing="1" w:after="100" w:afterAutospacing="1" w:line="240" w:lineRule="auto"/>
        <w:rPr>
          <w:rFonts w:ascii="Arial" w:eastAsia="Times New Roman" w:hAnsi="Arial" w:cs="Arial"/>
          <w:color w:val="212121"/>
          <w:kern w:val="0"/>
          <w:lang w:eastAsia="en-GB"/>
          <w14:ligatures w14:val="none"/>
        </w:rPr>
      </w:pPr>
      <w:r w:rsidRPr="007F2BCC">
        <w:rPr>
          <w:rFonts w:ascii="Arial" w:hAnsi="Arial" w:cs="Arial"/>
          <w:color w:val="212121"/>
          <w:shd w:val="clear" w:color="auto" w:fill="FFFFFF"/>
        </w:rPr>
        <w:t xml:space="preserve">Nahum-Shani I, Smith SN, Spring BJ, Collins LM, </w:t>
      </w:r>
      <w:proofErr w:type="spellStart"/>
      <w:r w:rsidRPr="007F2BCC">
        <w:rPr>
          <w:rFonts w:ascii="Arial" w:hAnsi="Arial" w:cs="Arial"/>
          <w:color w:val="212121"/>
          <w:shd w:val="clear" w:color="auto" w:fill="FFFFFF"/>
        </w:rPr>
        <w:t>Witkiewitz</w:t>
      </w:r>
      <w:proofErr w:type="spellEnd"/>
      <w:r w:rsidRPr="007F2BCC">
        <w:rPr>
          <w:rFonts w:ascii="Arial" w:hAnsi="Arial" w:cs="Arial"/>
          <w:color w:val="212121"/>
          <w:shd w:val="clear" w:color="auto" w:fill="FFFFFF"/>
        </w:rPr>
        <w:t xml:space="preserve"> K, Tewari A, Murphy SA. (2019) ‘Just-in-Time Adaptive Interventions (JITAIs) in Mobile Health: Key Components and Design Principles for Ongoing Health Behaviour Support. </w:t>
      </w:r>
      <w:r w:rsidRPr="007F2BCC">
        <w:rPr>
          <w:rFonts w:ascii="Arial" w:hAnsi="Arial" w:cs="Arial"/>
          <w:i/>
          <w:iCs/>
          <w:color w:val="212121"/>
          <w:shd w:val="clear" w:color="auto" w:fill="FFFFFF"/>
        </w:rPr>
        <w:t xml:space="preserve">Ann Behav Med. </w:t>
      </w:r>
      <w:r w:rsidRPr="007F2BCC">
        <w:rPr>
          <w:rFonts w:ascii="Arial" w:hAnsi="Arial" w:cs="Arial"/>
          <w:color w:val="212121"/>
          <w:shd w:val="clear" w:color="auto" w:fill="FFFFFF"/>
        </w:rPr>
        <w:t xml:space="preserve">18;52(6):446-462.’ </w:t>
      </w:r>
      <w:r w:rsidRPr="007F2BCC">
        <w:rPr>
          <w:rFonts w:ascii="Arial" w:eastAsia="Times New Roman" w:hAnsi="Arial" w:cs="Arial"/>
          <w:color w:val="212121"/>
          <w:kern w:val="0"/>
          <w:lang w:eastAsia="en-GB"/>
          <w14:ligatures w14:val="none"/>
        </w:rPr>
        <w:t>Available at: DOI: </w:t>
      </w:r>
      <w:hyperlink r:id="rId11" w:tgtFrame="_blank" w:history="1">
        <w:r w:rsidRPr="007F2BCC">
          <w:rPr>
            <w:rFonts w:ascii="Arial" w:eastAsia="Times New Roman" w:hAnsi="Arial" w:cs="Arial"/>
            <w:color w:val="0071BC"/>
            <w:kern w:val="0"/>
            <w:lang w:eastAsia="en-GB"/>
            <w14:ligatures w14:val="none"/>
          </w:rPr>
          <w:t>10.1007/s12160-016-9830-8</w:t>
        </w:r>
      </w:hyperlink>
      <w:r w:rsidRPr="007F2BCC">
        <w:rPr>
          <w:rFonts w:ascii="Arial" w:eastAsia="Times New Roman" w:hAnsi="Arial" w:cs="Arial"/>
          <w:color w:val="212121"/>
          <w:kern w:val="0"/>
          <w:lang w:eastAsia="en-GB"/>
          <w14:ligatures w14:val="none"/>
        </w:rPr>
        <w:t>.</w:t>
      </w:r>
    </w:p>
    <w:p w14:paraId="27B6A062" w14:textId="715F4938" w:rsidR="003E64C2" w:rsidRPr="007F2BCC" w:rsidRDefault="003E64C2" w:rsidP="003E64C2">
      <w:pPr>
        <w:pStyle w:val="NormalWeb"/>
        <w:rPr>
          <w:rFonts w:ascii="Arial" w:hAnsi="Arial" w:cs="Arial"/>
        </w:rPr>
      </w:pPr>
      <w:r w:rsidRPr="007F2BCC">
        <w:rPr>
          <w:rFonts w:ascii="Arial" w:hAnsi="Arial" w:cs="Arial"/>
        </w:rPr>
        <w:t>NHS</w:t>
      </w:r>
      <w:r w:rsidR="00FD49CF" w:rsidRPr="007F2BCC">
        <w:rPr>
          <w:rFonts w:ascii="Arial" w:hAnsi="Arial" w:cs="Arial"/>
        </w:rPr>
        <w:t>.</w:t>
      </w:r>
      <w:r w:rsidRPr="007F2BCC">
        <w:rPr>
          <w:rFonts w:ascii="Arial" w:hAnsi="Arial" w:cs="Arial"/>
        </w:rPr>
        <w:t xml:space="preserve"> (2023) ‘</w:t>
      </w:r>
      <w:r w:rsidRPr="007F2BCC">
        <w:rPr>
          <w:rStyle w:val="Emphasis"/>
          <w:rFonts w:ascii="Arial" w:eastAsiaTheme="majorEastAsia" w:hAnsi="Arial" w:cs="Arial"/>
        </w:rPr>
        <w:t>Quit smoking</w:t>
      </w:r>
      <w:r w:rsidRPr="007F2BCC">
        <w:rPr>
          <w:rFonts w:ascii="Arial" w:hAnsi="Arial" w:cs="Arial"/>
        </w:rPr>
        <w:t xml:space="preserve">.’ Available at: </w:t>
      </w:r>
      <w:hyperlink r:id="rId12" w:history="1">
        <w:r w:rsidRPr="007F2BCC">
          <w:rPr>
            <w:rStyle w:val="Hyperlink"/>
            <w:rFonts w:ascii="Arial" w:hAnsi="Arial" w:cs="Arial"/>
          </w:rPr>
          <w:t>https://www.nhs.uk/better-health/quit-smoking</w:t>
        </w:r>
      </w:hyperlink>
      <w:r w:rsidRPr="007F2BCC">
        <w:rPr>
          <w:rFonts w:ascii="Arial" w:hAnsi="Arial" w:cs="Arial"/>
        </w:rPr>
        <w:t>.  (Accessed: 20 January 2026).</w:t>
      </w:r>
    </w:p>
    <w:p w14:paraId="24338B2C" w14:textId="6BD3A09E" w:rsidR="003E64C2" w:rsidRPr="007F2BCC" w:rsidRDefault="003E64C2" w:rsidP="003E64C2">
      <w:pPr>
        <w:pStyle w:val="NormalWeb"/>
        <w:rPr>
          <w:rFonts w:ascii="Arial" w:hAnsi="Arial" w:cs="Arial"/>
        </w:rPr>
      </w:pPr>
      <w:r w:rsidRPr="007F2BCC">
        <w:rPr>
          <w:rFonts w:ascii="Arial" w:hAnsi="Arial" w:cs="Arial"/>
        </w:rPr>
        <w:t>NHS Digital</w:t>
      </w:r>
      <w:r w:rsidR="00FD49CF" w:rsidRPr="007F2BCC">
        <w:rPr>
          <w:rFonts w:ascii="Arial" w:hAnsi="Arial" w:cs="Arial"/>
        </w:rPr>
        <w:t xml:space="preserve">. </w:t>
      </w:r>
      <w:r w:rsidRPr="007F2BCC">
        <w:rPr>
          <w:rFonts w:ascii="Arial" w:hAnsi="Arial" w:cs="Arial"/>
        </w:rPr>
        <w:t>(2023) ‘</w:t>
      </w:r>
      <w:r w:rsidRPr="007F2BCC">
        <w:rPr>
          <w:rStyle w:val="Emphasis"/>
          <w:rFonts w:ascii="Arial" w:eastAsiaTheme="majorEastAsia" w:hAnsi="Arial" w:cs="Arial"/>
        </w:rPr>
        <w:t>Digital inclusion and health inequalities</w:t>
      </w:r>
      <w:r w:rsidRPr="007F2BCC">
        <w:rPr>
          <w:rFonts w:ascii="Arial" w:hAnsi="Arial" w:cs="Arial"/>
        </w:rPr>
        <w:t xml:space="preserve">.’ Available at: </w:t>
      </w:r>
      <w:hyperlink r:id="rId13" w:history="1">
        <w:r w:rsidRPr="007F2BCC">
          <w:rPr>
            <w:rStyle w:val="Hyperlink"/>
            <w:rFonts w:ascii="Arial" w:hAnsi="Arial" w:cs="Arial"/>
          </w:rPr>
          <w:t>https://digital.nhs.uk</w:t>
        </w:r>
      </w:hyperlink>
      <w:r w:rsidRPr="007F2BCC">
        <w:rPr>
          <w:rFonts w:ascii="Arial" w:hAnsi="Arial" w:cs="Arial"/>
        </w:rPr>
        <w:t>.  (Accessed: 20 January 2026).</w:t>
      </w:r>
    </w:p>
    <w:p w14:paraId="686ED9F8" w14:textId="30C5AE22" w:rsidR="003E64C2" w:rsidRPr="007F2BCC" w:rsidRDefault="003E64C2" w:rsidP="003E64C2">
      <w:pPr>
        <w:pStyle w:val="NormalWeb"/>
        <w:rPr>
          <w:rFonts w:ascii="Arial" w:hAnsi="Arial" w:cs="Arial"/>
        </w:rPr>
      </w:pPr>
      <w:r w:rsidRPr="007F2BCC">
        <w:rPr>
          <w:rFonts w:ascii="Arial" w:hAnsi="Arial" w:cs="Arial"/>
        </w:rPr>
        <w:t>NICE</w:t>
      </w:r>
      <w:r w:rsidR="00FD49CF" w:rsidRPr="007F2BCC">
        <w:rPr>
          <w:rFonts w:ascii="Arial" w:hAnsi="Arial" w:cs="Arial"/>
        </w:rPr>
        <w:t>.</w:t>
      </w:r>
      <w:r w:rsidRPr="007F2BCC">
        <w:rPr>
          <w:rFonts w:ascii="Arial" w:hAnsi="Arial" w:cs="Arial"/>
        </w:rPr>
        <w:t xml:space="preserve"> (2021) ‘</w:t>
      </w:r>
      <w:r w:rsidRPr="007F2BCC">
        <w:rPr>
          <w:rStyle w:val="Emphasis"/>
          <w:rFonts w:ascii="Arial" w:eastAsiaTheme="majorEastAsia" w:hAnsi="Arial" w:cs="Arial"/>
          <w:i w:val="0"/>
          <w:iCs w:val="0"/>
        </w:rPr>
        <w:t>Tobacco: preventing uptake, promoting quitting and treating dependence (NG209)</w:t>
      </w:r>
      <w:r w:rsidRPr="007F2BCC">
        <w:rPr>
          <w:rFonts w:ascii="Arial" w:hAnsi="Arial" w:cs="Arial"/>
          <w:i/>
          <w:iCs/>
        </w:rPr>
        <w:t>.</w:t>
      </w:r>
      <w:r w:rsidRPr="007F2BCC">
        <w:rPr>
          <w:rFonts w:ascii="Arial" w:hAnsi="Arial" w:cs="Arial"/>
        </w:rPr>
        <w:t xml:space="preserve">’ </w:t>
      </w:r>
      <w:r w:rsidRPr="007F2BCC">
        <w:rPr>
          <w:rFonts w:ascii="Arial" w:hAnsi="Arial" w:cs="Arial"/>
          <w:i/>
          <w:iCs/>
        </w:rPr>
        <w:t>London:</w:t>
      </w:r>
      <w:r w:rsidRPr="007F2BCC">
        <w:rPr>
          <w:rFonts w:ascii="Arial" w:hAnsi="Arial" w:cs="Arial"/>
        </w:rPr>
        <w:t xml:space="preserve"> </w:t>
      </w:r>
      <w:r w:rsidRPr="007F2BCC">
        <w:rPr>
          <w:rFonts w:ascii="Arial" w:hAnsi="Arial" w:cs="Arial"/>
          <w:i/>
          <w:iCs/>
        </w:rPr>
        <w:t>NICE</w:t>
      </w:r>
      <w:r w:rsidRPr="007F2BCC">
        <w:rPr>
          <w:rFonts w:ascii="Arial" w:hAnsi="Arial" w:cs="Arial"/>
        </w:rPr>
        <w:t>.</w:t>
      </w:r>
      <w:r w:rsidRPr="007F2BCC">
        <w:rPr>
          <w:rFonts w:ascii="Arial" w:eastAsiaTheme="minorHAnsi" w:hAnsi="Arial" w:cs="Arial"/>
          <w:kern w:val="2"/>
          <w:lang w:eastAsia="en-US"/>
          <w14:ligatures w14:val="standardContextual"/>
        </w:rPr>
        <w:t xml:space="preserve"> </w:t>
      </w:r>
      <w:hyperlink r:id="rId14" w:history="1">
        <w:r w:rsidRPr="007F2BCC">
          <w:rPr>
            <w:rFonts w:ascii="Arial" w:eastAsiaTheme="minorHAnsi" w:hAnsi="Arial" w:cs="Arial"/>
            <w:color w:val="156082" w:themeColor="accent1"/>
            <w:kern w:val="2"/>
            <w:u w:val="single"/>
            <w:lang w:eastAsia="en-US"/>
            <w14:ligatures w14:val="standardContextual"/>
          </w:rPr>
          <w:t>Overview | Tobacco: preventing uptake, promoting quitting and treating dependence | Guidance | NICE</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22 January 2026).</w:t>
      </w:r>
    </w:p>
    <w:p w14:paraId="7FACE7C4" w14:textId="2AB61503" w:rsidR="003E64C2" w:rsidRPr="007F2BCC" w:rsidRDefault="003E64C2" w:rsidP="003E64C2">
      <w:pPr>
        <w:pStyle w:val="NormalWeb"/>
        <w:rPr>
          <w:rFonts w:ascii="Arial" w:hAnsi="Arial" w:cs="Arial"/>
        </w:rPr>
      </w:pPr>
      <w:r w:rsidRPr="007F2BCC">
        <w:rPr>
          <w:rFonts w:ascii="Arial" w:hAnsi="Arial" w:cs="Arial"/>
        </w:rPr>
        <w:t>Office for Health Improvement and Disparities</w:t>
      </w:r>
      <w:r w:rsidR="00FD49CF" w:rsidRPr="007F2BCC">
        <w:rPr>
          <w:rFonts w:ascii="Arial" w:hAnsi="Arial" w:cs="Arial"/>
        </w:rPr>
        <w:t>.</w:t>
      </w:r>
      <w:r w:rsidRPr="007F2BCC">
        <w:rPr>
          <w:rFonts w:ascii="Arial" w:hAnsi="Arial" w:cs="Arial"/>
        </w:rPr>
        <w:t xml:space="preserve"> (2022) ‘</w:t>
      </w:r>
      <w:r w:rsidRPr="007F2BCC">
        <w:rPr>
          <w:rStyle w:val="Emphasis"/>
          <w:rFonts w:ascii="Arial" w:eastAsiaTheme="majorEastAsia" w:hAnsi="Arial" w:cs="Arial"/>
          <w:i w:val="0"/>
          <w:iCs w:val="0"/>
        </w:rPr>
        <w:t>Health matters: smoking and tobacco</w:t>
      </w:r>
      <w:r w:rsidRPr="007F2BCC">
        <w:rPr>
          <w:rFonts w:ascii="Arial" w:hAnsi="Arial" w:cs="Arial"/>
        </w:rPr>
        <w:t xml:space="preserve">.’ </w:t>
      </w:r>
      <w:r w:rsidRPr="007F2BCC">
        <w:rPr>
          <w:rFonts w:ascii="Arial" w:hAnsi="Arial" w:cs="Arial"/>
          <w:i/>
          <w:iCs/>
        </w:rPr>
        <w:t>London: OHID.</w:t>
      </w:r>
      <w:r w:rsidRPr="007F2BCC">
        <w:rPr>
          <w:rFonts w:ascii="Arial" w:eastAsiaTheme="minorHAnsi" w:hAnsi="Arial" w:cs="Arial"/>
          <w:kern w:val="2"/>
          <w:lang w:eastAsia="en-US"/>
          <w14:ligatures w14:val="standardContextual"/>
        </w:rPr>
        <w:t xml:space="preserve"> </w:t>
      </w:r>
      <w:hyperlink r:id="rId15" w:history="1">
        <w:r w:rsidRPr="007F2BCC">
          <w:rPr>
            <w:rFonts w:ascii="Arial" w:eastAsiaTheme="minorHAnsi" w:hAnsi="Arial" w:cs="Arial"/>
            <w:color w:val="156082" w:themeColor="accent1"/>
            <w:kern w:val="2"/>
            <w:u w:val="single"/>
            <w:lang w:eastAsia="en-US"/>
            <w14:ligatures w14:val="standardContextual"/>
          </w:rPr>
          <w:t>Smoking and tobacco: applying All Our Health - GOV.UK</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25 January 2026).</w:t>
      </w:r>
    </w:p>
    <w:p w14:paraId="775F7797" w14:textId="3A6D62D1" w:rsidR="007F2BCC" w:rsidRDefault="003E64C2" w:rsidP="007F2BCC">
      <w:pPr>
        <w:pStyle w:val="NormalWeb"/>
        <w:rPr>
          <w:rFonts w:ascii="Arial" w:hAnsi="Arial" w:cs="Arial"/>
          <w:color w:val="212121"/>
        </w:rPr>
      </w:pPr>
      <w:r w:rsidRPr="007F2BCC">
        <w:rPr>
          <w:rFonts w:ascii="Arial" w:hAnsi="Arial" w:cs="Arial"/>
        </w:rPr>
        <w:t>Office for National Statistics</w:t>
      </w:r>
      <w:r w:rsidR="00FD49CF" w:rsidRPr="007F2BCC">
        <w:rPr>
          <w:rFonts w:ascii="Arial" w:hAnsi="Arial" w:cs="Arial"/>
        </w:rPr>
        <w:t>.</w:t>
      </w:r>
      <w:r w:rsidRPr="007F2BCC">
        <w:rPr>
          <w:rFonts w:ascii="Arial" w:hAnsi="Arial" w:cs="Arial"/>
        </w:rPr>
        <w:t xml:space="preserve"> (2023) ‘</w:t>
      </w:r>
      <w:r w:rsidRPr="007F2BCC">
        <w:rPr>
          <w:rStyle w:val="Emphasis"/>
          <w:rFonts w:ascii="Arial" w:eastAsiaTheme="majorEastAsia" w:hAnsi="Arial" w:cs="Arial"/>
          <w:i w:val="0"/>
          <w:iCs w:val="0"/>
        </w:rPr>
        <w:t>Adult smoking habits in the UK</w:t>
      </w:r>
      <w:r w:rsidRPr="007F2BCC">
        <w:rPr>
          <w:rFonts w:ascii="Arial" w:hAnsi="Arial" w:cs="Arial"/>
        </w:rPr>
        <w:t xml:space="preserve">.’ </w:t>
      </w:r>
      <w:r w:rsidRPr="007F2BCC">
        <w:rPr>
          <w:rFonts w:ascii="Arial" w:hAnsi="Arial" w:cs="Arial"/>
          <w:i/>
          <w:iCs/>
        </w:rPr>
        <w:t>London: ONS</w:t>
      </w:r>
      <w:r w:rsidRPr="007F2BCC">
        <w:rPr>
          <w:rFonts w:ascii="Arial" w:hAnsi="Arial" w:cs="Arial"/>
        </w:rPr>
        <w:t>. Available at:</w:t>
      </w:r>
      <w:r w:rsidRPr="007F2BCC">
        <w:rPr>
          <w:rFonts w:ascii="Arial" w:eastAsiaTheme="minorHAnsi" w:hAnsi="Arial" w:cs="Arial"/>
          <w:kern w:val="2"/>
          <w:lang w:eastAsia="en-US"/>
          <w14:ligatures w14:val="standardContextual"/>
        </w:rPr>
        <w:t xml:space="preserve"> </w:t>
      </w:r>
      <w:hyperlink r:id="rId16" w:history="1">
        <w:r w:rsidRPr="007F2BCC">
          <w:rPr>
            <w:rFonts w:ascii="Arial" w:eastAsiaTheme="minorHAnsi" w:hAnsi="Arial" w:cs="Arial"/>
            <w:color w:val="156082" w:themeColor="accent1"/>
            <w:kern w:val="2"/>
            <w:u w:val="single"/>
            <w:lang w:eastAsia="en-US"/>
            <w14:ligatures w14:val="standardContextual"/>
          </w:rPr>
          <w:t>Search - Office for National Statistics</w:t>
        </w:r>
      </w:hyperlink>
      <w:r w:rsidRPr="007F2BCC">
        <w:rPr>
          <w:rFonts w:ascii="Arial" w:eastAsiaTheme="minorHAnsi" w:hAnsi="Arial" w:cs="Arial"/>
          <w:color w:val="156082" w:themeColor="accent1"/>
          <w:kern w:val="2"/>
          <w:lang w:eastAsia="en-US"/>
          <w14:ligatures w14:val="standardContextual"/>
        </w:rPr>
        <w:t>.</w:t>
      </w:r>
      <w:r w:rsidRPr="007F2BCC">
        <w:rPr>
          <w:rFonts w:ascii="Arial" w:hAnsi="Arial" w:cs="Arial"/>
          <w:color w:val="156082" w:themeColor="accent1"/>
        </w:rPr>
        <w:t xml:space="preserve"> </w:t>
      </w:r>
      <w:r w:rsidRPr="007F2BCC">
        <w:rPr>
          <w:rFonts w:ascii="Arial" w:hAnsi="Arial" w:cs="Arial"/>
        </w:rPr>
        <w:t>(Accessed: 25 January 2026).</w:t>
      </w:r>
      <w:r w:rsidR="007F2BCC" w:rsidRPr="007F2BCC">
        <w:rPr>
          <w:rFonts w:ascii="Arial" w:hAnsi="Arial" w:cs="Arial"/>
          <w:color w:val="212121"/>
        </w:rPr>
        <w:t> </w:t>
      </w:r>
    </w:p>
    <w:p w14:paraId="0AFF455B" w14:textId="14F55511" w:rsidR="00887B68" w:rsidRPr="007F2BCC" w:rsidRDefault="00887B68" w:rsidP="007F2BCC">
      <w:pPr>
        <w:pStyle w:val="NormalWeb"/>
        <w:rPr>
          <w:rFonts w:ascii="Arial" w:hAnsi="Arial" w:cs="Arial"/>
        </w:rPr>
      </w:pPr>
      <w:r w:rsidRPr="000F55FF">
        <w:rPr>
          <w:rFonts w:ascii="Arial" w:hAnsi="Arial" w:cs="Arial"/>
        </w:rPr>
        <w:t xml:space="preserve">OpenAI (2023) </w:t>
      </w:r>
      <w:r>
        <w:rPr>
          <w:rFonts w:ascii="Arial" w:hAnsi="Arial" w:cs="Arial"/>
        </w:rPr>
        <w:t>‘</w:t>
      </w:r>
      <w:r w:rsidRPr="00887B68">
        <w:rPr>
          <w:rFonts w:ascii="Arial" w:hAnsi="Arial" w:cs="Arial"/>
        </w:rPr>
        <w:t>DALL·E</w:t>
      </w:r>
      <w:r>
        <w:rPr>
          <w:rFonts w:ascii="Arial" w:hAnsi="Arial" w:cs="Arial"/>
        </w:rPr>
        <w:t>’</w:t>
      </w:r>
      <w:r w:rsidRPr="000F55FF">
        <w:rPr>
          <w:rFonts w:ascii="Arial" w:hAnsi="Arial" w:cs="Arial"/>
          <w:i/>
          <w:iCs/>
        </w:rPr>
        <w:t xml:space="preserve"> </w:t>
      </w:r>
      <w:r>
        <w:rPr>
          <w:rFonts w:ascii="Arial" w:hAnsi="Arial" w:cs="Arial"/>
          <w:i/>
          <w:iCs/>
        </w:rPr>
        <w:t>(</w:t>
      </w:r>
      <w:r w:rsidRPr="000F55FF">
        <w:rPr>
          <w:rFonts w:ascii="Arial" w:hAnsi="Arial" w:cs="Arial"/>
          <w:i/>
          <w:iCs/>
        </w:rPr>
        <w:t>AI image generation tool</w:t>
      </w:r>
      <w:r>
        <w:rPr>
          <w:rFonts w:ascii="Arial" w:hAnsi="Arial" w:cs="Arial"/>
          <w:i/>
          <w:iCs/>
        </w:rPr>
        <w:t>)</w:t>
      </w:r>
      <w:r w:rsidRPr="000F55FF">
        <w:rPr>
          <w:rFonts w:ascii="Arial" w:hAnsi="Arial" w:cs="Arial"/>
        </w:rPr>
        <w:t xml:space="preserve">. Available at: </w:t>
      </w:r>
      <w:hyperlink r:id="rId17" w:tgtFrame="_new" w:history="1">
        <w:r w:rsidRPr="000F55FF">
          <w:rPr>
            <w:rStyle w:val="Hyperlink"/>
            <w:rFonts w:ascii="Arial" w:hAnsi="Arial" w:cs="Arial"/>
          </w:rPr>
          <w:t>https://openai.com/dall-e</w:t>
        </w:r>
      </w:hyperlink>
      <w:r w:rsidRPr="000F55FF">
        <w:rPr>
          <w:rFonts w:ascii="Arial" w:hAnsi="Arial" w:cs="Arial"/>
        </w:rPr>
        <w:t xml:space="preserve"> (Accessed: 29 January 2026).</w:t>
      </w:r>
    </w:p>
    <w:p w14:paraId="007A39E2" w14:textId="05AB6457" w:rsidR="003E64C2" w:rsidRPr="007F2BCC" w:rsidRDefault="003E64C2" w:rsidP="003E64C2">
      <w:pPr>
        <w:pStyle w:val="NormalWeb"/>
        <w:rPr>
          <w:rFonts w:ascii="Arial" w:hAnsi="Arial" w:cs="Arial"/>
        </w:rPr>
      </w:pPr>
      <w:r w:rsidRPr="007F2BCC">
        <w:rPr>
          <w:rFonts w:ascii="Arial" w:hAnsi="Arial" w:cs="Arial"/>
        </w:rPr>
        <w:t>Skinner, A. and Stone, C (2023)</w:t>
      </w:r>
      <w:r w:rsidR="00FD49CF" w:rsidRPr="007F2BCC">
        <w:rPr>
          <w:rFonts w:ascii="Arial" w:hAnsi="Arial" w:cs="Arial"/>
        </w:rPr>
        <w:t>.</w:t>
      </w:r>
      <w:r w:rsidRPr="007F2BCC">
        <w:rPr>
          <w:rFonts w:ascii="Arial" w:hAnsi="Arial" w:cs="Arial"/>
        </w:rPr>
        <w:t xml:space="preserve"> ‘StopWatch: A smartwatch</w:t>
      </w:r>
      <w:r w:rsidRPr="007F2BCC">
        <w:rPr>
          <w:rFonts w:ascii="Cambria Math" w:hAnsi="Cambria Math" w:cs="Cambria Math"/>
        </w:rPr>
        <w:t>‑</w:t>
      </w:r>
      <w:r w:rsidRPr="007F2BCC">
        <w:rPr>
          <w:rFonts w:ascii="Arial" w:hAnsi="Arial" w:cs="Arial"/>
        </w:rPr>
        <w:t xml:space="preserve">based behavioural intervention for smoking cessation.’ </w:t>
      </w:r>
      <w:r w:rsidRPr="007F2BCC">
        <w:rPr>
          <w:rFonts w:ascii="Arial" w:hAnsi="Arial" w:cs="Arial"/>
          <w:i/>
          <w:iCs/>
        </w:rPr>
        <w:t>Bristol: Digital Health Innovations</w:t>
      </w:r>
      <w:r w:rsidRPr="007F2BCC">
        <w:rPr>
          <w:rFonts w:ascii="Arial" w:hAnsi="Arial" w:cs="Arial"/>
        </w:rPr>
        <w:t>.</w:t>
      </w:r>
      <w:r w:rsidRPr="007F2BCC">
        <w:rPr>
          <w:rFonts w:ascii="Arial" w:eastAsiaTheme="minorHAnsi" w:hAnsi="Arial" w:cs="Arial"/>
          <w:kern w:val="2"/>
          <w:lang w:eastAsia="en-US"/>
          <w14:ligatures w14:val="standardContextual"/>
        </w:rPr>
        <w:t xml:space="preserve"> Available at: </w:t>
      </w:r>
      <w:hyperlink r:id="rId18" w:history="1">
        <w:r w:rsidRPr="007F2BCC">
          <w:rPr>
            <w:rStyle w:val="Hyperlink"/>
            <w:rFonts w:ascii="Arial" w:hAnsi="Arial" w:cs="Arial"/>
          </w:rPr>
          <w:t>stopWatch – a smartwatch system that could help people quit smoking – IEUREKA!</w:t>
        </w:r>
      </w:hyperlink>
    </w:p>
    <w:p w14:paraId="6C0B386A" w14:textId="77777777" w:rsidR="003E64C2" w:rsidRPr="007F2BCC" w:rsidRDefault="003E64C2" w:rsidP="003E64C2">
      <w:pPr>
        <w:pStyle w:val="NormalWeb"/>
        <w:rPr>
          <w:rFonts w:ascii="Arial" w:hAnsi="Arial" w:cs="Arial"/>
        </w:rPr>
      </w:pPr>
      <w:r w:rsidRPr="007F2BCC">
        <w:rPr>
          <w:rFonts w:ascii="Arial" w:hAnsi="Arial" w:cs="Arial"/>
        </w:rPr>
        <w:t xml:space="preserve">Whittaker, R., McRobbie, H., Bullen, C., Rodgers, A. and Gu, Y. (2019) ‘Mobile phone-based interventions for smoking cessation’, </w:t>
      </w:r>
      <w:r w:rsidRPr="007F2BCC">
        <w:rPr>
          <w:rStyle w:val="Emphasis"/>
          <w:rFonts w:ascii="Arial" w:eastAsiaTheme="majorEastAsia" w:hAnsi="Arial" w:cs="Arial"/>
        </w:rPr>
        <w:t>Cochrane Database of Systematic Reviews</w:t>
      </w:r>
      <w:r w:rsidRPr="007F2BCC">
        <w:rPr>
          <w:rFonts w:ascii="Arial" w:hAnsi="Arial" w:cs="Arial"/>
        </w:rPr>
        <w:t xml:space="preserve">, 10, CD006611. Available at:  </w:t>
      </w:r>
      <w:hyperlink r:id="rId19" w:history="1">
        <w:r w:rsidRPr="007F2BCC">
          <w:rPr>
            <w:rStyle w:val="Hyperlink"/>
            <w:rFonts w:ascii="Arial" w:hAnsi="Arial" w:cs="Arial"/>
            <w:color w:val="156082" w:themeColor="accent1"/>
          </w:rPr>
          <w:t>https://doi.org/10.1002/14651858.CD006611.pub5</w:t>
        </w:r>
      </w:hyperlink>
      <w:r w:rsidRPr="007F2BCC">
        <w:rPr>
          <w:rFonts w:ascii="Arial" w:hAnsi="Arial" w:cs="Arial"/>
          <w:color w:val="156082" w:themeColor="accent1"/>
        </w:rPr>
        <w:t xml:space="preserve">. </w:t>
      </w:r>
    </w:p>
    <w:p w14:paraId="79FF41F8" w14:textId="77777777" w:rsidR="003E64C2" w:rsidRDefault="003E64C2" w:rsidP="00685360">
      <w:pPr>
        <w:spacing w:line="360" w:lineRule="auto"/>
        <w:jc w:val="both"/>
        <w:rPr>
          <w:rFonts w:ascii="Arial" w:hAnsi="Arial" w:cs="Arial"/>
        </w:rPr>
      </w:pPr>
    </w:p>
    <w:p w14:paraId="125A812A" w14:textId="77777777" w:rsidR="007B725A" w:rsidRDefault="007B725A" w:rsidP="00685360">
      <w:pPr>
        <w:spacing w:line="360" w:lineRule="auto"/>
        <w:jc w:val="both"/>
        <w:rPr>
          <w:rFonts w:ascii="Arial" w:hAnsi="Arial" w:cs="Arial"/>
        </w:rPr>
      </w:pPr>
    </w:p>
    <w:p w14:paraId="3B85932D" w14:textId="77777777" w:rsidR="007B725A" w:rsidRDefault="007B725A" w:rsidP="00685360">
      <w:pPr>
        <w:spacing w:line="360" w:lineRule="auto"/>
        <w:jc w:val="both"/>
        <w:rPr>
          <w:rFonts w:ascii="Arial" w:hAnsi="Arial" w:cs="Arial"/>
        </w:rPr>
      </w:pPr>
    </w:p>
    <w:p w14:paraId="7BF162F5" w14:textId="77777777" w:rsidR="00762430" w:rsidRDefault="00762430" w:rsidP="007B725A">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015FDE21" w14:textId="29BAC99A" w:rsidR="00874351" w:rsidRDefault="007B725A" w:rsidP="00874351">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66F41">
        <w:rPr>
          <w:rFonts w:ascii="Arial" w:eastAsia="Times New Roman" w:hAnsi="Arial" w:cs="Arial"/>
          <w:b/>
          <w:bCs/>
          <w:kern w:val="36"/>
          <w:sz w:val="36"/>
          <w:szCs w:val="36"/>
          <w:lang w:eastAsia="en-GB"/>
          <w14:ligatures w14:val="none"/>
        </w:rPr>
        <w:t xml:space="preserve">Blog 2: </w:t>
      </w:r>
    </w:p>
    <w:p w14:paraId="196E7678" w14:textId="6B0BE46B" w:rsidR="00047D7F" w:rsidRPr="00874351" w:rsidRDefault="00047D7F" w:rsidP="00D64A67">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047D7F">
        <w:rPr>
          <w:rFonts w:ascii="Arial" w:eastAsia="Times New Roman" w:hAnsi="Arial" w:cs="Arial"/>
          <w:kern w:val="36"/>
          <w:lang w:eastAsia="en-GB"/>
          <w14:ligatures w14:val="none"/>
        </w:rPr>
        <w:t xml:space="preserve"> </w:t>
      </w:r>
      <w:r w:rsidRPr="000959D3">
        <w:rPr>
          <w:rFonts w:ascii="Arial" w:eastAsia="Times New Roman" w:hAnsi="Arial" w:cs="Arial"/>
          <w:b/>
          <w:bCs/>
          <w:kern w:val="36"/>
          <w:lang w:eastAsia="en-GB"/>
          <w14:ligatures w14:val="none"/>
        </w:rPr>
        <w:t>RespireA</w:t>
      </w:r>
      <w:r w:rsidR="00165BE4" w:rsidRPr="000959D3">
        <w:rPr>
          <w:rFonts w:ascii="Arial" w:eastAsia="Times New Roman" w:hAnsi="Arial" w:cs="Arial"/>
          <w:b/>
          <w:bCs/>
          <w:kern w:val="36"/>
          <w:lang w:eastAsia="en-GB"/>
          <w14:ligatures w14:val="none"/>
        </w:rPr>
        <w:t>i</w:t>
      </w:r>
      <w:r w:rsidR="000959D3" w:rsidRPr="000959D3">
        <w:rPr>
          <w:rFonts w:ascii="Arial" w:eastAsia="Times New Roman" w:hAnsi="Arial" w:cs="Arial"/>
          <w:b/>
          <w:bCs/>
          <w:kern w:val="36"/>
          <w:lang w:eastAsia="en-GB"/>
          <w14:ligatures w14:val="none"/>
        </w:rPr>
        <w:t>r</w:t>
      </w:r>
      <w:r w:rsidRPr="00047D7F">
        <w:rPr>
          <w:rFonts w:ascii="Arial" w:eastAsia="Times New Roman" w:hAnsi="Arial" w:cs="Arial"/>
          <w:kern w:val="36"/>
          <w:lang w:eastAsia="en-GB"/>
          <w14:ligatures w14:val="none"/>
        </w:rPr>
        <w:t>– A Novel Predictive Digital Intervention for Smoking Cessation</w:t>
      </w:r>
    </w:p>
    <w:p w14:paraId="11CB5FEE" w14:textId="3D08D101" w:rsidR="00047D7F" w:rsidRPr="000959D3" w:rsidRDefault="00047D7F" w:rsidP="00D64A67">
      <w:pPr>
        <w:spacing w:before="100" w:beforeAutospacing="1" w:after="100" w:afterAutospacing="1" w:line="360" w:lineRule="auto"/>
        <w:outlineLvl w:val="0"/>
        <w:rPr>
          <w:rFonts w:ascii="Arial" w:eastAsia="Times New Roman" w:hAnsi="Arial" w:cs="Arial"/>
          <w:b/>
          <w:bCs/>
          <w:kern w:val="36"/>
          <w:lang w:eastAsia="en-GB"/>
          <w14:ligatures w14:val="none"/>
        </w:rPr>
      </w:pPr>
      <w:r w:rsidRPr="000959D3">
        <w:rPr>
          <w:rFonts w:ascii="Arial" w:eastAsia="Times New Roman" w:hAnsi="Arial" w:cs="Arial"/>
          <w:b/>
          <w:bCs/>
          <w:kern w:val="36"/>
          <w:lang w:eastAsia="en-GB"/>
          <w14:ligatures w14:val="none"/>
        </w:rPr>
        <w:t>Why Smoking Still Requires New Digital Solutions</w:t>
      </w:r>
    </w:p>
    <w:p w14:paraId="4F1FE086" w14:textId="5F897305" w:rsidR="00A07304" w:rsidRDefault="00D64A67" w:rsidP="00D64A67">
      <w:pPr>
        <w:spacing w:before="100" w:beforeAutospacing="1" w:after="100" w:afterAutospacing="1" w:line="360" w:lineRule="auto"/>
        <w:outlineLvl w:val="0"/>
        <w:rPr>
          <w:rFonts w:ascii="Arial" w:eastAsia="Times New Roman" w:hAnsi="Arial" w:cs="Arial"/>
          <w:kern w:val="36"/>
          <w:lang w:eastAsia="en-GB"/>
          <w14:ligatures w14:val="none"/>
        </w:rPr>
      </w:pPr>
      <w:r w:rsidRPr="00AF47EC">
        <w:rPr>
          <w:rFonts w:ascii="Arial" w:eastAsia="Times New Roman" w:hAnsi="Arial" w:cs="Arial"/>
          <w:noProof/>
          <w:kern w:val="0"/>
          <w:lang w:eastAsia="en-GB"/>
          <w14:ligatures w14:val="none"/>
        </w:rPr>
        <w:drawing>
          <wp:anchor distT="0" distB="0" distL="114300" distR="114300" simplePos="0" relativeHeight="251681280" behindDoc="0" locked="0" layoutInCell="1" allowOverlap="1" wp14:anchorId="3F21D61C" wp14:editId="6DDBD628">
            <wp:simplePos x="0" y="0"/>
            <wp:positionH relativeFrom="margin">
              <wp:posOffset>152400</wp:posOffset>
            </wp:positionH>
            <wp:positionV relativeFrom="paragraph">
              <wp:posOffset>527685</wp:posOffset>
            </wp:positionV>
            <wp:extent cx="4398645" cy="4259580"/>
            <wp:effectExtent l="0" t="0" r="1905" b="7620"/>
            <wp:wrapSquare wrapText="bothSides"/>
            <wp:docPr id="1156888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1686" name=""/>
                    <pic:cNvPicPr/>
                  </pic:nvPicPr>
                  <pic:blipFill>
                    <a:blip r:embed="rId20"/>
                    <a:stretch>
                      <a:fillRect/>
                    </a:stretch>
                  </pic:blipFill>
                  <pic:spPr>
                    <a:xfrm>
                      <a:off x="0" y="0"/>
                      <a:ext cx="4398645" cy="4259580"/>
                    </a:xfrm>
                    <a:prstGeom prst="rect">
                      <a:avLst/>
                    </a:prstGeom>
                  </pic:spPr>
                </pic:pic>
              </a:graphicData>
            </a:graphic>
            <wp14:sizeRelH relativeFrom="margin">
              <wp14:pctWidth>0</wp14:pctWidth>
            </wp14:sizeRelH>
            <wp14:sizeRelV relativeFrom="margin">
              <wp14:pctHeight>0</wp14:pctHeight>
            </wp14:sizeRelV>
          </wp:anchor>
        </w:drawing>
      </w:r>
      <w:r w:rsidR="00E64279" w:rsidRPr="00E64279">
        <w:rPr>
          <w:rFonts w:ascii="Arial" w:eastAsia="Times New Roman" w:hAnsi="Arial" w:cs="Arial"/>
          <w:kern w:val="36"/>
          <w:lang w:eastAsia="en-GB"/>
          <w14:ligatures w14:val="none"/>
        </w:rPr>
        <w:t xml:space="preserve"> </w:t>
      </w:r>
      <w:r w:rsidR="00047D7F" w:rsidRPr="00047D7F">
        <w:rPr>
          <w:rFonts w:ascii="Arial" w:eastAsia="Times New Roman" w:hAnsi="Arial" w:cs="Arial"/>
          <w:kern w:val="36"/>
          <w:lang w:eastAsia="en-GB"/>
          <w14:ligatures w14:val="none"/>
        </w:rPr>
        <w:t xml:space="preserve">Smoking remains one of the leading causes of preventable death in the United Kingdom, responsible for over 76,000 deaths annually and substantial long-term morbidity (Office for Health Improvement and Disparities, 2022). </w:t>
      </w:r>
    </w:p>
    <w:p w14:paraId="4796437F" w14:textId="77777777" w:rsidR="00D30AD6" w:rsidRDefault="00047D7F" w:rsidP="00D64A67">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Tobacco use is strongly associated with lung cancer, cardiovascular disease and chronic respiratory illness, placing </w:t>
      </w:r>
    </w:p>
    <w:p w14:paraId="06DBA97D" w14:textId="54F236EB" w:rsidR="00174E44" w:rsidRDefault="00174E44" w:rsidP="00D64A67">
      <w:pPr>
        <w:spacing w:before="100" w:beforeAutospacing="1" w:after="100" w:afterAutospacing="1" w:line="36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 xml:space="preserve">                                                                            </w:t>
      </w:r>
      <w:r w:rsidR="00B05893">
        <w:rPr>
          <w:rFonts w:ascii="Arial" w:eastAsia="Times New Roman" w:hAnsi="Arial" w:cs="Arial"/>
          <w:kern w:val="36"/>
          <w:lang w:eastAsia="en-GB"/>
          <w14:ligatures w14:val="none"/>
        </w:rPr>
        <w:t>(</w:t>
      </w:r>
      <w:r>
        <w:rPr>
          <w:rFonts w:ascii="Arial" w:eastAsia="Times New Roman" w:hAnsi="Arial" w:cs="Arial"/>
          <w:kern w:val="36"/>
          <w:lang w:eastAsia="en-GB"/>
          <w14:ligatures w14:val="none"/>
        </w:rPr>
        <w:t>Getty</w:t>
      </w:r>
      <w:r w:rsidR="00B05893">
        <w:rPr>
          <w:rFonts w:ascii="Arial" w:eastAsia="Times New Roman" w:hAnsi="Arial" w:cs="Arial"/>
          <w:kern w:val="36"/>
          <w:lang w:eastAsia="en-GB"/>
          <w14:ligatures w14:val="none"/>
        </w:rPr>
        <w:t>.com</w:t>
      </w:r>
      <w:r>
        <w:rPr>
          <w:rFonts w:ascii="Arial" w:eastAsia="Times New Roman" w:hAnsi="Arial" w:cs="Arial"/>
          <w:kern w:val="36"/>
          <w:lang w:eastAsia="en-GB"/>
          <w14:ligatures w14:val="none"/>
        </w:rPr>
        <w:t>,</w:t>
      </w:r>
      <w:r w:rsidR="00761189">
        <w:rPr>
          <w:rFonts w:ascii="Arial" w:eastAsia="Times New Roman" w:hAnsi="Arial" w:cs="Arial"/>
          <w:kern w:val="36"/>
          <w:lang w:eastAsia="en-GB"/>
          <w14:ligatures w14:val="none"/>
        </w:rPr>
        <w:t xml:space="preserve"> 2024</w:t>
      </w:r>
      <w:r w:rsidR="00B05893">
        <w:rPr>
          <w:rFonts w:ascii="Arial" w:eastAsia="Times New Roman" w:hAnsi="Arial" w:cs="Arial"/>
          <w:kern w:val="36"/>
          <w:lang w:eastAsia="en-GB"/>
          <w14:ligatures w14:val="none"/>
        </w:rPr>
        <w:t>)</w:t>
      </w:r>
    </w:p>
    <w:p w14:paraId="29C878B2" w14:textId="04864FCB" w:rsidR="00047D7F" w:rsidRPr="00047D7F" w:rsidRDefault="00174E44" w:rsidP="00D64A67">
      <w:pPr>
        <w:spacing w:before="100" w:beforeAutospacing="1" w:after="100" w:afterAutospacing="1" w:line="36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 xml:space="preserve">  </w:t>
      </w:r>
      <w:r w:rsidR="00047D7F" w:rsidRPr="00047D7F">
        <w:rPr>
          <w:rFonts w:ascii="Arial" w:eastAsia="Times New Roman" w:hAnsi="Arial" w:cs="Arial"/>
          <w:kern w:val="36"/>
          <w:lang w:eastAsia="en-GB"/>
          <w14:ligatures w14:val="none"/>
        </w:rPr>
        <w:t xml:space="preserve">sustained pressure on NHS services and widening health inequalities </w:t>
      </w:r>
      <w:r w:rsidR="004A19CE">
        <w:rPr>
          <w:rFonts w:ascii="Arial" w:eastAsia="Times New Roman" w:hAnsi="Arial" w:cs="Arial"/>
          <w:kern w:val="36"/>
          <w:lang w:eastAsia="en-GB"/>
          <w14:ligatures w14:val="none"/>
        </w:rPr>
        <w:t>(</w:t>
      </w:r>
      <w:r w:rsidR="004A19CE" w:rsidRPr="004A19CE">
        <w:rPr>
          <w:rFonts w:ascii="Arial" w:eastAsia="Times New Roman" w:hAnsi="Arial" w:cs="Arial"/>
          <w:kern w:val="36"/>
          <w:lang w:eastAsia="en-GB"/>
          <w14:ligatures w14:val="none"/>
        </w:rPr>
        <w:t>Office for Health Improvement and Disparities</w:t>
      </w:r>
      <w:r w:rsidR="004A19CE">
        <w:rPr>
          <w:rFonts w:ascii="Arial" w:eastAsia="Times New Roman" w:hAnsi="Arial" w:cs="Arial"/>
          <w:kern w:val="36"/>
          <w:lang w:eastAsia="en-GB"/>
          <w14:ligatures w14:val="none"/>
        </w:rPr>
        <w:t xml:space="preserve">, </w:t>
      </w:r>
      <w:r w:rsidR="004A19CE" w:rsidRPr="004A19CE">
        <w:rPr>
          <w:rFonts w:ascii="Arial" w:eastAsia="Times New Roman" w:hAnsi="Arial" w:cs="Arial"/>
          <w:kern w:val="36"/>
          <w:lang w:eastAsia="en-GB"/>
          <w14:ligatures w14:val="none"/>
        </w:rPr>
        <w:t>2022)</w:t>
      </w:r>
      <w:r w:rsidR="004A19CE">
        <w:rPr>
          <w:rFonts w:ascii="Arial" w:eastAsia="Times New Roman" w:hAnsi="Arial" w:cs="Arial"/>
          <w:kern w:val="36"/>
          <w:lang w:eastAsia="en-GB"/>
          <w14:ligatures w14:val="none"/>
        </w:rPr>
        <w:t>.</w:t>
      </w:r>
    </w:p>
    <w:p w14:paraId="09A78392" w14:textId="65CC2C44" w:rsidR="00B60666" w:rsidRPr="00047D7F" w:rsidRDefault="00047D7F" w:rsidP="00D64A67">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Despite decades of public health campaigns, 12.9% of adults in England continue to smoke, with prevalence disproportionately higher among socio-economically disadvantaged groups (Office for National Statistics, 2023). Smoking-related illness </w:t>
      </w:r>
      <w:r w:rsidRPr="00047D7F">
        <w:rPr>
          <w:rFonts w:ascii="Arial" w:eastAsia="Times New Roman" w:hAnsi="Arial" w:cs="Arial"/>
          <w:kern w:val="36"/>
          <w:lang w:eastAsia="en-GB"/>
          <w14:ligatures w14:val="none"/>
        </w:rPr>
        <w:lastRenderedPageBreak/>
        <w:t>reduces life expectancy, increases hospital admissions and contributes to financial and social harm, reinforcing the need for innovative, preventative cessation strategies that intervene before relapse occurs (ONS, 2023).</w:t>
      </w:r>
    </w:p>
    <w:p w14:paraId="42AE9BA4" w14:textId="398C5B3D" w:rsidR="00B60666" w:rsidRPr="00B60666"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B51333">
        <w:rPr>
          <w:rFonts w:ascii="Arial" w:eastAsia="Times New Roman" w:hAnsi="Arial" w:cs="Arial"/>
          <w:b/>
          <w:bCs/>
          <w:kern w:val="36"/>
          <w:lang w:eastAsia="en-GB"/>
          <w14:ligatures w14:val="none"/>
        </w:rPr>
        <w:t>RespireA</w:t>
      </w:r>
      <w:r w:rsidR="00B51333" w:rsidRPr="00B51333">
        <w:rPr>
          <w:rFonts w:ascii="Arial" w:eastAsia="Times New Roman" w:hAnsi="Arial" w:cs="Arial"/>
          <w:b/>
          <w:bCs/>
          <w:kern w:val="36"/>
          <w:lang w:eastAsia="en-GB"/>
          <w14:ligatures w14:val="none"/>
        </w:rPr>
        <w:t>ir-</w:t>
      </w:r>
      <w:r w:rsidRPr="00B51333">
        <w:rPr>
          <w:rFonts w:ascii="Arial" w:eastAsia="Times New Roman" w:hAnsi="Arial" w:cs="Arial"/>
          <w:b/>
          <w:bCs/>
          <w:kern w:val="36"/>
          <w:lang w:eastAsia="en-GB"/>
          <w14:ligatures w14:val="none"/>
        </w:rPr>
        <w:t xml:space="preserve"> A Novel Digital Health Intervention</w:t>
      </w:r>
    </w:p>
    <w:p w14:paraId="609B207B" w14:textId="3001733C" w:rsidR="00047D7F" w:rsidRPr="00047D7F" w:rsidRDefault="00B60666" w:rsidP="00B60666">
      <w:pPr>
        <w:spacing w:before="100" w:beforeAutospacing="1" w:after="100" w:afterAutospacing="1" w:line="360" w:lineRule="auto"/>
        <w:outlineLvl w:val="0"/>
        <w:rPr>
          <w:rFonts w:ascii="Arial" w:eastAsia="Times New Roman" w:hAnsi="Arial" w:cs="Arial"/>
          <w:kern w:val="36"/>
          <w:lang w:eastAsia="en-GB"/>
          <w14:ligatures w14:val="none"/>
        </w:rPr>
      </w:pPr>
      <w:r w:rsidRPr="00E64279">
        <w:rPr>
          <w:rFonts w:ascii="Arial" w:eastAsia="Times New Roman" w:hAnsi="Arial" w:cs="Arial"/>
          <w:noProof/>
          <w:kern w:val="36"/>
          <w:lang w:eastAsia="en-GB"/>
          <w14:ligatures w14:val="none"/>
        </w:rPr>
        <w:drawing>
          <wp:anchor distT="0" distB="0" distL="114300" distR="114300" simplePos="0" relativeHeight="251678208" behindDoc="0" locked="0" layoutInCell="1" allowOverlap="1" wp14:anchorId="4479E2BF" wp14:editId="311FDB77">
            <wp:simplePos x="0" y="0"/>
            <wp:positionH relativeFrom="page">
              <wp:align>right</wp:align>
            </wp:positionH>
            <wp:positionV relativeFrom="paragraph">
              <wp:posOffset>63500</wp:posOffset>
            </wp:positionV>
            <wp:extent cx="4838700" cy="6301740"/>
            <wp:effectExtent l="0" t="0" r="0" b="3810"/>
            <wp:wrapSquare wrapText="bothSides"/>
            <wp:docPr id="194110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00473" name=""/>
                    <pic:cNvPicPr/>
                  </pic:nvPicPr>
                  <pic:blipFill>
                    <a:blip r:embed="rId21"/>
                    <a:stretch>
                      <a:fillRect/>
                    </a:stretch>
                  </pic:blipFill>
                  <pic:spPr>
                    <a:xfrm>
                      <a:off x="0" y="0"/>
                      <a:ext cx="4838700" cy="6301740"/>
                    </a:xfrm>
                    <a:prstGeom prst="rect">
                      <a:avLst/>
                    </a:prstGeom>
                  </pic:spPr>
                </pic:pic>
              </a:graphicData>
            </a:graphic>
            <wp14:sizeRelH relativeFrom="margin">
              <wp14:pctWidth>0</wp14:pctWidth>
            </wp14:sizeRelH>
            <wp14:sizeRelV relativeFrom="margin">
              <wp14:pctHeight>0</wp14:pctHeight>
            </wp14:sizeRelV>
          </wp:anchor>
        </w:drawing>
      </w:r>
      <w:r w:rsidR="00047D7F" w:rsidRPr="00047D7F">
        <w:rPr>
          <w:rFonts w:ascii="Arial" w:eastAsia="Times New Roman" w:hAnsi="Arial" w:cs="Arial"/>
          <w:kern w:val="36"/>
          <w:lang w:eastAsia="en-GB"/>
          <w14:ligatures w14:val="none"/>
        </w:rPr>
        <w:t>RespireA</w:t>
      </w:r>
      <w:r w:rsidR="00B51333">
        <w:rPr>
          <w:rFonts w:ascii="Arial" w:eastAsia="Times New Roman" w:hAnsi="Arial" w:cs="Arial"/>
          <w:kern w:val="36"/>
          <w:lang w:eastAsia="en-GB"/>
          <w14:ligatures w14:val="none"/>
        </w:rPr>
        <w:t>ir</w:t>
      </w:r>
      <w:r w:rsidR="00047D7F" w:rsidRPr="00047D7F">
        <w:rPr>
          <w:rFonts w:ascii="Arial" w:eastAsia="Times New Roman" w:hAnsi="Arial" w:cs="Arial"/>
          <w:kern w:val="36"/>
          <w:lang w:eastAsia="en-GB"/>
          <w14:ligatures w14:val="none"/>
        </w:rPr>
        <w:t>,  is a newly designed digital health intervention created to support smoking cessation through predictive AI-driven breath pattern detection. Unlike existing cessation tools, RespireA</w:t>
      </w:r>
      <w:r w:rsidR="006E1EFE">
        <w:rPr>
          <w:rFonts w:ascii="Arial" w:eastAsia="Times New Roman" w:hAnsi="Arial" w:cs="Arial"/>
          <w:kern w:val="36"/>
          <w:lang w:eastAsia="en-GB"/>
          <w14:ligatures w14:val="none"/>
        </w:rPr>
        <w:t>ir</w:t>
      </w:r>
      <w:r w:rsidR="00047D7F" w:rsidRPr="00047D7F">
        <w:rPr>
          <w:rFonts w:ascii="Arial" w:eastAsia="Times New Roman" w:hAnsi="Arial" w:cs="Arial"/>
          <w:kern w:val="36"/>
          <w:lang w:eastAsia="en-GB"/>
          <w14:ligatures w14:val="none"/>
        </w:rPr>
        <w:t xml:space="preserve"> combines a mobile app, smartphone processing, and a wearable ring or band that continuously monitors respiratory and stress-related signals.</w:t>
      </w:r>
    </w:p>
    <w:p w14:paraId="5D310837" w14:textId="77777777" w:rsidR="006E1EFE" w:rsidRDefault="00047D7F" w:rsidP="00B60666">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Research indicates that nicotine cravings are preceded by measurable physiological changes, including altered breathing rhythms and stress responses (Nahum-Shani, 2018). </w:t>
      </w:r>
    </w:p>
    <w:p w14:paraId="66912828" w14:textId="12B41CC7" w:rsidR="00B60666" w:rsidRPr="00047D7F" w:rsidRDefault="00047D7F" w:rsidP="00B60666">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RespireA</w:t>
      </w:r>
      <w:r w:rsidR="006E1EFE">
        <w:rPr>
          <w:rFonts w:ascii="Arial" w:eastAsia="Times New Roman" w:hAnsi="Arial" w:cs="Arial"/>
          <w:kern w:val="36"/>
          <w:lang w:eastAsia="en-GB"/>
          <w14:ligatures w14:val="none"/>
        </w:rPr>
        <w:t>ir</w:t>
      </w:r>
      <w:r w:rsidRPr="00047D7F">
        <w:rPr>
          <w:rFonts w:ascii="Arial" w:eastAsia="Times New Roman" w:hAnsi="Arial" w:cs="Arial"/>
          <w:kern w:val="36"/>
          <w:lang w:eastAsia="en-GB"/>
          <w14:ligatures w14:val="none"/>
        </w:rPr>
        <w:t xml:space="preserve"> applies machine-learning algorithms to breathing data captured by the wearable sensor and smartphone microphone, allowing the system to predict craving risk before the user consciously experiences the urge to smoke</w:t>
      </w:r>
      <w:r w:rsidR="004D3BE7" w:rsidRPr="004D3BE7">
        <w:t xml:space="preserve"> </w:t>
      </w:r>
      <w:r w:rsidR="004D3BE7">
        <w:t>(</w:t>
      </w:r>
      <w:r w:rsidR="004D3BE7" w:rsidRPr="004D3BE7">
        <w:rPr>
          <w:rFonts w:ascii="Arial" w:eastAsia="Times New Roman" w:hAnsi="Arial" w:cs="Arial"/>
          <w:kern w:val="36"/>
          <w:lang w:eastAsia="en-GB"/>
          <w14:ligatures w14:val="none"/>
        </w:rPr>
        <w:t>Michie et al., 2017</w:t>
      </w:r>
      <w:r w:rsidR="004D3BE7">
        <w:rPr>
          <w:rFonts w:ascii="Arial" w:eastAsia="Times New Roman" w:hAnsi="Arial" w:cs="Arial"/>
          <w:kern w:val="36"/>
          <w:lang w:eastAsia="en-GB"/>
          <w14:ligatures w14:val="none"/>
        </w:rPr>
        <w:t>)</w:t>
      </w:r>
      <w:r w:rsidRPr="00047D7F">
        <w:rPr>
          <w:rFonts w:ascii="Arial" w:eastAsia="Times New Roman" w:hAnsi="Arial" w:cs="Arial"/>
          <w:kern w:val="36"/>
          <w:lang w:eastAsia="en-GB"/>
          <w14:ligatures w14:val="none"/>
        </w:rPr>
        <w:t xml:space="preserve">. </w:t>
      </w:r>
      <w:r w:rsidRPr="00047D7F">
        <w:rPr>
          <w:rFonts w:ascii="Arial" w:eastAsia="Times New Roman" w:hAnsi="Arial" w:cs="Arial"/>
          <w:kern w:val="36"/>
          <w:lang w:eastAsia="en-GB"/>
          <w14:ligatures w14:val="none"/>
        </w:rPr>
        <w:lastRenderedPageBreak/>
        <w:t>This preventative approach distinguishes RespireA</w:t>
      </w:r>
      <w:r w:rsidR="00941743">
        <w:rPr>
          <w:rFonts w:ascii="Arial" w:eastAsia="Times New Roman" w:hAnsi="Arial" w:cs="Arial"/>
          <w:kern w:val="36"/>
          <w:lang w:eastAsia="en-GB"/>
          <w14:ligatures w14:val="none"/>
        </w:rPr>
        <w:t>ir</w:t>
      </w:r>
      <w:r w:rsidRPr="00047D7F">
        <w:rPr>
          <w:rFonts w:ascii="Arial" w:eastAsia="Times New Roman" w:hAnsi="Arial" w:cs="Arial"/>
          <w:kern w:val="36"/>
          <w:lang w:eastAsia="en-GB"/>
          <w14:ligatures w14:val="none"/>
        </w:rPr>
        <w:t xml:space="preserve"> from reactive, self-report-based cessation apps</w:t>
      </w:r>
      <w:r w:rsidR="00E31B3C" w:rsidRPr="00E31B3C">
        <w:t xml:space="preserve"> </w:t>
      </w:r>
      <w:r w:rsidR="00E31B3C">
        <w:t>(</w:t>
      </w:r>
      <w:r w:rsidR="00E31B3C" w:rsidRPr="00E31B3C">
        <w:rPr>
          <w:rFonts w:ascii="Arial" w:eastAsia="Times New Roman" w:hAnsi="Arial" w:cs="Arial"/>
          <w:kern w:val="36"/>
          <w:lang w:eastAsia="en-GB"/>
          <w14:ligatures w14:val="none"/>
        </w:rPr>
        <w:t>Whittaker, 2019)</w:t>
      </w:r>
      <w:r w:rsidRPr="00047D7F">
        <w:rPr>
          <w:rFonts w:ascii="Arial" w:eastAsia="Times New Roman" w:hAnsi="Arial" w:cs="Arial"/>
          <w:kern w:val="36"/>
          <w:lang w:eastAsia="en-GB"/>
          <w14:ligatures w14:val="none"/>
        </w:rPr>
        <w:t>.</w:t>
      </w:r>
    </w:p>
    <w:p w14:paraId="75D16AE6" w14:textId="7B1B77B9" w:rsidR="00047D7F" w:rsidRPr="00184155"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941743">
        <w:rPr>
          <w:rFonts w:ascii="Arial" w:eastAsia="Times New Roman" w:hAnsi="Arial" w:cs="Arial"/>
          <w:b/>
          <w:bCs/>
          <w:kern w:val="36"/>
          <w:lang w:eastAsia="en-GB"/>
          <w14:ligatures w14:val="none"/>
        </w:rPr>
        <w:t>How RespireA</w:t>
      </w:r>
      <w:r w:rsidR="00184155">
        <w:rPr>
          <w:rFonts w:ascii="Arial" w:eastAsia="Times New Roman" w:hAnsi="Arial" w:cs="Arial"/>
          <w:b/>
          <w:bCs/>
          <w:kern w:val="36"/>
          <w:lang w:eastAsia="en-GB"/>
          <w14:ligatures w14:val="none"/>
        </w:rPr>
        <w:t xml:space="preserve">ir </w:t>
      </w:r>
      <w:r w:rsidRPr="00941743">
        <w:rPr>
          <w:rFonts w:ascii="Arial" w:eastAsia="Times New Roman" w:hAnsi="Arial" w:cs="Arial"/>
          <w:b/>
          <w:bCs/>
          <w:kern w:val="36"/>
          <w:lang w:eastAsia="en-GB"/>
          <w14:ligatures w14:val="none"/>
        </w:rPr>
        <w:t>Supports Smoking Cessation</w:t>
      </w:r>
    </w:p>
    <w:p w14:paraId="358D4998" w14:textId="4E484315" w:rsidR="00047D7F" w:rsidRPr="00047D7F" w:rsidRDefault="00BB73C0" w:rsidP="00BB73C0">
      <w:pPr>
        <w:spacing w:before="100" w:beforeAutospacing="1" w:after="100" w:afterAutospacing="1" w:line="360" w:lineRule="auto"/>
        <w:outlineLvl w:val="0"/>
        <w:rPr>
          <w:rFonts w:ascii="Arial" w:eastAsia="Times New Roman" w:hAnsi="Arial" w:cs="Arial"/>
          <w:kern w:val="36"/>
          <w:lang w:eastAsia="en-GB"/>
          <w14:ligatures w14:val="none"/>
        </w:rPr>
      </w:pPr>
      <w:r>
        <w:rPr>
          <w:rFonts w:ascii="Arial" w:eastAsia="Times New Roman" w:hAnsi="Arial" w:cs="Arial"/>
          <w:noProof/>
          <w:kern w:val="36"/>
          <w:lang w:eastAsia="en-GB"/>
        </w:rPr>
        <w:drawing>
          <wp:anchor distT="0" distB="0" distL="114300" distR="114300" simplePos="0" relativeHeight="251682304" behindDoc="0" locked="0" layoutInCell="1" allowOverlap="1" wp14:anchorId="0DBB5E35" wp14:editId="7D845849">
            <wp:simplePos x="0" y="0"/>
            <wp:positionH relativeFrom="page">
              <wp:posOffset>2834640</wp:posOffset>
            </wp:positionH>
            <wp:positionV relativeFrom="paragraph">
              <wp:posOffset>92710</wp:posOffset>
            </wp:positionV>
            <wp:extent cx="4678680" cy="6659880"/>
            <wp:effectExtent l="0" t="0" r="7620" b="7620"/>
            <wp:wrapSquare wrapText="bothSides"/>
            <wp:docPr id="16338024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8680" cy="6659880"/>
                    </a:xfrm>
                    <a:prstGeom prst="rect">
                      <a:avLst/>
                    </a:prstGeom>
                    <a:noFill/>
                  </pic:spPr>
                </pic:pic>
              </a:graphicData>
            </a:graphic>
            <wp14:sizeRelH relativeFrom="page">
              <wp14:pctWidth>0</wp14:pctWidth>
            </wp14:sizeRelH>
            <wp14:sizeRelV relativeFrom="page">
              <wp14:pctHeight>0</wp14:pctHeight>
            </wp14:sizeRelV>
          </wp:anchor>
        </w:drawing>
      </w:r>
      <w:r w:rsidR="00047D7F" w:rsidRPr="00047D7F">
        <w:rPr>
          <w:rFonts w:ascii="Arial" w:eastAsia="Times New Roman" w:hAnsi="Arial" w:cs="Arial"/>
          <w:kern w:val="36"/>
          <w:lang w:eastAsia="en-GB"/>
          <w14:ligatures w14:val="none"/>
        </w:rPr>
        <w:t>RespireA</w:t>
      </w:r>
      <w:r w:rsidR="00184155">
        <w:rPr>
          <w:rFonts w:ascii="Arial" w:eastAsia="Times New Roman" w:hAnsi="Arial" w:cs="Arial"/>
          <w:kern w:val="36"/>
          <w:lang w:eastAsia="en-GB"/>
          <w14:ligatures w14:val="none"/>
        </w:rPr>
        <w:t>ir</w:t>
      </w:r>
      <w:r w:rsidR="00047D7F" w:rsidRPr="00047D7F">
        <w:rPr>
          <w:rFonts w:ascii="Arial" w:eastAsia="Times New Roman" w:hAnsi="Arial" w:cs="Arial"/>
          <w:kern w:val="36"/>
          <w:lang w:eastAsia="en-GB"/>
          <w14:ligatures w14:val="none"/>
        </w:rPr>
        <w:t xml:space="preserve"> incorporates evidence-based behaviour change techniques, including self-monitoring, cue-prompting and real-time feedback (Michie, 2017). When craving-related breathing patterns are detected, the app delivers just-in-time adaptive interventions, such as guided breathing exercises, grounding techniques and motivational prompts</w:t>
      </w:r>
      <w:r w:rsidR="00184155" w:rsidRPr="00184155">
        <w:t xml:space="preserve"> </w:t>
      </w:r>
      <w:r w:rsidR="00184155">
        <w:t>(</w:t>
      </w:r>
      <w:r w:rsidR="00184155" w:rsidRPr="00E31B3C">
        <w:rPr>
          <w:rFonts w:ascii="Arial" w:eastAsia="Times New Roman" w:hAnsi="Arial" w:cs="Arial"/>
          <w:kern w:val="36"/>
          <w:lang w:eastAsia="en-GB"/>
          <w14:ligatures w14:val="none"/>
        </w:rPr>
        <w:t>Whittaker, 2019)</w:t>
      </w:r>
      <w:r w:rsidR="00184155" w:rsidRPr="00047D7F">
        <w:rPr>
          <w:rFonts w:ascii="Arial" w:eastAsia="Times New Roman" w:hAnsi="Arial" w:cs="Arial"/>
          <w:kern w:val="36"/>
          <w:lang w:eastAsia="en-GB"/>
          <w14:ligatures w14:val="none"/>
        </w:rPr>
        <w:t>.</w:t>
      </w:r>
    </w:p>
    <w:p w14:paraId="653AF4AE" w14:textId="580C4DBE" w:rsidR="00F16021" w:rsidRDefault="00047D7F" w:rsidP="00BB73C0">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These interventions align with evidence showing that timely digital prompts can strengthen self-regulation during high-risk moments for relapse (Whittaker, 2019). </w:t>
      </w:r>
    </w:p>
    <w:p w14:paraId="0EF9CA52" w14:textId="5C27B6E6" w:rsidR="00047D7F" w:rsidRDefault="00047D7F" w:rsidP="00F954E6">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The app also displays smoke-free streaks, financial savings and projected health improvements, reinforcing motivation through continuous positive feedback (Skinner and Stone, 2023). Optional language selection enhances accessibility for diverse user groups.</w:t>
      </w:r>
    </w:p>
    <w:p w14:paraId="3D748B87" w14:textId="77777777" w:rsidR="009F5439" w:rsidRPr="00047D7F" w:rsidRDefault="009F5439" w:rsidP="00F954E6">
      <w:pPr>
        <w:spacing w:before="100" w:beforeAutospacing="1" w:after="100" w:afterAutospacing="1" w:line="360" w:lineRule="auto"/>
        <w:outlineLvl w:val="0"/>
        <w:rPr>
          <w:rFonts w:ascii="Arial" w:eastAsia="Times New Roman" w:hAnsi="Arial" w:cs="Arial"/>
          <w:kern w:val="36"/>
          <w:lang w:eastAsia="en-GB"/>
          <w14:ligatures w14:val="none"/>
        </w:rPr>
      </w:pPr>
    </w:p>
    <w:p w14:paraId="0A370E2C" w14:textId="429F0E95" w:rsidR="00047D7F" w:rsidRPr="000067FE"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F16021">
        <w:rPr>
          <w:rFonts w:ascii="Arial" w:eastAsia="Times New Roman" w:hAnsi="Arial" w:cs="Arial"/>
          <w:b/>
          <w:bCs/>
          <w:kern w:val="36"/>
          <w:lang w:eastAsia="en-GB"/>
          <w14:ligatures w14:val="none"/>
        </w:rPr>
        <w:t>Advantages, Limitations and Mitigation Strategies</w:t>
      </w:r>
    </w:p>
    <w:p w14:paraId="563EF10E" w14:textId="77777777" w:rsidR="000067FE"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A key advantage of RespireA</w:t>
      </w:r>
      <w:r w:rsidR="000067FE">
        <w:rPr>
          <w:rFonts w:ascii="Arial" w:eastAsia="Times New Roman" w:hAnsi="Arial" w:cs="Arial"/>
          <w:kern w:val="36"/>
          <w:lang w:eastAsia="en-GB"/>
          <w14:ligatures w14:val="none"/>
        </w:rPr>
        <w:t>ir</w:t>
      </w:r>
      <w:r w:rsidRPr="00047D7F">
        <w:rPr>
          <w:rFonts w:ascii="Arial" w:eastAsia="Times New Roman" w:hAnsi="Arial" w:cs="Arial"/>
          <w:kern w:val="36"/>
          <w:lang w:eastAsia="en-GB"/>
          <w14:ligatures w14:val="none"/>
        </w:rPr>
        <w:t xml:space="preserve"> is its hybrid smartphone and wearable design, increasing accessibility for users who may not own smartwatches, a common barrier in digital cessation tools (NHS Digital, 2023). </w:t>
      </w:r>
    </w:p>
    <w:p w14:paraId="6C81EA23" w14:textId="173DC72C" w:rsidR="00047D7F" w:rsidRP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Its passive monitoring system reduces user burden, supporting sustained engagement, which is associated with improved outcomes in digital health interventions (Whittaker et al., 2019).</w:t>
      </w:r>
    </w:p>
    <w:p w14:paraId="1A4B7743" w14:textId="4D3554F1" w:rsidR="00E92C2B" w:rsidRPr="00047D7F" w:rsidRDefault="00047D7F" w:rsidP="00E92C2B">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However, breath detection accuracy may be affected by environmental noise or physical activity, potentially reducing reliability</w:t>
      </w:r>
      <w:r w:rsidR="00E92C2B">
        <w:rPr>
          <w:rFonts w:ascii="Arial" w:eastAsia="Times New Roman" w:hAnsi="Arial" w:cs="Arial"/>
          <w:kern w:val="36"/>
          <w:lang w:eastAsia="en-GB"/>
          <w14:ligatures w14:val="none"/>
        </w:rPr>
        <w:t xml:space="preserve"> </w:t>
      </w:r>
      <w:r w:rsidR="00E92C2B" w:rsidRPr="00047D7F">
        <w:rPr>
          <w:rFonts w:ascii="Arial" w:eastAsia="Times New Roman" w:hAnsi="Arial" w:cs="Arial"/>
          <w:kern w:val="36"/>
          <w:lang w:eastAsia="en-GB"/>
          <w14:ligatures w14:val="none"/>
        </w:rPr>
        <w:t>(Michie, 2017).</w:t>
      </w:r>
    </w:p>
    <w:p w14:paraId="7FEA6F8C" w14:textId="77777777" w:rsidR="00956AB7"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This limitation can be addressed through sensor prioritisation, where the wearable ring’s respiratory data is weighted more heavily than microphone input in noisy environments, improving prediction accuracy (Nahum</w:t>
      </w:r>
      <w:r w:rsidR="00956AB7">
        <w:rPr>
          <w:rFonts w:ascii="Arial" w:eastAsia="Times New Roman" w:hAnsi="Arial" w:cs="Arial"/>
          <w:kern w:val="36"/>
          <w:lang w:eastAsia="en-GB"/>
          <w14:ligatures w14:val="none"/>
        </w:rPr>
        <w:t xml:space="preserve"> and </w:t>
      </w:r>
      <w:r w:rsidRPr="00047D7F">
        <w:rPr>
          <w:rFonts w:ascii="Arial" w:eastAsia="Times New Roman" w:hAnsi="Arial" w:cs="Arial"/>
          <w:kern w:val="36"/>
          <w:lang w:eastAsia="en-GB"/>
          <w14:ligatures w14:val="none"/>
        </w:rPr>
        <w:t>Shani</w:t>
      </w:r>
      <w:r w:rsidR="00956AB7">
        <w:rPr>
          <w:rFonts w:ascii="Arial" w:eastAsia="Times New Roman" w:hAnsi="Arial" w:cs="Arial"/>
          <w:kern w:val="36"/>
          <w:lang w:eastAsia="en-GB"/>
          <w14:ligatures w14:val="none"/>
        </w:rPr>
        <w:t>,</w:t>
      </w:r>
      <w:r w:rsidRPr="00047D7F">
        <w:rPr>
          <w:rFonts w:ascii="Arial" w:eastAsia="Times New Roman" w:hAnsi="Arial" w:cs="Arial"/>
          <w:kern w:val="36"/>
          <w:lang w:eastAsia="en-GB"/>
          <w14:ligatures w14:val="none"/>
        </w:rPr>
        <w:t xml:space="preserve"> 2018). </w:t>
      </w:r>
    </w:p>
    <w:p w14:paraId="570F5165" w14:textId="1CE1F378" w:rsidR="00047D7F" w:rsidRP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Engagement may also decline without human support, a recognised challenge in digital behaviour-change interventions (Michie, 2017).</w:t>
      </w:r>
    </w:p>
    <w:p w14:paraId="2C0A0077" w14:textId="77777777" w:rsidR="00956AB7"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To address these shortfalls, RespireA</w:t>
      </w:r>
      <w:r w:rsidR="00956AB7">
        <w:rPr>
          <w:rFonts w:ascii="Arial" w:eastAsia="Times New Roman" w:hAnsi="Arial" w:cs="Arial"/>
          <w:kern w:val="36"/>
          <w:lang w:eastAsia="en-GB"/>
          <w14:ligatures w14:val="none"/>
        </w:rPr>
        <w:t>ir</w:t>
      </w:r>
      <w:r w:rsidRPr="00047D7F">
        <w:rPr>
          <w:rFonts w:ascii="Arial" w:eastAsia="Times New Roman" w:hAnsi="Arial" w:cs="Arial"/>
          <w:kern w:val="36"/>
          <w:lang w:eastAsia="en-GB"/>
          <w14:ligatures w14:val="none"/>
        </w:rPr>
        <w:t xml:space="preserve"> could integrate with NHS Stop Smoking Services, offering combined behavioural and pharmacological support for individuals with higher nicotine dependence (NICE, 2021). </w:t>
      </w:r>
    </w:p>
    <w:p w14:paraId="34C9751B" w14:textId="60E67F32" w:rsidR="00047D7F" w:rsidRP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Optional live chat with trained advisors and regular culturally tailored content updates would further enhance equity, engagement and long-term effectiveness (NHS Digital, 2023).</w:t>
      </w:r>
    </w:p>
    <w:p w14:paraId="680ED6EC" w14:textId="5E652A71" w:rsidR="00047D7F" w:rsidRPr="00956AB7"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956AB7">
        <w:rPr>
          <w:rFonts w:ascii="Arial" w:eastAsia="Times New Roman" w:hAnsi="Arial" w:cs="Arial"/>
          <w:b/>
          <w:bCs/>
          <w:kern w:val="36"/>
          <w:lang w:eastAsia="en-GB"/>
          <w14:ligatures w14:val="none"/>
        </w:rPr>
        <w:t>Conclusion</w:t>
      </w:r>
    </w:p>
    <w:p w14:paraId="6471CD03" w14:textId="5102F9C1" w:rsid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RespireA</w:t>
      </w:r>
      <w:r w:rsidR="00CE0D96">
        <w:rPr>
          <w:rFonts w:ascii="Arial" w:eastAsia="Times New Roman" w:hAnsi="Arial" w:cs="Arial"/>
          <w:kern w:val="36"/>
          <w:lang w:eastAsia="en-GB"/>
          <w14:ligatures w14:val="none"/>
        </w:rPr>
        <w:t xml:space="preserve">ir </w:t>
      </w:r>
      <w:r w:rsidRPr="00047D7F">
        <w:rPr>
          <w:rFonts w:ascii="Arial" w:eastAsia="Times New Roman" w:hAnsi="Arial" w:cs="Arial"/>
          <w:kern w:val="36"/>
          <w:lang w:eastAsia="en-GB"/>
          <w14:ligatures w14:val="none"/>
        </w:rPr>
        <w:t>represents a novel, preventative digital smoking cessation intervention that moves beyond existing market solutions by predicting cravings before relapse occurs. By integrating AI-driven physiological monitoring with evidence-based behavioural support, RespireA</w:t>
      </w:r>
      <w:r w:rsidR="00CE0D96">
        <w:rPr>
          <w:rFonts w:ascii="Arial" w:eastAsia="Times New Roman" w:hAnsi="Arial" w:cs="Arial"/>
          <w:kern w:val="36"/>
          <w:lang w:eastAsia="en-GB"/>
          <w14:ligatures w14:val="none"/>
        </w:rPr>
        <w:t xml:space="preserve">ir </w:t>
      </w:r>
      <w:r w:rsidRPr="00047D7F">
        <w:rPr>
          <w:rFonts w:ascii="Arial" w:eastAsia="Times New Roman" w:hAnsi="Arial" w:cs="Arial"/>
          <w:kern w:val="36"/>
          <w:lang w:eastAsia="en-GB"/>
          <w14:ligatures w14:val="none"/>
        </w:rPr>
        <w:t>has strong potential to enhance smoking cessation outcomes when embedded within existing public health services.</w:t>
      </w:r>
    </w:p>
    <w:p w14:paraId="1B6BB2C1" w14:textId="77777777" w:rsidR="00F954E6" w:rsidRPr="00047D7F" w:rsidRDefault="00F954E6"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p>
    <w:p w14:paraId="5A51C6CD" w14:textId="77777777" w:rsidR="00753467" w:rsidRDefault="00753467" w:rsidP="00753467">
      <w:pPr>
        <w:shd w:val="clear" w:color="auto" w:fill="FFFFFF"/>
        <w:spacing w:before="100" w:beforeAutospacing="1" w:after="100" w:afterAutospacing="1" w:line="240" w:lineRule="auto"/>
        <w:rPr>
          <w:rFonts w:ascii="Arial" w:hAnsi="Arial" w:cs="Arial"/>
        </w:rPr>
      </w:pPr>
      <w:r w:rsidRPr="007F2BCC">
        <w:rPr>
          <w:rFonts w:ascii="Arial" w:hAnsi="Arial" w:cs="Arial"/>
        </w:rPr>
        <w:t>REFERENCES:</w:t>
      </w:r>
    </w:p>
    <w:p w14:paraId="02D454B6" w14:textId="497B892C" w:rsidR="00E66A85" w:rsidRPr="007F2BCC" w:rsidRDefault="00E66A85" w:rsidP="00E66A85">
      <w:pPr>
        <w:shd w:val="clear" w:color="auto" w:fill="FFFFFF"/>
        <w:spacing w:before="100" w:beforeAutospacing="1" w:after="100" w:afterAutospacing="1" w:line="240" w:lineRule="auto"/>
        <w:rPr>
          <w:rFonts w:ascii="Arial" w:hAnsi="Arial" w:cs="Arial"/>
        </w:rPr>
      </w:pPr>
      <w:r w:rsidRPr="00E66A85">
        <w:rPr>
          <w:rFonts w:ascii="Arial" w:hAnsi="Arial" w:cs="Arial"/>
        </w:rPr>
        <w:t>Getty Images (</w:t>
      </w:r>
      <w:r w:rsidR="00F776FA">
        <w:rPr>
          <w:rFonts w:ascii="Arial" w:hAnsi="Arial" w:cs="Arial"/>
        </w:rPr>
        <w:t>2025</w:t>
      </w:r>
      <w:r w:rsidRPr="00E66A85">
        <w:rPr>
          <w:rFonts w:ascii="Arial" w:hAnsi="Arial" w:cs="Arial"/>
        </w:rPr>
        <w:t xml:space="preserve">) </w:t>
      </w:r>
      <w:r w:rsidR="00565B4A">
        <w:rPr>
          <w:rFonts w:ascii="Arial" w:hAnsi="Arial" w:cs="Arial"/>
        </w:rPr>
        <w:t>‘</w:t>
      </w:r>
      <w:r w:rsidRPr="00E66A85">
        <w:rPr>
          <w:rFonts w:ascii="Arial" w:hAnsi="Arial" w:cs="Arial"/>
        </w:rPr>
        <w:t xml:space="preserve">People smoking </w:t>
      </w:r>
      <w:r w:rsidR="00822C64" w:rsidRPr="00E66A85">
        <w:rPr>
          <w:rFonts w:ascii="Arial" w:hAnsi="Arial" w:cs="Arial"/>
        </w:rPr>
        <w:t>cigarettes</w:t>
      </w:r>
      <w:r w:rsidR="00822C64">
        <w:rPr>
          <w:rFonts w:ascii="Arial" w:hAnsi="Arial" w:cs="Arial"/>
        </w:rPr>
        <w:t xml:space="preserve">. </w:t>
      </w:r>
      <w:r w:rsidRPr="00E66A85">
        <w:rPr>
          <w:rFonts w:ascii="Arial" w:hAnsi="Arial" w:cs="Arial"/>
        </w:rPr>
        <w:t xml:space="preserve">Available at: </w:t>
      </w:r>
      <w:hyperlink r:id="rId23" w:history="1">
        <w:r w:rsidR="00565B4A" w:rsidRPr="00C8505E">
          <w:rPr>
            <w:rStyle w:val="Hyperlink"/>
            <w:rFonts w:ascii="Arial" w:hAnsi="Arial" w:cs="Arial"/>
          </w:rPr>
          <w:t>https://www.gettyimages.com.au/photos/people-smoking-cigarettes</w:t>
        </w:r>
      </w:hyperlink>
      <w:r w:rsidR="00565B4A">
        <w:rPr>
          <w:rFonts w:ascii="Arial" w:hAnsi="Arial" w:cs="Arial"/>
        </w:rPr>
        <w:t xml:space="preserve">. </w:t>
      </w:r>
      <w:r w:rsidRPr="00E66A85">
        <w:rPr>
          <w:rFonts w:ascii="Arial" w:hAnsi="Arial" w:cs="Arial"/>
        </w:rPr>
        <w:t>(Accessed: 29 January 2026).</w:t>
      </w:r>
    </w:p>
    <w:p w14:paraId="0E448722" w14:textId="77777777" w:rsidR="00753467" w:rsidRPr="007F2BCC" w:rsidRDefault="00753467" w:rsidP="00753467">
      <w:pPr>
        <w:shd w:val="clear" w:color="auto" w:fill="FFFFFF"/>
        <w:spacing w:before="100" w:beforeAutospacing="1" w:after="100" w:afterAutospacing="1" w:line="240" w:lineRule="auto"/>
        <w:rPr>
          <w:rFonts w:ascii="Arial" w:eastAsia="Times New Roman" w:hAnsi="Arial" w:cs="Arial"/>
          <w:color w:val="156082" w:themeColor="accent1"/>
          <w:kern w:val="0"/>
          <w:lang w:eastAsia="en-GB"/>
          <w14:ligatures w14:val="none"/>
        </w:rPr>
      </w:pPr>
      <w:r w:rsidRPr="007F2BCC">
        <w:rPr>
          <w:rFonts w:ascii="Arial" w:hAnsi="Arial" w:cs="Arial"/>
        </w:rPr>
        <w:t xml:space="preserve">Michie, S., Richardson, M., Johnston, M., Abraham, C., Francis, J., Hardeman, W. and Wood, C. (2013) ‘The behaviour change technique taxonomy (v1) of 93 hierarchically clustered techniques’, </w:t>
      </w:r>
      <w:r w:rsidRPr="007F2BCC">
        <w:rPr>
          <w:rStyle w:val="Emphasis"/>
          <w:rFonts w:ascii="Arial" w:hAnsi="Arial" w:cs="Arial"/>
        </w:rPr>
        <w:t>Annals of Behavioural Medicine</w:t>
      </w:r>
      <w:r w:rsidRPr="007F2BCC">
        <w:rPr>
          <w:rFonts w:ascii="Arial" w:hAnsi="Arial" w:cs="Arial"/>
        </w:rPr>
        <w:t xml:space="preserve">, 46(1), pp. 81–95.Available at: </w:t>
      </w:r>
      <w:r w:rsidRPr="007F2BCC">
        <w:rPr>
          <w:rFonts w:ascii="Arial" w:eastAsia="Times New Roman" w:hAnsi="Arial" w:cs="Arial"/>
          <w:color w:val="212121"/>
          <w:kern w:val="0"/>
          <w:lang w:eastAsia="en-GB"/>
          <w14:ligatures w14:val="none"/>
        </w:rPr>
        <w:t xml:space="preserve"> DOI: </w:t>
      </w:r>
      <w:hyperlink r:id="rId24" w:tgtFrame="_blank" w:history="1">
        <w:r w:rsidRPr="007F2BCC">
          <w:rPr>
            <w:rFonts w:ascii="Arial" w:eastAsia="Times New Roman" w:hAnsi="Arial" w:cs="Arial"/>
            <w:color w:val="156082" w:themeColor="accent1"/>
            <w:kern w:val="0"/>
            <w:lang w:eastAsia="en-GB"/>
            <w14:ligatures w14:val="none"/>
          </w:rPr>
          <w:t>10.1007/s12160-013-9486-6</w:t>
        </w:r>
      </w:hyperlink>
      <w:r w:rsidRPr="007F2BCC">
        <w:rPr>
          <w:rFonts w:ascii="Arial" w:eastAsia="Times New Roman" w:hAnsi="Arial" w:cs="Arial"/>
          <w:color w:val="156082" w:themeColor="accent1"/>
          <w:kern w:val="0"/>
          <w:lang w:eastAsia="en-GB"/>
          <w14:ligatures w14:val="none"/>
        </w:rPr>
        <w:t>.</w:t>
      </w:r>
    </w:p>
    <w:p w14:paraId="7600E2F6" w14:textId="77777777" w:rsidR="00753467" w:rsidRPr="007F2BCC" w:rsidRDefault="00753467" w:rsidP="00753467">
      <w:pPr>
        <w:shd w:val="clear" w:color="auto" w:fill="FFFFFF"/>
        <w:spacing w:before="100" w:beforeAutospacing="1" w:after="100" w:afterAutospacing="1" w:line="240" w:lineRule="auto"/>
        <w:rPr>
          <w:rFonts w:ascii="Arial" w:eastAsia="Times New Roman" w:hAnsi="Arial" w:cs="Arial"/>
          <w:color w:val="212121"/>
          <w:kern w:val="0"/>
          <w:lang w:eastAsia="en-GB"/>
          <w14:ligatures w14:val="none"/>
        </w:rPr>
      </w:pPr>
      <w:r w:rsidRPr="007F2BCC">
        <w:rPr>
          <w:rFonts w:ascii="Arial" w:hAnsi="Arial" w:cs="Arial"/>
          <w:color w:val="212121"/>
          <w:shd w:val="clear" w:color="auto" w:fill="FFFFFF"/>
        </w:rPr>
        <w:t xml:space="preserve">Nahum-Shani I, Smith SN, Spring BJ, Collins LM, </w:t>
      </w:r>
      <w:proofErr w:type="spellStart"/>
      <w:r w:rsidRPr="007F2BCC">
        <w:rPr>
          <w:rFonts w:ascii="Arial" w:hAnsi="Arial" w:cs="Arial"/>
          <w:color w:val="212121"/>
          <w:shd w:val="clear" w:color="auto" w:fill="FFFFFF"/>
        </w:rPr>
        <w:t>Witkiewitz</w:t>
      </w:r>
      <w:proofErr w:type="spellEnd"/>
      <w:r w:rsidRPr="007F2BCC">
        <w:rPr>
          <w:rFonts w:ascii="Arial" w:hAnsi="Arial" w:cs="Arial"/>
          <w:color w:val="212121"/>
          <w:shd w:val="clear" w:color="auto" w:fill="FFFFFF"/>
        </w:rPr>
        <w:t xml:space="preserve"> K, Tewari A, Murphy SA. (2019) ‘Just-in-Time Adaptive Interventions (JITAIs) in Mobile Health: Key Components and Design Principles for Ongoing Health Behaviour Support. </w:t>
      </w:r>
      <w:r w:rsidRPr="007F2BCC">
        <w:rPr>
          <w:rFonts w:ascii="Arial" w:hAnsi="Arial" w:cs="Arial"/>
          <w:i/>
          <w:iCs/>
          <w:color w:val="212121"/>
          <w:shd w:val="clear" w:color="auto" w:fill="FFFFFF"/>
        </w:rPr>
        <w:t xml:space="preserve">Ann Behav Med. </w:t>
      </w:r>
      <w:r w:rsidRPr="007F2BCC">
        <w:rPr>
          <w:rFonts w:ascii="Arial" w:hAnsi="Arial" w:cs="Arial"/>
          <w:color w:val="212121"/>
          <w:shd w:val="clear" w:color="auto" w:fill="FFFFFF"/>
        </w:rPr>
        <w:t xml:space="preserve">18;52(6):446-462.’ </w:t>
      </w:r>
      <w:r w:rsidRPr="007F2BCC">
        <w:rPr>
          <w:rFonts w:ascii="Arial" w:eastAsia="Times New Roman" w:hAnsi="Arial" w:cs="Arial"/>
          <w:color w:val="212121"/>
          <w:kern w:val="0"/>
          <w:lang w:eastAsia="en-GB"/>
          <w14:ligatures w14:val="none"/>
        </w:rPr>
        <w:t>Available at: DOI: </w:t>
      </w:r>
      <w:hyperlink r:id="rId25" w:tgtFrame="_blank" w:history="1">
        <w:r w:rsidRPr="007F2BCC">
          <w:rPr>
            <w:rFonts w:ascii="Arial" w:eastAsia="Times New Roman" w:hAnsi="Arial" w:cs="Arial"/>
            <w:color w:val="0071BC"/>
            <w:kern w:val="0"/>
            <w:lang w:eastAsia="en-GB"/>
            <w14:ligatures w14:val="none"/>
          </w:rPr>
          <w:t>10.1007/s12160-016-9830-8</w:t>
        </w:r>
      </w:hyperlink>
      <w:r w:rsidRPr="007F2BCC">
        <w:rPr>
          <w:rFonts w:ascii="Arial" w:eastAsia="Times New Roman" w:hAnsi="Arial" w:cs="Arial"/>
          <w:color w:val="212121"/>
          <w:kern w:val="0"/>
          <w:lang w:eastAsia="en-GB"/>
          <w14:ligatures w14:val="none"/>
        </w:rPr>
        <w:t>.</w:t>
      </w:r>
    </w:p>
    <w:p w14:paraId="1B0FFFBD" w14:textId="77777777" w:rsidR="00753467" w:rsidRPr="007F2BCC" w:rsidRDefault="00753467" w:rsidP="00753467">
      <w:pPr>
        <w:pStyle w:val="NormalWeb"/>
        <w:rPr>
          <w:rFonts w:ascii="Arial" w:hAnsi="Arial" w:cs="Arial"/>
        </w:rPr>
      </w:pPr>
      <w:r w:rsidRPr="007F2BCC">
        <w:rPr>
          <w:rFonts w:ascii="Arial" w:hAnsi="Arial" w:cs="Arial"/>
        </w:rPr>
        <w:t>NHS. (2023) ‘</w:t>
      </w:r>
      <w:r w:rsidRPr="007F2BCC">
        <w:rPr>
          <w:rStyle w:val="Emphasis"/>
          <w:rFonts w:ascii="Arial" w:eastAsiaTheme="majorEastAsia" w:hAnsi="Arial" w:cs="Arial"/>
        </w:rPr>
        <w:t>Quit smoking</w:t>
      </w:r>
      <w:r w:rsidRPr="007F2BCC">
        <w:rPr>
          <w:rFonts w:ascii="Arial" w:hAnsi="Arial" w:cs="Arial"/>
        </w:rPr>
        <w:t xml:space="preserve">.’ Available at: </w:t>
      </w:r>
      <w:hyperlink r:id="rId26" w:history="1">
        <w:r w:rsidRPr="007F2BCC">
          <w:rPr>
            <w:rStyle w:val="Hyperlink"/>
            <w:rFonts w:ascii="Arial" w:hAnsi="Arial" w:cs="Arial"/>
          </w:rPr>
          <w:t>https://www.nhs.uk/better-health/quit-smoking</w:t>
        </w:r>
      </w:hyperlink>
      <w:r w:rsidRPr="007F2BCC">
        <w:rPr>
          <w:rFonts w:ascii="Arial" w:hAnsi="Arial" w:cs="Arial"/>
        </w:rPr>
        <w:t>.  (Accessed: 20 January 2026).</w:t>
      </w:r>
    </w:p>
    <w:p w14:paraId="4FD2BF9D" w14:textId="77777777" w:rsidR="00753467" w:rsidRPr="007F2BCC" w:rsidRDefault="00753467" w:rsidP="00753467">
      <w:pPr>
        <w:pStyle w:val="NormalWeb"/>
        <w:rPr>
          <w:rFonts w:ascii="Arial" w:hAnsi="Arial" w:cs="Arial"/>
        </w:rPr>
      </w:pPr>
      <w:r w:rsidRPr="007F2BCC">
        <w:rPr>
          <w:rFonts w:ascii="Arial" w:hAnsi="Arial" w:cs="Arial"/>
        </w:rPr>
        <w:t>NHS Digital. (2023) ‘</w:t>
      </w:r>
      <w:r w:rsidRPr="007F2BCC">
        <w:rPr>
          <w:rStyle w:val="Emphasis"/>
          <w:rFonts w:ascii="Arial" w:eastAsiaTheme="majorEastAsia" w:hAnsi="Arial" w:cs="Arial"/>
        </w:rPr>
        <w:t>Digital inclusion and health inequalities</w:t>
      </w:r>
      <w:r w:rsidRPr="007F2BCC">
        <w:rPr>
          <w:rFonts w:ascii="Arial" w:hAnsi="Arial" w:cs="Arial"/>
        </w:rPr>
        <w:t xml:space="preserve">.’ Available at: </w:t>
      </w:r>
      <w:hyperlink r:id="rId27" w:history="1">
        <w:r w:rsidRPr="007F2BCC">
          <w:rPr>
            <w:rStyle w:val="Hyperlink"/>
            <w:rFonts w:ascii="Arial" w:hAnsi="Arial" w:cs="Arial"/>
          </w:rPr>
          <w:t>https://digital.nhs.uk</w:t>
        </w:r>
      </w:hyperlink>
      <w:r w:rsidRPr="007F2BCC">
        <w:rPr>
          <w:rFonts w:ascii="Arial" w:hAnsi="Arial" w:cs="Arial"/>
        </w:rPr>
        <w:t>.  (Accessed: 20 January 2026).</w:t>
      </w:r>
    </w:p>
    <w:p w14:paraId="630DCE96" w14:textId="77777777" w:rsidR="00753467" w:rsidRPr="007F2BCC" w:rsidRDefault="00753467" w:rsidP="00753467">
      <w:pPr>
        <w:pStyle w:val="NormalWeb"/>
        <w:rPr>
          <w:rFonts w:ascii="Arial" w:hAnsi="Arial" w:cs="Arial"/>
        </w:rPr>
      </w:pPr>
      <w:r w:rsidRPr="007F2BCC">
        <w:rPr>
          <w:rFonts w:ascii="Arial" w:hAnsi="Arial" w:cs="Arial"/>
        </w:rPr>
        <w:t>NICE. (2021) ‘</w:t>
      </w:r>
      <w:r w:rsidRPr="007F2BCC">
        <w:rPr>
          <w:rStyle w:val="Emphasis"/>
          <w:rFonts w:ascii="Arial" w:eastAsiaTheme="majorEastAsia" w:hAnsi="Arial" w:cs="Arial"/>
          <w:i w:val="0"/>
          <w:iCs w:val="0"/>
        </w:rPr>
        <w:t>Tobacco: preventing uptake, promoting quitting and treating dependence (NG209)</w:t>
      </w:r>
      <w:r w:rsidRPr="007F2BCC">
        <w:rPr>
          <w:rFonts w:ascii="Arial" w:hAnsi="Arial" w:cs="Arial"/>
          <w:i/>
          <w:iCs/>
        </w:rPr>
        <w:t>.</w:t>
      </w:r>
      <w:r w:rsidRPr="007F2BCC">
        <w:rPr>
          <w:rFonts w:ascii="Arial" w:hAnsi="Arial" w:cs="Arial"/>
        </w:rPr>
        <w:t xml:space="preserve">’ </w:t>
      </w:r>
      <w:r w:rsidRPr="007F2BCC">
        <w:rPr>
          <w:rFonts w:ascii="Arial" w:hAnsi="Arial" w:cs="Arial"/>
          <w:i/>
          <w:iCs/>
        </w:rPr>
        <w:t>London:</w:t>
      </w:r>
      <w:r w:rsidRPr="007F2BCC">
        <w:rPr>
          <w:rFonts w:ascii="Arial" w:hAnsi="Arial" w:cs="Arial"/>
        </w:rPr>
        <w:t xml:space="preserve"> </w:t>
      </w:r>
      <w:r w:rsidRPr="007F2BCC">
        <w:rPr>
          <w:rFonts w:ascii="Arial" w:hAnsi="Arial" w:cs="Arial"/>
          <w:i/>
          <w:iCs/>
        </w:rPr>
        <w:t>NICE</w:t>
      </w:r>
      <w:r w:rsidRPr="007F2BCC">
        <w:rPr>
          <w:rFonts w:ascii="Arial" w:hAnsi="Arial" w:cs="Arial"/>
        </w:rPr>
        <w:t>.</w:t>
      </w:r>
      <w:r w:rsidRPr="007F2BCC">
        <w:rPr>
          <w:rFonts w:ascii="Arial" w:eastAsiaTheme="minorHAnsi" w:hAnsi="Arial" w:cs="Arial"/>
          <w:kern w:val="2"/>
          <w:lang w:eastAsia="en-US"/>
          <w14:ligatures w14:val="standardContextual"/>
        </w:rPr>
        <w:t xml:space="preserve"> </w:t>
      </w:r>
      <w:hyperlink r:id="rId28" w:history="1">
        <w:r w:rsidRPr="007F2BCC">
          <w:rPr>
            <w:rFonts w:ascii="Arial" w:eastAsiaTheme="minorHAnsi" w:hAnsi="Arial" w:cs="Arial"/>
            <w:color w:val="156082" w:themeColor="accent1"/>
            <w:kern w:val="2"/>
            <w:u w:val="single"/>
            <w:lang w:eastAsia="en-US"/>
            <w14:ligatures w14:val="standardContextual"/>
          </w:rPr>
          <w:t>Overview | Tobacco: preventing uptake, promoting quitting and treating dependence | Guidance | NICE</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22 January 2026).</w:t>
      </w:r>
    </w:p>
    <w:p w14:paraId="23BB478E" w14:textId="77777777" w:rsidR="00753467" w:rsidRPr="007F2BCC" w:rsidRDefault="00753467" w:rsidP="00753467">
      <w:pPr>
        <w:pStyle w:val="NormalWeb"/>
        <w:rPr>
          <w:rFonts w:ascii="Arial" w:hAnsi="Arial" w:cs="Arial"/>
        </w:rPr>
      </w:pPr>
      <w:r w:rsidRPr="007F2BCC">
        <w:rPr>
          <w:rFonts w:ascii="Arial" w:hAnsi="Arial" w:cs="Arial"/>
        </w:rPr>
        <w:t>Office for Health Improvement and Disparities. (2022) ‘</w:t>
      </w:r>
      <w:r w:rsidRPr="007F2BCC">
        <w:rPr>
          <w:rStyle w:val="Emphasis"/>
          <w:rFonts w:ascii="Arial" w:eastAsiaTheme="majorEastAsia" w:hAnsi="Arial" w:cs="Arial"/>
          <w:i w:val="0"/>
          <w:iCs w:val="0"/>
        </w:rPr>
        <w:t>Health matters: smoking and tobacco</w:t>
      </w:r>
      <w:r w:rsidRPr="007F2BCC">
        <w:rPr>
          <w:rFonts w:ascii="Arial" w:hAnsi="Arial" w:cs="Arial"/>
        </w:rPr>
        <w:t xml:space="preserve">.’ </w:t>
      </w:r>
      <w:r w:rsidRPr="007F2BCC">
        <w:rPr>
          <w:rFonts w:ascii="Arial" w:hAnsi="Arial" w:cs="Arial"/>
          <w:i/>
          <w:iCs/>
        </w:rPr>
        <w:t>London: OHID.</w:t>
      </w:r>
      <w:r w:rsidRPr="007F2BCC">
        <w:rPr>
          <w:rFonts w:ascii="Arial" w:eastAsiaTheme="minorHAnsi" w:hAnsi="Arial" w:cs="Arial"/>
          <w:kern w:val="2"/>
          <w:lang w:eastAsia="en-US"/>
          <w14:ligatures w14:val="standardContextual"/>
        </w:rPr>
        <w:t xml:space="preserve"> </w:t>
      </w:r>
      <w:hyperlink r:id="rId29" w:history="1">
        <w:r w:rsidRPr="007F2BCC">
          <w:rPr>
            <w:rFonts w:ascii="Arial" w:eastAsiaTheme="minorHAnsi" w:hAnsi="Arial" w:cs="Arial"/>
            <w:color w:val="156082" w:themeColor="accent1"/>
            <w:kern w:val="2"/>
            <w:u w:val="single"/>
            <w:lang w:eastAsia="en-US"/>
            <w14:ligatures w14:val="standardContextual"/>
          </w:rPr>
          <w:t>Smoking and tobacco: applying All Our Health - GOV.UK</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25 January 2026).</w:t>
      </w:r>
    </w:p>
    <w:p w14:paraId="62B4DE1D" w14:textId="77777777" w:rsidR="00753467" w:rsidRDefault="00753467" w:rsidP="00753467">
      <w:pPr>
        <w:pStyle w:val="NormalWeb"/>
        <w:rPr>
          <w:rFonts w:ascii="Arial" w:hAnsi="Arial" w:cs="Arial"/>
          <w:color w:val="212121"/>
        </w:rPr>
      </w:pPr>
      <w:r w:rsidRPr="007F2BCC">
        <w:rPr>
          <w:rFonts w:ascii="Arial" w:hAnsi="Arial" w:cs="Arial"/>
        </w:rPr>
        <w:t>Office for National Statistics. (2023) ‘</w:t>
      </w:r>
      <w:r w:rsidRPr="007F2BCC">
        <w:rPr>
          <w:rStyle w:val="Emphasis"/>
          <w:rFonts w:ascii="Arial" w:eastAsiaTheme="majorEastAsia" w:hAnsi="Arial" w:cs="Arial"/>
          <w:i w:val="0"/>
          <w:iCs w:val="0"/>
        </w:rPr>
        <w:t>Adult smoking habits in the UK</w:t>
      </w:r>
      <w:r w:rsidRPr="007F2BCC">
        <w:rPr>
          <w:rFonts w:ascii="Arial" w:hAnsi="Arial" w:cs="Arial"/>
        </w:rPr>
        <w:t xml:space="preserve">.’ </w:t>
      </w:r>
      <w:r w:rsidRPr="007F2BCC">
        <w:rPr>
          <w:rFonts w:ascii="Arial" w:hAnsi="Arial" w:cs="Arial"/>
          <w:i/>
          <w:iCs/>
        </w:rPr>
        <w:t>London: ONS</w:t>
      </w:r>
      <w:r w:rsidRPr="007F2BCC">
        <w:rPr>
          <w:rFonts w:ascii="Arial" w:hAnsi="Arial" w:cs="Arial"/>
        </w:rPr>
        <w:t>. Available at:</w:t>
      </w:r>
      <w:r w:rsidRPr="007F2BCC">
        <w:rPr>
          <w:rFonts w:ascii="Arial" w:eastAsiaTheme="minorHAnsi" w:hAnsi="Arial" w:cs="Arial"/>
          <w:kern w:val="2"/>
          <w:lang w:eastAsia="en-US"/>
          <w14:ligatures w14:val="standardContextual"/>
        </w:rPr>
        <w:t xml:space="preserve"> </w:t>
      </w:r>
      <w:hyperlink r:id="rId30" w:history="1">
        <w:r w:rsidRPr="007F2BCC">
          <w:rPr>
            <w:rFonts w:ascii="Arial" w:eastAsiaTheme="minorHAnsi" w:hAnsi="Arial" w:cs="Arial"/>
            <w:color w:val="156082" w:themeColor="accent1"/>
            <w:kern w:val="2"/>
            <w:u w:val="single"/>
            <w:lang w:eastAsia="en-US"/>
            <w14:ligatures w14:val="standardContextual"/>
          </w:rPr>
          <w:t>Search - Office for National Statistics</w:t>
        </w:r>
      </w:hyperlink>
      <w:r w:rsidRPr="007F2BCC">
        <w:rPr>
          <w:rFonts w:ascii="Arial" w:eastAsiaTheme="minorHAnsi" w:hAnsi="Arial" w:cs="Arial"/>
          <w:color w:val="156082" w:themeColor="accent1"/>
          <w:kern w:val="2"/>
          <w:lang w:eastAsia="en-US"/>
          <w14:ligatures w14:val="standardContextual"/>
        </w:rPr>
        <w:t>.</w:t>
      </w:r>
      <w:r w:rsidRPr="007F2BCC">
        <w:rPr>
          <w:rFonts w:ascii="Arial" w:hAnsi="Arial" w:cs="Arial"/>
          <w:color w:val="156082" w:themeColor="accent1"/>
        </w:rPr>
        <w:t xml:space="preserve"> </w:t>
      </w:r>
      <w:r w:rsidRPr="007F2BCC">
        <w:rPr>
          <w:rFonts w:ascii="Arial" w:hAnsi="Arial" w:cs="Arial"/>
        </w:rPr>
        <w:t>(Accessed: 25 January 2026).</w:t>
      </w:r>
      <w:r w:rsidRPr="007F2BCC">
        <w:rPr>
          <w:rFonts w:ascii="Arial" w:hAnsi="Arial" w:cs="Arial"/>
          <w:color w:val="212121"/>
        </w:rPr>
        <w:t> </w:t>
      </w:r>
    </w:p>
    <w:p w14:paraId="1A65D4B9" w14:textId="3BE4BF39" w:rsidR="000F55FF" w:rsidRPr="007F2BCC" w:rsidRDefault="000F55FF" w:rsidP="00753467">
      <w:pPr>
        <w:pStyle w:val="NormalWeb"/>
        <w:rPr>
          <w:rFonts w:ascii="Arial" w:hAnsi="Arial" w:cs="Arial"/>
        </w:rPr>
      </w:pPr>
      <w:r w:rsidRPr="000F55FF">
        <w:rPr>
          <w:rFonts w:ascii="Arial" w:hAnsi="Arial" w:cs="Arial"/>
        </w:rPr>
        <w:t xml:space="preserve">OpenAI (2023) </w:t>
      </w:r>
      <w:r w:rsidR="00887B68">
        <w:rPr>
          <w:rFonts w:ascii="Arial" w:hAnsi="Arial" w:cs="Arial"/>
        </w:rPr>
        <w:t>‘</w:t>
      </w:r>
      <w:r w:rsidRPr="00887B68">
        <w:rPr>
          <w:rFonts w:ascii="Arial" w:hAnsi="Arial" w:cs="Arial"/>
        </w:rPr>
        <w:t>DALL·E</w:t>
      </w:r>
      <w:r w:rsidR="00887B68">
        <w:rPr>
          <w:rFonts w:ascii="Arial" w:hAnsi="Arial" w:cs="Arial"/>
        </w:rPr>
        <w:t>’</w:t>
      </w:r>
      <w:r w:rsidRPr="000F55FF">
        <w:rPr>
          <w:rFonts w:ascii="Arial" w:hAnsi="Arial" w:cs="Arial"/>
          <w:i/>
          <w:iCs/>
        </w:rPr>
        <w:t xml:space="preserve"> </w:t>
      </w:r>
      <w:r w:rsidR="00887B68">
        <w:rPr>
          <w:rFonts w:ascii="Arial" w:hAnsi="Arial" w:cs="Arial"/>
          <w:i/>
          <w:iCs/>
        </w:rPr>
        <w:t>(</w:t>
      </w:r>
      <w:r w:rsidRPr="000F55FF">
        <w:rPr>
          <w:rFonts w:ascii="Arial" w:hAnsi="Arial" w:cs="Arial"/>
          <w:i/>
          <w:iCs/>
        </w:rPr>
        <w:t>AI image generation tool</w:t>
      </w:r>
      <w:r w:rsidR="00887B68">
        <w:rPr>
          <w:rFonts w:ascii="Arial" w:hAnsi="Arial" w:cs="Arial"/>
          <w:i/>
          <w:iCs/>
        </w:rPr>
        <w:t>)</w:t>
      </w:r>
      <w:r w:rsidRPr="000F55FF">
        <w:rPr>
          <w:rFonts w:ascii="Arial" w:hAnsi="Arial" w:cs="Arial"/>
        </w:rPr>
        <w:t xml:space="preserve">. Available at: </w:t>
      </w:r>
      <w:hyperlink r:id="rId31" w:tgtFrame="_new" w:history="1">
        <w:r w:rsidRPr="000F55FF">
          <w:rPr>
            <w:rStyle w:val="Hyperlink"/>
            <w:rFonts w:ascii="Arial" w:hAnsi="Arial" w:cs="Arial"/>
          </w:rPr>
          <w:t>https://openai.com/dall-e</w:t>
        </w:r>
      </w:hyperlink>
      <w:r w:rsidRPr="000F55FF">
        <w:rPr>
          <w:rFonts w:ascii="Arial" w:hAnsi="Arial" w:cs="Arial"/>
        </w:rPr>
        <w:t xml:space="preserve"> (Accessed: 29 January 2026).</w:t>
      </w:r>
    </w:p>
    <w:p w14:paraId="4FB9DBF8" w14:textId="77777777" w:rsidR="00753467" w:rsidRPr="007F2BCC" w:rsidRDefault="00753467" w:rsidP="00753467">
      <w:pPr>
        <w:pStyle w:val="NormalWeb"/>
        <w:rPr>
          <w:rFonts w:ascii="Arial" w:hAnsi="Arial" w:cs="Arial"/>
        </w:rPr>
      </w:pPr>
      <w:r w:rsidRPr="007F2BCC">
        <w:rPr>
          <w:rFonts w:ascii="Arial" w:hAnsi="Arial" w:cs="Arial"/>
        </w:rPr>
        <w:t>Skinner, A. and Stone, C (2023). ‘StopWatch: A smartwatch</w:t>
      </w:r>
      <w:r w:rsidRPr="007F2BCC">
        <w:rPr>
          <w:rFonts w:ascii="Cambria Math" w:hAnsi="Cambria Math" w:cs="Cambria Math"/>
        </w:rPr>
        <w:t>‑</w:t>
      </w:r>
      <w:r w:rsidRPr="007F2BCC">
        <w:rPr>
          <w:rFonts w:ascii="Arial" w:hAnsi="Arial" w:cs="Arial"/>
        </w:rPr>
        <w:t xml:space="preserve">based behavioural intervention for smoking cessation.’ </w:t>
      </w:r>
      <w:r w:rsidRPr="007F2BCC">
        <w:rPr>
          <w:rFonts w:ascii="Arial" w:hAnsi="Arial" w:cs="Arial"/>
          <w:i/>
          <w:iCs/>
        </w:rPr>
        <w:t>Bristol: Digital Health Innovations</w:t>
      </w:r>
      <w:r w:rsidRPr="007F2BCC">
        <w:rPr>
          <w:rFonts w:ascii="Arial" w:hAnsi="Arial" w:cs="Arial"/>
        </w:rPr>
        <w:t>.</w:t>
      </w:r>
      <w:r w:rsidRPr="007F2BCC">
        <w:rPr>
          <w:rFonts w:ascii="Arial" w:eastAsiaTheme="minorHAnsi" w:hAnsi="Arial" w:cs="Arial"/>
          <w:kern w:val="2"/>
          <w:lang w:eastAsia="en-US"/>
          <w14:ligatures w14:val="standardContextual"/>
        </w:rPr>
        <w:t xml:space="preserve"> Available at: </w:t>
      </w:r>
      <w:hyperlink r:id="rId32" w:history="1">
        <w:r w:rsidRPr="007F2BCC">
          <w:rPr>
            <w:rStyle w:val="Hyperlink"/>
            <w:rFonts w:ascii="Arial" w:hAnsi="Arial" w:cs="Arial"/>
          </w:rPr>
          <w:t>stopWatch – a smartwatch system that could help people quit smoking – IEUREKA!</w:t>
        </w:r>
      </w:hyperlink>
    </w:p>
    <w:p w14:paraId="2838A657" w14:textId="77777777" w:rsidR="00753467" w:rsidRPr="007F2BCC" w:rsidRDefault="00753467" w:rsidP="00753467">
      <w:pPr>
        <w:pStyle w:val="NormalWeb"/>
        <w:rPr>
          <w:rFonts w:ascii="Arial" w:hAnsi="Arial" w:cs="Arial"/>
        </w:rPr>
      </w:pPr>
      <w:r w:rsidRPr="007F2BCC">
        <w:rPr>
          <w:rFonts w:ascii="Arial" w:hAnsi="Arial" w:cs="Arial"/>
        </w:rPr>
        <w:t xml:space="preserve">Whittaker, R., McRobbie, H., Bullen, C., Rodgers, A. and Gu, Y. (2019) ‘Mobile phone-based interventions for smoking cessation’, </w:t>
      </w:r>
      <w:r w:rsidRPr="007F2BCC">
        <w:rPr>
          <w:rStyle w:val="Emphasis"/>
          <w:rFonts w:ascii="Arial" w:eastAsiaTheme="majorEastAsia" w:hAnsi="Arial" w:cs="Arial"/>
        </w:rPr>
        <w:t>Cochrane Database of Systematic Reviews</w:t>
      </w:r>
      <w:r w:rsidRPr="007F2BCC">
        <w:rPr>
          <w:rFonts w:ascii="Arial" w:hAnsi="Arial" w:cs="Arial"/>
        </w:rPr>
        <w:t xml:space="preserve">, 10, CD006611. Available at:  </w:t>
      </w:r>
      <w:hyperlink r:id="rId33" w:history="1">
        <w:r w:rsidRPr="007F2BCC">
          <w:rPr>
            <w:rStyle w:val="Hyperlink"/>
            <w:rFonts w:ascii="Arial" w:hAnsi="Arial" w:cs="Arial"/>
            <w:color w:val="156082" w:themeColor="accent1"/>
          </w:rPr>
          <w:t>https://doi.org/10.1002/14651858.CD006611.pub5</w:t>
        </w:r>
      </w:hyperlink>
      <w:r w:rsidRPr="007F2BCC">
        <w:rPr>
          <w:rFonts w:ascii="Arial" w:hAnsi="Arial" w:cs="Arial"/>
          <w:color w:val="156082" w:themeColor="accent1"/>
        </w:rPr>
        <w:t xml:space="preserve">. </w:t>
      </w:r>
    </w:p>
    <w:p w14:paraId="16EDCB86" w14:textId="77777777" w:rsidR="007B725A" w:rsidRPr="007F2BCC" w:rsidRDefault="007B725A" w:rsidP="00685360">
      <w:pPr>
        <w:spacing w:line="360" w:lineRule="auto"/>
        <w:jc w:val="both"/>
        <w:rPr>
          <w:rFonts w:ascii="Arial" w:hAnsi="Arial" w:cs="Arial"/>
        </w:rPr>
      </w:pPr>
    </w:p>
    <w:sectPr w:rsidR="007B725A" w:rsidRPr="007F2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39C5"/>
    <w:multiLevelType w:val="multilevel"/>
    <w:tmpl w:val="EE9A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8222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360"/>
    <w:rsid w:val="000018A2"/>
    <w:rsid w:val="000067FE"/>
    <w:rsid w:val="00047D7F"/>
    <w:rsid w:val="000959D3"/>
    <w:rsid w:val="000C38E4"/>
    <w:rsid w:val="000F55FF"/>
    <w:rsid w:val="001274D1"/>
    <w:rsid w:val="001458F9"/>
    <w:rsid w:val="00165BE4"/>
    <w:rsid w:val="00174E44"/>
    <w:rsid w:val="00184155"/>
    <w:rsid w:val="001A6222"/>
    <w:rsid w:val="00282005"/>
    <w:rsid w:val="002A2C10"/>
    <w:rsid w:val="002F6763"/>
    <w:rsid w:val="0032609E"/>
    <w:rsid w:val="00332619"/>
    <w:rsid w:val="00333B1C"/>
    <w:rsid w:val="003627D4"/>
    <w:rsid w:val="003E64C2"/>
    <w:rsid w:val="00496919"/>
    <w:rsid w:val="004A19CE"/>
    <w:rsid w:val="004A5DEF"/>
    <w:rsid w:val="004A68E5"/>
    <w:rsid w:val="004B159E"/>
    <w:rsid w:val="004D3BE7"/>
    <w:rsid w:val="00561FC8"/>
    <w:rsid w:val="00562899"/>
    <w:rsid w:val="00565B4A"/>
    <w:rsid w:val="005710AE"/>
    <w:rsid w:val="005B5816"/>
    <w:rsid w:val="005F358C"/>
    <w:rsid w:val="0061199D"/>
    <w:rsid w:val="00666EDF"/>
    <w:rsid w:val="00685360"/>
    <w:rsid w:val="00690BF8"/>
    <w:rsid w:val="00690DD9"/>
    <w:rsid w:val="00695620"/>
    <w:rsid w:val="006C2C6B"/>
    <w:rsid w:val="006E1EFE"/>
    <w:rsid w:val="0074289F"/>
    <w:rsid w:val="00753467"/>
    <w:rsid w:val="00761189"/>
    <w:rsid w:val="00762430"/>
    <w:rsid w:val="007A3417"/>
    <w:rsid w:val="007A7489"/>
    <w:rsid w:val="007B725A"/>
    <w:rsid w:val="007F2BCC"/>
    <w:rsid w:val="00813752"/>
    <w:rsid w:val="00822C64"/>
    <w:rsid w:val="008705D8"/>
    <w:rsid w:val="00874351"/>
    <w:rsid w:val="00887083"/>
    <w:rsid w:val="00887B68"/>
    <w:rsid w:val="00904115"/>
    <w:rsid w:val="009104E9"/>
    <w:rsid w:val="00941743"/>
    <w:rsid w:val="00950C87"/>
    <w:rsid w:val="00956AB7"/>
    <w:rsid w:val="009725CB"/>
    <w:rsid w:val="0097506A"/>
    <w:rsid w:val="009E4821"/>
    <w:rsid w:val="009F5439"/>
    <w:rsid w:val="00A07304"/>
    <w:rsid w:val="00A27B5C"/>
    <w:rsid w:val="00A56CA0"/>
    <w:rsid w:val="00AB1FED"/>
    <w:rsid w:val="00B05893"/>
    <w:rsid w:val="00B11ACE"/>
    <w:rsid w:val="00B43C32"/>
    <w:rsid w:val="00B51333"/>
    <w:rsid w:val="00B60666"/>
    <w:rsid w:val="00B979AD"/>
    <w:rsid w:val="00BB73C0"/>
    <w:rsid w:val="00C00E4A"/>
    <w:rsid w:val="00C104E8"/>
    <w:rsid w:val="00C52ED6"/>
    <w:rsid w:val="00C9507C"/>
    <w:rsid w:val="00CE0D96"/>
    <w:rsid w:val="00D305DD"/>
    <w:rsid w:val="00D30AD6"/>
    <w:rsid w:val="00D64A67"/>
    <w:rsid w:val="00D80C47"/>
    <w:rsid w:val="00DA5D9D"/>
    <w:rsid w:val="00DD4580"/>
    <w:rsid w:val="00DE2A4E"/>
    <w:rsid w:val="00E1554A"/>
    <w:rsid w:val="00E26800"/>
    <w:rsid w:val="00E31B3C"/>
    <w:rsid w:val="00E64279"/>
    <w:rsid w:val="00E66A85"/>
    <w:rsid w:val="00E92C2B"/>
    <w:rsid w:val="00EA07B4"/>
    <w:rsid w:val="00EC5BD5"/>
    <w:rsid w:val="00F16021"/>
    <w:rsid w:val="00F650B0"/>
    <w:rsid w:val="00F776FA"/>
    <w:rsid w:val="00F954E6"/>
    <w:rsid w:val="00FC2B97"/>
    <w:rsid w:val="00FD49CF"/>
    <w:rsid w:val="00FD7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C5AD"/>
  <w15:chartTrackingRefBased/>
  <w15:docId w15:val="{C4C73FBB-010D-4C87-BAB6-402026BB9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467"/>
  </w:style>
  <w:style w:type="paragraph" w:styleId="Heading1">
    <w:name w:val="heading 1"/>
    <w:basedOn w:val="Normal"/>
    <w:next w:val="Normal"/>
    <w:link w:val="Heading1Char"/>
    <w:uiPriority w:val="9"/>
    <w:qFormat/>
    <w:rsid w:val="006853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3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3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3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3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3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3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3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3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360"/>
    <w:rPr>
      <w:rFonts w:eastAsiaTheme="majorEastAsia" w:cstheme="majorBidi"/>
      <w:color w:val="272727" w:themeColor="text1" w:themeTint="D8"/>
    </w:rPr>
  </w:style>
  <w:style w:type="paragraph" w:styleId="Title">
    <w:name w:val="Title"/>
    <w:basedOn w:val="Normal"/>
    <w:next w:val="Normal"/>
    <w:link w:val="TitleChar"/>
    <w:uiPriority w:val="10"/>
    <w:qFormat/>
    <w:rsid w:val="00685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360"/>
    <w:pPr>
      <w:spacing w:before="160"/>
      <w:jc w:val="center"/>
    </w:pPr>
    <w:rPr>
      <w:i/>
      <w:iCs/>
      <w:color w:val="404040" w:themeColor="text1" w:themeTint="BF"/>
    </w:rPr>
  </w:style>
  <w:style w:type="character" w:customStyle="1" w:styleId="QuoteChar">
    <w:name w:val="Quote Char"/>
    <w:basedOn w:val="DefaultParagraphFont"/>
    <w:link w:val="Quote"/>
    <w:uiPriority w:val="29"/>
    <w:rsid w:val="00685360"/>
    <w:rPr>
      <w:i/>
      <w:iCs/>
      <w:color w:val="404040" w:themeColor="text1" w:themeTint="BF"/>
    </w:rPr>
  </w:style>
  <w:style w:type="paragraph" w:styleId="ListParagraph">
    <w:name w:val="List Paragraph"/>
    <w:basedOn w:val="Normal"/>
    <w:uiPriority w:val="34"/>
    <w:qFormat/>
    <w:rsid w:val="00685360"/>
    <w:pPr>
      <w:ind w:left="720"/>
      <w:contextualSpacing/>
    </w:pPr>
  </w:style>
  <w:style w:type="character" w:styleId="IntenseEmphasis">
    <w:name w:val="Intense Emphasis"/>
    <w:basedOn w:val="DefaultParagraphFont"/>
    <w:uiPriority w:val="21"/>
    <w:qFormat/>
    <w:rsid w:val="00685360"/>
    <w:rPr>
      <w:i/>
      <w:iCs/>
      <w:color w:val="0F4761" w:themeColor="accent1" w:themeShade="BF"/>
    </w:rPr>
  </w:style>
  <w:style w:type="paragraph" w:styleId="IntenseQuote">
    <w:name w:val="Intense Quote"/>
    <w:basedOn w:val="Normal"/>
    <w:next w:val="Normal"/>
    <w:link w:val="IntenseQuoteChar"/>
    <w:uiPriority w:val="30"/>
    <w:qFormat/>
    <w:rsid w:val="006853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360"/>
    <w:rPr>
      <w:i/>
      <w:iCs/>
      <w:color w:val="0F4761" w:themeColor="accent1" w:themeShade="BF"/>
    </w:rPr>
  </w:style>
  <w:style w:type="character" w:styleId="IntenseReference">
    <w:name w:val="Intense Reference"/>
    <w:basedOn w:val="DefaultParagraphFont"/>
    <w:uiPriority w:val="32"/>
    <w:qFormat/>
    <w:rsid w:val="00685360"/>
    <w:rPr>
      <w:b/>
      <w:bCs/>
      <w:smallCaps/>
      <w:color w:val="0F4761" w:themeColor="accent1" w:themeShade="BF"/>
      <w:spacing w:val="5"/>
    </w:rPr>
  </w:style>
  <w:style w:type="paragraph" w:styleId="NormalWeb">
    <w:name w:val="Normal (Web)"/>
    <w:basedOn w:val="Normal"/>
    <w:uiPriority w:val="99"/>
    <w:unhideWhenUsed/>
    <w:rsid w:val="003E64C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E64C2"/>
    <w:rPr>
      <w:i/>
      <w:iCs/>
    </w:rPr>
  </w:style>
  <w:style w:type="character" w:styleId="Hyperlink">
    <w:name w:val="Hyperlink"/>
    <w:basedOn w:val="DefaultParagraphFont"/>
    <w:uiPriority w:val="99"/>
    <w:unhideWhenUsed/>
    <w:rsid w:val="003E64C2"/>
    <w:rPr>
      <w:color w:val="467886" w:themeColor="hyperlink"/>
      <w:u w:val="single"/>
    </w:rPr>
  </w:style>
  <w:style w:type="table" w:styleId="TableGrid">
    <w:name w:val="Table Grid"/>
    <w:basedOn w:val="TableNormal"/>
    <w:uiPriority w:val="39"/>
    <w:rsid w:val="00561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65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nhs.uk" TargetMode="External"/><Relationship Id="rId18" Type="http://schemas.openxmlformats.org/officeDocument/2006/relationships/hyperlink" Target="https://ieureka.blogs.bristol.ac.uk/2019/10/24/stopwatch-a-smartwatch-system-that-could-help-people-quit-smoking/" TargetMode="External"/><Relationship Id="rId26" Type="http://schemas.openxmlformats.org/officeDocument/2006/relationships/hyperlink" Target="https://www.nhs.uk/better-health/quit-smoking"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hs.uk/better-health/quit-smoking" TargetMode="External"/><Relationship Id="rId17" Type="http://schemas.openxmlformats.org/officeDocument/2006/relationships/hyperlink" Target="https://openai.com/dall-e" TargetMode="External"/><Relationship Id="rId25" Type="http://schemas.openxmlformats.org/officeDocument/2006/relationships/hyperlink" Target="https://doi.org/10.1007/s12160-016-9830-8" TargetMode="External"/><Relationship Id="rId33" Type="http://schemas.openxmlformats.org/officeDocument/2006/relationships/hyperlink" Target="https://doi.org/10.1002/14651858.CD006611.pub5" TargetMode="External"/><Relationship Id="rId2" Type="http://schemas.openxmlformats.org/officeDocument/2006/relationships/customXml" Target="../customXml/item2.xml"/><Relationship Id="rId16" Type="http://schemas.openxmlformats.org/officeDocument/2006/relationships/hyperlink" Target="https://www.ons.gov.uk/search?q=Adult+smoking+habits+in+the+UK.%E2%80%99+London%3A+ONS.+" TargetMode="External"/><Relationship Id="rId20" Type="http://schemas.openxmlformats.org/officeDocument/2006/relationships/image" Target="media/image3.png"/><Relationship Id="rId29" Type="http://schemas.openxmlformats.org/officeDocument/2006/relationships/hyperlink" Target="https://www.gov.uk/government/publications/smoking-and-tobacco-applying-all-our-health/smoking-and-tobacco-applying-all-our-heal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12160-016-9830-8" TargetMode="External"/><Relationship Id="rId24" Type="http://schemas.openxmlformats.org/officeDocument/2006/relationships/hyperlink" Target="https://doi.org/10.1007/s12160-013-9486-6" TargetMode="External"/><Relationship Id="rId32" Type="http://schemas.openxmlformats.org/officeDocument/2006/relationships/hyperlink" Target="https://ieureka.blogs.bristol.ac.uk/2019/10/24/stopwatch-a-smartwatch-system-that-could-help-people-quit-smoking/" TargetMode="External"/><Relationship Id="rId5" Type="http://schemas.openxmlformats.org/officeDocument/2006/relationships/styles" Target="styles.xml"/><Relationship Id="rId15" Type="http://schemas.openxmlformats.org/officeDocument/2006/relationships/hyperlink" Target="https://www.gov.uk/government/publications/smoking-and-tobacco-applying-all-our-health/smoking-and-tobacco-applying-all-our-health" TargetMode="External"/><Relationship Id="rId23" Type="http://schemas.openxmlformats.org/officeDocument/2006/relationships/hyperlink" Target="https://www.gettyimages.com.au/photos/people-smoking-cigarettes" TargetMode="External"/><Relationship Id="rId28" Type="http://schemas.openxmlformats.org/officeDocument/2006/relationships/hyperlink" Target="https://www.nice.org.uk/guidance/ng209" TargetMode="External"/><Relationship Id="rId10" Type="http://schemas.openxmlformats.org/officeDocument/2006/relationships/hyperlink" Target="https://doi.org/10.1007/s12160-013-9486-6" TargetMode="External"/><Relationship Id="rId19" Type="http://schemas.openxmlformats.org/officeDocument/2006/relationships/hyperlink" Target="https://doi.org/10.1002/14651858.CD006611.pub5" TargetMode="External"/><Relationship Id="rId31" Type="http://schemas.openxmlformats.org/officeDocument/2006/relationships/hyperlink" Target="https://openai.com/dall-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nice.org.uk/guidance/ng209" TargetMode="External"/><Relationship Id="rId22" Type="http://schemas.openxmlformats.org/officeDocument/2006/relationships/image" Target="media/image5.png"/><Relationship Id="rId27" Type="http://schemas.openxmlformats.org/officeDocument/2006/relationships/hyperlink" Target="https://digital.nhs.uk" TargetMode="External"/><Relationship Id="rId30" Type="http://schemas.openxmlformats.org/officeDocument/2006/relationships/hyperlink" Target="https://www.ons.gov.uk/search?q=Adult+smoking+habits+in+the+UK.%E2%80%99+London%3A+ONS.+"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9b5ad346d6f0b33135b7021c44cf9371">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d8af36fc3d66252be965342922f212eb"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A00F08-2D10-4D92-807A-7D059B83A01E}">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87E03EA5-450B-43C3-AF8E-98AB39A5D57D}">
  <ds:schemaRefs>
    <ds:schemaRef ds:uri="http://schemas.microsoft.com/sharepoint/v3/contenttype/forms"/>
  </ds:schemaRefs>
</ds:datastoreItem>
</file>

<file path=customXml/itemProps3.xml><?xml version="1.0" encoding="utf-8"?>
<ds:datastoreItem xmlns:ds="http://schemas.openxmlformats.org/officeDocument/2006/customXml" ds:itemID="{57C52B9C-5E6A-42FA-BBAA-7738C0222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1849</Words>
  <Characters>12800</Characters>
  <Application>Microsoft Office Word</Application>
  <DocSecurity>0</DocSecurity>
  <Lines>266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Rosena Lucy (2210256)</dc:creator>
  <cp:keywords/>
  <dc:description/>
  <cp:lastModifiedBy>Rosena Lucy (2210256)</cp:lastModifiedBy>
  <cp:revision>2</cp:revision>
  <dcterms:created xsi:type="dcterms:W3CDTF">2026-03-05T09:33:00Z</dcterms:created>
  <dcterms:modified xsi:type="dcterms:W3CDTF">2026-03-05T09:33:00Z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