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D73A7" w14:textId="77777777" w:rsidR="002D5B3F" w:rsidRDefault="001A24F3" w:rsidP="002D5B3F">
      <w:pPr>
        <w:pStyle w:val="Header"/>
        <w:tabs>
          <w:tab w:val="clear" w:pos="4153"/>
          <w:tab w:val="clear" w:pos="8306"/>
        </w:tabs>
      </w:pPr>
      <w:r>
        <w:rPr>
          <w:noProof/>
        </w:rPr>
        <w:drawing>
          <wp:inline distT="0" distB="0" distL="0" distR="0" wp14:anchorId="10FD4C9D" wp14:editId="6070D71C">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1BAA12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71824FC6" w14:textId="77777777" w:rsidTr="00A55876">
        <w:tc>
          <w:tcPr>
            <w:tcW w:w="10670" w:type="dxa"/>
            <w:shd w:val="clear" w:color="auto" w:fill="C0C0C0"/>
          </w:tcPr>
          <w:p w14:paraId="1FC4A2E5" w14:textId="77777777"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w:t>
            </w:r>
          </w:p>
          <w:p w14:paraId="55A9E350" w14:textId="77777777"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14:paraId="2F3B455C" w14:textId="77777777"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3982EF09" w14:textId="77777777" w:rsidTr="001A24F3">
        <w:tc>
          <w:tcPr>
            <w:tcW w:w="2093" w:type="dxa"/>
            <w:shd w:val="pct15" w:color="auto" w:fill="auto"/>
          </w:tcPr>
          <w:p w14:paraId="0FE0999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670EE0D" w14:textId="77777777" w:rsidR="003B3F9D" w:rsidRPr="00C1361B" w:rsidRDefault="00C33030" w:rsidP="001E57C1">
            <w:pPr>
              <w:spacing w:before="120" w:after="120"/>
              <w:jc w:val="both"/>
              <w:rPr>
                <w:rFonts w:ascii="Calibri" w:hAnsi="Calibri" w:cs="Arial"/>
                <w:b/>
                <w:sz w:val="22"/>
                <w:szCs w:val="22"/>
              </w:rPr>
            </w:pPr>
            <w:r>
              <w:rPr>
                <w:rFonts w:ascii="Calibri" w:hAnsi="Calibri" w:cs="Arial"/>
                <w:b/>
                <w:sz w:val="22"/>
                <w:szCs w:val="22"/>
              </w:rPr>
              <w:t xml:space="preserve">Holly Isitt </w:t>
            </w:r>
          </w:p>
        </w:tc>
        <w:tc>
          <w:tcPr>
            <w:tcW w:w="2613" w:type="dxa"/>
            <w:shd w:val="clear" w:color="auto" w:fill="D9D9D9"/>
          </w:tcPr>
          <w:p w14:paraId="25694B68" w14:textId="77777777" w:rsidR="003B3F9D" w:rsidRPr="00C1361B" w:rsidRDefault="005B7D87" w:rsidP="001E57C1">
            <w:pPr>
              <w:spacing w:before="120" w:after="120"/>
              <w:jc w:val="both"/>
              <w:rPr>
                <w:rFonts w:ascii="Calibri" w:hAnsi="Calibri" w:cs="Arial"/>
                <w:b/>
                <w:sz w:val="22"/>
                <w:szCs w:val="22"/>
              </w:rPr>
            </w:pPr>
            <w:r>
              <w:rPr>
                <w:rFonts w:ascii="Calibri" w:hAnsi="Calibri" w:cs="Arial"/>
                <w:b/>
                <w:sz w:val="22"/>
                <w:szCs w:val="22"/>
              </w:rPr>
              <w:t xml:space="preserve">Student </w:t>
            </w:r>
            <w:r w:rsidR="003B3F9D" w:rsidRPr="00C1361B">
              <w:rPr>
                <w:rFonts w:ascii="Calibri" w:hAnsi="Calibri" w:cs="Arial"/>
                <w:b/>
                <w:sz w:val="22"/>
                <w:szCs w:val="22"/>
              </w:rPr>
              <w:t>number:</w:t>
            </w:r>
          </w:p>
        </w:tc>
        <w:tc>
          <w:tcPr>
            <w:tcW w:w="2111" w:type="dxa"/>
          </w:tcPr>
          <w:p w14:paraId="537E90B9" w14:textId="77777777" w:rsidR="003B3F9D" w:rsidRPr="00C1361B" w:rsidRDefault="00C33030" w:rsidP="001E57C1">
            <w:pPr>
              <w:spacing w:before="120" w:after="120"/>
              <w:jc w:val="both"/>
              <w:rPr>
                <w:rFonts w:ascii="Calibri" w:hAnsi="Calibri" w:cs="Arial"/>
                <w:b/>
                <w:sz w:val="22"/>
                <w:szCs w:val="22"/>
              </w:rPr>
            </w:pPr>
            <w:r>
              <w:rPr>
                <w:rFonts w:ascii="Calibri" w:hAnsi="Calibri" w:cs="Arial"/>
                <w:b/>
                <w:sz w:val="22"/>
                <w:szCs w:val="22"/>
              </w:rPr>
              <w:t xml:space="preserve">1700124 </w:t>
            </w:r>
          </w:p>
        </w:tc>
      </w:tr>
      <w:tr w:rsidR="00DB116D" w:rsidRPr="00C1361B" w14:paraId="79B32B59" w14:textId="77777777" w:rsidTr="001A24F3">
        <w:tc>
          <w:tcPr>
            <w:tcW w:w="2093" w:type="dxa"/>
            <w:shd w:val="pct15" w:color="auto" w:fill="auto"/>
          </w:tcPr>
          <w:p w14:paraId="6F190056"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14:paraId="2D2EDBCE" w14:textId="77777777" w:rsidR="00DB116D" w:rsidRPr="008566E5" w:rsidRDefault="007423C5" w:rsidP="00E51AAC">
            <w:pPr>
              <w:spacing w:before="120" w:after="120"/>
              <w:jc w:val="both"/>
              <w:rPr>
                <w:rFonts w:ascii="Calibri" w:hAnsi="Calibri" w:cs="Arial"/>
                <w:b/>
                <w:sz w:val="22"/>
                <w:szCs w:val="22"/>
              </w:rPr>
            </w:pPr>
            <w:r>
              <w:rPr>
                <w:rFonts w:ascii="Calibri" w:hAnsi="Calibri" w:cs="Arial"/>
                <w:b/>
                <w:sz w:val="22"/>
                <w:szCs w:val="22"/>
              </w:rPr>
              <w:t>Secondary Post Graduate Certificate in Education</w:t>
            </w:r>
          </w:p>
        </w:tc>
      </w:tr>
      <w:tr w:rsidR="00FB5CF8" w:rsidRPr="00C1361B" w14:paraId="6E8F9187" w14:textId="77777777" w:rsidTr="001A24F3">
        <w:tc>
          <w:tcPr>
            <w:tcW w:w="2093" w:type="dxa"/>
            <w:shd w:val="pct15" w:color="auto" w:fill="auto"/>
          </w:tcPr>
          <w:p w14:paraId="6992FA67"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14:paraId="469D3209" w14:textId="77777777" w:rsidR="00FB5CF8" w:rsidRPr="00C1361B" w:rsidRDefault="00DC680E" w:rsidP="00EA6801">
            <w:pPr>
              <w:spacing w:before="120" w:after="120"/>
              <w:rPr>
                <w:rFonts w:ascii="Calibri" w:hAnsi="Calibri" w:cs="Arial"/>
                <w:b/>
                <w:sz w:val="22"/>
                <w:szCs w:val="22"/>
              </w:rPr>
            </w:pPr>
            <w:r>
              <w:rPr>
                <w:rFonts w:ascii="Calibri" w:hAnsi="Calibri" w:cs="Arial"/>
                <w:b/>
                <w:sz w:val="22"/>
                <w:szCs w:val="22"/>
              </w:rPr>
              <w:t xml:space="preserve">Curriculum Development and Enhancement. </w:t>
            </w:r>
          </w:p>
        </w:tc>
        <w:tc>
          <w:tcPr>
            <w:tcW w:w="2613" w:type="dxa"/>
            <w:shd w:val="clear" w:color="auto" w:fill="D9D9D9"/>
          </w:tcPr>
          <w:p w14:paraId="17955D56" w14:textId="77777777"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582A6C74" w14:textId="77777777" w:rsidR="00FB5CF8" w:rsidRPr="00C1361B" w:rsidRDefault="002315AE" w:rsidP="00E51AAC">
            <w:pPr>
              <w:spacing w:before="120" w:after="120"/>
              <w:jc w:val="both"/>
              <w:rPr>
                <w:rFonts w:ascii="Calibri" w:hAnsi="Calibri" w:cs="Arial"/>
                <w:b/>
                <w:sz w:val="22"/>
                <w:szCs w:val="22"/>
              </w:rPr>
            </w:pPr>
            <w:r>
              <w:rPr>
                <w:rFonts w:ascii="Calibri" w:hAnsi="Calibri" w:cs="Arial"/>
                <w:b/>
                <w:sz w:val="22"/>
                <w:szCs w:val="22"/>
              </w:rPr>
              <w:t xml:space="preserve">7 </w:t>
            </w:r>
          </w:p>
        </w:tc>
      </w:tr>
      <w:tr w:rsidR="00B84B5B" w:rsidRPr="00C1361B" w14:paraId="5BFD7BCB" w14:textId="77777777" w:rsidTr="001A24F3">
        <w:tc>
          <w:tcPr>
            <w:tcW w:w="2093" w:type="dxa"/>
            <w:shd w:val="pct15" w:color="auto" w:fill="auto"/>
          </w:tcPr>
          <w:p w14:paraId="14CEDDC2"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14:paraId="5F1E1CBD" w14:textId="77777777" w:rsidR="00B84B5B" w:rsidRPr="00C1361B" w:rsidRDefault="005B7D87" w:rsidP="005B7D87">
            <w:pPr>
              <w:spacing w:before="120" w:after="120"/>
              <w:rPr>
                <w:rFonts w:ascii="Calibri" w:hAnsi="Calibri" w:cs="Arial"/>
                <w:b/>
                <w:sz w:val="22"/>
                <w:szCs w:val="22"/>
              </w:rPr>
            </w:pPr>
            <w:r>
              <w:rPr>
                <w:rFonts w:ascii="Calibri" w:hAnsi="Calibri" w:cs="Arial"/>
                <w:b/>
                <w:sz w:val="22"/>
                <w:szCs w:val="22"/>
              </w:rPr>
              <w:t xml:space="preserve"> ECSP700</w:t>
            </w:r>
            <w:r w:rsidR="00DC680E">
              <w:rPr>
                <w:rFonts w:ascii="Calibri" w:hAnsi="Calibri" w:cs="Arial"/>
                <w:b/>
                <w:sz w:val="22"/>
                <w:szCs w:val="22"/>
              </w:rPr>
              <w:t>2</w:t>
            </w:r>
          </w:p>
        </w:tc>
        <w:tc>
          <w:tcPr>
            <w:tcW w:w="2613" w:type="dxa"/>
            <w:shd w:val="clear" w:color="auto" w:fill="D9D9D9"/>
          </w:tcPr>
          <w:p w14:paraId="21416085"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64208A55"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14:paraId="4F67CBAD" w14:textId="77777777" w:rsidR="00B84B5B" w:rsidRPr="00C1361B" w:rsidRDefault="007423C5"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14:paraId="6F48FD45" w14:textId="77777777" w:rsidTr="00BA6B2C">
        <w:tc>
          <w:tcPr>
            <w:tcW w:w="2093" w:type="dxa"/>
            <w:shd w:val="pct15" w:color="auto" w:fill="auto"/>
          </w:tcPr>
          <w:p w14:paraId="268313AF" w14:textId="77777777"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0D96DA7F" w14:textId="77777777" w:rsidR="00BA6B2C" w:rsidRPr="00C1361B" w:rsidRDefault="00DC680E" w:rsidP="00E51AAC">
            <w:pPr>
              <w:spacing w:before="120" w:after="120"/>
              <w:jc w:val="both"/>
              <w:rPr>
                <w:rFonts w:ascii="Calibri" w:hAnsi="Calibri" w:cs="Arial"/>
                <w:b/>
                <w:sz w:val="22"/>
                <w:szCs w:val="22"/>
              </w:rPr>
            </w:pPr>
            <w:r>
              <w:rPr>
                <w:rFonts w:ascii="Calibri" w:hAnsi="Calibri" w:cs="Arial"/>
                <w:b/>
                <w:sz w:val="22"/>
                <w:szCs w:val="22"/>
              </w:rPr>
              <w:t>Jan Barnes</w:t>
            </w:r>
          </w:p>
        </w:tc>
      </w:tr>
      <w:tr w:rsidR="00DB116D" w:rsidRPr="00C1361B" w14:paraId="6EE3EABD" w14:textId="77777777" w:rsidTr="001A24F3">
        <w:tc>
          <w:tcPr>
            <w:tcW w:w="2093" w:type="dxa"/>
            <w:shd w:val="pct15" w:color="auto" w:fill="auto"/>
          </w:tcPr>
          <w:p w14:paraId="5E2936A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sidR="00BA6B2C">
              <w:rPr>
                <w:rFonts w:ascii="Calibri" w:hAnsi="Calibri" w:cs="Arial"/>
                <w:b/>
                <w:sz w:val="22"/>
                <w:szCs w:val="22"/>
              </w:rPr>
              <w:t>*</w:t>
            </w:r>
            <w:proofErr w:type="gramEnd"/>
          </w:p>
        </w:tc>
        <w:tc>
          <w:tcPr>
            <w:tcW w:w="3781" w:type="dxa"/>
          </w:tcPr>
          <w:p w14:paraId="6E23795D" w14:textId="77777777" w:rsidR="00DB116D" w:rsidRPr="00F67644" w:rsidRDefault="00DC680E" w:rsidP="005B7D87">
            <w:pPr>
              <w:spacing w:before="120" w:after="120"/>
              <w:jc w:val="both"/>
              <w:rPr>
                <w:rFonts w:ascii="Calibri" w:hAnsi="Calibri" w:cs="Arial"/>
                <w:b/>
                <w:sz w:val="22"/>
                <w:szCs w:val="22"/>
              </w:rPr>
            </w:pPr>
            <w:r>
              <w:rPr>
                <w:rFonts w:ascii="Calibri" w:hAnsi="Calibri" w:cs="Arial"/>
                <w:b/>
                <w:sz w:val="22"/>
                <w:szCs w:val="22"/>
              </w:rPr>
              <w:t xml:space="preserve">Curriculum Development and Enhancement. </w:t>
            </w:r>
          </w:p>
        </w:tc>
        <w:tc>
          <w:tcPr>
            <w:tcW w:w="2613" w:type="dxa"/>
            <w:shd w:val="pct15" w:color="auto" w:fill="auto"/>
          </w:tcPr>
          <w:p w14:paraId="61F3E1E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642EB508" w14:textId="77777777" w:rsidR="00DB116D" w:rsidRPr="00C1361B" w:rsidRDefault="007423C5"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14:paraId="1E0F27E7" w14:textId="77777777" w:rsidTr="001A24F3">
        <w:tc>
          <w:tcPr>
            <w:tcW w:w="2093" w:type="dxa"/>
            <w:shd w:val="pct15" w:color="auto" w:fill="auto"/>
          </w:tcPr>
          <w:p w14:paraId="38B15803" w14:textId="77777777"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00B84B5B"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068A2E9B" w14:textId="77777777" w:rsidR="00B84B5B" w:rsidRPr="00C1361B" w:rsidRDefault="00B84B5B" w:rsidP="005F0579">
            <w:pPr>
              <w:spacing w:before="120" w:after="120"/>
              <w:jc w:val="both"/>
              <w:rPr>
                <w:rFonts w:ascii="Calibri" w:hAnsi="Calibri" w:cs="Arial"/>
                <w:b/>
                <w:sz w:val="22"/>
                <w:szCs w:val="22"/>
              </w:rPr>
            </w:pPr>
          </w:p>
        </w:tc>
        <w:tc>
          <w:tcPr>
            <w:tcW w:w="2613" w:type="dxa"/>
            <w:shd w:val="pct15" w:color="auto" w:fill="auto"/>
          </w:tcPr>
          <w:p w14:paraId="7E2A96AB"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sidR="00B84B5B" w:rsidRPr="00C1361B">
              <w:rPr>
                <w:rFonts w:ascii="Calibri" w:hAnsi="Calibri" w:cs="Arial"/>
                <w:b/>
                <w:sz w:val="22"/>
                <w:szCs w:val="22"/>
              </w:rPr>
              <w:t>:</w:t>
            </w:r>
            <w:r w:rsidR="00BA6B2C">
              <w:rPr>
                <w:rFonts w:ascii="Calibri" w:hAnsi="Calibri" w:cs="Arial"/>
                <w:b/>
                <w:sz w:val="22"/>
                <w:szCs w:val="22"/>
              </w:rPr>
              <w:t>*</w:t>
            </w:r>
            <w:proofErr w:type="gramEnd"/>
          </w:p>
        </w:tc>
        <w:tc>
          <w:tcPr>
            <w:tcW w:w="2111" w:type="dxa"/>
          </w:tcPr>
          <w:p w14:paraId="42E31E53" w14:textId="77777777" w:rsidR="00B84B5B" w:rsidRPr="00C1361B" w:rsidRDefault="00DC680E" w:rsidP="005F0579">
            <w:pPr>
              <w:spacing w:before="120" w:after="120"/>
              <w:jc w:val="both"/>
              <w:rPr>
                <w:rFonts w:ascii="Calibri" w:hAnsi="Calibri" w:cs="Arial"/>
                <w:b/>
                <w:sz w:val="22"/>
                <w:szCs w:val="22"/>
              </w:rPr>
            </w:pPr>
            <w:r>
              <w:rPr>
                <w:rFonts w:ascii="Calibri" w:hAnsi="Calibri" w:cs="Arial"/>
                <w:b/>
                <w:sz w:val="22"/>
                <w:szCs w:val="22"/>
              </w:rPr>
              <w:t>14/05/18</w:t>
            </w:r>
          </w:p>
        </w:tc>
      </w:tr>
      <w:tr w:rsidR="00152E9D" w:rsidRPr="00C1361B" w14:paraId="5C1FC5A9" w14:textId="77777777" w:rsidTr="00152E9D">
        <w:tc>
          <w:tcPr>
            <w:tcW w:w="2093" w:type="dxa"/>
            <w:shd w:val="pct15" w:color="auto" w:fill="auto"/>
          </w:tcPr>
          <w:p w14:paraId="467A82EA" w14:textId="77777777"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r w:rsidR="00BA6B2C">
              <w:rPr>
                <w:rFonts w:ascii="Calibri" w:hAnsi="Calibri" w:cs="Arial"/>
                <w:b/>
                <w:sz w:val="22"/>
                <w:szCs w:val="22"/>
              </w:rPr>
              <w:t>*</w:t>
            </w:r>
            <w:proofErr w:type="gramEnd"/>
          </w:p>
        </w:tc>
        <w:tc>
          <w:tcPr>
            <w:tcW w:w="8505" w:type="dxa"/>
            <w:gridSpan w:val="3"/>
            <w:shd w:val="clear" w:color="auto" w:fill="auto"/>
          </w:tcPr>
          <w:p w14:paraId="64FD151C" w14:textId="77777777" w:rsidR="00152E9D" w:rsidRPr="00C1361B" w:rsidRDefault="00152E9D" w:rsidP="005F0579">
            <w:pPr>
              <w:spacing w:before="120" w:after="120"/>
              <w:jc w:val="both"/>
              <w:rPr>
                <w:rFonts w:ascii="Calibri" w:hAnsi="Calibri" w:cs="Arial"/>
                <w:b/>
                <w:sz w:val="22"/>
                <w:szCs w:val="22"/>
              </w:rPr>
            </w:pPr>
          </w:p>
        </w:tc>
      </w:tr>
    </w:tbl>
    <w:p w14:paraId="49EED337" w14:textId="77777777"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03618B8D" w14:textId="77777777">
        <w:trPr>
          <w:trHeight w:val="421"/>
        </w:trPr>
        <w:tc>
          <w:tcPr>
            <w:tcW w:w="1809" w:type="dxa"/>
            <w:tcBorders>
              <w:top w:val="single" w:sz="6" w:space="0" w:color="auto"/>
            </w:tcBorders>
            <w:shd w:val="clear" w:color="auto" w:fill="D9D9D9"/>
          </w:tcPr>
          <w:p w14:paraId="6A29B141"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5C82075E"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14:paraId="76A07D16" w14:textId="77777777" w:rsidTr="00BA1176">
        <w:trPr>
          <w:trHeight w:val="666"/>
        </w:trPr>
        <w:tc>
          <w:tcPr>
            <w:tcW w:w="1809" w:type="dxa"/>
            <w:tcBorders>
              <w:top w:val="single" w:sz="6" w:space="0" w:color="auto"/>
            </w:tcBorders>
            <w:shd w:val="clear" w:color="auto" w:fill="D9D9D9"/>
          </w:tcPr>
          <w:p w14:paraId="50335100"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5BB7505B"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2292875B" w14:textId="77777777"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6A5F6ECB"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6A2A5F8C" w14:textId="77777777" w:rsidR="00FB5CF8" w:rsidRPr="00C1361B" w:rsidRDefault="00FB5CF8" w:rsidP="00FB5CF8">
            <w:pPr>
              <w:rPr>
                <w:rFonts w:ascii="Calibri" w:hAnsi="Calibri" w:cs="Arial"/>
                <w:b/>
              </w:rPr>
            </w:pPr>
          </w:p>
        </w:tc>
      </w:tr>
    </w:tbl>
    <w:p w14:paraId="05EB9F2B"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217F543D" w14:textId="77777777" w:rsidTr="00152E9D">
        <w:trPr>
          <w:trHeight w:val="386"/>
        </w:trPr>
        <w:tc>
          <w:tcPr>
            <w:tcW w:w="9464" w:type="dxa"/>
            <w:vMerge w:val="restart"/>
            <w:shd w:val="pct15" w:color="auto" w:fill="auto"/>
          </w:tcPr>
          <w:p w14:paraId="3B45F6EF" w14:textId="77777777"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w:t>
            </w:r>
            <w:proofErr w:type="gramStart"/>
            <w:r w:rsidR="00152E9D">
              <w:rPr>
                <w:rFonts w:ascii="Calibri" w:hAnsi="Calibri" w:cs="Arial"/>
                <w:sz w:val="18"/>
                <w:szCs w:val="18"/>
              </w:rPr>
              <w:t>submitted.</w:t>
            </w:r>
            <w:r>
              <w:rPr>
                <w:rFonts w:ascii="Calibri" w:hAnsi="Calibri" w:cs="Arial"/>
                <w:sz w:val="18"/>
                <w:szCs w:val="18"/>
              </w:rPr>
              <w:t>*</w:t>
            </w:r>
            <w:proofErr w:type="gramEnd"/>
          </w:p>
        </w:tc>
        <w:tc>
          <w:tcPr>
            <w:tcW w:w="567" w:type="dxa"/>
            <w:shd w:val="pct15" w:color="auto" w:fill="auto"/>
          </w:tcPr>
          <w:p w14:paraId="061EFF27"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6E2F23DA" w14:textId="77777777" w:rsidR="00BA1176" w:rsidRPr="00BF30FF" w:rsidRDefault="00BA1176" w:rsidP="00B81AD3">
            <w:pPr>
              <w:spacing w:before="120" w:after="120"/>
              <w:jc w:val="both"/>
              <w:rPr>
                <w:rFonts w:ascii="Calibri" w:hAnsi="Calibri" w:cs="Calibri"/>
                <w:b/>
              </w:rPr>
            </w:pPr>
          </w:p>
        </w:tc>
      </w:tr>
      <w:tr w:rsidR="00BA1176" w:rsidRPr="00BF30FF" w14:paraId="6B844DA2" w14:textId="77777777" w:rsidTr="00152E9D">
        <w:trPr>
          <w:trHeight w:val="408"/>
        </w:trPr>
        <w:tc>
          <w:tcPr>
            <w:tcW w:w="9464" w:type="dxa"/>
            <w:vMerge/>
            <w:shd w:val="pct15" w:color="auto" w:fill="auto"/>
          </w:tcPr>
          <w:p w14:paraId="2CCF6D52"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CA1AF5E"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51D1750D" w14:textId="77777777" w:rsidR="00BA1176" w:rsidRPr="00BF30FF" w:rsidRDefault="007423C5" w:rsidP="00B81AD3">
            <w:pPr>
              <w:spacing w:before="120" w:after="120"/>
              <w:jc w:val="both"/>
              <w:rPr>
                <w:rFonts w:ascii="Calibri" w:hAnsi="Calibri" w:cs="Calibri"/>
                <w:b/>
              </w:rPr>
            </w:pPr>
            <w:r>
              <w:rPr>
                <w:rFonts w:ascii="Calibri" w:hAnsi="Calibri" w:cs="Calibri"/>
                <w:b/>
              </w:rPr>
              <w:t>√</w:t>
            </w:r>
          </w:p>
        </w:tc>
      </w:tr>
    </w:tbl>
    <w:p w14:paraId="4DA33EDB" w14:textId="77777777" w:rsidR="0028204E" w:rsidRDefault="0028204E" w:rsidP="00DB116D">
      <w:pPr>
        <w:rPr>
          <w:sz w:val="32"/>
        </w:rPr>
      </w:pPr>
    </w:p>
    <w:p w14:paraId="0AAF2CE8" w14:textId="77777777" w:rsidR="00152E9D" w:rsidRDefault="00152E9D" w:rsidP="00DB116D">
      <w:pPr>
        <w:rPr>
          <w:rFonts w:ascii="Calibri" w:hAnsi="Calibri" w:cs="Calibri"/>
          <w:b/>
        </w:rPr>
      </w:pPr>
    </w:p>
    <w:p w14:paraId="7D5A6F7C" w14:textId="77777777" w:rsidR="00BA6B2C" w:rsidRDefault="00BA6B2C" w:rsidP="00DB116D">
      <w:pPr>
        <w:rPr>
          <w:rFonts w:ascii="Calibri" w:hAnsi="Calibri" w:cs="Calibri"/>
          <w:b/>
        </w:rPr>
      </w:pPr>
    </w:p>
    <w:p w14:paraId="428204C2" w14:textId="5E5A72E9" w:rsidR="00292ED3" w:rsidRDefault="00292ED3" w:rsidP="00DC680E">
      <w:pPr>
        <w:rPr>
          <w:rFonts w:ascii="Arial" w:hAnsi="Arial" w:cs="Arial"/>
          <w:sz w:val="24"/>
        </w:rPr>
      </w:pPr>
    </w:p>
    <w:p w14:paraId="4EF7432A" w14:textId="7ED87905" w:rsidR="00AC5937" w:rsidRDefault="00AC5937" w:rsidP="00DC680E">
      <w:pPr>
        <w:rPr>
          <w:rFonts w:ascii="Arial" w:hAnsi="Arial" w:cs="Arial"/>
          <w:sz w:val="24"/>
        </w:rPr>
      </w:pPr>
    </w:p>
    <w:p w14:paraId="51A7C20E" w14:textId="2BCC7C10" w:rsidR="00AC5937" w:rsidRDefault="00AC5937" w:rsidP="00DC680E">
      <w:pPr>
        <w:rPr>
          <w:rFonts w:ascii="Arial" w:hAnsi="Arial" w:cs="Arial"/>
          <w:sz w:val="24"/>
        </w:rPr>
      </w:pPr>
    </w:p>
    <w:p w14:paraId="5EC037A5" w14:textId="0F2399E0" w:rsidR="00AC5937" w:rsidRDefault="00AC5937" w:rsidP="00DC680E">
      <w:pPr>
        <w:rPr>
          <w:rFonts w:ascii="Arial" w:hAnsi="Arial" w:cs="Arial"/>
          <w:sz w:val="24"/>
        </w:rPr>
      </w:pPr>
    </w:p>
    <w:p w14:paraId="63D2CD30" w14:textId="291687BA" w:rsidR="00AC5937" w:rsidRDefault="00AC5937" w:rsidP="00DC680E">
      <w:pPr>
        <w:rPr>
          <w:rFonts w:ascii="Arial" w:hAnsi="Arial" w:cs="Arial"/>
          <w:sz w:val="24"/>
        </w:rPr>
      </w:pPr>
    </w:p>
    <w:p w14:paraId="6061A384" w14:textId="1CCADA98" w:rsidR="00AC5937" w:rsidRDefault="00AC5937" w:rsidP="00DC680E">
      <w:pPr>
        <w:rPr>
          <w:rFonts w:ascii="Arial" w:hAnsi="Arial" w:cs="Arial"/>
          <w:sz w:val="24"/>
        </w:rPr>
      </w:pPr>
    </w:p>
    <w:p w14:paraId="6238F707" w14:textId="77777777" w:rsidR="00AC5937" w:rsidRPr="0081121F" w:rsidRDefault="00AC5937" w:rsidP="00021DF3">
      <w:pPr>
        <w:spacing w:line="480" w:lineRule="auto"/>
        <w:jc w:val="both"/>
        <w:rPr>
          <w:rFonts w:ascii="Arial" w:hAnsi="Arial" w:cs="Arial"/>
          <w:sz w:val="24"/>
          <w:szCs w:val="24"/>
        </w:rPr>
      </w:pPr>
      <w:r w:rsidRPr="0081121F">
        <w:rPr>
          <w:rFonts w:ascii="Arial" w:hAnsi="Arial" w:cs="Arial"/>
          <w:sz w:val="24"/>
          <w:szCs w:val="24"/>
        </w:rPr>
        <w:lastRenderedPageBreak/>
        <w:t>The following essay is a critical account of a classroom-based investigation conducted by myself, during the course of my second Professional Teaching Experience (PTE2). While rooted in a crucial aspect of Teaching and Learning, Assessment for Learning (AfL), my investigation is focused on the implementation of a particular AfL strategy, to allow for greater clarity and depth in the research and execution, this being peer-assessment. Therefore, within the following essay I am to examine and critically analyse key research in relation to my investigative topic, and key methodology which influenced the actions required for my investigation to take place. Further to this critical analyse, I then plan to evaluate the effectiveness of my investigation in order to discuss the success, limitations and possible ways forward</w:t>
      </w:r>
      <w:r>
        <w:rPr>
          <w:rFonts w:ascii="Arial" w:hAnsi="Arial" w:cs="Arial"/>
          <w:sz w:val="24"/>
          <w:szCs w:val="24"/>
        </w:rPr>
        <w:t>.</w:t>
      </w:r>
    </w:p>
    <w:p w14:paraId="3E69B038" w14:textId="68C6D914" w:rsidR="00AC5937" w:rsidRPr="0081121F" w:rsidRDefault="00AC5937" w:rsidP="00021DF3">
      <w:pPr>
        <w:spacing w:line="480" w:lineRule="auto"/>
        <w:jc w:val="both"/>
        <w:rPr>
          <w:rFonts w:ascii="Arial" w:hAnsi="Arial" w:cs="Arial"/>
          <w:sz w:val="24"/>
          <w:szCs w:val="24"/>
        </w:rPr>
      </w:pPr>
      <w:r w:rsidRPr="0081121F">
        <w:rPr>
          <w:rFonts w:ascii="Arial" w:hAnsi="Arial" w:cs="Arial"/>
          <w:sz w:val="24"/>
          <w:szCs w:val="24"/>
        </w:rPr>
        <w:tab/>
        <w:t xml:space="preserve">Prior to the examination and critical analyse of key research, I consider it essential to understand the context of my PTE 2 school, School X, and the investigative class as the </w:t>
      </w:r>
      <w:r>
        <w:rPr>
          <w:rFonts w:ascii="Arial" w:hAnsi="Arial" w:cs="Arial"/>
          <w:sz w:val="24"/>
          <w:szCs w:val="24"/>
        </w:rPr>
        <w:t xml:space="preserve">partial </w:t>
      </w:r>
      <w:r w:rsidRPr="0081121F">
        <w:rPr>
          <w:rFonts w:ascii="Arial" w:hAnsi="Arial" w:cs="Arial"/>
          <w:sz w:val="24"/>
          <w:szCs w:val="24"/>
        </w:rPr>
        <w:t xml:space="preserve">inspiration for my investigative research project. School X is an English medium, mixed school for those </w:t>
      </w:r>
      <w:r>
        <w:rPr>
          <w:rFonts w:ascii="Arial" w:hAnsi="Arial" w:cs="Arial"/>
          <w:sz w:val="24"/>
          <w:szCs w:val="24"/>
        </w:rPr>
        <w:t xml:space="preserve">between the ages of </w:t>
      </w:r>
      <w:r w:rsidRPr="0081121F">
        <w:rPr>
          <w:rFonts w:ascii="Arial" w:hAnsi="Arial" w:cs="Arial"/>
          <w:sz w:val="24"/>
          <w:szCs w:val="24"/>
        </w:rPr>
        <w:t>eleven and sixteen. Maintained by the Blaenau Gwent local authority, School X serves a geographical area of 50% of pupils living in the 20% most deprived areas in Wales (Estyn 2016). As of 2017, School X had 641 pupils (Welsh Government 2017), of which is significantly lower than the total of pupils at their previous Estyn inspection, then with a total of 960 pupils, due to the loss of the school sixth-from pupils (Estyn 2016). With a percentage of Special Education Needs (SEN) pupils at 26%, only slightly higher than the national average of 25.1% (Estyn 2016). However, School X’s total percentage of pupils entitled to Free School Meals (FSM) is at 25.3%, while only slightly lower than the local authori</w:t>
      </w:r>
      <w:r>
        <w:rPr>
          <w:rFonts w:ascii="Arial" w:hAnsi="Arial" w:cs="Arial"/>
          <w:sz w:val="24"/>
          <w:szCs w:val="24"/>
        </w:rPr>
        <w:t xml:space="preserve">ty </w:t>
      </w:r>
      <w:r w:rsidRPr="0081121F">
        <w:rPr>
          <w:rFonts w:ascii="Arial" w:hAnsi="Arial" w:cs="Arial"/>
          <w:sz w:val="24"/>
          <w:szCs w:val="24"/>
        </w:rPr>
        <w:t>at 26.2%, the percentage is significantly higher than the national average for Wales at only 17% (Welsh Government 2017), thusly reflective of the previous note of 50% of pupils living in the 20% most deprived areas in Wales (Estyn 2016).</w:t>
      </w:r>
    </w:p>
    <w:p w14:paraId="779A24AA" w14:textId="77777777" w:rsidR="00AC5937" w:rsidRDefault="00AC5937" w:rsidP="00021DF3">
      <w:pPr>
        <w:spacing w:line="480" w:lineRule="auto"/>
        <w:ind w:firstLine="720"/>
        <w:jc w:val="both"/>
        <w:rPr>
          <w:rFonts w:ascii="Arial" w:hAnsi="Arial" w:cs="Arial"/>
          <w:sz w:val="24"/>
          <w:szCs w:val="24"/>
        </w:rPr>
      </w:pPr>
      <w:r w:rsidRPr="0081121F">
        <w:rPr>
          <w:rFonts w:ascii="Arial" w:hAnsi="Arial" w:cs="Arial"/>
          <w:sz w:val="24"/>
          <w:szCs w:val="24"/>
        </w:rPr>
        <w:t xml:space="preserve">Further to the context of School X, the context of my chosen investigative class, Class Y, is of equal significance and influence as inspiration for my investigative focus. Class Y is a Key Stage 3, Year 8 class of top-set ability. With a total of </w:t>
      </w:r>
      <w:r>
        <w:rPr>
          <w:rFonts w:ascii="Arial" w:hAnsi="Arial" w:cs="Arial"/>
          <w:sz w:val="24"/>
          <w:szCs w:val="24"/>
        </w:rPr>
        <w:t xml:space="preserve">32 </w:t>
      </w:r>
      <w:r w:rsidRPr="0081121F">
        <w:rPr>
          <w:rFonts w:ascii="Arial" w:hAnsi="Arial" w:cs="Arial"/>
          <w:sz w:val="24"/>
          <w:szCs w:val="24"/>
        </w:rPr>
        <w:t xml:space="preserve">pupils, </w:t>
      </w:r>
      <w:r>
        <w:rPr>
          <w:rFonts w:ascii="Arial" w:hAnsi="Arial" w:cs="Arial"/>
          <w:sz w:val="24"/>
          <w:szCs w:val="24"/>
        </w:rPr>
        <w:t>4</w:t>
      </w:r>
      <w:r w:rsidRPr="0081121F">
        <w:rPr>
          <w:rFonts w:ascii="Arial" w:hAnsi="Arial" w:cs="Arial"/>
          <w:sz w:val="24"/>
          <w:szCs w:val="24"/>
        </w:rPr>
        <w:t xml:space="preserve"> are FSM pupils and only </w:t>
      </w:r>
      <w:r>
        <w:rPr>
          <w:rFonts w:ascii="Arial" w:hAnsi="Arial" w:cs="Arial"/>
          <w:sz w:val="24"/>
          <w:szCs w:val="24"/>
        </w:rPr>
        <w:t xml:space="preserve">3 </w:t>
      </w:r>
      <w:r w:rsidRPr="0081121F">
        <w:rPr>
          <w:rFonts w:ascii="Arial" w:hAnsi="Arial" w:cs="Arial"/>
          <w:sz w:val="24"/>
          <w:szCs w:val="24"/>
        </w:rPr>
        <w:t xml:space="preserve">are SEN. Class Y has a slightly higher total of girls </w:t>
      </w:r>
      <w:r>
        <w:rPr>
          <w:rFonts w:ascii="Arial" w:hAnsi="Arial" w:cs="Arial"/>
          <w:sz w:val="24"/>
          <w:szCs w:val="24"/>
        </w:rPr>
        <w:t xml:space="preserve">this </w:t>
      </w:r>
      <w:r w:rsidRPr="0081121F">
        <w:rPr>
          <w:rFonts w:ascii="Arial" w:hAnsi="Arial" w:cs="Arial"/>
          <w:sz w:val="24"/>
          <w:szCs w:val="24"/>
        </w:rPr>
        <w:t xml:space="preserve">being </w:t>
      </w:r>
      <w:r>
        <w:rPr>
          <w:rFonts w:ascii="Arial" w:hAnsi="Arial" w:cs="Arial"/>
          <w:sz w:val="24"/>
          <w:szCs w:val="24"/>
        </w:rPr>
        <w:t>18</w:t>
      </w:r>
      <w:r w:rsidRPr="0081121F">
        <w:rPr>
          <w:rFonts w:ascii="Arial" w:hAnsi="Arial" w:cs="Arial"/>
          <w:sz w:val="24"/>
          <w:szCs w:val="24"/>
        </w:rPr>
        <w:t xml:space="preserve">, in comparison to the total </w:t>
      </w:r>
      <w:r>
        <w:rPr>
          <w:rFonts w:ascii="Arial" w:hAnsi="Arial" w:cs="Arial"/>
          <w:sz w:val="24"/>
          <w:szCs w:val="24"/>
        </w:rPr>
        <w:t>14</w:t>
      </w:r>
      <w:r w:rsidRPr="0081121F">
        <w:rPr>
          <w:rFonts w:ascii="Arial" w:hAnsi="Arial" w:cs="Arial"/>
          <w:sz w:val="24"/>
          <w:szCs w:val="24"/>
        </w:rPr>
        <w:t xml:space="preserve"> boys. The opportunity to develop my relationship with this class began during my PTE 2 induction, in which I was able to observe the class during a pupil trail. Additionally, further observations and subsequent </w:t>
      </w:r>
      <w:r w:rsidRPr="0081121F">
        <w:rPr>
          <w:rFonts w:ascii="Arial" w:hAnsi="Arial" w:cs="Arial"/>
          <w:sz w:val="24"/>
          <w:szCs w:val="24"/>
        </w:rPr>
        <w:lastRenderedPageBreak/>
        <w:t xml:space="preserve">lessons taught to this class, highlighted to me their positive and eager attitude towards learning, and more significantly their close relationships as peers. Likewise, my observation from time spent with Class Y can also be seen as reflective of the wider school culture, for in their most recent Estyn report, it was recognised that ‘nearly all pupils demonstrate positive attitude to learning. They engage enthusiastically in tasks and maintain concentration well…A few pupils are highly effective in supporting the learning of their peers.’ (Estyn, 2016:7). As such, my observations and Estyn reflections led me towards my focal investigative question, </w:t>
      </w:r>
      <w:r w:rsidRPr="0081121F">
        <w:rPr>
          <w:rFonts w:ascii="Arial" w:hAnsi="Arial" w:cs="Arial"/>
          <w:i/>
          <w:sz w:val="24"/>
          <w:szCs w:val="24"/>
        </w:rPr>
        <w:t>‘What impact does peer-assessment have on pupils’ learning and progress in Religious Education?’.</w:t>
      </w:r>
      <w:r>
        <w:rPr>
          <w:rFonts w:ascii="Arial" w:hAnsi="Arial" w:cs="Arial"/>
          <w:sz w:val="24"/>
          <w:szCs w:val="24"/>
        </w:rPr>
        <w:t xml:space="preserve"> </w:t>
      </w:r>
    </w:p>
    <w:p w14:paraId="71D789BB" w14:textId="6624C31B" w:rsidR="00021DF3" w:rsidRPr="00557191" w:rsidRDefault="00AC5937" w:rsidP="00557191">
      <w:pPr>
        <w:spacing w:line="480" w:lineRule="auto"/>
        <w:ind w:firstLine="720"/>
        <w:jc w:val="both"/>
        <w:rPr>
          <w:rFonts w:ascii="Arial" w:hAnsi="Arial" w:cs="Arial"/>
          <w:sz w:val="24"/>
          <w:szCs w:val="24"/>
        </w:rPr>
      </w:pPr>
      <w:bookmarkStart w:id="0" w:name="_Hlk510972431"/>
      <w:r>
        <w:rPr>
          <w:rFonts w:ascii="Arial" w:hAnsi="Arial" w:cs="Arial"/>
          <w:sz w:val="24"/>
          <w:szCs w:val="24"/>
        </w:rPr>
        <w:t>Following my main investigative question, I have further sought to include subsequent investigative questions, as guides for the research, execution and evaluation of my investigation, of which include: ‘</w:t>
      </w:r>
      <w:r w:rsidRPr="002D4C84">
        <w:rPr>
          <w:rFonts w:ascii="Arial" w:hAnsi="Arial" w:cs="Arial"/>
          <w:i/>
          <w:sz w:val="24"/>
          <w:szCs w:val="24"/>
        </w:rPr>
        <w:t>What is the purpose of peer-assessment?</w:t>
      </w:r>
      <w:r>
        <w:rPr>
          <w:rFonts w:ascii="Arial" w:hAnsi="Arial" w:cs="Arial"/>
          <w:sz w:val="24"/>
          <w:szCs w:val="24"/>
        </w:rPr>
        <w:t xml:space="preserve">’, </w:t>
      </w:r>
      <w:r w:rsidRPr="002D4C84">
        <w:rPr>
          <w:rFonts w:ascii="Arial" w:hAnsi="Arial" w:cs="Arial"/>
          <w:i/>
          <w:sz w:val="24"/>
          <w:szCs w:val="24"/>
        </w:rPr>
        <w:t>‘What makes peer-assessment an effective AfL strategy?’</w:t>
      </w:r>
      <w:r>
        <w:rPr>
          <w:rFonts w:ascii="Arial" w:hAnsi="Arial" w:cs="Arial"/>
          <w:sz w:val="24"/>
          <w:szCs w:val="24"/>
        </w:rPr>
        <w:t xml:space="preserve">, and lastly, </w:t>
      </w:r>
      <w:r w:rsidRPr="002D4C84">
        <w:rPr>
          <w:rFonts w:ascii="Arial" w:hAnsi="Arial" w:cs="Arial"/>
          <w:i/>
          <w:sz w:val="24"/>
          <w:szCs w:val="24"/>
        </w:rPr>
        <w:t>‘To what extent do pupils benefit from peer-assessment</w:t>
      </w:r>
      <w:r>
        <w:rPr>
          <w:rFonts w:ascii="Arial" w:hAnsi="Arial" w:cs="Arial"/>
          <w:i/>
          <w:sz w:val="24"/>
          <w:szCs w:val="24"/>
        </w:rPr>
        <w:t>?’</w:t>
      </w:r>
      <w:r>
        <w:rPr>
          <w:rFonts w:ascii="Arial" w:hAnsi="Arial" w:cs="Arial"/>
          <w:sz w:val="24"/>
          <w:szCs w:val="24"/>
        </w:rPr>
        <w:t xml:space="preserve"> In addition, in relation to my professional development, through the implementation of this AfL strategy, I have aimed to foster among my pupils a greater understanding of the role of collaboration and how pupils are to take greater responsibility for and contribution in identifying their own and their peer’s strengths and targets for improvement. Such qualities of which I have aimed to foster are reflective of scholarly research into AfL, of which I will now present my critical analysis</w:t>
      </w:r>
      <w:bookmarkEnd w:id="0"/>
      <w:r>
        <w:rPr>
          <w:rFonts w:ascii="Arial" w:hAnsi="Arial" w:cs="Arial"/>
          <w:sz w:val="24"/>
          <w:szCs w:val="24"/>
        </w:rPr>
        <w:t xml:space="preserve"> of. </w:t>
      </w:r>
    </w:p>
    <w:p w14:paraId="099EA16A" w14:textId="77777777" w:rsidR="00021DF3" w:rsidRDefault="00021DF3" w:rsidP="00021DF3">
      <w:pPr>
        <w:spacing w:line="480" w:lineRule="auto"/>
        <w:ind w:firstLine="360"/>
        <w:jc w:val="both"/>
        <w:rPr>
          <w:rFonts w:ascii="Arial" w:hAnsi="Arial" w:cs="Arial"/>
          <w:sz w:val="24"/>
        </w:rPr>
      </w:pPr>
      <w:r>
        <w:rPr>
          <w:rFonts w:ascii="Arial" w:hAnsi="Arial" w:cs="Arial"/>
          <w:sz w:val="24"/>
        </w:rPr>
        <w:t xml:space="preserve">Bates notes that there are four different types of assessment, of which include: inductive, formative, summative and deductive (2016:251). However, for the intentions of this investigation and essay, I have focused primarily on ‘formative’ assessment, in keeping with the investigative topic of AfL. Furthermore, I find it imperative to establish the difference between AfL, these being formative assessment strategies, and Assessment of Learning (AOL), a summative assessment strategy. Here a fundamental difference lies in that while the former is focused on the continual and ongoing assessment of a pupils learning and understanding throughout a learning experience, thusly serving ‘the purpose of promoting students’ learning’ (Black and Wiliam, 1998:10), the latter is more concerned with determining the end result of a pupil’s academic achievement. It is also of consideration to note that while there has been focus upon the role and influence of assessment within academia, this has primarily been focused on the summative assessments. Albeit, more </w:t>
      </w:r>
      <w:r>
        <w:rPr>
          <w:rFonts w:ascii="Arial" w:hAnsi="Arial" w:cs="Arial"/>
          <w:sz w:val="24"/>
        </w:rPr>
        <w:lastRenderedPageBreak/>
        <w:t xml:space="preserve">recently there has been placed a greater emphasis on the development and enhancement of assessment, and in some part has shifted focus from the summative to the influence of formative assessments instead. </w:t>
      </w:r>
    </w:p>
    <w:p w14:paraId="25A308DF" w14:textId="77777777" w:rsidR="00021DF3" w:rsidRDefault="00021DF3" w:rsidP="00021DF3">
      <w:pPr>
        <w:spacing w:line="480" w:lineRule="auto"/>
        <w:ind w:firstLine="360"/>
        <w:jc w:val="both"/>
        <w:rPr>
          <w:rFonts w:ascii="Arial" w:hAnsi="Arial" w:cs="Arial"/>
          <w:sz w:val="24"/>
        </w:rPr>
      </w:pPr>
      <w:r>
        <w:rPr>
          <w:rFonts w:ascii="Arial" w:hAnsi="Arial" w:cs="Arial"/>
          <w:sz w:val="24"/>
        </w:rPr>
        <w:t xml:space="preserve">This re-development and enhancement of assessment, particularly that of formative assessment, has been recognised by the Welsh Government, in which they have emphasised that ‘effective assessment, and the systems underpinning it, [are] key to high quality teaching and learning, and to successful schools’ (2010:2). Therefore, we can arguably appreciate the crucial and fundamental role and impact that assessments, especially formative assessments, can have on not only the pupils, but the teachers as well. Through the continual assessment of pupils learning, this recognisably can have an impact on the teacher’s own assessment of their teaching and performance. Further emphasis provided to the re-development and enhancement of assessment is also reflected in current Welsh Government aims and objectives. </w:t>
      </w:r>
    </w:p>
    <w:p w14:paraId="7A9810AD" w14:textId="77777777" w:rsidR="00021DF3" w:rsidRDefault="00021DF3" w:rsidP="00021DF3">
      <w:pPr>
        <w:spacing w:line="480" w:lineRule="auto"/>
        <w:ind w:firstLine="360"/>
        <w:jc w:val="both"/>
        <w:rPr>
          <w:rFonts w:ascii="Arial" w:hAnsi="Arial" w:cs="Arial"/>
          <w:sz w:val="24"/>
        </w:rPr>
      </w:pPr>
      <w:r>
        <w:rPr>
          <w:rFonts w:ascii="Arial" w:hAnsi="Arial" w:cs="Arial"/>
          <w:sz w:val="24"/>
        </w:rPr>
        <w:t xml:space="preserve">In 2014 the Welsh Government put forth an improvement plan entitled ‘Qualified for Life’, in which they addressed national education concerns, some of which acknowledge that ‘assessment for learning practices are not well-embedded in all schools’ (2014:13) and were in recognition of the OECD (Organisation for Economic Co-operation and Development) highlighting ‘assessment is an area that needs improving’ and is one must be addressed (2014:16). Additionally, further emphasis by the OECD to improve assessment is noted within their 2014 report, in which they suggest a proposed policy of ensuring ‘that students assessment support learning for all and align to national objectives’ (2014:107) in order to strengthen the assessment and evaluation in Wales. As a result, in order to address and improve the education of young people in Wales, and proposed policy suggestions by OECD, the Welsh Government set forwards four strategic objective, one of which concerned the designing of ‘a curriculum which is engaging and attractive to young people and which develops within them an independent ability to apply knowledge and skills’ (2014:16). Further to this strategic objective, the Welsh Government also expressed their desired aim of that through the achievement of this strategic objective, this would result in ‘a curriculum that promotes substantive discussion of ideas, with clear assessment criteria to enable frequent and construct feedback to learners’ (2014:16). Consequently, we can perhaps suggest that this strategic objective </w:t>
      </w:r>
      <w:r>
        <w:rPr>
          <w:rFonts w:ascii="Arial" w:hAnsi="Arial" w:cs="Arial"/>
          <w:sz w:val="24"/>
        </w:rPr>
        <w:lastRenderedPageBreak/>
        <w:t xml:space="preserve">is one that is reflective of the Welsh Governments start of and commitment to addressing and improving the quality of assessment in Wales. Notably, I find this strategic aim to be most influential in impacting the planning and execution of my investigation, for when arriving at the evaluation of, I believe the strategies taken and implemented by myself to mirror the desired aims, particularly that of the promotion of discussion of ideas between Class Y and myself and more significantly, between the pupils of Class </w:t>
      </w:r>
      <w:proofErr w:type="spellStart"/>
      <w:r>
        <w:rPr>
          <w:rFonts w:ascii="Arial" w:hAnsi="Arial" w:cs="Arial"/>
          <w:sz w:val="24"/>
        </w:rPr>
        <w:t>Y</w:t>
      </w:r>
      <w:proofErr w:type="spellEnd"/>
      <w:r>
        <w:rPr>
          <w:rFonts w:ascii="Arial" w:hAnsi="Arial" w:cs="Arial"/>
          <w:sz w:val="24"/>
        </w:rPr>
        <w:t xml:space="preserve"> themselves. </w:t>
      </w:r>
    </w:p>
    <w:p w14:paraId="36C4A97F" w14:textId="77777777" w:rsidR="00021DF3" w:rsidRDefault="00021DF3" w:rsidP="00021DF3">
      <w:pPr>
        <w:spacing w:line="480" w:lineRule="auto"/>
        <w:ind w:firstLine="360"/>
        <w:jc w:val="both"/>
        <w:rPr>
          <w:rFonts w:ascii="Arial" w:hAnsi="Arial" w:cs="Arial"/>
          <w:sz w:val="24"/>
        </w:rPr>
      </w:pPr>
      <w:r>
        <w:rPr>
          <w:rFonts w:ascii="Arial" w:hAnsi="Arial" w:cs="Arial"/>
          <w:sz w:val="24"/>
        </w:rPr>
        <w:t xml:space="preserve">Further to the strategic objectives set by the Welsh Government in ‘Qualified for Life’ (2014), it is imperative to note the work of Professor Graham Donaldson CB in his report ‘Successful Futures: Independent Review of Curriculum and Assessment Arrangements in Wales’ (2015). Within his review, Donaldson states the clear intention of his work, as that of addressing ‘both the curriculum and the assessment arrangements in Wales, in recognition both of the vital role of assessment in children and young people’s learning and of weaknesses in the current arrangement’ (2015:73). However, Donaldson does not only further address the requirements to develop and enhance assessments within Wales, but also puts forward a series of recommendations to ensure the development and enhancement of assessment within Wales, and more influentially highlights a range of assessment strategies along with their potential uses and effects on learner outcomes. While Donaldson offers a series of intentions and recommendations, he begins with emphasising that ‘the validity of any assessment rests on its relationship to the purposes and intended outcome of the teaching and learning process’ (2015:75), arguably once more highlighting the intertwined relationship of and impact assessment for learning can have both pupil and teachers own learning. We may also be able to argue that this belief presented echoes Wiliams (2011) thoughts of assessment as being the bridge between teaching and learning. </w:t>
      </w:r>
    </w:p>
    <w:p w14:paraId="31A72F4D" w14:textId="77777777" w:rsidR="00021DF3" w:rsidRDefault="00021DF3" w:rsidP="00021DF3">
      <w:pPr>
        <w:spacing w:line="480" w:lineRule="auto"/>
        <w:ind w:firstLine="360"/>
        <w:jc w:val="both"/>
        <w:rPr>
          <w:rFonts w:ascii="Arial" w:hAnsi="Arial" w:cs="Arial"/>
          <w:sz w:val="24"/>
        </w:rPr>
      </w:pPr>
      <w:r>
        <w:rPr>
          <w:rFonts w:ascii="Arial" w:hAnsi="Arial" w:cs="Arial"/>
          <w:sz w:val="24"/>
        </w:rPr>
        <w:t xml:space="preserve">With this understanding in mind, it is perhaps worth noting that further intentions for this investigation in relation to my professional development are closely linked to Wiliams (2011) concept of assessment as the bridge between teaching and learning. Through successful planning and execution of this investigation I aim to achieve a clear, confident and coherent understanding of the role and influence of assessments as part of my Initial Teaching Training (ITT), to deepen my own and my pupils understanding of how assessment for learning strategies can be used to support </w:t>
      </w:r>
      <w:r>
        <w:rPr>
          <w:rFonts w:ascii="Arial" w:hAnsi="Arial" w:cs="Arial"/>
          <w:sz w:val="24"/>
        </w:rPr>
        <w:lastRenderedPageBreak/>
        <w:t xml:space="preserve">current and impact future learning. In doing so, I further aim to achieve the related QTS Standards (Welsh Government:2009), e.g. S3.2.1 ‘Assessment Strategies’ and S3.2.2. ‘Assessment to Support Learning’, as part of becoming a Newly Qualified Teacher (NQT). Significantly, my commitment to and exemplification of my professional development in relation to monitoring and assessment can be seen as evidence of Donaldson’s recommendations being put into current pedagogical practice, as Donaldson recommended that ‘Initial and career-long professional learning programmes should include elements that build teacher’ capacity to assess the full range of curriculum purposes and Achievement of Outcomes’ (2015:84). Thusly, in developing and furthering my understanding of assessment now, I will be more able and equipped when facing the implementations of the new curriculum proposed by Donaldson. Moreover, we could possibly argue that this recommendation, and its potential influence on teachers/ITT’s, is key to the future success of improved assessment within Wales. For while the starting point for the development and enhancement to improve the quality of assessment within Wales has begun, with a series of strategic aims and recommendations to be followed, if the quality of assessment is to be successfully improved, these developments and enhancements must take central focus within the classroom environment. For the true impact of these changes can only occur with the pupils themselves, for whom the improvements are designed for, and with the teachers/ITT’s who will be the ones to apply and test the effectiveness of these objectives and recommendations, in order to have an improved lasting effect on the learning on young people in Wales. </w:t>
      </w:r>
    </w:p>
    <w:p w14:paraId="75CE5F5B" w14:textId="77777777" w:rsidR="00021DF3" w:rsidRDefault="00021DF3" w:rsidP="00021DF3">
      <w:pPr>
        <w:spacing w:line="480" w:lineRule="auto"/>
        <w:ind w:firstLine="360"/>
        <w:jc w:val="both"/>
        <w:rPr>
          <w:rFonts w:ascii="Arial" w:hAnsi="Arial" w:cs="Arial"/>
          <w:sz w:val="24"/>
          <w:szCs w:val="24"/>
        </w:rPr>
      </w:pPr>
      <w:r>
        <w:rPr>
          <w:rFonts w:ascii="Arial" w:hAnsi="Arial" w:cs="Arial"/>
          <w:sz w:val="24"/>
        </w:rPr>
        <w:t xml:space="preserve">Having now briefly examined and critically analysed investigation research into assessment, primarily focusing on the requirements to develop and enhance the quality of assessment in Wales, I will now begin my examination and critical evaluation of research in relation to my chosen AfL strategy, peer-assessment. As a result of doing so, I also aim to address and begin discussing my subsequent investigative questions, these being </w:t>
      </w:r>
      <w:r w:rsidRPr="002D4C84">
        <w:rPr>
          <w:rFonts w:ascii="Arial" w:hAnsi="Arial" w:cs="Arial"/>
          <w:i/>
          <w:sz w:val="24"/>
          <w:szCs w:val="24"/>
        </w:rPr>
        <w:t>‘What is the purpose of peer-assessment?</w:t>
      </w:r>
      <w:r>
        <w:rPr>
          <w:rFonts w:ascii="Arial" w:hAnsi="Arial" w:cs="Arial"/>
          <w:sz w:val="24"/>
          <w:szCs w:val="24"/>
        </w:rPr>
        <w:t xml:space="preserve">’, </w:t>
      </w:r>
      <w:r w:rsidRPr="002D4C84">
        <w:rPr>
          <w:rFonts w:ascii="Arial" w:hAnsi="Arial" w:cs="Arial"/>
          <w:i/>
          <w:sz w:val="24"/>
          <w:szCs w:val="24"/>
        </w:rPr>
        <w:t>‘What makes peer-assessment an effective AfL strategy?’</w:t>
      </w:r>
      <w:r>
        <w:rPr>
          <w:rFonts w:ascii="Arial" w:hAnsi="Arial" w:cs="Arial"/>
          <w:sz w:val="24"/>
          <w:szCs w:val="24"/>
        </w:rPr>
        <w:t xml:space="preserve">, and perhaps in part, </w:t>
      </w:r>
      <w:r w:rsidRPr="002D4C84">
        <w:rPr>
          <w:rFonts w:ascii="Arial" w:hAnsi="Arial" w:cs="Arial"/>
          <w:i/>
          <w:sz w:val="24"/>
          <w:szCs w:val="24"/>
        </w:rPr>
        <w:t>‘To what extent do pupils benefit from peer-assessment</w:t>
      </w:r>
      <w:r>
        <w:rPr>
          <w:rFonts w:ascii="Arial" w:hAnsi="Arial" w:cs="Arial"/>
          <w:i/>
          <w:sz w:val="24"/>
          <w:szCs w:val="24"/>
        </w:rPr>
        <w:t xml:space="preserve">’. </w:t>
      </w:r>
      <w:r>
        <w:rPr>
          <w:rFonts w:ascii="Arial" w:hAnsi="Arial" w:cs="Arial"/>
          <w:sz w:val="24"/>
          <w:szCs w:val="24"/>
        </w:rPr>
        <w:t xml:space="preserve">In addition to my examination and critical analysis of research in relation to peer-assessment, I also plan to discuss the relationship between peer-assessment and self-assessment and the crucial role of feedback as a fundamental aspect of AfL. </w:t>
      </w:r>
    </w:p>
    <w:p w14:paraId="092D23B8" w14:textId="77777777" w:rsidR="00021DF3" w:rsidRDefault="00021DF3" w:rsidP="00021DF3">
      <w:pPr>
        <w:spacing w:line="480" w:lineRule="auto"/>
        <w:ind w:firstLine="360"/>
        <w:jc w:val="both"/>
        <w:rPr>
          <w:rFonts w:ascii="Arial" w:hAnsi="Arial" w:cs="Arial"/>
          <w:sz w:val="24"/>
        </w:rPr>
      </w:pPr>
      <w:r>
        <w:rPr>
          <w:rFonts w:ascii="Arial" w:hAnsi="Arial" w:cs="Arial"/>
          <w:sz w:val="24"/>
        </w:rPr>
        <w:lastRenderedPageBreak/>
        <w:t>Black and Harrison make point to note that ‘several empirical and theoretical research studies have concluded that an essential condition for the development of formative assessment is that students become engaged in self- and peer-assessment’ (2001:43). In addition to this, is has also been stated that ‘peer-assessment is a uniquely invaluable for several reasons’ (Black, Harrison, Lee, Marshal and Wiliam, 2003:49). In light of these understandings, with the emphasis on both the ‘essential’ and ‘uniquely invaluable’</w:t>
      </w:r>
      <w:r w:rsidRPr="005161A2">
        <w:t xml:space="preserve"> </w:t>
      </w:r>
      <w:r w:rsidRPr="005161A2">
        <w:rPr>
          <w:rFonts w:ascii="Arial" w:hAnsi="Arial" w:cs="Arial"/>
          <w:sz w:val="24"/>
        </w:rPr>
        <w:t>conceptualization</w:t>
      </w:r>
      <w:r>
        <w:rPr>
          <w:rFonts w:ascii="Arial" w:hAnsi="Arial" w:cs="Arial"/>
          <w:sz w:val="24"/>
        </w:rPr>
        <w:t xml:space="preserve"> of peer-assessment, it arguably serves to strengthen the focal topic of my investigation and my choice to investigate this particular AfL strategy, as it is arguably one of great influence and impact within the understandings of formative assessment. Moreover, while there are further reasons and emphases in regard to the purpose and effectiveness of peer-assessment, it is nevertheless potentially beneficial to firstly define and understand what is meant by the term ‘peer-assessment’. </w:t>
      </w:r>
    </w:p>
    <w:p w14:paraId="23BFEE7C" w14:textId="77777777" w:rsidR="00021DF3" w:rsidRDefault="00021DF3" w:rsidP="00021DF3">
      <w:pPr>
        <w:spacing w:line="480" w:lineRule="auto"/>
        <w:ind w:firstLine="360"/>
        <w:jc w:val="both"/>
        <w:rPr>
          <w:rFonts w:ascii="Arial" w:hAnsi="Arial" w:cs="Arial"/>
          <w:sz w:val="24"/>
        </w:rPr>
      </w:pPr>
      <w:r>
        <w:rPr>
          <w:rFonts w:ascii="Arial" w:hAnsi="Arial" w:cs="Arial"/>
          <w:sz w:val="24"/>
        </w:rPr>
        <w:t xml:space="preserve">Simplistically, the term ‘peer-assessment’ can be defined as the assessment of a pupil’s work, in which the assessor is not a teacher, but is also a pupil or a ‘peer’ of the pupil whose work is being assessed. Comparably, ‘peer-assessment’ could also be defined and understood as pupils taking an active role and responsibility in the assessment process of a peer’s work, with a clear understanding and acknowledgement to which the work is being assessed against. Significantly, the latter definition corresponds well to the ideas presented by Gershon who suggests that ‘peer-assessment opens up the assessment process for students’ (2013:49) and Gault who states that ‘peer-assessment helps pupils increase their understanding of the assessment process’ (2015:289). As a result of these suggestions, we can perhaps interpret that an aspect which enables peer-assessment to be considered an effective AfL strategy, is that through a greater involvement and understanding of the assessment process, this then enables pupils to have a greater understanding of what is required, both of their peers, and perhaps more influentially themselves. We can additionally argue that greater involvement and understanding of the assessment process in turn would also enable pupils to experience a greater variety of work, rather than just their own, and as a result would encourage them to take into consideration and explore a wider variety of possible answers and interpretations to their work (Gershon 2013). However, critical to the pupils understanding and involvement in the assessment process is the requirement to have a, often </w:t>
      </w:r>
      <w:r>
        <w:rPr>
          <w:rFonts w:ascii="Arial" w:hAnsi="Arial" w:cs="Arial"/>
          <w:sz w:val="24"/>
        </w:rPr>
        <w:lastRenderedPageBreak/>
        <w:t xml:space="preserve">described, ‘transparent’ (Black </w:t>
      </w:r>
      <w:r w:rsidRPr="006F475A">
        <w:rPr>
          <w:rFonts w:ascii="Arial" w:hAnsi="Arial" w:cs="Arial"/>
          <w:i/>
          <w:sz w:val="24"/>
        </w:rPr>
        <w:t>et al</w:t>
      </w:r>
      <w:r>
        <w:rPr>
          <w:rFonts w:ascii="Arial" w:hAnsi="Arial" w:cs="Arial"/>
          <w:sz w:val="24"/>
        </w:rPr>
        <w:t xml:space="preserve"> 2003; Welsh Government 2010; Hattie 2012) success criteria. For it is this success criteria in which enables the pupils to effectively evaluate and assess the work of their peers against the learning objectives or intentions (Black </w:t>
      </w:r>
      <w:r w:rsidRPr="00A4490C">
        <w:rPr>
          <w:rFonts w:ascii="Arial" w:hAnsi="Arial" w:cs="Arial"/>
          <w:i/>
          <w:sz w:val="24"/>
        </w:rPr>
        <w:t>et a</w:t>
      </w:r>
      <w:r>
        <w:rPr>
          <w:rFonts w:ascii="Arial" w:hAnsi="Arial" w:cs="Arial"/>
          <w:sz w:val="24"/>
        </w:rPr>
        <w:t>l, 2003).</w:t>
      </w:r>
    </w:p>
    <w:p w14:paraId="152CDE12" w14:textId="77E6A3BF" w:rsidR="00021DF3" w:rsidRDefault="00021DF3" w:rsidP="00021DF3">
      <w:pPr>
        <w:spacing w:line="480" w:lineRule="auto"/>
        <w:ind w:firstLine="360"/>
        <w:jc w:val="both"/>
        <w:rPr>
          <w:rFonts w:ascii="Arial" w:hAnsi="Arial" w:cs="Arial"/>
          <w:i/>
          <w:sz w:val="24"/>
        </w:rPr>
      </w:pPr>
      <w:r w:rsidRPr="000B6D09">
        <w:rPr>
          <w:rFonts w:ascii="Arial" w:hAnsi="Arial" w:cs="Arial"/>
          <w:sz w:val="24"/>
        </w:rPr>
        <w:t xml:space="preserve">A further note to add in relation to the question of </w:t>
      </w:r>
      <w:r w:rsidRPr="000B6D09">
        <w:rPr>
          <w:rFonts w:ascii="Arial" w:hAnsi="Arial" w:cs="Arial"/>
          <w:i/>
          <w:sz w:val="24"/>
        </w:rPr>
        <w:t>‘what makes peer-assessment an effective AfL strategy?’</w:t>
      </w:r>
      <w:r w:rsidRPr="000B6D09">
        <w:rPr>
          <w:rFonts w:ascii="Arial" w:hAnsi="Arial" w:cs="Arial"/>
          <w:sz w:val="24"/>
        </w:rPr>
        <w:t xml:space="preserve">, is to examine the relationship between and influence peer-assessment has upon self-assessment, for as Black </w:t>
      </w:r>
      <w:r w:rsidRPr="000B6D09">
        <w:rPr>
          <w:rFonts w:ascii="Arial" w:hAnsi="Arial" w:cs="Arial"/>
          <w:i/>
          <w:sz w:val="24"/>
        </w:rPr>
        <w:t xml:space="preserve">et al </w:t>
      </w:r>
      <w:r w:rsidRPr="000B6D09">
        <w:rPr>
          <w:rFonts w:ascii="Arial" w:hAnsi="Arial" w:cs="Arial"/>
          <w:sz w:val="24"/>
        </w:rPr>
        <w:t>have identified ‘peer-assessment turns out to be an important complement’ and have further suggested it ‘may even be a prior requirement for self-assessment’ (2003:49). If we are to accept peer-assessment as being a requirement to self-assessment, then it is perhaps worthwhile to also return to the previously discussed idea presented by Gershon (2013), that of peer-assessment allowing pupils to experience a greater variety of work, and as a result a greater variety of possible answers and interpretations to their own work. With these understandings in mind, we can then perhaps argue that the effective of peer-assessment in part lies in the potential benefits it has to not only improve the work of a peers, but the work of the individual pupil. Through the experience of peer-assessment, this then encourages and allows pupils when they return to their own work and self-assess, to view their work with a better variety and understanding of what success could look like. This would then also promote pupils, when self-assessing, to view and assess their own more objectively and provide, perhaps, more challenging targets/expectation of their future work (Gault</w:t>
      </w:r>
      <w:r>
        <w:rPr>
          <w:rFonts w:ascii="Arial" w:hAnsi="Arial" w:cs="Arial"/>
          <w:sz w:val="24"/>
        </w:rPr>
        <w:t xml:space="preserve"> </w:t>
      </w:r>
      <w:r w:rsidRPr="000B6D09">
        <w:rPr>
          <w:rFonts w:ascii="Arial" w:hAnsi="Arial" w:cs="Arial"/>
          <w:sz w:val="24"/>
        </w:rPr>
        <w:t xml:space="preserve">2015). </w:t>
      </w:r>
      <w:r>
        <w:rPr>
          <w:rFonts w:ascii="Arial" w:hAnsi="Arial" w:cs="Arial"/>
          <w:sz w:val="24"/>
        </w:rPr>
        <w:t>A significant point to add in relation to understanding the impact of self-assessment is that presented by Black and Wiliam who state, ‘the link between formative assessment to self-assessment is not an accident – [but] is indeed inevitable…For formative assessment to be productive, pupils should be trained in self-</w:t>
      </w:r>
      <w:r w:rsidR="00557191">
        <w:rPr>
          <w:rFonts w:ascii="Arial" w:hAnsi="Arial" w:cs="Arial"/>
          <w:sz w:val="24"/>
        </w:rPr>
        <w:t>assessment,</w:t>
      </w:r>
      <w:r>
        <w:rPr>
          <w:rFonts w:ascii="Arial" w:hAnsi="Arial" w:cs="Arial"/>
          <w:sz w:val="24"/>
        </w:rPr>
        <w:t xml:space="preserve"> so they can understand the main purposes of their learning and thereby grasp what they need to do to achieve’ (1998:9-10). I would further argue, and in light of previous discussion, that we may also be able to interpret this statement through the means of peer-assessment. In doing so, I would argue that peer-assessment is the catalyst which enables effective self-assessment, and consequently, in turn function to effectively promote the role and inclusion of successful formative assessment. Moreover, we can also add that with this interpretation, we can add an additional aspect as to answering the question </w:t>
      </w:r>
      <w:r>
        <w:rPr>
          <w:rFonts w:ascii="Arial" w:hAnsi="Arial" w:cs="Arial"/>
          <w:i/>
          <w:sz w:val="24"/>
        </w:rPr>
        <w:t xml:space="preserve">‘what makes peer-assessment an effective AfL strategy?’. </w:t>
      </w:r>
    </w:p>
    <w:p w14:paraId="49BCB9AE" w14:textId="39C3BF1A" w:rsidR="00230AF0" w:rsidRPr="00557191" w:rsidRDefault="00021DF3" w:rsidP="00557191">
      <w:pPr>
        <w:spacing w:line="480" w:lineRule="auto"/>
        <w:ind w:firstLine="360"/>
        <w:jc w:val="both"/>
        <w:rPr>
          <w:rFonts w:ascii="Arial" w:hAnsi="Arial" w:cs="Arial"/>
          <w:i/>
          <w:sz w:val="24"/>
        </w:rPr>
      </w:pPr>
      <w:r w:rsidRPr="00D55DF7">
        <w:rPr>
          <w:rFonts w:ascii="Arial" w:hAnsi="Arial" w:cs="Arial"/>
          <w:sz w:val="24"/>
        </w:rPr>
        <w:lastRenderedPageBreak/>
        <w:t>In addition to our understanding of what AfL entails, it is potentially of great importance to recognise and discuss the role of feedback. In order to advance our understanding of what AfL is, it is worth nothing the definition of formative assessment, as defined by Sadler, who writes ‘this [formative assessment] refers to assessment that is specifically intended to provide feedback on performance to improve and accelerate learning’ (1998:77).  Therefore, as a specific intention of AfL as a means to ‘improve and accelerate learning’, we can clearly identify the crucial and influential role that feedback has, and more so, the comparable nature of the definition to our previous definition/understanding presented by Black and Wiliam of AfL’s purpose being that of ‘promoting student’s learning’ (1998:10). Further emphasis given to the crucial and influential role feedback has as part of AfL is most prominently highlighted by Hattie, who writes ‘feedback is among the most common feature of successful teaching and learning’ (2012:155), thusly relating its influence on both pupils and the teacher, but more significantly also argues that ‘feedback is among the most powerful influences on achievement’ (201</w:t>
      </w:r>
      <w:r>
        <w:rPr>
          <w:rFonts w:ascii="Arial" w:hAnsi="Arial" w:cs="Arial"/>
          <w:sz w:val="24"/>
        </w:rPr>
        <w:t>2</w:t>
      </w:r>
      <w:r w:rsidRPr="00D55DF7">
        <w:rPr>
          <w:rFonts w:ascii="Arial" w:hAnsi="Arial" w:cs="Arial"/>
          <w:sz w:val="24"/>
        </w:rPr>
        <w:t xml:space="preserve">:135). Allison and Tharby also make a clear point to include and emphasis the role and place of feedback as part of the assessment process, for after providing pupils with the task and their success criteria, you are then able to maintain a continual tracking or assessment of the learning through the means of ‘praise and timely feedback’ (2015:167). Further to this point presented by Allison and Tharby is the recognition of not only feedback, but ‘timely feedback’. This add-on to the description to feedback is simply one of many variations in which feedback can present itself and is reflective of the need to acknowledge for feedback to be influential, and thusly enable the improvement to and acceleration of learning, feedback requires its own set of ‘success criteria’. Features of what enables successful feedback has been identified by the Welsh Government, who suggest, much like Allison and Tharby, that ‘feedback should be as immediate as possible’ (2010:26). The Welsh Government continue to state that feedback should also be ‘clear, and…make the learner think’ (2010:36). With this success criteria in mind, specifically the note on feedback being ‘clear’, I would relate this concept back to a previously discussed note on the need of a clear or ‘transparent’ (Black </w:t>
      </w:r>
      <w:r w:rsidRPr="00D55DF7">
        <w:rPr>
          <w:rFonts w:ascii="Arial" w:hAnsi="Arial" w:cs="Arial"/>
          <w:i/>
          <w:sz w:val="24"/>
        </w:rPr>
        <w:t>et al</w:t>
      </w:r>
      <w:r w:rsidRPr="00D55DF7">
        <w:rPr>
          <w:rFonts w:ascii="Arial" w:hAnsi="Arial" w:cs="Arial"/>
          <w:sz w:val="24"/>
        </w:rPr>
        <w:t xml:space="preserve"> 2003; Welsh Government 2010; Hattie 2012) success criteria, and once again return to Hattie (2012) who argues the case for transparency if feedback is to be effective. With this recurring emphasis on clarity and </w:t>
      </w:r>
      <w:r w:rsidRPr="00D55DF7">
        <w:rPr>
          <w:rFonts w:ascii="Arial" w:hAnsi="Arial" w:cs="Arial"/>
          <w:sz w:val="24"/>
        </w:rPr>
        <w:lastRenderedPageBreak/>
        <w:t>transparency, of both success criteria and feedback, I seek to examine the clarity and transparency of my own success criteria and feedback in relation to the planning, and most certainly, the execution of my investigation. However, prior to the commencement of my evaluation it is key to both examine my PTE 2 School’s assessment policies and practices, and the investigative methods taken by myself before beginning my investigation.</w:t>
      </w:r>
    </w:p>
    <w:p w14:paraId="4F27613D" w14:textId="77777777" w:rsidR="00230AF0" w:rsidRDefault="00230AF0" w:rsidP="00230AF0">
      <w:pPr>
        <w:spacing w:line="480" w:lineRule="auto"/>
        <w:jc w:val="both"/>
        <w:rPr>
          <w:rFonts w:ascii="Arial" w:hAnsi="Arial" w:cs="Arial"/>
          <w:sz w:val="24"/>
        </w:rPr>
      </w:pPr>
      <w:r>
        <w:rPr>
          <w:rFonts w:ascii="Arial" w:hAnsi="Arial" w:cs="Arial"/>
          <w:sz w:val="24"/>
        </w:rPr>
        <w:tab/>
        <w:t xml:space="preserve">A key document in the research and planning of my investigation was School X’s marking policy (see appendices A), of which we could possibly interpret as their ‘assessment policy’. Within their marking policy, School X propose a clear set of rationale, aims, rules for expected practice and role and responsibilities for both staff and pupils, in regard to the purposes and intended outcomes of marking pupils work, as a result of both summative, and more significantly formative assessments. Thusly, in regard to the latter form as assessment, this being formative assessment, School X have recognised the variation of approaches of which can be taken, along with outlining the required quantity of pupil work to be marked or assessed. Further to this, School X’s policy also makes point to highlight that ‘the success criteria will be shared with pupils and marking will clearly indicate what the pupil had done well (WWW) and what they need to do to improve (EBI). Comments will be constructive and subject specific.’ (See appendices A, page 2). Here, we can perhaps argue the reflective interpretation and active inclusion of ensuring a ‘transparent’ assessment or success criteria and feedback for pupils, of which is clearly enforced within the School’s policy, as being done so in recognition of such ideas being presented by the likes of </w:t>
      </w:r>
      <w:r w:rsidRPr="00D55DF7">
        <w:rPr>
          <w:rFonts w:ascii="Arial" w:hAnsi="Arial" w:cs="Arial"/>
          <w:sz w:val="24"/>
        </w:rPr>
        <w:t xml:space="preserve">Black </w:t>
      </w:r>
      <w:r w:rsidRPr="00D55DF7">
        <w:rPr>
          <w:rFonts w:ascii="Arial" w:hAnsi="Arial" w:cs="Arial"/>
          <w:i/>
          <w:sz w:val="24"/>
        </w:rPr>
        <w:t>et al</w:t>
      </w:r>
      <w:r w:rsidRPr="00D55DF7">
        <w:rPr>
          <w:rFonts w:ascii="Arial" w:hAnsi="Arial" w:cs="Arial"/>
          <w:sz w:val="24"/>
        </w:rPr>
        <w:t xml:space="preserve"> </w:t>
      </w:r>
      <w:r>
        <w:rPr>
          <w:rFonts w:ascii="Arial" w:hAnsi="Arial" w:cs="Arial"/>
          <w:sz w:val="24"/>
        </w:rPr>
        <w:t>(</w:t>
      </w:r>
      <w:r w:rsidRPr="00D55DF7">
        <w:rPr>
          <w:rFonts w:ascii="Arial" w:hAnsi="Arial" w:cs="Arial"/>
          <w:sz w:val="24"/>
        </w:rPr>
        <w:t>2003</w:t>
      </w:r>
      <w:r>
        <w:rPr>
          <w:rFonts w:ascii="Arial" w:hAnsi="Arial" w:cs="Arial"/>
          <w:sz w:val="24"/>
        </w:rPr>
        <w:t xml:space="preserve">), </w:t>
      </w:r>
      <w:r w:rsidRPr="00D55DF7">
        <w:rPr>
          <w:rFonts w:ascii="Arial" w:hAnsi="Arial" w:cs="Arial"/>
          <w:sz w:val="24"/>
        </w:rPr>
        <w:t xml:space="preserve">Welsh Government </w:t>
      </w:r>
      <w:r>
        <w:rPr>
          <w:rFonts w:ascii="Arial" w:hAnsi="Arial" w:cs="Arial"/>
          <w:sz w:val="24"/>
        </w:rPr>
        <w:t>(</w:t>
      </w:r>
      <w:r w:rsidRPr="00D55DF7">
        <w:rPr>
          <w:rFonts w:ascii="Arial" w:hAnsi="Arial" w:cs="Arial"/>
          <w:sz w:val="24"/>
        </w:rPr>
        <w:t>2010</w:t>
      </w:r>
      <w:r>
        <w:rPr>
          <w:rFonts w:ascii="Arial" w:hAnsi="Arial" w:cs="Arial"/>
          <w:sz w:val="24"/>
        </w:rPr>
        <w:t xml:space="preserve">) and of course, </w:t>
      </w:r>
      <w:r w:rsidRPr="00D55DF7">
        <w:rPr>
          <w:rFonts w:ascii="Arial" w:hAnsi="Arial" w:cs="Arial"/>
          <w:sz w:val="24"/>
        </w:rPr>
        <w:t xml:space="preserve">Hattie </w:t>
      </w:r>
      <w:r>
        <w:rPr>
          <w:rFonts w:ascii="Arial" w:hAnsi="Arial" w:cs="Arial"/>
          <w:sz w:val="24"/>
        </w:rPr>
        <w:t>(</w:t>
      </w:r>
      <w:r w:rsidRPr="00D55DF7">
        <w:rPr>
          <w:rFonts w:ascii="Arial" w:hAnsi="Arial" w:cs="Arial"/>
          <w:sz w:val="24"/>
        </w:rPr>
        <w:t>2012)</w:t>
      </w:r>
      <w:r>
        <w:rPr>
          <w:rFonts w:ascii="Arial" w:hAnsi="Arial" w:cs="Arial"/>
          <w:sz w:val="24"/>
        </w:rPr>
        <w:t xml:space="preserve">. Furthermore, of significance and impact to the research and planning of my investigation was the prominent dedication taken by School X in providing their own definition and expectation of what peer-assessment is and should entail. School X have defined peer-assessment as ‘pupils [using] success criteria and/or mark schemes to mark each other’s work, noting positive aspects and areas for improvement (WWW/EBI)’ (see appendices A, page 2). This definition provided me with a clear understanding of School X’s expectation regarding what would be required when planning for and executing my investigation. Additional influence in the research of my investigation from this document also arose from School X’s definition and expectation of what peer-assessment should entail, for School X state that peer-assessment should take place ‘within </w:t>
      </w:r>
      <w:r>
        <w:rPr>
          <w:rFonts w:ascii="Arial" w:hAnsi="Arial" w:cs="Arial"/>
          <w:sz w:val="24"/>
        </w:rPr>
        <w:lastRenderedPageBreak/>
        <w:t xml:space="preserve">an environment of mutual respect’ (see appendices A, page 2). Influentially, this expectation of a purposeful learning environment, build on mutual trust was most attractive to me, especially in reference to what I aimed to foster within my classes. More so, I felt that this mutual respect, both between myself and the pupils, but more purposefully between the pupils themselves, would enable successful inclusion of and participation by all pupils within my classes for my investigation to take place. </w:t>
      </w:r>
    </w:p>
    <w:p w14:paraId="34CA432B" w14:textId="77777777" w:rsidR="00230AF0" w:rsidRDefault="00230AF0" w:rsidP="00230AF0">
      <w:pPr>
        <w:spacing w:line="480" w:lineRule="auto"/>
        <w:jc w:val="both"/>
        <w:rPr>
          <w:rFonts w:ascii="Arial" w:hAnsi="Arial" w:cs="Arial"/>
          <w:sz w:val="24"/>
        </w:rPr>
      </w:pPr>
      <w:r>
        <w:rPr>
          <w:rFonts w:ascii="Arial" w:hAnsi="Arial" w:cs="Arial"/>
          <w:sz w:val="24"/>
        </w:rPr>
        <w:tab/>
        <w:t>Further research from School X documents, of which served notable interested during the course of my researching and planning for my investigation included the Religious Education, Religious Studies and Sociology Departmental Self-Evaluation Report 2016-2017 (see appendices B), of which is very similar to a Departmental Improvement Plan (DIP), and the School Improvement Plan (SIP). Within the Self-Evaluation Report, this enabled me to examine the inclusion of and approaches taken by School X’s Religious Education Department, in regard to both AfL and peer-assessment. In their Self-Evaluation Report, the department recognise that the ‘incorporation of AfL strategies…allow pupils to focus on tasks and evaluate their progress which impacts on their progress and learning experiences’ (see appendices B, page 44) and further include that ‘pupils are given opportunities to self-assess and peer assess work which enables them to value work and comment on their work, others work and suggest improvements. These result in active learning experiences’ (see appendix B, page 44). As a result of these comments, I felt quite sure that focusing upon peer-assessment as my investigative AfL strategy would ensure a cohesive approach to what the department already does, and what I planned to investigate.</w:t>
      </w:r>
    </w:p>
    <w:p w14:paraId="4E7F9293" w14:textId="77777777" w:rsidR="00230AF0" w:rsidRDefault="00230AF0" w:rsidP="00230AF0">
      <w:pPr>
        <w:spacing w:line="480" w:lineRule="auto"/>
        <w:jc w:val="both"/>
        <w:rPr>
          <w:rFonts w:ascii="Arial" w:hAnsi="Arial" w:cs="Arial"/>
          <w:sz w:val="24"/>
        </w:rPr>
      </w:pPr>
      <w:r>
        <w:rPr>
          <w:rFonts w:ascii="Arial" w:hAnsi="Arial" w:cs="Arial"/>
          <w:sz w:val="24"/>
        </w:rPr>
        <w:tab/>
        <w:t xml:space="preserve">Examining School X’s SIP was of interest as this enabled me to briefly examine the if there was a whole school approach to towards improving assessment for leaning. In doing so, it is important to note that within their three-year improvement plan, each academic year includes a series of School Priorities, of which include: </w:t>
      </w:r>
    </w:p>
    <w:p w14:paraId="0F26F5F6" w14:textId="77777777" w:rsidR="00230AF0" w:rsidRPr="00D7686E" w:rsidRDefault="00230AF0" w:rsidP="00230AF0">
      <w:pPr>
        <w:pStyle w:val="Quote"/>
        <w:numPr>
          <w:ilvl w:val="0"/>
          <w:numId w:val="27"/>
        </w:numPr>
        <w:spacing w:line="480" w:lineRule="auto"/>
        <w:jc w:val="both"/>
        <w:rPr>
          <w:rFonts w:ascii="Arial" w:hAnsi="Arial" w:cs="Arial"/>
          <w:color w:val="000000" w:themeColor="text1"/>
          <w:sz w:val="24"/>
        </w:rPr>
      </w:pPr>
      <w:r w:rsidRPr="00D7686E">
        <w:rPr>
          <w:rFonts w:ascii="Arial" w:hAnsi="Arial" w:cs="Arial"/>
          <w:color w:val="000000" w:themeColor="text1"/>
          <w:sz w:val="24"/>
        </w:rPr>
        <w:t xml:space="preserve">To continue to improve performance and standards at all key stages and provide the best possible outcomes for leaners, </w:t>
      </w:r>
    </w:p>
    <w:p w14:paraId="64B688B3" w14:textId="77777777" w:rsidR="00230AF0" w:rsidRPr="00D7686E" w:rsidRDefault="00230AF0" w:rsidP="00230AF0">
      <w:pPr>
        <w:pStyle w:val="Quote"/>
        <w:numPr>
          <w:ilvl w:val="0"/>
          <w:numId w:val="27"/>
        </w:numPr>
        <w:spacing w:line="480" w:lineRule="auto"/>
        <w:jc w:val="both"/>
        <w:rPr>
          <w:rFonts w:ascii="Arial" w:hAnsi="Arial" w:cs="Arial"/>
          <w:color w:val="000000" w:themeColor="text1"/>
          <w:sz w:val="24"/>
        </w:rPr>
      </w:pPr>
      <w:r w:rsidRPr="00D7686E">
        <w:rPr>
          <w:rFonts w:ascii="Arial" w:hAnsi="Arial" w:cs="Arial"/>
          <w:color w:val="000000" w:themeColor="text1"/>
          <w:sz w:val="24"/>
        </w:rPr>
        <w:lastRenderedPageBreak/>
        <w:t xml:space="preserve">To ensure teaching and assessment are effective and appropriate to improving standards for learning, </w:t>
      </w:r>
    </w:p>
    <w:p w14:paraId="49A72CEB" w14:textId="77777777" w:rsidR="00230AF0" w:rsidRPr="00D7686E" w:rsidRDefault="00230AF0" w:rsidP="00230AF0">
      <w:pPr>
        <w:pStyle w:val="Quote"/>
        <w:numPr>
          <w:ilvl w:val="0"/>
          <w:numId w:val="27"/>
        </w:numPr>
        <w:spacing w:line="480" w:lineRule="auto"/>
        <w:jc w:val="both"/>
        <w:rPr>
          <w:rFonts w:ascii="Arial" w:hAnsi="Arial" w:cs="Arial"/>
          <w:color w:val="000000" w:themeColor="text1"/>
          <w:sz w:val="24"/>
        </w:rPr>
      </w:pPr>
      <w:r w:rsidRPr="00D7686E">
        <w:rPr>
          <w:rFonts w:ascii="Arial" w:hAnsi="Arial" w:cs="Arial"/>
          <w:color w:val="000000" w:themeColor="text1"/>
          <w:sz w:val="24"/>
        </w:rPr>
        <w:t xml:space="preserve">To give the best possible guidance for each learner, and </w:t>
      </w:r>
    </w:p>
    <w:p w14:paraId="2D7310CF" w14:textId="77777777" w:rsidR="00230AF0" w:rsidRPr="00D7686E" w:rsidRDefault="00230AF0" w:rsidP="00230AF0">
      <w:pPr>
        <w:pStyle w:val="Quote"/>
        <w:numPr>
          <w:ilvl w:val="0"/>
          <w:numId w:val="27"/>
        </w:numPr>
        <w:spacing w:line="480" w:lineRule="auto"/>
        <w:jc w:val="both"/>
        <w:rPr>
          <w:rFonts w:ascii="Arial" w:hAnsi="Arial" w:cs="Arial"/>
          <w:color w:val="000000" w:themeColor="text1"/>
          <w:sz w:val="24"/>
        </w:rPr>
      </w:pPr>
      <w:r w:rsidRPr="00D7686E">
        <w:rPr>
          <w:rFonts w:ascii="Arial" w:hAnsi="Arial" w:cs="Arial"/>
          <w:color w:val="000000" w:themeColor="text1"/>
          <w:sz w:val="24"/>
        </w:rPr>
        <w:t xml:space="preserve">To lead, manage and plan for whole school improvement. </w:t>
      </w:r>
    </w:p>
    <w:p w14:paraId="32589C15" w14:textId="77777777" w:rsidR="00230AF0" w:rsidRDefault="00230AF0" w:rsidP="00230AF0">
      <w:pPr>
        <w:spacing w:line="480" w:lineRule="auto"/>
        <w:jc w:val="right"/>
        <w:rPr>
          <w:rFonts w:ascii="Arial" w:hAnsi="Arial" w:cs="Arial"/>
          <w:sz w:val="24"/>
        </w:rPr>
      </w:pPr>
      <w:r w:rsidRPr="00D7686E">
        <w:rPr>
          <w:rFonts w:ascii="Arial" w:hAnsi="Arial" w:cs="Arial"/>
          <w:sz w:val="24"/>
        </w:rPr>
        <w:t>(See appendices C, pages 11, 42 and 49)</w:t>
      </w:r>
    </w:p>
    <w:p w14:paraId="0C68A507" w14:textId="64F18B0C" w:rsidR="00230AF0" w:rsidRDefault="00230AF0" w:rsidP="00230AF0">
      <w:pPr>
        <w:spacing w:line="480" w:lineRule="auto"/>
        <w:jc w:val="both"/>
        <w:rPr>
          <w:rFonts w:ascii="Arial" w:hAnsi="Arial" w:cs="Arial"/>
          <w:sz w:val="24"/>
        </w:rPr>
      </w:pPr>
      <w:r>
        <w:rPr>
          <w:rFonts w:ascii="Arial" w:hAnsi="Arial" w:cs="Arial"/>
          <w:sz w:val="24"/>
        </w:rPr>
        <w:t xml:space="preserve">Therefore, we can perhaps argue that these continual School Priorities are reflective of School X’s personal acknowledgement, especially in relation to School Priority 2, to improve assessment as part of their own school evaluation. However, in regard to improving AfL as a national priority, this is not something directly identified or named by School X. Rather, for this academic year (2017-2018) School X are focusing upon the national priorities of: Literacy, Numeracy, Digital Competence, Reducing the Impact of Deprivation and closing the achievement gap between FSM and non-FSM and developing a new curriculum (see appendices C, page 42). Although, in their acknowledgement of ‘developing a new curriculum’ we could perhaps argue that this is in reference to the Welsh Government’s ‘Our National Mission’ document, within which they state, ‘In delivering our new transformation curriculum, we need to focus on…four key enabling objectives’, one of which includes ‘robust assessment, evaluation and accountability arrangements supporting a self-improving system’ (2017:3). Therefore, with this interpretation in mind we could argue that although not specifically identified, improving assessment is a fundamental part of the developing and integrating the new curriculum. Lastly, a final note to add from my examination of School X’s SIP is their recognition of, ‘improving the practice of peer and self-assessment’ (see appendices C, page 8), as a key focal topic of which commenced in the previous academic year (2016-2017), of which dedication to improvement and active inclusion of can be recognised within the Religious Education Departmental Self-Evaluation Report (2016-2017). More significantly, we can also argue that this focal topic once more supports and acknowledges how influential and beneficial peer-assess can be to pupils, and as a consequence the teachers. </w:t>
      </w:r>
    </w:p>
    <w:p w14:paraId="74D6B5A4" w14:textId="77777777" w:rsidR="00DE34C7" w:rsidRDefault="00DE34C7" w:rsidP="00557191">
      <w:pPr>
        <w:spacing w:line="480" w:lineRule="auto"/>
        <w:ind w:firstLine="720"/>
        <w:jc w:val="both"/>
        <w:rPr>
          <w:rFonts w:ascii="Arial" w:hAnsi="Arial" w:cs="Arial"/>
          <w:sz w:val="24"/>
        </w:rPr>
      </w:pPr>
      <w:r>
        <w:rPr>
          <w:rFonts w:ascii="Arial" w:hAnsi="Arial" w:cs="Arial"/>
          <w:sz w:val="24"/>
        </w:rPr>
        <w:t xml:space="preserve">As a final note, prior to the evaluation of my investigation, it is necessary to discuss the ethics and methodology behind the planning and implementation of my investigation, as a further </w:t>
      </w:r>
      <w:r>
        <w:rPr>
          <w:rFonts w:ascii="Arial" w:hAnsi="Arial" w:cs="Arial"/>
          <w:sz w:val="24"/>
        </w:rPr>
        <w:lastRenderedPageBreak/>
        <w:t xml:space="preserve">examination of how my investigation and the strategies taken by myself were inspired and motivated. </w:t>
      </w:r>
    </w:p>
    <w:p w14:paraId="6C033C0D" w14:textId="77777777" w:rsidR="00DE34C7" w:rsidRDefault="00DE34C7" w:rsidP="00DE34C7">
      <w:pPr>
        <w:spacing w:line="480" w:lineRule="auto"/>
        <w:ind w:firstLine="720"/>
        <w:jc w:val="both"/>
        <w:rPr>
          <w:rFonts w:ascii="Arial" w:hAnsi="Arial" w:cs="Arial"/>
          <w:sz w:val="24"/>
        </w:rPr>
      </w:pPr>
      <w:r>
        <w:rPr>
          <w:rFonts w:ascii="Arial" w:hAnsi="Arial" w:cs="Arial"/>
          <w:sz w:val="24"/>
        </w:rPr>
        <w:t xml:space="preserve">Critical to the successful activation and completion of my investigation was to complete a proposed ‘Application for Ethical Approval’ of which fundamentally served to ensure that my intentions and methods of investigation were indeed ethical sound, and to ensure I would not risk harming my professional development as Principle Researcher. In addition, and arguably more essential, this ‘Application for Ethical Approval’ also ensured that I would not risk endangering the confidentiality and anonymity of the participants involved within my, then proposed, investigation into </w:t>
      </w:r>
      <w:r w:rsidRPr="00CD3E9B">
        <w:rPr>
          <w:rFonts w:ascii="Arial" w:hAnsi="Arial" w:cs="Arial"/>
          <w:i/>
          <w:sz w:val="24"/>
        </w:rPr>
        <w:t>‘What impact does peer-assessment have on pupil’ learning and progress in Religious Education?’</w:t>
      </w:r>
      <w:r>
        <w:rPr>
          <w:rFonts w:ascii="Arial" w:hAnsi="Arial" w:cs="Arial"/>
          <w:sz w:val="24"/>
        </w:rPr>
        <w:t>. All of which were done so in with guidance from and in keeping with BERA (British Education Research Association Guidelines) (2011), University Research Integrity and Ethics (2017-2020) guidance, and the Data Protection Act (1998).</w:t>
      </w:r>
    </w:p>
    <w:p w14:paraId="5323B914" w14:textId="18EC5E4B" w:rsidR="00DE34C7" w:rsidRDefault="00DE34C7" w:rsidP="00DE34C7">
      <w:pPr>
        <w:spacing w:line="480" w:lineRule="auto"/>
        <w:ind w:firstLine="720"/>
        <w:jc w:val="both"/>
        <w:rPr>
          <w:rFonts w:ascii="Arial" w:hAnsi="Arial" w:cs="Arial"/>
          <w:sz w:val="24"/>
        </w:rPr>
      </w:pPr>
      <w:r>
        <w:rPr>
          <w:rFonts w:ascii="Arial" w:hAnsi="Arial" w:cs="Arial"/>
          <w:sz w:val="24"/>
        </w:rPr>
        <w:t xml:space="preserve">Within this application I was required to outline the purpose of my investigation, this being as previously discussed, to implement the use of and investigate the effectiveness of a particular AfL strategy during the course of my second PTE (Professional Teaching Experience). Further to this, the application required great attention in discussing anticipated risks, such as if all participants withdrew from the investigation or a breach of confidentiality, how I would address such risks, e.g. finding a new sample of participants. Further to this, the application also ensured a considerable discussion on role and requirement of Data Protection and Storage. Significantly, all discussions priory discussed were done so with from and in keeping with BERA (British Education Research Association Guidelines) (2011), University Research Integrity and Ethics (2017-2020) guidance, and the Data Protection Act (1998). Arguably however, the most significant and influential section to the successful approval and activation of my investigation was to outline my proposed methods of investigation, of which included the use of pre and post-testing in order to both gain an understanding of my investigative class’ current attainment and then use this to assess whether there has been an impact on pupils’ attainment after the implementation of my AfL strategy. Further to this, my investigative methods also included the use of my PTE 2 Mentor observational feedback, my own evaluation of the lesson(s) concerning my investigation and perhaps most influentially, </w:t>
      </w:r>
      <w:r>
        <w:rPr>
          <w:rFonts w:ascii="Arial" w:hAnsi="Arial" w:cs="Arial"/>
          <w:sz w:val="24"/>
        </w:rPr>
        <w:lastRenderedPageBreak/>
        <w:t>personal opinions from the investigative class concerning the use and effectiveness of the implemented investigative strategy through the means of ‘exit-ticket’ plenary sheets. Through the means of these investigative methods I aimed to achieve a triangulation of data, of which ‘</w:t>
      </w:r>
      <w:r w:rsidRPr="00347911">
        <w:rPr>
          <w:rFonts w:ascii="Arial" w:hAnsi="Arial" w:cs="Arial"/>
          <w:sz w:val="24"/>
        </w:rPr>
        <w:t>combines data drawn from different sources and at different times, in different places or from different people</w:t>
      </w:r>
      <w:r>
        <w:rPr>
          <w:rFonts w:ascii="Arial" w:hAnsi="Arial" w:cs="Arial"/>
          <w:sz w:val="24"/>
        </w:rPr>
        <w:t xml:space="preserve">’ (Flick, 2004:178), in the hopes of ensuring the reliability and validity of my investigative methods and results. Furthermore, it is also critical to note that these chosen investigative methods are reflective of my inclination to peruse and investigate the effectiveness of my chosen AfL strategy though the means of Qualitative data research. This is in part due to the understanding of Qualitative data research of being a means through which ‘analysis is based on the process of data reduction, identifying patterns and generating ‘understandings’’ (Kostelac and Lammerer, 2015:6), and as such has, as we shall discover when coming to the evaluation of my investigation, enabled me to more directly interpret, understand and summarise the perceptions and outcomes of my implemented investigative strategy and how these can impact my future teaching. Additional influence on my chosen focus upon Qualitive data collection/research arose from Hatch (2001), who notes that ‘for qualitative researchers, the lived experiences of real people in real settings are the objectives of study. Understanding how individuals make sense of their everyday lives is the stuff of this type of inquiry…Qualitative research seeks to understand the world from the perspectives of those living in it’ (Hatch, 2002:7). While Hatch’s interpretation of may be rather broad understanding of qualitative in comparison to the scale of my investigation, I nonetheless found some resonance with what Hatch has presented. Especially as a Religious Education ITT, with a firmly held belief that essential to Religious Education is the exploration and understanding the beliefs and experiences of others, I have therefore interpreted the qualitive approach to research to be more relatable to my subject. In doing so, as already noted, an investigative method was to obtain the personal options about peer-assessment from my investigative class, this as a qualitative method, rather than a </w:t>
      </w:r>
      <w:r w:rsidRPr="007D7F18">
        <w:rPr>
          <w:rFonts w:ascii="Arial" w:hAnsi="Arial" w:cs="Arial"/>
          <w:sz w:val="24"/>
        </w:rPr>
        <w:t>quantitative</w:t>
      </w:r>
      <w:r>
        <w:rPr>
          <w:rFonts w:ascii="Arial" w:hAnsi="Arial" w:cs="Arial"/>
          <w:sz w:val="24"/>
        </w:rPr>
        <w:t xml:space="preserve"> data approach, which would have been more numerically and statistically focused, has thusly allowed for an interpretational approach based on the experiences of those involved within my investigation and has enabled a more detailed and experiential evaluation of peer-assessment.  </w:t>
      </w:r>
    </w:p>
    <w:p w14:paraId="0091D65F" w14:textId="77777777" w:rsidR="00557191" w:rsidRDefault="00557191" w:rsidP="00557191">
      <w:pPr>
        <w:spacing w:line="480" w:lineRule="auto"/>
        <w:ind w:firstLine="720"/>
        <w:jc w:val="both"/>
        <w:rPr>
          <w:rFonts w:ascii="Arial" w:hAnsi="Arial" w:cs="Arial"/>
          <w:sz w:val="24"/>
        </w:rPr>
      </w:pPr>
      <w:r>
        <w:rPr>
          <w:rFonts w:ascii="Arial" w:hAnsi="Arial" w:cs="Arial"/>
          <w:sz w:val="24"/>
        </w:rPr>
        <w:lastRenderedPageBreak/>
        <w:t xml:space="preserve">Having completed the examination and critical analysis of scholarly research regarding AfL, my PTE 2 School’s SIP, R.E. DIP and Marking Policy, and the investigative ethical and methodological expectations and requirements, all of which served as inspirational and guiding documents for the intentions and purposes of my investigation, I am now able to begin my evaluation. Within the evaluation of my investigation I primarily aim to highlight the overarching lesson context of the series of lessons concerning my investigation, and as a result aim to discuss the successes, areas for improvement, limitations and possible ways forward. </w:t>
      </w:r>
    </w:p>
    <w:p w14:paraId="75D99A21" w14:textId="77777777" w:rsidR="00557191" w:rsidRDefault="00557191" w:rsidP="00557191">
      <w:pPr>
        <w:spacing w:line="480" w:lineRule="auto"/>
        <w:ind w:firstLine="720"/>
        <w:jc w:val="both"/>
        <w:rPr>
          <w:rFonts w:ascii="Arial" w:hAnsi="Arial" w:cs="Arial"/>
          <w:sz w:val="24"/>
        </w:rPr>
      </w:pPr>
      <w:r>
        <w:rPr>
          <w:rFonts w:ascii="Arial" w:hAnsi="Arial" w:cs="Arial"/>
          <w:sz w:val="24"/>
        </w:rPr>
        <w:t xml:space="preserve">Prior to the commencement of my evaluation, it is significant to note the area(s) of study for which the teaching of and implementation of my investigation with Class Y took place. Within School X’s Department of Religion and Sociology Year 8 Scheme of Work (see appendices D), there are three main areas of study, these being: Inspirational Figures, Religious Figures and, Pilgrimage (see appendices D, page 1). Further to this there is an additional area of study, albeit time dependant, which focuses on ‘Rites of Passage’ (See appendices D, page 1). However, due to the time commencement of my PTE 2 placement, the area of study of which I was to plan, teach and resultantly was able to focus my investigation concerned ‘Religious Figures’. Significantly this area of study played a key part in the planning of my lesson contexts, of which are also in recognition of the Blaenau Gwent Agreed Syllabus for Religious Education Foundation Phase to Post-16 (Blaenau Gwent County Borough Council, 2008). As a result, within the series of my lessons concerning ‘Religious Figures’, including my investigation, it is worth noting the inner area(s) of study in which ‘Religious Figures’ is allocated within the Blaenau Gwent Agreed Syllabus for Religious Education, for KS3 is the range of ‘Meaning and Purpose’ (Blaenau Gwent County Borough Council, 2008:34-45). Further divided in to a series of sub-sections, the most compatible range sub-section is focused upon ‘Authority and Influence’, of which examines ‘how different forms of authority, such as sacred texts, prophets, historical figures and leaders are regarded as conveying the truth, interpretation, revelation and wisdom and how this influences the lives of faith adherents.’ (Blaenau Gwent County Borough Council, 2008:35).  With an understanding of this context and further in line with Department of Religion and Sociology Year 8 Scheme of work, I began this area of study for Class Y with the religious figure of Abraham. Therefore, within a series of four lessons, of which focused </w:t>
      </w:r>
      <w:r>
        <w:rPr>
          <w:rFonts w:ascii="Arial" w:hAnsi="Arial" w:cs="Arial"/>
          <w:sz w:val="24"/>
        </w:rPr>
        <w:lastRenderedPageBreak/>
        <w:t>on the acquisition of knowledge about the Abraham as a highly respected and significant figure, and the events in his life, these series of lessons also served well for the implementation of my investigation to take place.</w:t>
      </w:r>
    </w:p>
    <w:p w14:paraId="37FAD6DB" w14:textId="77777777" w:rsidR="00557191" w:rsidRDefault="00557191" w:rsidP="00557191">
      <w:pPr>
        <w:spacing w:line="480" w:lineRule="auto"/>
        <w:ind w:firstLine="720"/>
        <w:jc w:val="both"/>
        <w:rPr>
          <w:rFonts w:ascii="Arial" w:hAnsi="Arial" w:cs="Arial"/>
          <w:sz w:val="24"/>
        </w:rPr>
      </w:pPr>
      <w:r>
        <w:rPr>
          <w:rFonts w:ascii="Arial" w:hAnsi="Arial" w:cs="Arial"/>
          <w:sz w:val="24"/>
        </w:rPr>
        <w:t xml:space="preserve">I will now begin the further examination of my chosen approaches to the series of lessons and investigative methods and seek to evaluate the effectiveness such approaches and methods, primarily from my own reflections, but also from my PTE 2 mentor’s observational feedback. Lesson one (see appendices E), began with the assessment of pupil’s prior knowledge on a series of key religious figures, as an introduction into their newest area of study. This was useful task as it enabled both me and pupils to assess which religious figures they already had significant knowledge on, e.g. Jesus and Moses, and the figures of which they knowledge was less confident it, e.g. The Buddha and Abraham. Favourably, the lesser knowledge on Abraham and the events in his life worked well to ensure pupils would be engaged in following tasks, as they were eager to acquire knowledge about him. As pre-planned and intended, the following activity ensured pupils acquired key knowledge about the life of Abraham through the means of a literacy reading task, of which was regarded as ‘essential for the lesson’ (see appendices F) by my PTE 2 mentor. This literacy task then fed into the following activities of a key fact-mind map, of which I was able to assess what knowledge pupils had acquired from the literacy task, and then for their main task pupils of Class Y were apply this newly acquired knowledge to summarise and create a story-board on Abraham’s life, (see appendices G and H of work produced by Pupil 19). Lastly, for the plenary activity pupils were encouraged to express their own opinions to the question, ‘which event in Abraham’s life do you believe to be the most significant?’. Interestingly, this activity provoked a debate among pupils, as many were eager to not only share their opinions to which event they believed to be the most important in Abrahams life, but more so were eager to challenge the views of their peers. In addition, this debate extracted a good range of key vocabulary and term from pupils. Pointedly, this question and the resultant debate can be seen a starting point for the following lessons, in which pupils’ opinions and ability to answer evaluation questions is further extended as I shall demonstrate within lesson two. </w:t>
      </w:r>
    </w:p>
    <w:p w14:paraId="2D11601C" w14:textId="77777777" w:rsidR="00557191" w:rsidRDefault="00557191" w:rsidP="00557191">
      <w:pPr>
        <w:spacing w:line="480" w:lineRule="auto"/>
        <w:ind w:firstLine="720"/>
        <w:jc w:val="both"/>
        <w:rPr>
          <w:rFonts w:ascii="Arial" w:hAnsi="Arial" w:cs="Arial"/>
          <w:sz w:val="24"/>
        </w:rPr>
      </w:pPr>
      <w:r>
        <w:rPr>
          <w:rFonts w:ascii="Arial" w:hAnsi="Arial" w:cs="Arial"/>
          <w:sz w:val="24"/>
        </w:rPr>
        <w:lastRenderedPageBreak/>
        <w:t xml:space="preserve">Similar to lesson one, lesson two (see appendices I) began with assessment, through the means of a white-board quiz, to recap and confirm pupil’s knowledge on key events in the life of Abraham and also ensured pupils could sufficiently complete their story-board from the previous lesson. As a continuation and further enhancement of pupils’ debate and evaluation of which event they believed to be the most significant in Abraham’s life, pupils were to work collaboratively to complete a diamond 9 activity (see appendices I, slide 3), in which they ranked a pre-selected set of events. This diamond 9 activity was an effective tool, as also recognised by the Welsh Assembly Government who identifies this activity as promoting discussions ‘about the relative importance of a range of factors…Diamond ranking, as opposed to simple ranking, encouraged a focus on the single most important factor’ (2010:48). In accompaniment to the diamond 9 activity, pupils/groups were also encouraged to feedback and share their justifications for why they had placed a particular event at the top of the diamond 9 activity, or at the bottom. This then fed into the following activity of which pupils were to write an extended answer to the evaluation question, ‘God testing Abraham was the most significant event in Abraham’s life’. Do you agree or disagree?’, informed by the knowledge they have previously required on the range of events in his life, their personal viewpoints as to which event they believed to be most significant and the varying viewpoints of the peers in their class, of which arose during the discussions from the diamond 9 ranking activity. The success of these activity was documented by my PTE 2 mentor who wrote, ‘Dimond ranking task was an effective task which stimulated debate within the group. Good visual timer used. Some excellent feedback given which led into the evaluation question. Pupils were engaged in the evaluation question because they enjoy debate as top group. This type of task addresses L6 &amp; L7 [Level 6 and Level 7] skills and challenges pupils’ (see appendices J). Significantly, pupils written answers to this evaluation question thusly served as the means of which I was able to secure pre-testing data from Class Y ahead of the implementation of my investigative strategy. However, in regard to the criteria in which this evaluation question was set, I do question the clarity and transparency of what is expected of pupils to successfully answer their evaluation questions, more of which will be discussed further. </w:t>
      </w:r>
    </w:p>
    <w:p w14:paraId="0EA0CFC4" w14:textId="77777777" w:rsidR="00557191" w:rsidRDefault="00557191" w:rsidP="00557191">
      <w:pPr>
        <w:spacing w:line="480" w:lineRule="auto"/>
        <w:ind w:firstLine="720"/>
        <w:jc w:val="both"/>
        <w:rPr>
          <w:rFonts w:ascii="Arial" w:hAnsi="Arial" w:cs="Arial"/>
          <w:sz w:val="24"/>
        </w:rPr>
      </w:pPr>
      <w:r>
        <w:rPr>
          <w:rFonts w:ascii="Arial" w:hAnsi="Arial" w:cs="Arial"/>
          <w:sz w:val="24"/>
        </w:rPr>
        <w:lastRenderedPageBreak/>
        <w:t xml:space="preserve">Resultantly, having completed their pre-testing, lesson three focused (see appendices K) focused on the implementation of my investigative AfL strategy, peer-assessment. However, before the execution of the AfL strategy peer-assessment as done by the pupils of Class Y, my approach for this lesson was to assess and acquire pupils prior understanding and opinions on peer-assessment, and more significantly ensure they had practice at peer-assessing before peer-assessing the work of their peers in their class. To achieve this, Class Y’s starter activities included a series of key questions. Firstly, pupils were to answer the question ‘what is peer-assessment?’ (see appendices K, slide 1), of which was done so with the intention of assessing pupils’ prior knowledge or understanding of the requirements of peer-assessment, many of which I found to be of much interest. Pupil 16 described peer-assessment as the action of which ‘a peer marks your work so instead of your teacher marking it this saves time and improve your work’ (see appendices L), an interesting perception of which can be seen to recognise peer-assessment as a means of which reduces the work of a teacher, rather than recognising that peer-assessment provides pupils with a greater sense of responsibility for their peers and their own learning. Additionally, Pupil 16 recognition that peer-assessment is done is to ‘improve your work’ can be </w:t>
      </w:r>
      <w:proofErr w:type="spellStart"/>
      <w:r>
        <w:rPr>
          <w:rFonts w:ascii="Arial" w:hAnsi="Arial" w:cs="Arial"/>
          <w:sz w:val="24"/>
        </w:rPr>
        <w:t>see</w:t>
      </w:r>
      <w:proofErr w:type="spellEnd"/>
      <w:r>
        <w:rPr>
          <w:rFonts w:ascii="Arial" w:hAnsi="Arial" w:cs="Arial"/>
          <w:sz w:val="24"/>
        </w:rPr>
        <w:t xml:space="preserve"> as a common perception among the answers/definitions from the pupils of Class Y. Pupil 12 and Pupil 17, similarity define or explain their understanding of what peer-assessment as ‘peer assessment is when a classmate looks over your work to check if there are any mistakes you didn’t notices, or to help you improve your work’ (Pupil 12, appendices M) and ‘peer assessment is when a person in your class looks at your work and tells you what needs to be improved (W.W.W/E.B.I.)’ (Pupil 17 appendices N). Emphasis on peer-assessment as a means to identify and providing areas for improvement is evident among the perception of pupils, however does call into question why the focus is more negatively focused, i.e. identifying what the pupil has not done and so needs to improve upon, rather than a more positive outlook, of which would, and perhaps most definitely should, focus on identifying and celebrating the strengths of each-others work, is more prevalent among pupils perceptions and understanding of what peer-assessment is or aims to do. </w:t>
      </w:r>
    </w:p>
    <w:p w14:paraId="4A4F5184" w14:textId="77777777" w:rsidR="00557191" w:rsidRDefault="00557191" w:rsidP="00557191">
      <w:pPr>
        <w:spacing w:line="480" w:lineRule="auto"/>
        <w:ind w:firstLine="720"/>
        <w:jc w:val="both"/>
        <w:rPr>
          <w:rFonts w:ascii="Arial" w:hAnsi="Arial" w:cs="Arial"/>
          <w:sz w:val="24"/>
        </w:rPr>
      </w:pPr>
      <w:r>
        <w:rPr>
          <w:rFonts w:ascii="Arial" w:hAnsi="Arial" w:cs="Arial"/>
          <w:sz w:val="24"/>
        </w:rPr>
        <w:t xml:space="preserve">The focus on improvement of work is a consistent perception of why pupils believe they perform peer-assessments, as exampled through the pupils’ answers of the second question ‘why </w:t>
      </w:r>
      <w:r>
        <w:rPr>
          <w:rFonts w:ascii="Arial" w:hAnsi="Arial" w:cs="Arial"/>
          <w:sz w:val="24"/>
        </w:rPr>
        <w:lastRenderedPageBreak/>
        <w:t>do we peer-assess?’.  Pupil 9 stated that ‘we peer assess to give advice from someone our own age 1) to [get] someone else point of view on your work’ 2) to get advice on how to improve’ (Pupil 9, appendices O). However, the means through which pupils are to know how they are to improve their work or ‘get advice’, this being through feedback, is rarely included in pupil’s answer. Moreover, if included, once more, only a rarity of pupils’ have identified the methods or type of feedback which should be provided with, as exampled once more by Pupil 17 who wrote ‘W.W.W/E.</w:t>
      </w:r>
      <w:proofErr w:type="gramStart"/>
      <w:r>
        <w:rPr>
          <w:rFonts w:ascii="Arial" w:hAnsi="Arial" w:cs="Arial"/>
          <w:sz w:val="24"/>
        </w:rPr>
        <w:t>B.I</w:t>
      </w:r>
      <w:proofErr w:type="gramEnd"/>
      <w:r>
        <w:rPr>
          <w:rFonts w:ascii="Arial" w:hAnsi="Arial" w:cs="Arial"/>
          <w:sz w:val="24"/>
        </w:rPr>
        <w:t xml:space="preserve">’ (see appendices N), of which is reflected of School X’s marking policy W.W.W meaning ‘what went well?’ and E.B.I meaning ‘Even Better If…’ (See appendices A, page 2) however, is not specifically identified or labelled as ‘feedback’. Significantly, in discussion with Class Y in regard to feedback when peer-assessing, pupils did recognise the need for feedback to be ‘critical’ for it to be useful and further recognised poor or non-specific feedback would be unhelpful in enabling pupils to improve their work. However, Class Y did also discuss they felt feedback from a peer would be more useful or appropriate than from a teacher, as the peer-perspective is not only more similar to their own, by they recognise that their peers will use more relatable language, and perhaps most interestingly, many expected their peers to be more critical or ‘harsh’ in terms of assessing their work, which in turn meant that pupils felt more encouraged to act upon their feedback and improve. With this perspective in mind, primarily due to discussions with pupils, we could perhaps strongly argue against Alison and Tharby’s suggestion that ‘students will naturally place more trust in teacher feedback than peer feedback’ (2015:184-185). Arguably, this understanding is perhaps a testament to the positive relationship between the pupils of Class Y, as they presented whilst in discussion, that peer-assessment feedback is more encouraging than teacher feedback, as similarly presented by </w:t>
      </w:r>
      <w:proofErr w:type="spellStart"/>
      <w:r>
        <w:rPr>
          <w:rFonts w:ascii="Arial" w:hAnsi="Arial" w:cs="Arial"/>
          <w:sz w:val="24"/>
        </w:rPr>
        <w:t>Flachikov</w:t>
      </w:r>
      <w:proofErr w:type="spellEnd"/>
      <w:r>
        <w:rPr>
          <w:rFonts w:ascii="Arial" w:hAnsi="Arial" w:cs="Arial"/>
          <w:sz w:val="24"/>
        </w:rPr>
        <w:t xml:space="preserve"> and Goldfinch:2000 and Harelli and Hess:2008), and as a result is thought of as being more constructive and less harmful to pupil esteem. We could also question if there is the possibility of a competition aspect among these pupils, especially as a top-ability class, to ensure that their work is of the highest quality and is able to achieve the highest levels. </w:t>
      </w:r>
    </w:p>
    <w:p w14:paraId="5FF72173" w14:textId="77777777" w:rsidR="00557191" w:rsidRDefault="00557191" w:rsidP="00557191">
      <w:pPr>
        <w:spacing w:line="480" w:lineRule="auto"/>
        <w:ind w:firstLine="720"/>
        <w:jc w:val="both"/>
        <w:rPr>
          <w:rFonts w:ascii="Arial" w:hAnsi="Arial" w:cs="Arial"/>
          <w:sz w:val="24"/>
        </w:rPr>
      </w:pPr>
      <w:r>
        <w:rPr>
          <w:rFonts w:ascii="Arial" w:hAnsi="Arial" w:cs="Arial"/>
          <w:sz w:val="24"/>
        </w:rPr>
        <w:t xml:space="preserve">The following activities from these starter questions included pupils peer-assessing a range of responses to their evaluation question, ‘God testing Abraham is the most significant event in Abraham’s life. Do you agree or disagree?’. This was done so in with the aim of providing pupils </w:t>
      </w:r>
      <w:r>
        <w:rPr>
          <w:rFonts w:ascii="Arial" w:hAnsi="Arial" w:cs="Arial"/>
          <w:sz w:val="24"/>
        </w:rPr>
        <w:lastRenderedPageBreak/>
        <w:t xml:space="preserve">with or further experience of peer-assessing answers and allowed pupils to examine a range of different levelled answers (see appendices K, slides 4-7). Pupils worked well to collaboratively discuss and identify WWW/EBI’s for each answer and this further highlighted that pupils were aware of what the evaluation question was asking of them, especially when upon reflection I believe the success criteria and transparency of what pupils were expected to do, to be lacking and is most certainly an area of which I should have paid more attention. However, despite my reflection, when in professional dialogue with my PTE 2 mentor, it was stated that this activity ‘allowed pupils to asses and a range of answers, as well as identify the specific skills which were being used in each answer…’, referring to either the skills of describe, explain and evaluate, ‘…this provided pupils with experience of peer-assessing and meant that they had a clear idea of what make an unsuccessful or successful evaluation answer’. This </w:t>
      </w:r>
      <w:proofErr w:type="gramStart"/>
      <w:r>
        <w:rPr>
          <w:rFonts w:ascii="Arial" w:hAnsi="Arial" w:cs="Arial"/>
          <w:sz w:val="24"/>
        </w:rPr>
        <w:t>being a reflection of</w:t>
      </w:r>
      <w:proofErr w:type="gramEnd"/>
      <w:r>
        <w:rPr>
          <w:rFonts w:ascii="Arial" w:hAnsi="Arial" w:cs="Arial"/>
          <w:sz w:val="24"/>
        </w:rPr>
        <w:t xml:space="preserve"> which was rather similar to my own. Having completed this activity pupils were then to apply their knowledge of peer-assessment and evaluation questions to peer-assess their peers answers. Yet while there was guiding questions provided for pupils whilst peer-assessing (see appendices K, slide 8), I once more question the clarity and transparency of success criteria, if these questions even classify as </w:t>
      </w:r>
      <w:proofErr w:type="gramStart"/>
      <w:r>
        <w:rPr>
          <w:rFonts w:ascii="Arial" w:hAnsi="Arial" w:cs="Arial"/>
          <w:sz w:val="24"/>
        </w:rPr>
        <w:t>a success criteria</w:t>
      </w:r>
      <w:proofErr w:type="gramEnd"/>
      <w:r>
        <w:rPr>
          <w:rFonts w:ascii="Arial" w:hAnsi="Arial" w:cs="Arial"/>
          <w:sz w:val="24"/>
        </w:rPr>
        <w:t xml:space="preserve">, and believe this to be a key area of focus for future potential investigations. </w:t>
      </w:r>
    </w:p>
    <w:p w14:paraId="4E082924" w14:textId="51190B2A" w:rsidR="00557191" w:rsidRPr="00557191" w:rsidRDefault="00557191" w:rsidP="00557191">
      <w:pPr>
        <w:spacing w:line="480" w:lineRule="auto"/>
        <w:ind w:firstLine="720"/>
        <w:jc w:val="both"/>
        <w:rPr>
          <w:rFonts w:ascii="Arial" w:hAnsi="Arial" w:cs="Arial"/>
          <w:sz w:val="24"/>
        </w:rPr>
      </w:pPr>
      <w:r>
        <w:rPr>
          <w:rFonts w:ascii="Arial" w:hAnsi="Arial" w:cs="Arial"/>
          <w:sz w:val="24"/>
        </w:rPr>
        <w:t xml:space="preserve">The results of my investigation were composed in the fourth and final lesson of which concerned Abraham, through the means in which pupils were to re-draft their evaluation answers using the feedback they had acquired from their peer-assessments. Therefore, this final lesson enabled me to assess the quality of feedback from pupils, and more so enabled me to evaluate the impact, if any, on the evaluation answers of pupils. Expectantly, the quality of feedback and impact of such feedback sufficiently varied throughout the class, some of which I will now examine in more detail. The variety of answers, quality of feedback and impact upon pupils’ evaluation answers can be seen through the three selected examples of appendices P. Beginning with Pupil 22, it is clear that this pupil had a clear understanding of the need to evaluate within her answer, yet as identified within the E.B.I. feedback comments, the disagree side of the evaluation required more elaboration and specific identification of which event(s) this pupil believed to be of equal or more significance to God testing Abraham, of which was accomplished then Pupil re-drafted their answer. Here we can </w:t>
      </w:r>
      <w:r>
        <w:rPr>
          <w:rFonts w:ascii="Arial" w:hAnsi="Arial" w:cs="Arial"/>
          <w:sz w:val="24"/>
        </w:rPr>
        <w:lastRenderedPageBreak/>
        <w:t xml:space="preserve">argue the quality of feedback as provided by Pupil 19 to be clear and useful for Pupil 22 to improve their evaluation answer, I especially commend the inclusion of ensuring Pupil 22 explained </w:t>
      </w:r>
      <w:r>
        <w:rPr>
          <w:rFonts w:ascii="Arial" w:hAnsi="Arial" w:cs="Arial"/>
          <w:i/>
          <w:sz w:val="24"/>
        </w:rPr>
        <w:t xml:space="preserve">why </w:t>
      </w:r>
      <w:r w:rsidRPr="00FC4552">
        <w:rPr>
          <w:rFonts w:ascii="Arial" w:hAnsi="Arial" w:cs="Arial"/>
          <w:sz w:val="24"/>
        </w:rPr>
        <w:t>they may believe other events to be more significant.</w:t>
      </w:r>
      <w:r>
        <w:rPr>
          <w:rFonts w:ascii="Arial" w:hAnsi="Arial" w:cs="Arial"/>
          <w:i/>
          <w:sz w:val="24"/>
        </w:rPr>
        <w:t xml:space="preserve"> </w:t>
      </w:r>
      <w:r>
        <w:rPr>
          <w:rFonts w:ascii="Arial" w:hAnsi="Arial" w:cs="Arial"/>
          <w:sz w:val="24"/>
        </w:rPr>
        <w:t xml:space="preserve">Of the three examples chosen within appendices N, I strongly believe this to be the most transparent and effective in what it aims to help their peer achieve, in comparison to the others. For Pupil 15 their feedback, albeit having a positive impact to ensure the use of evaluation skills, was vaguer and less detailed in how to construct and improve the answer. Furthermore, when examining Pupil 11’s answer we can already conclude that it is of a lesser standard in comparison to answers previously, as is the received peer-assessment feedback. Such feedback here, done by Pupil 3 does not aim to encourage the development or use of evaluation skills, but merely suggests a further elaboration of the point presented. While further expansion of Pupil 11’s answer was achieved in the re-drafting, this still not equate to an adequate evaluation answer, as there was only an explanation of a one-sided argument, and so would not be able to achieve a level 7. As a result of my examination of these example investigative results, I realise the impact and role of useful and constructive feedback as a means through which improvements are primarily achieved, and as a result believe this to be a key, if not the most significant area for further research on my behalf, of which could have possible ensured all pupils received useful and constructive feedback and meant successful improvements for all evaluation answers. </w:t>
      </w:r>
    </w:p>
    <w:p w14:paraId="49427A76" w14:textId="64194D9F" w:rsidR="00557191" w:rsidRPr="00557191" w:rsidRDefault="00557191" w:rsidP="00557191">
      <w:pPr>
        <w:spacing w:line="480" w:lineRule="auto"/>
        <w:ind w:firstLine="720"/>
        <w:jc w:val="both"/>
        <w:rPr>
          <w:rFonts w:ascii="Arial" w:hAnsi="Arial" w:cs="Arial"/>
          <w:sz w:val="24"/>
        </w:rPr>
      </w:pPr>
      <w:r>
        <w:rPr>
          <w:rFonts w:ascii="Arial" w:hAnsi="Arial" w:cs="Arial"/>
          <w:sz w:val="24"/>
        </w:rPr>
        <w:t xml:space="preserve">In conclusion, within this essay I have aimed to critically evaluate the implementation and effectiveness of my chosen Assessment for Learning (AfL) strategy of peer-assessment during the course of my second Professional Teaching Experience (PTE2). In order to do so, I have sought to examine a series of key scholarly research regarding the role and importance of assessment and signified how the improvement of assessment within Wales is a key priority of the Welsh Government, both currently and for the future. Such scholarly research, in additional to key ethical and methodological research, played an influential role in my discussion and execution of the planning and implementation of my investigation, of which ensure successful activation of my investigation. As a result of this, and as part of my investigation evaluation I have aspired to answer my investigative question of ‘what impact does peer-assessment have on pupils’ learning and </w:t>
      </w:r>
      <w:r>
        <w:rPr>
          <w:rFonts w:ascii="Arial" w:hAnsi="Arial" w:cs="Arial"/>
          <w:sz w:val="24"/>
        </w:rPr>
        <w:lastRenderedPageBreak/>
        <w:t xml:space="preserve">progress in Religious Education?’, to which I believe is one of significant impact among AfL strategies. However, it must be </w:t>
      </w:r>
      <w:r w:rsidR="00CB0803">
        <w:rPr>
          <w:rFonts w:ascii="Arial" w:hAnsi="Arial" w:cs="Arial"/>
          <w:sz w:val="24"/>
        </w:rPr>
        <w:t>argued</w:t>
      </w:r>
      <w:r>
        <w:rPr>
          <w:rFonts w:ascii="Arial" w:hAnsi="Arial" w:cs="Arial"/>
          <w:sz w:val="24"/>
        </w:rPr>
        <w:t xml:space="preserve"> that peer-assessment alone is not what enables for a successful or improved impact on pupils learning within Religious Education but is merely a for-front of methods and strategies of which are required. Such methods and strategies of which, although in part included within my investigation, should have received a further emphasis upon for the development and success of my pupils. Albeit, </w:t>
      </w:r>
      <w:r w:rsidR="00CB0803">
        <w:rPr>
          <w:rFonts w:ascii="Arial" w:hAnsi="Arial" w:cs="Arial"/>
          <w:sz w:val="24"/>
        </w:rPr>
        <w:t>the</w:t>
      </w:r>
      <w:r>
        <w:rPr>
          <w:rFonts w:ascii="Arial" w:hAnsi="Arial" w:cs="Arial"/>
          <w:sz w:val="24"/>
        </w:rPr>
        <w:t xml:space="preserve"> planning and implementation of this investigation has enabled me to become a more well developed and reflective practitioner, which is of great significance, not only for my current and future professional development, but more so</w:t>
      </w:r>
      <w:r w:rsidR="00CB0803">
        <w:rPr>
          <w:rFonts w:ascii="Arial" w:hAnsi="Arial" w:cs="Arial"/>
          <w:sz w:val="24"/>
        </w:rPr>
        <w:t xml:space="preserve"> for</w:t>
      </w:r>
      <w:r>
        <w:rPr>
          <w:rFonts w:ascii="Arial" w:hAnsi="Arial" w:cs="Arial"/>
          <w:sz w:val="24"/>
        </w:rPr>
        <w:t xml:space="preserve"> the benefit of my future pupils. </w:t>
      </w:r>
    </w:p>
    <w:p w14:paraId="499454C4" w14:textId="7D6E6E7B" w:rsidR="00335D99" w:rsidRPr="00335D99" w:rsidRDefault="00557191" w:rsidP="00335D99">
      <w:pPr>
        <w:spacing w:line="480" w:lineRule="auto"/>
        <w:ind w:firstLine="720"/>
        <w:jc w:val="both"/>
        <w:rPr>
          <w:rFonts w:ascii="Arial" w:hAnsi="Arial" w:cs="Arial"/>
          <w:sz w:val="24"/>
        </w:rPr>
      </w:pPr>
      <w:r>
        <w:rPr>
          <w:rFonts w:ascii="Arial" w:hAnsi="Arial" w:cs="Arial"/>
          <w:sz w:val="24"/>
        </w:rPr>
        <w:t xml:space="preserve">If I were to do this investigation again, or one concerning a similar topic to it in, future changes or developments I would make, especially in light of recently competing my first AfL strategy investigation, would primarily include the following areas.  Due to the time constraints of PTE 2 placement, the first change or development for a potential future investigation would be to designate and ensure a greater time frame for the research, planning, development and implementation of my investigation. For if this would have been possible during my first investigation, I would have had a further time and lessons to assess and develop pupils understanding of and/or ability to peer-assess and the intended outcomes. Further to this, additional time may have also enabled me to focus upon, develop and ensure all pupils had a clear understanding of what constitutes a quality feedback, of which leads into my second potential future development. Within the examination of scholarly research and the evaluation of my investigation, the role of feedback appeared as a frequent key component of AfL, with the likes of Alison and Tharby simplistically stating ‘feedback matters’ (2015:116). However, I am aware this was unfortunately an area my investigation of which was not sufficiently addressed or explained by myself to the pupils, and as a result meant that not all pupils received constructive and useful peer-assessment feedback. Therefore, commitment to further research and understanding of the role of feedback will surely be a main focal point for my future investigations and is recognisably an aspect of teaching that is to be developed through continual experience, for Black and Wiliam state ‘…enhancing the quality of learning through improved formative feedback take classroom time’ (1998:18). Finally, and especially in light of my </w:t>
      </w:r>
      <w:r>
        <w:rPr>
          <w:rFonts w:ascii="Arial" w:hAnsi="Arial" w:cs="Arial"/>
          <w:sz w:val="24"/>
        </w:rPr>
        <w:lastRenderedPageBreak/>
        <w:t xml:space="preserve">previous investigation, if I were able to do the same investigation again, I would aim to ensure that the lessons focus more upon pupils evaluation skill development, rather than assessing their understanding of and opinions about peer-assessment, for although interesting and insightful for the </w:t>
      </w:r>
      <w:bookmarkStart w:id="1" w:name="_GoBack"/>
      <w:bookmarkEnd w:id="1"/>
      <w:r>
        <w:rPr>
          <w:rFonts w:ascii="Arial" w:hAnsi="Arial" w:cs="Arial"/>
          <w:sz w:val="24"/>
        </w:rPr>
        <w:t xml:space="preserve">means of my investigation, I question whether pupils fully benefited from the investigation in relation to their future ability to successfully and confidently answer evaluation questions in the future. Thusly, perhaps if I were to focus upon the development of pupils’ evaluation skills, an alternative and potentially more beneficial AfL strategy to research, implement and evaluate may be feedback using comments only (see Welsh Governments How to Develop Thinking and Assessment for Learning in the Classroom, 2010:51). If to do so, this would then combine my three areas for future development, as this would potentially require a longer series of lessons to be implemented, in which one or more would most certainly require the focus to be upon what constitutes as good feedback, and finally, would allow pupils to continually use and develop their evaluation skills. </w:t>
      </w:r>
    </w:p>
    <w:p w14:paraId="08A2AC03" w14:textId="257D66CD" w:rsidR="00557191" w:rsidRDefault="00335D99" w:rsidP="00335D99">
      <w:pPr>
        <w:spacing w:line="480" w:lineRule="auto"/>
        <w:jc w:val="both"/>
        <w:rPr>
          <w:rFonts w:ascii="Arial" w:hAnsi="Arial" w:cs="Arial"/>
          <w:sz w:val="24"/>
          <w:u w:val="single"/>
        </w:rPr>
      </w:pPr>
      <w:r w:rsidRPr="00335D99">
        <w:rPr>
          <w:rFonts w:ascii="Arial" w:hAnsi="Arial" w:cs="Arial"/>
          <w:sz w:val="24"/>
          <w:u w:val="single"/>
        </w:rPr>
        <w:t>References</w:t>
      </w:r>
    </w:p>
    <w:p w14:paraId="0D5965E3" w14:textId="77777777" w:rsidR="00335D99" w:rsidRPr="008A5602" w:rsidRDefault="00335D99" w:rsidP="00335D99">
      <w:pPr>
        <w:pStyle w:val="ListParagraph"/>
        <w:numPr>
          <w:ilvl w:val="0"/>
          <w:numId w:val="28"/>
        </w:numPr>
        <w:spacing w:after="160" w:line="360" w:lineRule="auto"/>
        <w:jc w:val="both"/>
        <w:rPr>
          <w:rFonts w:ascii="Arial" w:hAnsi="Arial" w:cs="Arial"/>
          <w:sz w:val="24"/>
        </w:rPr>
      </w:pPr>
      <w:r w:rsidRPr="008A5602">
        <w:rPr>
          <w:rFonts w:ascii="Arial" w:hAnsi="Arial" w:cs="Arial"/>
          <w:sz w:val="24"/>
        </w:rPr>
        <w:t xml:space="preserve">Alison, S. and Tharby, A. (2015) </w:t>
      </w:r>
      <w:r w:rsidRPr="008A5602">
        <w:rPr>
          <w:rFonts w:ascii="Arial" w:hAnsi="Arial" w:cs="Arial"/>
          <w:i/>
          <w:sz w:val="24"/>
        </w:rPr>
        <w:t xml:space="preserve">Making Every Lesson Count: Six Principles to Support Great Teaching and Learning. </w:t>
      </w:r>
      <w:r w:rsidRPr="008A5602">
        <w:rPr>
          <w:rFonts w:ascii="Arial" w:hAnsi="Arial" w:cs="Arial"/>
          <w:sz w:val="24"/>
        </w:rPr>
        <w:t xml:space="preserve">Crown House Publishing. </w:t>
      </w:r>
    </w:p>
    <w:p w14:paraId="39A67142" w14:textId="77777777" w:rsidR="00335D99" w:rsidRPr="00507ADC" w:rsidRDefault="00335D99" w:rsidP="00335D99">
      <w:pPr>
        <w:pStyle w:val="ListParagraph"/>
        <w:numPr>
          <w:ilvl w:val="0"/>
          <w:numId w:val="28"/>
        </w:numPr>
        <w:spacing w:after="180" w:line="360" w:lineRule="auto"/>
        <w:rPr>
          <w:rFonts w:ascii="Arial" w:hAnsi="Arial" w:cs="Arial"/>
          <w:color w:val="000000"/>
          <w:sz w:val="24"/>
          <w:szCs w:val="24"/>
        </w:rPr>
      </w:pPr>
      <w:r>
        <w:rPr>
          <w:rFonts w:ascii="Arial" w:hAnsi="Arial" w:cs="Arial"/>
          <w:color w:val="000000"/>
          <w:sz w:val="24"/>
          <w:szCs w:val="24"/>
        </w:rPr>
        <w:t xml:space="preserve">Bates, B. (2016) </w:t>
      </w:r>
      <w:r w:rsidRPr="000D7339">
        <w:rPr>
          <w:rFonts w:ascii="Arial" w:hAnsi="Arial" w:cs="Arial"/>
          <w:i/>
          <w:color w:val="000000"/>
          <w:sz w:val="24"/>
          <w:szCs w:val="24"/>
        </w:rPr>
        <w:t>Learning Theories Simplified</w:t>
      </w:r>
      <w:r>
        <w:rPr>
          <w:rFonts w:ascii="Arial" w:hAnsi="Arial" w:cs="Arial"/>
          <w:color w:val="000000"/>
          <w:sz w:val="24"/>
          <w:szCs w:val="24"/>
        </w:rPr>
        <w:t xml:space="preserve">. SAGE Publications Ltd. </w:t>
      </w:r>
    </w:p>
    <w:p w14:paraId="4153C8DE"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BERA (2011) Ethical Guidelines for Educational Research. Available at: </w:t>
      </w:r>
      <w:hyperlink r:id="rId10" w:history="1">
        <w:r w:rsidRPr="00F44631">
          <w:rPr>
            <w:rStyle w:val="Hyperlink"/>
            <w:rFonts w:ascii="Arial" w:hAnsi="Arial" w:cs="Arial"/>
            <w:sz w:val="24"/>
          </w:rPr>
          <w:t>http://www.bbk.ac.uk/sshp/research/sshp-ethics-committee-and-procedures/BERA-Ethical-Guidelines-2011.pdf</w:t>
        </w:r>
      </w:hyperlink>
      <w:r>
        <w:rPr>
          <w:rFonts w:ascii="Arial" w:hAnsi="Arial" w:cs="Arial"/>
          <w:sz w:val="24"/>
        </w:rPr>
        <w:t xml:space="preserve"> (Accessed: 8</w:t>
      </w:r>
      <w:r w:rsidRPr="00E21C84">
        <w:rPr>
          <w:rFonts w:ascii="Arial" w:hAnsi="Arial" w:cs="Arial"/>
          <w:sz w:val="24"/>
          <w:vertAlign w:val="superscript"/>
        </w:rPr>
        <w:t>th</w:t>
      </w:r>
      <w:r>
        <w:rPr>
          <w:rFonts w:ascii="Arial" w:hAnsi="Arial" w:cs="Arial"/>
          <w:sz w:val="24"/>
        </w:rPr>
        <w:t xml:space="preserve"> April 2018) </w:t>
      </w:r>
    </w:p>
    <w:p w14:paraId="464DC8F6" w14:textId="77777777" w:rsidR="00335D99" w:rsidRPr="00333243"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Black, P. and Harrison, C. (2001) </w:t>
      </w:r>
      <w:r>
        <w:rPr>
          <w:rFonts w:ascii="Arial" w:hAnsi="Arial" w:cs="Arial"/>
          <w:i/>
          <w:sz w:val="24"/>
        </w:rPr>
        <w:t>Self- and peer-assessment and taking responsibility: the science student’s role in formative assessment. School Science Review, Vol 83, no.302, pp 43-49.</w:t>
      </w:r>
    </w:p>
    <w:p w14:paraId="312356D1" w14:textId="77777777" w:rsidR="00335D99" w:rsidRPr="008A5602" w:rsidRDefault="00335D99" w:rsidP="00335D99">
      <w:pPr>
        <w:pStyle w:val="ListParagraph"/>
        <w:numPr>
          <w:ilvl w:val="0"/>
          <w:numId w:val="28"/>
        </w:numPr>
        <w:spacing w:after="160" w:line="360" w:lineRule="auto"/>
        <w:jc w:val="both"/>
        <w:rPr>
          <w:rFonts w:ascii="Arial" w:hAnsi="Arial" w:cs="Arial"/>
          <w:sz w:val="24"/>
        </w:rPr>
      </w:pPr>
      <w:r w:rsidRPr="008A5602">
        <w:rPr>
          <w:rFonts w:ascii="Arial" w:hAnsi="Arial" w:cs="Arial"/>
          <w:sz w:val="24"/>
        </w:rPr>
        <w:t xml:space="preserve">Black, P. and Wiliam, D. (1998) </w:t>
      </w:r>
      <w:r w:rsidRPr="008A5602">
        <w:rPr>
          <w:rFonts w:ascii="Arial" w:hAnsi="Arial" w:cs="Arial"/>
          <w:i/>
          <w:sz w:val="24"/>
        </w:rPr>
        <w:t xml:space="preserve">Inside the Black Box: Raising Standards Through Classroom Assessment. </w:t>
      </w:r>
      <w:r w:rsidRPr="008A5602">
        <w:rPr>
          <w:rFonts w:ascii="Arial" w:hAnsi="Arial" w:cs="Arial"/>
          <w:sz w:val="24"/>
        </w:rPr>
        <w:t xml:space="preserve">Department of Education and Professional Studies. Granada Learning. </w:t>
      </w:r>
    </w:p>
    <w:p w14:paraId="33C65469" w14:textId="77777777" w:rsidR="00335D99" w:rsidRPr="00333243"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Black, P., Harrison, C., Lee, C., Marshall, B., and Wiliam, D. (2003). </w:t>
      </w:r>
      <w:r>
        <w:rPr>
          <w:rFonts w:ascii="Arial" w:hAnsi="Arial" w:cs="Arial"/>
          <w:i/>
          <w:sz w:val="24"/>
        </w:rPr>
        <w:t xml:space="preserve">Assessment </w:t>
      </w:r>
      <w:proofErr w:type="gramStart"/>
      <w:r>
        <w:rPr>
          <w:rFonts w:ascii="Arial" w:hAnsi="Arial" w:cs="Arial"/>
          <w:i/>
          <w:sz w:val="24"/>
        </w:rPr>
        <w:t>For</w:t>
      </w:r>
      <w:proofErr w:type="gramEnd"/>
      <w:r>
        <w:rPr>
          <w:rFonts w:ascii="Arial" w:hAnsi="Arial" w:cs="Arial"/>
          <w:i/>
          <w:sz w:val="24"/>
        </w:rPr>
        <w:t xml:space="preserve"> Learning: Putting it into Practice. </w:t>
      </w:r>
      <w:r w:rsidRPr="00F94CA9">
        <w:rPr>
          <w:rFonts w:ascii="Arial" w:hAnsi="Arial" w:cs="Arial"/>
          <w:sz w:val="24"/>
        </w:rPr>
        <w:t>Open University Press.</w:t>
      </w:r>
      <w:r>
        <w:rPr>
          <w:rFonts w:ascii="Arial" w:hAnsi="Arial" w:cs="Arial"/>
          <w:i/>
          <w:sz w:val="24"/>
        </w:rPr>
        <w:t xml:space="preserve"> </w:t>
      </w:r>
    </w:p>
    <w:p w14:paraId="5AA11ABB" w14:textId="77777777" w:rsidR="00335D99" w:rsidRPr="00D677D0" w:rsidRDefault="00335D99" w:rsidP="00335D99">
      <w:pPr>
        <w:pStyle w:val="ListParagraph"/>
        <w:numPr>
          <w:ilvl w:val="0"/>
          <w:numId w:val="28"/>
        </w:numPr>
        <w:spacing w:after="160" w:line="360" w:lineRule="auto"/>
        <w:jc w:val="both"/>
        <w:rPr>
          <w:rFonts w:ascii="Arial" w:hAnsi="Arial" w:cs="Arial"/>
          <w:i/>
          <w:sz w:val="24"/>
        </w:rPr>
      </w:pPr>
      <w:r>
        <w:rPr>
          <w:rFonts w:ascii="Arial" w:hAnsi="Arial" w:cs="Arial"/>
          <w:sz w:val="24"/>
        </w:rPr>
        <w:t xml:space="preserve">Blaenau Gwent County Borough Council (2008) </w:t>
      </w:r>
      <w:r w:rsidRPr="00D677D0">
        <w:rPr>
          <w:rFonts w:ascii="Arial" w:hAnsi="Arial" w:cs="Arial"/>
          <w:i/>
          <w:sz w:val="24"/>
        </w:rPr>
        <w:t>The Blaenau Gwent Agreed Syllabus for Religious Education Foundation Phase to Post-16</w:t>
      </w:r>
      <w:r>
        <w:rPr>
          <w:rFonts w:ascii="Arial" w:hAnsi="Arial" w:cs="Arial"/>
          <w:i/>
          <w:sz w:val="24"/>
        </w:rPr>
        <w:t xml:space="preserve">. </w:t>
      </w:r>
      <w:r>
        <w:rPr>
          <w:rFonts w:ascii="Arial" w:hAnsi="Arial" w:cs="Arial"/>
          <w:sz w:val="24"/>
        </w:rPr>
        <w:t>Blaenau Gwent County Borough Council.</w:t>
      </w:r>
    </w:p>
    <w:p w14:paraId="718B68EC"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Data Protection Act (1998) Data Protection Act. Available at </w:t>
      </w:r>
      <w:hyperlink r:id="rId11" w:history="1">
        <w:r w:rsidRPr="00F44631">
          <w:rPr>
            <w:rStyle w:val="Hyperlink"/>
            <w:rFonts w:ascii="Arial" w:hAnsi="Arial" w:cs="Arial"/>
            <w:sz w:val="24"/>
          </w:rPr>
          <w:t>http://www.legislation.gov.uk/ukpga/1998/29/pdfs/ukpga_19980029_en.pdf</w:t>
        </w:r>
      </w:hyperlink>
      <w:r>
        <w:rPr>
          <w:rFonts w:ascii="Arial" w:hAnsi="Arial" w:cs="Arial"/>
          <w:sz w:val="24"/>
        </w:rPr>
        <w:t xml:space="preserve"> </w:t>
      </w:r>
      <w:r w:rsidRPr="00E21C84">
        <w:rPr>
          <w:rFonts w:ascii="Arial" w:hAnsi="Arial" w:cs="Arial"/>
          <w:sz w:val="24"/>
        </w:rPr>
        <w:t>(Accessed: 8</w:t>
      </w:r>
      <w:r w:rsidRPr="00E21C84">
        <w:rPr>
          <w:rFonts w:ascii="Arial" w:hAnsi="Arial" w:cs="Arial"/>
          <w:sz w:val="24"/>
          <w:vertAlign w:val="superscript"/>
        </w:rPr>
        <w:t>th</w:t>
      </w:r>
      <w:r w:rsidRPr="00E21C84">
        <w:rPr>
          <w:rFonts w:ascii="Arial" w:hAnsi="Arial" w:cs="Arial"/>
          <w:sz w:val="24"/>
        </w:rPr>
        <w:t xml:space="preserve"> April 2018)</w:t>
      </w:r>
      <w:r>
        <w:rPr>
          <w:rFonts w:ascii="Arial" w:hAnsi="Arial" w:cs="Arial"/>
          <w:sz w:val="24"/>
        </w:rPr>
        <w:t xml:space="preserve">. </w:t>
      </w:r>
    </w:p>
    <w:p w14:paraId="0C4522A5" w14:textId="77777777" w:rsidR="00335D99" w:rsidRPr="000F4DDB" w:rsidRDefault="00335D99" w:rsidP="00335D99">
      <w:pPr>
        <w:pStyle w:val="ListParagraph"/>
        <w:numPr>
          <w:ilvl w:val="0"/>
          <w:numId w:val="28"/>
        </w:numPr>
        <w:spacing w:after="160" w:line="360" w:lineRule="auto"/>
        <w:jc w:val="both"/>
        <w:rPr>
          <w:rFonts w:ascii="Arial" w:hAnsi="Arial" w:cs="Arial"/>
          <w:sz w:val="24"/>
          <w:szCs w:val="24"/>
        </w:rPr>
      </w:pPr>
      <w:r>
        <w:rPr>
          <w:rFonts w:ascii="Arial" w:hAnsi="Arial" w:cs="Arial"/>
          <w:sz w:val="24"/>
          <w:szCs w:val="24"/>
        </w:rPr>
        <w:lastRenderedPageBreak/>
        <w:t xml:space="preserve">Donaldson, G. (2015) </w:t>
      </w:r>
      <w:r w:rsidRPr="005801EC">
        <w:rPr>
          <w:rFonts w:ascii="Arial" w:hAnsi="Arial" w:cs="Arial"/>
          <w:i/>
          <w:sz w:val="24"/>
          <w:szCs w:val="24"/>
        </w:rPr>
        <w:t>Successful Futures: Independent Review of the Curriculum and Assessment Arrangements in Wales.</w:t>
      </w:r>
      <w:r>
        <w:rPr>
          <w:rFonts w:ascii="Arial" w:hAnsi="Arial" w:cs="Arial"/>
          <w:i/>
          <w:sz w:val="24"/>
          <w:szCs w:val="24"/>
        </w:rPr>
        <w:t xml:space="preserve"> </w:t>
      </w:r>
      <w:r w:rsidRPr="000F4DDB">
        <w:rPr>
          <w:rFonts w:ascii="Arial" w:hAnsi="Arial" w:cs="Arial"/>
          <w:sz w:val="24"/>
          <w:szCs w:val="24"/>
        </w:rPr>
        <w:t xml:space="preserve">Cardiff: Welsh Assembly Government. </w:t>
      </w:r>
    </w:p>
    <w:p w14:paraId="534EBFA0" w14:textId="77777777" w:rsidR="00335D99" w:rsidRPr="00401AF5"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Estyn (2016) </w:t>
      </w:r>
      <w:r w:rsidRPr="006651E6">
        <w:rPr>
          <w:rFonts w:ascii="Arial" w:hAnsi="Arial" w:cs="Arial"/>
          <w:i/>
          <w:sz w:val="24"/>
        </w:rPr>
        <w:t>A Report on School X. Her Majesty’s Incorporate Inspectorate for Education and Training in Wales</w:t>
      </w:r>
      <w:r>
        <w:rPr>
          <w:rFonts w:ascii="Arial" w:hAnsi="Arial" w:cs="Arial"/>
          <w:i/>
          <w:sz w:val="24"/>
        </w:rPr>
        <w:t xml:space="preserve">. </w:t>
      </w:r>
    </w:p>
    <w:p w14:paraId="0F1A32FF" w14:textId="77777777" w:rsidR="00335D99" w:rsidRPr="009D0F0C" w:rsidRDefault="00335D99" w:rsidP="00335D99">
      <w:pPr>
        <w:pStyle w:val="ListParagraph"/>
        <w:numPr>
          <w:ilvl w:val="0"/>
          <w:numId w:val="28"/>
        </w:numPr>
        <w:spacing w:after="160" w:line="360" w:lineRule="auto"/>
        <w:jc w:val="both"/>
        <w:rPr>
          <w:rFonts w:ascii="Arial" w:hAnsi="Arial" w:cs="Arial"/>
          <w:i/>
          <w:sz w:val="24"/>
        </w:rPr>
      </w:pPr>
      <w:proofErr w:type="spellStart"/>
      <w:r>
        <w:rPr>
          <w:rFonts w:ascii="Arial" w:hAnsi="Arial" w:cs="Arial"/>
          <w:sz w:val="24"/>
        </w:rPr>
        <w:t>Falchikov</w:t>
      </w:r>
      <w:proofErr w:type="spellEnd"/>
      <w:r>
        <w:rPr>
          <w:rFonts w:ascii="Arial" w:hAnsi="Arial" w:cs="Arial"/>
          <w:sz w:val="24"/>
        </w:rPr>
        <w:t xml:space="preserve">, N., and Goldfinch, J. (2000) </w:t>
      </w:r>
      <w:r>
        <w:rPr>
          <w:rFonts w:ascii="Arial" w:hAnsi="Arial" w:cs="Arial"/>
          <w:i/>
          <w:sz w:val="24"/>
        </w:rPr>
        <w:t xml:space="preserve">Student peer assessment in higher education: a meta-analysis comparing peer and teacher marks. </w:t>
      </w:r>
      <w:r>
        <w:rPr>
          <w:rFonts w:ascii="Arial" w:hAnsi="Arial" w:cs="Arial"/>
          <w:sz w:val="24"/>
        </w:rPr>
        <w:t xml:space="preserve">Review of Educational Research, 70(3), 287-322. </w:t>
      </w:r>
    </w:p>
    <w:p w14:paraId="7B231A41"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Flick, U. (2004) ‘Chapter 4.6 Triangulation in Qualitative Research’ in Flick, U., </w:t>
      </w:r>
      <w:proofErr w:type="gramStart"/>
      <w:r>
        <w:rPr>
          <w:rFonts w:ascii="Arial" w:hAnsi="Arial" w:cs="Arial"/>
          <w:sz w:val="24"/>
        </w:rPr>
        <w:t xml:space="preserve">Von  </w:t>
      </w:r>
      <w:proofErr w:type="spellStart"/>
      <w:r>
        <w:rPr>
          <w:rFonts w:ascii="Arial" w:hAnsi="Arial" w:cs="Arial"/>
          <w:sz w:val="24"/>
        </w:rPr>
        <w:t>Kardoff</w:t>
      </w:r>
      <w:proofErr w:type="spellEnd"/>
      <w:proofErr w:type="gramEnd"/>
      <w:r>
        <w:rPr>
          <w:rFonts w:ascii="Arial" w:hAnsi="Arial" w:cs="Arial"/>
          <w:sz w:val="24"/>
        </w:rPr>
        <w:t>, E., and Steinke, eds. A Companion to Qualitative Research. SAGE Publications Ltd., pp. 178-184.</w:t>
      </w:r>
    </w:p>
    <w:p w14:paraId="0CB3239B" w14:textId="77777777" w:rsidR="00335D99" w:rsidRPr="00514880"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Gault, A. (2015</w:t>
      </w:r>
      <w:r w:rsidRPr="00514880">
        <w:rPr>
          <w:rFonts w:ascii="Arial" w:hAnsi="Arial" w:cs="Arial"/>
          <w:sz w:val="24"/>
        </w:rPr>
        <w:t>)</w:t>
      </w:r>
      <w:r w:rsidRPr="00514880">
        <w:rPr>
          <w:rFonts w:ascii="Arial" w:hAnsi="Arial" w:cs="Arial"/>
          <w:i/>
          <w:sz w:val="24"/>
        </w:rPr>
        <w:t xml:space="preserve"> ‘Chapter 19: Understanding and Using Assessment and Feedback’</w:t>
      </w:r>
      <w:r>
        <w:rPr>
          <w:rFonts w:ascii="Arial" w:hAnsi="Arial" w:cs="Arial"/>
          <w:sz w:val="24"/>
        </w:rPr>
        <w:t xml:space="preserve"> in</w:t>
      </w:r>
      <w:r>
        <w:rPr>
          <w:rFonts w:ascii="Arial" w:hAnsi="Arial" w:cs="Arial"/>
          <w:color w:val="000000"/>
          <w:sz w:val="24"/>
          <w:szCs w:val="24"/>
        </w:rPr>
        <w:t>: Denby, N. Training to Teach: A Guide for Students. SAGE Publications Ltd, pp. 154</w:t>
      </w:r>
    </w:p>
    <w:p w14:paraId="4F69ABAD" w14:textId="77777777" w:rsidR="00335D99" w:rsidRPr="00F94CA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Gershon, M. (2013) </w:t>
      </w:r>
      <w:r w:rsidRPr="00F94CA9">
        <w:rPr>
          <w:rFonts w:ascii="Arial" w:hAnsi="Arial" w:cs="Arial"/>
          <w:i/>
          <w:sz w:val="24"/>
        </w:rPr>
        <w:t>How to Use Assessment for Learning in the Classroom: The Complete Guide</w:t>
      </w:r>
      <w:r w:rsidRPr="00F94CA9">
        <w:rPr>
          <w:rFonts w:ascii="Arial" w:hAnsi="Arial" w:cs="Arial"/>
          <w:i/>
          <w:sz w:val="24"/>
          <w:szCs w:val="24"/>
        </w:rPr>
        <w:t xml:space="preserve">. </w:t>
      </w:r>
      <w:r w:rsidRPr="00F94CA9">
        <w:rPr>
          <w:rFonts w:ascii="Arial" w:hAnsi="Arial" w:cs="Arial"/>
          <w:sz w:val="24"/>
          <w:szCs w:val="24"/>
        </w:rPr>
        <w:t>CreateSpace Independent Publishing Platform.</w:t>
      </w:r>
    </w:p>
    <w:p w14:paraId="23EBF8CC" w14:textId="77777777" w:rsidR="00335D99" w:rsidRPr="009D0F0C" w:rsidRDefault="00335D99" w:rsidP="00335D99">
      <w:pPr>
        <w:pStyle w:val="ListParagraph"/>
        <w:numPr>
          <w:ilvl w:val="0"/>
          <w:numId w:val="28"/>
        </w:numPr>
        <w:spacing w:after="160" w:line="360" w:lineRule="auto"/>
        <w:jc w:val="both"/>
        <w:rPr>
          <w:rFonts w:ascii="Arial" w:hAnsi="Arial" w:cs="Arial"/>
          <w:sz w:val="24"/>
        </w:rPr>
      </w:pPr>
      <w:r w:rsidRPr="009D0F0C">
        <w:rPr>
          <w:rFonts w:ascii="Arial" w:hAnsi="Arial" w:cs="Arial"/>
          <w:sz w:val="24"/>
        </w:rPr>
        <w:t>Harelli, S. and Hess, U. (2008)</w:t>
      </w:r>
      <w:r>
        <w:rPr>
          <w:rFonts w:ascii="Arial" w:hAnsi="Arial" w:cs="Arial"/>
          <w:sz w:val="24"/>
        </w:rPr>
        <w:t xml:space="preserve"> </w:t>
      </w:r>
      <w:r>
        <w:rPr>
          <w:rFonts w:ascii="Arial" w:hAnsi="Arial" w:cs="Arial"/>
          <w:i/>
          <w:sz w:val="24"/>
        </w:rPr>
        <w:t xml:space="preserve">When does feedback about success at school hurt? The role of casual attributions. </w:t>
      </w:r>
      <w:r>
        <w:rPr>
          <w:rFonts w:ascii="Arial" w:hAnsi="Arial" w:cs="Arial"/>
          <w:sz w:val="24"/>
        </w:rPr>
        <w:t xml:space="preserve">Social Psychology in Education, 11, 259-272. </w:t>
      </w:r>
    </w:p>
    <w:p w14:paraId="2EB461A2" w14:textId="77777777" w:rsidR="00335D99" w:rsidRPr="00F309F6" w:rsidRDefault="00335D99" w:rsidP="00335D99">
      <w:pPr>
        <w:pStyle w:val="ListParagraph"/>
        <w:numPr>
          <w:ilvl w:val="0"/>
          <w:numId w:val="28"/>
        </w:numPr>
        <w:spacing w:after="160" w:line="360" w:lineRule="auto"/>
        <w:jc w:val="both"/>
        <w:rPr>
          <w:rFonts w:ascii="Arial" w:hAnsi="Arial" w:cs="Arial"/>
          <w:i/>
          <w:sz w:val="24"/>
        </w:rPr>
      </w:pPr>
      <w:r>
        <w:rPr>
          <w:rFonts w:ascii="Arial" w:hAnsi="Arial" w:cs="Arial"/>
          <w:sz w:val="24"/>
        </w:rPr>
        <w:t xml:space="preserve">Hatch, A.J., (2002) </w:t>
      </w:r>
      <w:r>
        <w:rPr>
          <w:rFonts w:ascii="Arial" w:hAnsi="Arial" w:cs="Arial"/>
          <w:i/>
          <w:sz w:val="24"/>
        </w:rPr>
        <w:t xml:space="preserve">Doing Qualitative Research in Education Settings. </w:t>
      </w:r>
      <w:r>
        <w:rPr>
          <w:rFonts w:ascii="Arial" w:hAnsi="Arial" w:cs="Arial"/>
          <w:sz w:val="24"/>
        </w:rPr>
        <w:t xml:space="preserve">SUNY Press. </w:t>
      </w:r>
    </w:p>
    <w:p w14:paraId="59124E2E" w14:textId="77777777" w:rsidR="00335D99" w:rsidRDefault="00335D99" w:rsidP="00335D99">
      <w:pPr>
        <w:pStyle w:val="ListParagraph"/>
        <w:numPr>
          <w:ilvl w:val="0"/>
          <w:numId w:val="28"/>
        </w:numPr>
        <w:spacing w:after="180" w:line="360" w:lineRule="auto"/>
        <w:rPr>
          <w:rFonts w:ascii="Arial" w:hAnsi="Arial" w:cs="Arial"/>
          <w:color w:val="000000"/>
          <w:sz w:val="24"/>
          <w:szCs w:val="24"/>
        </w:rPr>
      </w:pPr>
      <w:r>
        <w:rPr>
          <w:rFonts w:ascii="Arial" w:hAnsi="Arial" w:cs="Arial"/>
          <w:color w:val="000000"/>
          <w:sz w:val="24"/>
          <w:szCs w:val="24"/>
        </w:rPr>
        <w:t xml:space="preserve">Hattie, J. (2012) Visible Learning for Teachers: Maximising impact on Learning. London and New York: Routledge. </w:t>
      </w:r>
    </w:p>
    <w:p w14:paraId="2E4E1BBF" w14:textId="77777777" w:rsidR="00335D99" w:rsidRPr="00F309F6" w:rsidRDefault="00335D99" w:rsidP="00335D99">
      <w:pPr>
        <w:pStyle w:val="ListParagraph"/>
        <w:numPr>
          <w:ilvl w:val="0"/>
          <w:numId w:val="28"/>
        </w:numPr>
        <w:spacing w:after="160" w:line="360" w:lineRule="auto"/>
        <w:jc w:val="both"/>
        <w:rPr>
          <w:rFonts w:ascii="Arial" w:hAnsi="Arial" w:cs="Arial"/>
          <w:i/>
          <w:sz w:val="24"/>
        </w:rPr>
      </w:pPr>
      <w:proofErr w:type="spellStart"/>
      <w:r>
        <w:rPr>
          <w:rFonts w:ascii="Arial" w:hAnsi="Arial" w:cs="Arial"/>
          <w:sz w:val="24"/>
        </w:rPr>
        <w:t>Kostoulas</w:t>
      </w:r>
      <w:proofErr w:type="spellEnd"/>
      <w:r>
        <w:rPr>
          <w:rFonts w:ascii="Arial" w:hAnsi="Arial" w:cs="Arial"/>
          <w:sz w:val="24"/>
        </w:rPr>
        <w:t xml:space="preserve">, A., and Lammerer, A. (2015) </w:t>
      </w:r>
      <w:r w:rsidRPr="007D14ED">
        <w:rPr>
          <w:rFonts w:ascii="Arial" w:hAnsi="Arial" w:cs="Arial"/>
          <w:i/>
          <w:sz w:val="24"/>
        </w:rPr>
        <w:t>Classroom-based Research.</w:t>
      </w:r>
      <w:r>
        <w:rPr>
          <w:rFonts w:ascii="Arial" w:hAnsi="Arial" w:cs="Arial"/>
          <w:sz w:val="24"/>
        </w:rPr>
        <w:t xml:space="preserve"> Materials created for ELT Connect 2015: University of Graz. </w:t>
      </w:r>
    </w:p>
    <w:p w14:paraId="058B2A7C"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Sadler, R </w:t>
      </w:r>
      <w:r w:rsidRPr="00497246">
        <w:rPr>
          <w:rFonts w:ascii="Arial" w:hAnsi="Arial" w:cs="Arial"/>
          <w:sz w:val="24"/>
        </w:rPr>
        <w:t xml:space="preserve">(1998) </w:t>
      </w:r>
      <w:r w:rsidRPr="00497246">
        <w:rPr>
          <w:rFonts w:ascii="Arial" w:hAnsi="Arial" w:cs="Arial"/>
          <w:i/>
          <w:sz w:val="24"/>
        </w:rPr>
        <w:t>Formative Assessment: Revisiting the Territory</w:t>
      </w:r>
      <w:r>
        <w:rPr>
          <w:rFonts w:ascii="Arial" w:hAnsi="Arial" w:cs="Arial"/>
          <w:sz w:val="24"/>
        </w:rPr>
        <w:t xml:space="preserve">. </w:t>
      </w:r>
      <w:r w:rsidRPr="00497246">
        <w:rPr>
          <w:rFonts w:ascii="Arial" w:hAnsi="Arial" w:cs="Arial"/>
          <w:sz w:val="24"/>
        </w:rPr>
        <w:t>Assessment in Education: Principles, Policy &amp; Practice, 5:1, 77-84</w:t>
      </w:r>
      <w:r>
        <w:rPr>
          <w:rFonts w:ascii="Arial" w:hAnsi="Arial" w:cs="Arial"/>
          <w:sz w:val="24"/>
        </w:rPr>
        <w:t xml:space="preserve">. </w:t>
      </w:r>
    </w:p>
    <w:p w14:paraId="46E97E16"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UWTSD (2017-2020) Research Ethics and Integrity Code of Practice. </w:t>
      </w:r>
      <w:r w:rsidRPr="00E21C84">
        <w:rPr>
          <w:rFonts w:ascii="Arial" w:hAnsi="Arial" w:cs="Arial"/>
          <w:sz w:val="24"/>
        </w:rPr>
        <w:t xml:space="preserve">Available at: </w:t>
      </w:r>
      <w:hyperlink r:id="rId12" w:history="1">
        <w:r w:rsidRPr="00E21C84">
          <w:rPr>
            <w:rStyle w:val="Hyperlink"/>
            <w:rFonts w:ascii="Arial" w:hAnsi="Arial" w:cs="Arial"/>
            <w:sz w:val="24"/>
          </w:rPr>
          <w:t>https://www.uwtsd.ac.uk/media/uwtsd-website/content-assets/documents/research/research-ethics-integrity-code-practice.pdf</w:t>
        </w:r>
      </w:hyperlink>
      <w:r w:rsidRPr="00E21C84">
        <w:rPr>
          <w:rFonts w:ascii="Arial" w:hAnsi="Arial" w:cs="Arial"/>
          <w:sz w:val="24"/>
        </w:rPr>
        <w:t xml:space="preserve">  (Accessed: 8</w:t>
      </w:r>
      <w:r w:rsidRPr="00E21C84">
        <w:rPr>
          <w:rFonts w:ascii="Arial" w:hAnsi="Arial" w:cs="Arial"/>
          <w:sz w:val="24"/>
          <w:vertAlign w:val="superscript"/>
        </w:rPr>
        <w:t>th</w:t>
      </w:r>
      <w:r w:rsidRPr="00E21C84">
        <w:rPr>
          <w:rFonts w:ascii="Arial" w:hAnsi="Arial" w:cs="Arial"/>
          <w:sz w:val="24"/>
        </w:rPr>
        <w:t xml:space="preserve"> April 2018)</w:t>
      </w:r>
    </w:p>
    <w:p w14:paraId="0696DDD3"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Welsh Government (2009) </w:t>
      </w:r>
      <w:r>
        <w:rPr>
          <w:rFonts w:ascii="Arial" w:hAnsi="Arial" w:cs="Arial"/>
          <w:i/>
          <w:sz w:val="24"/>
        </w:rPr>
        <w:t>The Qualifies Teacher Status Standards Wales 2009.</w:t>
      </w:r>
      <w:r>
        <w:rPr>
          <w:rFonts w:ascii="Arial" w:hAnsi="Arial" w:cs="Arial"/>
          <w:sz w:val="24"/>
        </w:rPr>
        <w:t xml:space="preserve"> Available at: </w:t>
      </w:r>
      <w:hyperlink r:id="rId13" w:history="1">
        <w:r w:rsidRPr="00F44631">
          <w:rPr>
            <w:rStyle w:val="Hyperlink"/>
            <w:rFonts w:ascii="Arial" w:hAnsi="Arial" w:cs="Arial"/>
            <w:sz w:val="24"/>
          </w:rPr>
          <w:t>https://gov.wales/legislation/subordinate/nonsi/educationwales/2009/3220099/?lang=en</w:t>
        </w:r>
      </w:hyperlink>
      <w:r>
        <w:rPr>
          <w:rFonts w:ascii="Arial" w:hAnsi="Arial" w:cs="Arial"/>
          <w:sz w:val="24"/>
        </w:rPr>
        <w:t xml:space="preserve"> (accessed: 2</w:t>
      </w:r>
      <w:r w:rsidRPr="00333243">
        <w:rPr>
          <w:rFonts w:ascii="Arial" w:hAnsi="Arial" w:cs="Arial"/>
          <w:sz w:val="24"/>
          <w:vertAlign w:val="superscript"/>
        </w:rPr>
        <w:t>nd</w:t>
      </w:r>
      <w:r>
        <w:rPr>
          <w:rFonts w:ascii="Arial" w:hAnsi="Arial" w:cs="Arial"/>
          <w:sz w:val="24"/>
        </w:rPr>
        <w:t xml:space="preserve"> April 2018) </w:t>
      </w:r>
    </w:p>
    <w:p w14:paraId="64C8943C" w14:textId="77777777" w:rsidR="00335D99" w:rsidRDefault="00335D99" w:rsidP="00335D99">
      <w:pPr>
        <w:pStyle w:val="ListParagraph"/>
        <w:numPr>
          <w:ilvl w:val="0"/>
          <w:numId w:val="28"/>
        </w:numPr>
        <w:spacing w:after="180" w:line="360" w:lineRule="auto"/>
        <w:rPr>
          <w:rFonts w:ascii="Arial" w:hAnsi="Arial" w:cs="Arial"/>
          <w:color w:val="000000"/>
          <w:sz w:val="24"/>
          <w:szCs w:val="24"/>
        </w:rPr>
      </w:pPr>
      <w:r>
        <w:rPr>
          <w:rFonts w:ascii="Arial" w:hAnsi="Arial" w:cs="Arial"/>
          <w:color w:val="000000"/>
          <w:sz w:val="24"/>
          <w:szCs w:val="24"/>
        </w:rPr>
        <w:t xml:space="preserve">Welsh Government (2010) </w:t>
      </w:r>
      <w:r w:rsidRPr="00F371D6">
        <w:rPr>
          <w:rFonts w:ascii="Arial" w:hAnsi="Arial" w:cs="Arial"/>
          <w:i/>
          <w:color w:val="000000"/>
          <w:sz w:val="24"/>
          <w:szCs w:val="24"/>
        </w:rPr>
        <w:t xml:space="preserve">How to develop thinking and assessment for learning in the </w:t>
      </w:r>
      <w:r>
        <w:rPr>
          <w:rFonts w:ascii="Arial" w:hAnsi="Arial" w:cs="Arial"/>
          <w:i/>
          <w:color w:val="000000"/>
          <w:sz w:val="24"/>
          <w:szCs w:val="24"/>
        </w:rPr>
        <w:t xml:space="preserve">classroom. </w:t>
      </w:r>
      <w:r>
        <w:rPr>
          <w:rFonts w:ascii="Arial" w:hAnsi="Arial" w:cs="Arial"/>
          <w:color w:val="000000"/>
          <w:sz w:val="24"/>
          <w:szCs w:val="24"/>
        </w:rPr>
        <w:t xml:space="preserve">Cardiff: Welsh Assembly Government. </w:t>
      </w:r>
    </w:p>
    <w:p w14:paraId="7DEB9E8E"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Welsh Government (2014) </w:t>
      </w:r>
      <w:r w:rsidRPr="000F4DDB">
        <w:rPr>
          <w:rFonts w:ascii="Arial" w:hAnsi="Arial" w:cs="Arial"/>
          <w:i/>
          <w:sz w:val="24"/>
        </w:rPr>
        <w:t>Qualified for Life</w:t>
      </w:r>
      <w:r>
        <w:rPr>
          <w:rFonts w:ascii="Arial" w:hAnsi="Arial" w:cs="Arial"/>
          <w:i/>
          <w:sz w:val="24"/>
        </w:rPr>
        <w:t xml:space="preserve">: An Educational Improvement Plan for 3 to 19-year-olds in Wales. </w:t>
      </w:r>
      <w:r>
        <w:rPr>
          <w:rFonts w:ascii="Arial" w:hAnsi="Arial" w:cs="Arial"/>
          <w:sz w:val="24"/>
        </w:rPr>
        <w:t xml:space="preserve">Cardiff: Welsh Assembly Government. </w:t>
      </w:r>
    </w:p>
    <w:p w14:paraId="532EA8D8"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Welsh Government (2017) </w:t>
      </w:r>
      <w:r>
        <w:rPr>
          <w:rFonts w:ascii="Arial" w:hAnsi="Arial" w:cs="Arial"/>
          <w:i/>
          <w:sz w:val="24"/>
        </w:rPr>
        <w:t xml:space="preserve">Education in Wales: Our National Mission 2017-21. </w:t>
      </w:r>
      <w:r w:rsidRPr="00497246">
        <w:rPr>
          <w:rFonts w:ascii="Arial" w:hAnsi="Arial" w:cs="Arial"/>
          <w:sz w:val="24"/>
        </w:rPr>
        <w:t>Cardiff: Welsh Assembly Government.</w:t>
      </w:r>
    </w:p>
    <w:p w14:paraId="401038AA" w14:textId="77777777" w:rsidR="00335D99" w:rsidRPr="00DB0D92"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lastRenderedPageBreak/>
        <w:t xml:space="preserve">Welsh Government (2017) </w:t>
      </w:r>
      <w:r w:rsidRPr="006651E6">
        <w:rPr>
          <w:rFonts w:ascii="Arial" w:hAnsi="Arial" w:cs="Arial"/>
          <w:i/>
          <w:sz w:val="24"/>
        </w:rPr>
        <w:t>My Local School: Sharing Information about Local Schools – School X. (Online)</w:t>
      </w:r>
      <w:r>
        <w:rPr>
          <w:rFonts w:ascii="Arial" w:hAnsi="Arial" w:cs="Arial"/>
          <w:i/>
          <w:sz w:val="24"/>
        </w:rPr>
        <w:t xml:space="preserve"> [</w:t>
      </w:r>
      <w:r w:rsidRPr="006651E6">
        <w:rPr>
          <w:rFonts w:ascii="Arial" w:hAnsi="Arial" w:cs="Arial"/>
          <w:i/>
          <w:sz w:val="24"/>
        </w:rPr>
        <w:t xml:space="preserve">Accessed: </w:t>
      </w:r>
      <w:r>
        <w:rPr>
          <w:rFonts w:ascii="Arial" w:hAnsi="Arial" w:cs="Arial"/>
          <w:i/>
          <w:sz w:val="24"/>
        </w:rPr>
        <w:t>3</w:t>
      </w:r>
      <w:r w:rsidRPr="00401AF5">
        <w:rPr>
          <w:rFonts w:ascii="Arial" w:hAnsi="Arial" w:cs="Arial"/>
          <w:i/>
          <w:sz w:val="24"/>
          <w:vertAlign w:val="superscript"/>
        </w:rPr>
        <w:t>rd</w:t>
      </w:r>
      <w:r>
        <w:rPr>
          <w:rFonts w:ascii="Arial" w:hAnsi="Arial" w:cs="Arial"/>
          <w:i/>
          <w:sz w:val="24"/>
        </w:rPr>
        <w:t xml:space="preserve"> April </w:t>
      </w:r>
      <w:r w:rsidRPr="006651E6">
        <w:rPr>
          <w:rFonts w:ascii="Arial" w:hAnsi="Arial" w:cs="Arial"/>
          <w:i/>
          <w:sz w:val="24"/>
        </w:rPr>
        <w:t>2018</w:t>
      </w:r>
      <w:r>
        <w:rPr>
          <w:rFonts w:ascii="Arial" w:hAnsi="Arial" w:cs="Arial"/>
          <w:i/>
          <w:sz w:val="24"/>
        </w:rPr>
        <w:t xml:space="preserve">]. </w:t>
      </w:r>
    </w:p>
    <w:p w14:paraId="495AB590" w14:textId="77777777" w:rsidR="00335D99" w:rsidRDefault="00335D99" w:rsidP="00335D99">
      <w:pPr>
        <w:pStyle w:val="ListParagraph"/>
        <w:numPr>
          <w:ilvl w:val="0"/>
          <w:numId w:val="28"/>
        </w:numPr>
        <w:spacing w:after="160" w:line="360" w:lineRule="auto"/>
        <w:jc w:val="both"/>
        <w:rPr>
          <w:rFonts w:ascii="Arial" w:hAnsi="Arial" w:cs="Arial"/>
          <w:sz w:val="24"/>
        </w:rPr>
      </w:pPr>
      <w:r>
        <w:rPr>
          <w:rFonts w:ascii="Arial" w:hAnsi="Arial" w:cs="Arial"/>
          <w:sz w:val="24"/>
        </w:rPr>
        <w:t xml:space="preserve">Wiliams, D. (2011) </w:t>
      </w:r>
      <w:r>
        <w:rPr>
          <w:rFonts w:ascii="Arial" w:hAnsi="Arial" w:cs="Arial"/>
          <w:i/>
          <w:sz w:val="24"/>
        </w:rPr>
        <w:t xml:space="preserve">Embedded Formative Assessment. </w:t>
      </w:r>
      <w:r>
        <w:rPr>
          <w:rFonts w:ascii="Arial" w:hAnsi="Arial" w:cs="Arial"/>
          <w:sz w:val="24"/>
        </w:rPr>
        <w:t xml:space="preserve">Solution Tree Press. </w:t>
      </w:r>
    </w:p>
    <w:p w14:paraId="56DD92E6" w14:textId="48EFD2C8" w:rsidR="00335D99" w:rsidRDefault="00335D99" w:rsidP="00335D99">
      <w:pPr>
        <w:spacing w:line="480" w:lineRule="auto"/>
        <w:jc w:val="both"/>
        <w:rPr>
          <w:rFonts w:ascii="Arial" w:hAnsi="Arial" w:cs="Arial"/>
          <w:sz w:val="24"/>
          <w:u w:val="single"/>
        </w:rPr>
      </w:pPr>
      <w:r>
        <w:rPr>
          <w:rFonts w:ascii="Arial" w:hAnsi="Arial" w:cs="Arial"/>
          <w:sz w:val="24"/>
          <w:u w:val="single"/>
        </w:rPr>
        <w:t xml:space="preserve">Appendices </w:t>
      </w:r>
    </w:p>
    <w:p w14:paraId="567A96EF" w14:textId="77777777" w:rsidR="00335D99" w:rsidRDefault="00335D99" w:rsidP="00335D99">
      <w:pPr>
        <w:jc w:val="center"/>
        <w:rPr>
          <w:rFonts w:ascii="Arial" w:hAnsi="Arial" w:cs="Arial"/>
          <w:sz w:val="24"/>
        </w:rPr>
      </w:pPr>
      <w:r>
        <w:rPr>
          <w:rFonts w:ascii="Arial" w:hAnsi="Arial" w:cs="Arial"/>
          <w:noProof/>
          <w:sz w:val="24"/>
        </w:rPr>
        <mc:AlternateContent>
          <mc:Choice Requires="wps">
            <w:drawing>
              <wp:anchor distT="0" distB="0" distL="114300" distR="114300" simplePos="0" relativeHeight="251659264" behindDoc="0" locked="0" layoutInCell="1" allowOverlap="1" wp14:anchorId="603BCFC9" wp14:editId="719F2C9B">
                <wp:simplePos x="0" y="0"/>
                <wp:positionH relativeFrom="column">
                  <wp:posOffset>1971676</wp:posOffset>
                </wp:positionH>
                <wp:positionV relativeFrom="paragraph">
                  <wp:posOffset>287655</wp:posOffset>
                </wp:positionV>
                <wp:extent cx="2941320" cy="379095"/>
                <wp:effectExtent l="0" t="0" r="11430" b="20955"/>
                <wp:wrapNone/>
                <wp:docPr id="2" name="Rectangle 2"/>
                <wp:cNvGraphicFramePr/>
                <a:graphic xmlns:a="http://schemas.openxmlformats.org/drawingml/2006/main">
                  <a:graphicData uri="http://schemas.microsoft.com/office/word/2010/wordprocessingShape">
                    <wps:wsp>
                      <wps:cNvSpPr/>
                      <wps:spPr>
                        <a:xfrm>
                          <a:off x="0" y="0"/>
                          <a:ext cx="2941320" cy="3790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5A5EC6" id="Rectangle 2" o:spid="_x0000_s1026" style="position:absolute;margin-left:155.25pt;margin-top:22.65pt;width:231.6pt;height:29.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" fillcolor="#4f81bd [3204]" strokecolor="#243f60 [1604]" strokeweight="2pt"/>
            </w:pict>
          </mc:Fallback>
        </mc:AlternateContent>
      </w:r>
      <w:r>
        <w:rPr>
          <w:rFonts w:ascii="Arial" w:hAnsi="Arial" w:cs="Arial"/>
          <w:noProof/>
          <w:sz w:val="24"/>
        </w:rPr>
        <mc:AlternateContent>
          <mc:Choice Requires="wps">
            <w:drawing>
              <wp:anchor distT="0" distB="0" distL="114300" distR="114300" simplePos="0" relativeHeight="251660288" behindDoc="0" locked="0" layoutInCell="1" allowOverlap="1" wp14:anchorId="027F274E" wp14:editId="63138B83">
                <wp:simplePos x="0" y="0"/>
                <wp:positionH relativeFrom="column">
                  <wp:posOffset>1518249</wp:posOffset>
                </wp:positionH>
                <wp:positionV relativeFrom="paragraph">
                  <wp:posOffset>1101592</wp:posOffset>
                </wp:positionV>
                <wp:extent cx="1759788" cy="224287"/>
                <wp:effectExtent l="0" t="0" r="12065" b="23495"/>
                <wp:wrapNone/>
                <wp:docPr id="3" name="Rectangle 3"/>
                <wp:cNvGraphicFramePr/>
                <a:graphic xmlns:a="http://schemas.openxmlformats.org/drawingml/2006/main">
                  <a:graphicData uri="http://schemas.microsoft.com/office/word/2010/wordprocessingShape">
                    <wps:wsp>
                      <wps:cNvSpPr/>
                      <wps:spPr>
                        <a:xfrm>
                          <a:off x="0" y="0"/>
                          <a:ext cx="1759788" cy="2242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3ED64" id="Rectangle 3" o:spid="_x0000_s1026" style="position:absolute;margin-left:119.55pt;margin-top:86.75pt;width:138.55pt;height:1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" fillcolor="#4f81bd [3204]" strokecolor="#243f60 [1604]" strokeweight="2pt"/>
            </w:pict>
          </mc:Fallback>
        </mc:AlternateContent>
      </w:r>
      <w:r>
        <w:rPr>
          <w:rFonts w:ascii="Arial" w:hAnsi="Arial" w:cs="Arial"/>
          <w:sz w:val="24"/>
        </w:rPr>
        <w:t xml:space="preserve">Appendices A – School X Marking Policy </w:t>
      </w:r>
      <w:r>
        <w:rPr>
          <w:rFonts w:ascii="Arial" w:hAnsi="Arial" w:cs="Arial"/>
          <w:noProof/>
          <w:sz w:val="24"/>
        </w:rPr>
        <w:drawing>
          <wp:inline distT="0" distB="0" distL="0" distR="0" wp14:anchorId="7FDC18EC" wp14:editId="39B52200">
            <wp:extent cx="4914900" cy="52197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X Marking Policy Cover Pag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14900" cy="5219700"/>
                    </a:xfrm>
                    <a:prstGeom prst="rect">
                      <a:avLst/>
                    </a:prstGeom>
                  </pic:spPr>
                </pic:pic>
              </a:graphicData>
            </a:graphic>
          </wp:inline>
        </w:drawing>
      </w:r>
    </w:p>
    <w:p w14:paraId="37FD4104" w14:textId="77777777" w:rsidR="00335D99" w:rsidRDefault="00335D99" w:rsidP="00335D99">
      <w:pPr>
        <w:jc w:val="center"/>
        <w:rPr>
          <w:rFonts w:ascii="Arial" w:hAnsi="Arial" w:cs="Arial"/>
          <w:sz w:val="24"/>
        </w:rPr>
      </w:pPr>
      <w:r>
        <w:rPr>
          <w:rFonts w:ascii="Arial" w:hAnsi="Arial" w:cs="Arial"/>
          <w:noProof/>
          <w:sz w:val="24"/>
        </w:rPr>
        <w:lastRenderedPageBreak/>
        <mc:AlternateContent>
          <mc:Choice Requires="wps">
            <w:drawing>
              <wp:anchor distT="0" distB="0" distL="114300" distR="114300" simplePos="0" relativeHeight="251661312" behindDoc="0" locked="0" layoutInCell="1" allowOverlap="1" wp14:anchorId="74E63509" wp14:editId="3E8D8EB5">
                <wp:simplePos x="0" y="0"/>
                <wp:positionH relativeFrom="column">
                  <wp:posOffset>1971675</wp:posOffset>
                </wp:positionH>
                <wp:positionV relativeFrom="paragraph">
                  <wp:posOffset>125730</wp:posOffset>
                </wp:positionV>
                <wp:extent cx="2952750" cy="2571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2952750" cy="25717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DE8A9" id="Rectangle 5" o:spid="_x0000_s1026" style="position:absolute;margin-left:155.25pt;margin-top:9.9pt;width:23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" fillcolor="#4472c4" strokecolor="#2f528f" strokeweight="1pt"/>
            </w:pict>
          </mc:Fallback>
        </mc:AlternateContent>
      </w:r>
      <w:r>
        <w:rPr>
          <w:rFonts w:ascii="Arial" w:hAnsi="Arial" w:cs="Arial"/>
          <w:noProof/>
          <w:sz w:val="24"/>
        </w:rPr>
        <w:drawing>
          <wp:inline distT="0" distB="0" distL="0" distR="0" wp14:anchorId="57A89A15" wp14:editId="7A2BF9C8">
            <wp:extent cx="6645910" cy="4984750"/>
            <wp:effectExtent l="0" t="7620" r="0" b="0"/>
            <wp:docPr id="4" name="Picture 4"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Policy Page 1.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6645910" cy="4984750"/>
                    </a:xfrm>
                    <a:prstGeom prst="rect">
                      <a:avLst/>
                    </a:prstGeom>
                  </pic:spPr>
                </pic:pic>
              </a:graphicData>
            </a:graphic>
          </wp:inline>
        </w:drawing>
      </w:r>
    </w:p>
    <w:p w14:paraId="09B40967"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041A6BEA" wp14:editId="04AAA609">
            <wp:extent cx="6645910" cy="4984750"/>
            <wp:effectExtent l="0" t="7620" r="0" b="0"/>
            <wp:docPr id="6" name="Picture 6"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Policy Page 2.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6645910" cy="4984750"/>
                    </a:xfrm>
                    <a:prstGeom prst="rect">
                      <a:avLst/>
                    </a:prstGeom>
                  </pic:spPr>
                </pic:pic>
              </a:graphicData>
            </a:graphic>
          </wp:inline>
        </w:drawing>
      </w:r>
    </w:p>
    <w:p w14:paraId="5AD96AD1"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21B05953" wp14:editId="055F8585">
            <wp:extent cx="6645910" cy="4984750"/>
            <wp:effectExtent l="0" t="7620" r="0" b="0"/>
            <wp:docPr id="7" name="Picture 7"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ool Policy Page 3.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6645910" cy="4984750"/>
                    </a:xfrm>
                    <a:prstGeom prst="rect">
                      <a:avLst/>
                    </a:prstGeom>
                  </pic:spPr>
                </pic:pic>
              </a:graphicData>
            </a:graphic>
          </wp:inline>
        </w:drawing>
      </w:r>
    </w:p>
    <w:p w14:paraId="61E3A8D1"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3C91F3EB" wp14:editId="4647457A">
            <wp:extent cx="6645910" cy="4984750"/>
            <wp:effectExtent l="0" t="7620" r="0" b="0"/>
            <wp:docPr id="8" name="Picture 8"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hool Policy Page 4.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6645910" cy="4984750"/>
                    </a:xfrm>
                    <a:prstGeom prst="rect">
                      <a:avLst/>
                    </a:prstGeom>
                  </pic:spPr>
                </pic:pic>
              </a:graphicData>
            </a:graphic>
          </wp:inline>
        </w:drawing>
      </w:r>
    </w:p>
    <w:p w14:paraId="75D05268"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3741419F" wp14:editId="5D7F449B">
            <wp:extent cx="6645910" cy="4984750"/>
            <wp:effectExtent l="0" t="7620" r="0" b="0"/>
            <wp:docPr id="9" name="Picture 9"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ool Policy Page 5.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6645910" cy="4984750"/>
                    </a:xfrm>
                    <a:prstGeom prst="rect">
                      <a:avLst/>
                    </a:prstGeom>
                  </pic:spPr>
                </pic:pic>
              </a:graphicData>
            </a:graphic>
          </wp:inline>
        </w:drawing>
      </w:r>
    </w:p>
    <w:p w14:paraId="53F662FB" w14:textId="77777777" w:rsidR="00335D99" w:rsidRDefault="00335D99" w:rsidP="00335D99">
      <w:pPr>
        <w:jc w:val="center"/>
        <w:rPr>
          <w:rFonts w:ascii="Arial" w:hAnsi="Arial" w:cs="Arial"/>
          <w:sz w:val="24"/>
        </w:rPr>
      </w:pPr>
      <w:r>
        <w:rPr>
          <w:rFonts w:ascii="Arial" w:hAnsi="Arial" w:cs="Arial"/>
          <w:sz w:val="24"/>
        </w:rPr>
        <w:t xml:space="preserve">Appendices B – School X’s Religious Education, Religious Studies and Sociology Departmental Self-Evaluation Report 2016-2017. </w:t>
      </w:r>
    </w:p>
    <w:p w14:paraId="2E40131F" w14:textId="77777777" w:rsidR="00335D99" w:rsidRDefault="00335D99" w:rsidP="00335D99">
      <w:pPr>
        <w:jc w:val="center"/>
        <w:rPr>
          <w:rFonts w:ascii="Arial" w:hAnsi="Arial" w:cs="Arial"/>
          <w:sz w:val="24"/>
        </w:rPr>
      </w:pPr>
      <w:r>
        <w:rPr>
          <w:noProof/>
        </w:rPr>
        <mc:AlternateContent>
          <mc:Choice Requires="wps">
            <w:drawing>
              <wp:anchor distT="0" distB="0" distL="114300" distR="114300" simplePos="0" relativeHeight="251663360" behindDoc="0" locked="0" layoutInCell="1" allowOverlap="1" wp14:anchorId="7677D1F6" wp14:editId="6DBEBA88">
                <wp:simplePos x="0" y="0"/>
                <wp:positionH relativeFrom="column">
                  <wp:posOffset>3555242</wp:posOffset>
                </wp:positionH>
                <wp:positionV relativeFrom="paragraph">
                  <wp:posOffset>1123951</wp:posOffset>
                </wp:positionV>
                <wp:extent cx="1978925" cy="341194"/>
                <wp:effectExtent l="0" t="0" r="21590" b="20955"/>
                <wp:wrapNone/>
                <wp:docPr id="12" name="Rectangle 12"/>
                <wp:cNvGraphicFramePr/>
                <a:graphic xmlns:a="http://schemas.openxmlformats.org/drawingml/2006/main">
                  <a:graphicData uri="http://schemas.microsoft.com/office/word/2010/wordprocessingShape">
                    <wps:wsp>
                      <wps:cNvSpPr/>
                      <wps:spPr>
                        <a:xfrm>
                          <a:off x="0" y="0"/>
                          <a:ext cx="1978925" cy="34119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048AB" id="Rectangle 12" o:spid="_x0000_s1026" style="position:absolute;margin-left:279.95pt;margin-top:88.5pt;width:155.8pt;height:26.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" fillcolor="#4f81bd [3204]" strokecolor="#243f60 [1604]" strokeweight="2pt"/>
            </w:pict>
          </mc:Fallback>
        </mc:AlternateContent>
      </w:r>
      <w:r>
        <w:rPr>
          <w:noProof/>
        </w:rPr>
        <mc:AlternateContent>
          <mc:Choice Requires="wps">
            <w:drawing>
              <wp:anchor distT="0" distB="0" distL="114300" distR="114300" simplePos="0" relativeHeight="251662336" behindDoc="0" locked="0" layoutInCell="1" allowOverlap="1" wp14:anchorId="4906F076" wp14:editId="2A43BEDA">
                <wp:simplePos x="0" y="0"/>
                <wp:positionH relativeFrom="column">
                  <wp:posOffset>1794681</wp:posOffset>
                </wp:positionH>
                <wp:positionV relativeFrom="paragraph">
                  <wp:posOffset>100368</wp:posOffset>
                </wp:positionV>
                <wp:extent cx="3357349" cy="436728"/>
                <wp:effectExtent l="0" t="0" r="14605" b="20955"/>
                <wp:wrapNone/>
                <wp:docPr id="11" name="Rectangle 11"/>
                <wp:cNvGraphicFramePr/>
                <a:graphic xmlns:a="http://schemas.openxmlformats.org/drawingml/2006/main">
                  <a:graphicData uri="http://schemas.microsoft.com/office/word/2010/wordprocessingShape">
                    <wps:wsp>
                      <wps:cNvSpPr/>
                      <wps:spPr>
                        <a:xfrm>
                          <a:off x="0" y="0"/>
                          <a:ext cx="3357349" cy="43672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583E1D" id="Rectangle 11" o:spid="_x0000_s1026" style="position:absolute;margin-left:141.3pt;margin-top:7.9pt;width:264.35pt;height:34.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" fillcolor="#4f81bd [3204]" strokecolor="#243f60 [1604]" strokeweight="2pt"/>
            </w:pict>
          </mc:Fallback>
        </mc:AlternateContent>
      </w:r>
      <w:r>
        <w:rPr>
          <w:noProof/>
        </w:rPr>
        <w:drawing>
          <wp:inline distT="0" distB="0" distL="0" distR="0" wp14:anchorId="03FD7ED3" wp14:editId="2EF71F06">
            <wp:extent cx="4899546" cy="2414848"/>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0957" t="20821" r="22353" b="14514"/>
                    <a:stretch/>
                  </pic:blipFill>
                  <pic:spPr bwMode="auto">
                    <a:xfrm>
                      <a:off x="0" y="0"/>
                      <a:ext cx="4941033" cy="2435296"/>
                    </a:xfrm>
                    <a:prstGeom prst="rect">
                      <a:avLst/>
                    </a:prstGeom>
                    <a:ln>
                      <a:noFill/>
                    </a:ln>
                    <a:extLst>
                      <a:ext uri="{53640926-AAD7-44D8-BBD7-CCE9431645EC}">
                        <a14:shadowObscured xmlns:a14="http://schemas.microsoft.com/office/drawing/2010/main"/>
                      </a:ext>
                    </a:extLst>
                  </pic:spPr>
                </pic:pic>
              </a:graphicData>
            </a:graphic>
          </wp:inline>
        </w:drawing>
      </w:r>
    </w:p>
    <w:p w14:paraId="6B2A613A" w14:textId="77777777" w:rsidR="00335D99" w:rsidRDefault="00335D99" w:rsidP="00335D99">
      <w:pPr>
        <w:jc w:val="center"/>
        <w:rPr>
          <w:rFonts w:ascii="Arial" w:hAnsi="Arial" w:cs="Arial"/>
          <w:sz w:val="24"/>
        </w:rPr>
      </w:pPr>
      <w:r>
        <w:rPr>
          <w:noProof/>
        </w:rPr>
        <w:lastRenderedPageBreak/>
        <w:drawing>
          <wp:inline distT="0" distB="0" distL="0" distR="0" wp14:anchorId="596DEFC3" wp14:editId="6993E9B9">
            <wp:extent cx="4902200" cy="255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924" t="24984" r="22033" b="6695"/>
                    <a:stretch/>
                  </pic:blipFill>
                  <pic:spPr bwMode="auto">
                    <a:xfrm>
                      <a:off x="0" y="0"/>
                      <a:ext cx="4902200" cy="2552700"/>
                    </a:xfrm>
                    <a:prstGeom prst="rect">
                      <a:avLst/>
                    </a:prstGeom>
                    <a:ln>
                      <a:noFill/>
                    </a:ln>
                    <a:extLst>
                      <a:ext uri="{53640926-AAD7-44D8-BBD7-CCE9431645EC}">
                        <a14:shadowObscured xmlns:a14="http://schemas.microsoft.com/office/drawing/2010/main"/>
                      </a:ext>
                    </a:extLst>
                  </pic:spPr>
                </pic:pic>
              </a:graphicData>
            </a:graphic>
          </wp:inline>
        </w:drawing>
      </w:r>
    </w:p>
    <w:p w14:paraId="53E0ED86" w14:textId="77777777" w:rsidR="00335D99" w:rsidRDefault="00335D99" w:rsidP="00335D99">
      <w:pPr>
        <w:jc w:val="center"/>
        <w:rPr>
          <w:rFonts w:ascii="Arial" w:hAnsi="Arial" w:cs="Arial"/>
          <w:sz w:val="24"/>
        </w:rPr>
      </w:pPr>
      <w:r>
        <w:rPr>
          <w:rFonts w:ascii="Arial" w:hAnsi="Arial" w:cs="Arial"/>
          <w:sz w:val="24"/>
        </w:rPr>
        <w:t xml:space="preserve">Appendices C – School X’s School Improvement Plan </w:t>
      </w:r>
    </w:p>
    <w:p w14:paraId="77050677" w14:textId="77777777" w:rsidR="00335D99" w:rsidRDefault="00335D99" w:rsidP="00335D99">
      <w:pPr>
        <w:jc w:val="center"/>
        <w:rPr>
          <w:rFonts w:ascii="Arial" w:hAnsi="Arial" w:cs="Arial"/>
          <w:sz w:val="24"/>
        </w:rPr>
      </w:pPr>
      <w:r>
        <w:rPr>
          <w:noProof/>
        </w:rPr>
        <mc:AlternateContent>
          <mc:Choice Requires="wps">
            <w:drawing>
              <wp:anchor distT="0" distB="0" distL="114300" distR="114300" simplePos="0" relativeHeight="251665408" behindDoc="0" locked="0" layoutInCell="1" allowOverlap="1" wp14:anchorId="6A7A4EE6" wp14:editId="7131AE96">
                <wp:simplePos x="0" y="0"/>
                <wp:positionH relativeFrom="column">
                  <wp:posOffset>3441700</wp:posOffset>
                </wp:positionH>
                <wp:positionV relativeFrom="paragraph">
                  <wp:posOffset>1256665</wp:posOffset>
                </wp:positionV>
                <wp:extent cx="1581150" cy="4000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1581150" cy="40005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268BC" id="Rectangle 16" o:spid="_x0000_s1026" style="position:absolute;margin-left:271pt;margin-top:98.95pt;width:124.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" fillcolor="#4472c4" strokecolor="#2f528f" strokeweight="1pt"/>
            </w:pict>
          </mc:Fallback>
        </mc:AlternateContent>
      </w:r>
      <w:r>
        <w:rPr>
          <w:noProof/>
        </w:rPr>
        <mc:AlternateContent>
          <mc:Choice Requires="wps">
            <w:drawing>
              <wp:anchor distT="0" distB="0" distL="114300" distR="114300" simplePos="0" relativeHeight="251664384" behindDoc="0" locked="0" layoutInCell="1" allowOverlap="1" wp14:anchorId="1A0392F3" wp14:editId="162941D5">
                <wp:simplePos x="0" y="0"/>
                <wp:positionH relativeFrom="column">
                  <wp:posOffset>2197100</wp:posOffset>
                </wp:positionH>
                <wp:positionV relativeFrom="paragraph">
                  <wp:posOffset>126365</wp:posOffset>
                </wp:positionV>
                <wp:extent cx="2413000" cy="400050"/>
                <wp:effectExtent l="0" t="0" r="25400" b="19050"/>
                <wp:wrapNone/>
                <wp:docPr id="15" name="Rectangle 15"/>
                <wp:cNvGraphicFramePr/>
                <a:graphic xmlns:a="http://schemas.openxmlformats.org/drawingml/2006/main">
                  <a:graphicData uri="http://schemas.microsoft.com/office/word/2010/wordprocessingShape">
                    <wps:wsp>
                      <wps:cNvSpPr/>
                      <wps:spPr>
                        <a:xfrm>
                          <a:off x="0" y="0"/>
                          <a:ext cx="2413000" cy="40005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D0A5E" id="Rectangle 15" o:spid="_x0000_s1026" style="position:absolute;margin-left:173pt;margin-top:9.95pt;width:190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" fillcolor="#4472c4" strokecolor="#2f528f" strokeweight="1pt"/>
            </w:pict>
          </mc:Fallback>
        </mc:AlternateContent>
      </w:r>
      <w:r>
        <w:rPr>
          <w:noProof/>
        </w:rPr>
        <w:drawing>
          <wp:inline distT="0" distB="0" distL="0" distR="0" wp14:anchorId="47CF3BC8" wp14:editId="7435325B">
            <wp:extent cx="3797300" cy="2362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1020" t="21414" r="21842" b="15365"/>
                    <a:stretch/>
                  </pic:blipFill>
                  <pic:spPr bwMode="auto">
                    <a:xfrm>
                      <a:off x="0" y="0"/>
                      <a:ext cx="3797300" cy="2362200"/>
                    </a:xfrm>
                    <a:prstGeom prst="rect">
                      <a:avLst/>
                    </a:prstGeom>
                    <a:ln>
                      <a:noFill/>
                    </a:ln>
                    <a:extLst>
                      <a:ext uri="{53640926-AAD7-44D8-BBD7-CCE9431645EC}">
                        <a14:shadowObscured xmlns:a14="http://schemas.microsoft.com/office/drawing/2010/main"/>
                      </a:ext>
                    </a:extLst>
                  </pic:spPr>
                </pic:pic>
              </a:graphicData>
            </a:graphic>
          </wp:inline>
        </w:drawing>
      </w:r>
    </w:p>
    <w:p w14:paraId="16D60CCD" w14:textId="77777777" w:rsidR="00335D99" w:rsidRDefault="00335D99" w:rsidP="00335D99">
      <w:pPr>
        <w:jc w:val="center"/>
        <w:rPr>
          <w:rFonts w:ascii="Arial" w:hAnsi="Arial" w:cs="Arial"/>
          <w:sz w:val="24"/>
        </w:rPr>
      </w:pPr>
      <w:r>
        <w:rPr>
          <w:noProof/>
        </w:rPr>
        <w:drawing>
          <wp:inline distT="0" distB="0" distL="0" distR="0" wp14:anchorId="37D9D0EF" wp14:editId="3A312EAD">
            <wp:extent cx="3816350" cy="2400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829" t="25492" r="21747" b="10266"/>
                    <a:stretch/>
                  </pic:blipFill>
                  <pic:spPr bwMode="auto">
                    <a:xfrm>
                      <a:off x="0" y="0"/>
                      <a:ext cx="3816350" cy="2400300"/>
                    </a:xfrm>
                    <a:prstGeom prst="rect">
                      <a:avLst/>
                    </a:prstGeom>
                    <a:ln>
                      <a:noFill/>
                    </a:ln>
                    <a:extLst>
                      <a:ext uri="{53640926-AAD7-44D8-BBD7-CCE9431645EC}">
                        <a14:shadowObscured xmlns:a14="http://schemas.microsoft.com/office/drawing/2010/main"/>
                      </a:ext>
                    </a:extLst>
                  </pic:spPr>
                </pic:pic>
              </a:graphicData>
            </a:graphic>
          </wp:inline>
        </w:drawing>
      </w:r>
    </w:p>
    <w:p w14:paraId="2CB5DAD5" w14:textId="77777777" w:rsidR="00335D99" w:rsidRDefault="00335D99" w:rsidP="00335D99">
      <w:pPr>
        <w:jc w:val="center"/>
        <w:rPr>
          <w:rFonts w:ascii="Arial" w:hAnsi="Arial" w:cs="Arial"/>
          <w:sz w:val="24"/>
        </w:rPr>
      </w:pPr>
    </w:p>
    <w:p w14:paraId="5798E65C" w14:textId="77777777" w:rsidR="00335D99" w:rsidRDefault="00335D99" w:rsidP="00335D99">
      <w:pPr>
        <w:jc w:val="center"/>
        <w:rPr>
          <w:rFonts w:ascii="Arial" w:hAnsi="Arial" w:cs="Arial"/>
          <w:sz w:val="24"/>
        </w:rPr>
      </w:pPr>
      <w:r>
        <w:rPr>
          <w:noProof/>
        </w:rPr>
        <w:lastRenderedPageBreak/>
        <w:drawing>
          <wp:inline distT="0" distB="0" distL="0" distR="0" wp14:anchorId="0BD87220" wp14:editId="099EEFD9">
            <wp:extent cx="3835400" cy="23812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543" t="23793" r="21747" b="12474"/>
                    <a:stretch/>
                  </pic:blipFill>
                  <pic:spPr bwMode="auto">
                    <a:xfrm>
                      <a:off x="0" y="0"/>
                      <a:ext cx="3835400" cy="2381250"/>
                    </a:xfrm>
                    <a:prstGeom prst="rect">
                      <a:avLst/>
                    </a:prstGeom>
                    <a:ln>
                      <a:noFill/>
                    </a:ln>
                    <a:extLst>
                      <a:ext uri="{53640926-AAD7-44D8-BBD7-CCE9431645EC}">
                        <a14:shadowObscured xmlns:a14="http://schemas.microsoft.com/office/drawing/2010/main"/>
                      </a:ext>
                    </a:extLst>
                  </pic:spPr>
                </pic:pic>
              </a:graphicData>
            </a:graphic>
          </wp:inline>
        </w:drawing>
      </w:r>
    </w:p>
    <w:p w14:paraId="1FCA2E1E" w14:textId="77777777" w:rsidR="00335D99" w:rsidRDefault="00335D99" w:rsidP="00335D99">
      <w:pPr>
        <w:jc w:val="center"/>
        <w:rPr>
          <w:rFonts w:ascii="Arial" w:hAnsi="Arial" w:cs="Arial"/>
          <w:sz w:val="24"/>
        </w:rPr>
      </w:pPr>
      <w:r>
        <w:rPr>
          <w:noProof/>
        </w:rPr>
        <w:drawing>
          <wp:inline distT="0" distB="0" distL="0" distR="0" wp14:anchorId="3164107B" wp14:editId="66D8FE72">
            <wp:extent cx="3873500" cy="2019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0256" t="31441" r="21460" b="14514"/>
                    <a:stretch/>
                  </pic:blipFill>
                  <pic:spPr bwMode="auto">
                    <a:xfrm>
                      <a:off x="0" y="0"/>
                      <a:ext cx="3873500" cy="2019300"/>
                    </a:xfrm>
                    <a:prstGeom prst="rect">
                      <a:avLst/>
                    </a:prstGeom>
                    <a:ln>
                      <a:noFill/>
                    </a:ln>
                    <a:extLst>
                      <a:ext uri="{53640926-AAD7-44D8-BBD7-CCE9431645EC}">
                        <a14:shadowObscured xmlns:a14="http://schemas.microsoft.com/office/drawing/2010/main"/>
                      </a:ext>
                    </a:extLst>
                  </pic:spPr>
                </pic:pic>
              </a:graphicData>
            </a:graphic>
          </wp:inline>
        </w:drawing>
      </w:r>
    </w:p>
    <w:p w14:paraId="2A57EE72" w14:textId="77777777" w:rsidR="00335D99" w:rsidRDefault="00335D99" w:rsidP="00335D99">
      <w:pPr>
        <w:jc w:val="center"/>
        <w:rPr>
          <w:rFonts w:ascii="Arial" w:hAnsi="Arial" w:cs="Arial"/>
          <w:sz w:val="24"/>
        </w:rPr>
      </w:pPr>
      <w:r>
        <w:rPr>
          <w:rFonts w:ascii="Arial" w:hAnsi="Arial" w:cs="Arial"/>
          <w:sz w:val="24"/>
        </w:rPr>
        <w:t xml:space="preserve">Appendices D – School X Year 8 Scheme of Work </w:t>
      </w:r>
    </w:p>
    <w:p w14:paraId="0A635213" w14:textId="77777777" w:rsidR="00335D99" w:rsidRDefault="00335D99" w:rsidP="00335D99">
      <w:pPr>
        <w:jc w:val="center"/>
        <w:rPr>
          <w:rFonts w:ascii="Arial" w:hAnsi="Arial" w:cs="Arial"/>
          <w:sz w:val="24"/>
        </w:rPr>
      </w:pPr>
      <w:r>
        <w:rPr>
          <w:rFonts w:ascii="Arial" w:hAnsi="Arial" w:cs="Arial"/>
          <w:noProof/>
          <w:sz w:val="24"/>
        </w:rPr>
        <w:lastRenderedPageBreak/>
        <mc:AlternateContent>
          <mc:Choice Requires="wps">
            <w:drawing>
              <wp:anchor distT="0" distB="0" distL="114300" distR="114300" simplePos="0" relativeHeight="251666432" behindDoc="0" locked="0" layoutInCell="1" allowOverlap="1" wp14:anchorId="2DA64B5C" wp14:editId="5FA5CA22">
                <wp:simplePos x="0" y="0"/>
                <wp:positionH relativeFrom="column">
                  <wp:posOffset>2216150</wp:posOffset>
                </wp:positionH>
                <wp:positionV relativeFrom="paragraph">
                  <wp:posOffset>640080</wp:posOffset>
                </wp:positionV>
                <wp:extent cx="2076450" cy="298450"/>
                <wp:effectExtent l="0" t="0" r="19050" b="25400"/>
                <wp:wrapNone/>
                <wp:docPr id="21" name="Rectangle 21"/>
                <wp:cNvGraphicFramePr/>
                <a:graphic xmlns:a="http://schemas.openxmlformats.org/drawingml/2006/main">
                  <a:graphicData uri="http://schemas.microsoft.com/office/word/2010/wordprocessingShape">
                    <wps:wsp>
                      <wps:cNvSpPr/>
                      <wps:spPr>
                        <a:xfrm>
                          <a:off x="0" y="0"/>
                          <a:ext cx="2076450" cy="298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3F86EA" id="Rectangle 21" o:spid="_x0000_s1026" style="position:absolute;margin-left:174.5pt;margin-top:50.4pt;width:163.5pt;height: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" fillcolor="#4f81bd [3204]" strokecolor="#243f60 [1604]" strokeweight="2pt"/>
            </w:pict>
          </mc:Fallback>
        </mc:AlternateContent>
      </w:r>
      <w:r>
        <w:rPr>
          <w:rFonts w:ascii="Arial" w:hAnsi="Arial" w:cs="Arial"/>
          <w:noProof/>
          <w:sz w:val="24"/>
        </w:rPr>
        <w:drawing>
          <wp:inline distT="0" distB="0" distL="0" distR="0" wp14:anchorId="76485FA7" wp14:editId="518A79AF">
            <wp:extent cx="6070600" cy="6248400"/>
            <wp:effectExtent l="0" t="0" r="6350" b="0"/>
            <wp:docPr id="20" name="Picture 20"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hool X SOW .jpg"/>
                    <pic:cNvPicPr/>
                  </pic:nvPicPr>
                  <pic:blipFill rotWithShape="1">
                    <a:blip r:embed="rId26" cstate="print">
                      <a:extLst>
                        <a:ext uri="{28A0092B-C50C-407E-A947-70E740481C1C}">
                          <a14:useLocalDpi xmlns:a14="http://schemas.microsoft.com/office/drawing/2010/main" val="0"/>
                        </a:ext>
                      </a:extLst>
                    </a:blip>
                    <a:srcRect b="4927"/>
                    <a:stretch/>
                  </pic:blipFill>
                  <pic:spPr bwMode="auto">
                    <a:xfrm>
                      <a:off x="0" y="0"/>
                      <a:ext cx="6070928" cy="6248738"/>
                    </a:xfrm>
                    <a:prstGeom prst="rect">
                      <a:avLst/>
                    </a:prstGeom>
                    <a:ln>
                      <a:noFill/>
                    </a:ln>
                    <a:extLst>
                      <a:ext uri="{53640926-AAD7-44D8-BBD7-CCE9431645EC}">
                        <a14:shadowObscured xmlns:a14="http://schemas.microsoft.com/office/drawing/2010/main"/>
                      </a:ext>
                    </a:extLst>
                  </pic:spPr>
                </pic:pic>
              </a:graphicData>
            </a:graphic>
          </wp:inline>
        </w:drawing>
      </w:r>
    </w:p>
    <w:p w14:paraId="1F506165" w14:textId="77777777" w:rsidR="00335D99" w:rsidRDefault="00335D99" w:rsidP="00335D99">
      <w:pPr>
        <w:jc w:val="center"/>
        <w:rPr>
          <w:rFonts w:ascii="Arial" w:hAnsi="Arial" w:cs="Arial"/>
          <w:sz w:val="24"/>
        </w:rPr>
      </w:pPr>
      <w:r>
        <w:rPr>
          <w:rFonts w:ascii="Arial" w:hAnsi="Arial" w:cs="Arial"/>
          <w:sz w:val="24"/>
        </w:rPr>
        <w:t xml:space="preserve">Appendices E – Abraham: Lesson 1 </w:t>
      </w:r>
    </w:p>
    <w:p w14:paraId="69B525E6" w14:textId="77777777" w:rsidR="00335D99" w:rsidRDefault="00335D99" w:rsidP="00335D99">
      <w:pPr>
        <w:jc w:val="center"/>
        <w:rPr>
          <w:rFonts w:ascii="Arial" w:hAnsi="Arial" w:cs="Arial"/>
          <w:sz w:val="24"/>
        </w:rPr>
      </w:pPr>
      <w:r>
        <w:rPr>
          <w:noProof/>
        </w:rPr>
        <w:lastRenderedPageBreak/>
        <w:drawing>
          <wp:inline distT="0" distB="0" distL="0" distR="0" wp14:anchorId="486B1DB1" wp14:editId="505EF773">
            <wp:extent cx="6645910" cy="37363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3736340"/>
                    </a:xfrm>
                    <a:prstGeom prst="rect">
                      <a:avLst/>
                    </a:prstGeom>
                  </pic:spPr>
                </pic:pic>
              </a:graphicData>
            </a:graphic>
          </wp:inline>
        </w:drawing>
      </w:r>
    </w:p>
    <w:p w14:paraId="657BC9F6" w14:textId="77777777" w:rsidR="00335D99" w:rsidRDefault="00335D99" w:rsidP="00335D99">
      <w:pPr>
        <w:jc w:val="center"/>
        <w:rPr>
          <w:rFonts w:ascii="Arial" w:hAnsi="Arial" w:cs="Arial"/>
          <w:sz w:val="24"/>
        </w:rPr>
      </w:pPr>
      <w:r>
        <w:rPr>
          <w:noProof/>
        </w:rPr>
        <w:drawing>
          <wp:inline distT="0" distB="0" distL="0" distR="0" wp14:anchorId="6647E30C" wp14:editId="6EDE2F41">
            <wp:extent cx="6645910" cy="373634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3736340"/>
                    </a:xfrm>
                    <a:prstGeom prst="rect">
                      <a:avLst/>
                    </a:prstGeom>
                  </pic:spPr>
                </pic:pic>
              </a:graphicData>
            </a:graphic>
          </wp:inline>
        </w:drawing>
      </w:r>
    </w:p>
    <w:p w14:paraId="58FFC14D" w14:textId="77777777" w:rsidR="00335D99" w:rsidRDefault="00335D99" w:rsidP="00335D99">
      <w:pPr>
        <w:jc w:val="center"/>
        <w:rPr>
          <w:rFonts w:ascii="Arial" w:hAnsi="Arial" w:cs="Arial"/>
          <w:sz w:val="24"/>
        </w:rPr>
      </w:pPr>
      <w:r>
        <w:rPr>
          <w:noProof/>
        </w:rPr>
        <w:lastRenderedPageBreak/>
        <w:drawing>
          <wp:inline distT="0" distB="0" distL="0" distR="0" wp14:anchorId="5CC7C008" wp14:editId="761ED0A3">
            <wp:extent cx="6645910" cy="373634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3736340"/>
                    </a:xfrm>
                    <a:prstGeom prst="rect">
                      <a:avLst/>
                    </a:prstGeom>
                  </pic:spPr>
                </pic:pic>
              </a:graphicData>
            </a:graphic>
          </wp:inline>
        </w:drawing>
      </w:r>
    </w:p>
    <w:p w14:paraId="66A78621" w14:textId="77777777" w:rsidR="00335D99" w:rsidRDefault="00335D99" w:rsidP="00335D99">
      <w:pPr>
        <w:jc w:val="center"/>
        <w:rPr>
          <w:rFonts w:ascii="Arial" w:hAnsi="Arial" w:cs="Arial"/>
          <w:sz w:val="24"/>
        </w:rPr>
      </w:pPr>
      <w:r>
        <w:rPr>
          <w:rFonts w:ascii="Arial" w:hAnsi="Arial" w:cs="Arial"/>
          <w:sz w:val="24"/>
        </w:rPr>
        <w:t>Appendices F – PTE 2 Mentor Feedback on Abraham: Lesson 1</w:t>
      </w:r>
    </w:p>
    <w:p w14:paraId="43D1940D"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17370656" wp14:editId="34FAD44E">
            <wp:extent cx="8861425" cy="6645910"/>
            <wp:effectExtent l="2858" t="0" r="0" b="0"/>
            <wp:docPr id="25" name="Picture 25" descr="A close up of text on a white surfa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braham Lesson 1 Feebdack.jp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8861425" cy="6645910"/>
                    </a:xfrm>
                    <a:prstGeom prst="rect">
                      <a:avLst/>
                    </a:prstGeom>
                  </pic:spPr>
                </pic:pic>
              </a:graphicData>
            </a:graphic>
          </wp:inline>
        </w:drawing>
      </w:r>
    </w:p>
    <w:p w14:paraId="5A299E6C" w14:textId="77777777" w:rsidR="00335D99" w:rsidRDefault="00335D99" w:rsidP="00335D99">
      <w:pPr>
        <w:jc w:val="center"/>
        <w:rPr>
          <w:rFonts w:ascii="Arial" w:hAnsi="Arial" w:cs="Arial"/>
          <w:sz w:val="24"/>
        </w:rPr>
      </w:pPr>
      <w:r>
        <w:rPr>
          <w:rFonts w:ascii="Arial" w:hAnsi="Arial" w:cs="Arial"/>
          <w:sz w:val="24"/>
        </w:rPr>
        <w:t>Appendices G – Pupil 19 Mind-Map</w:t>
      </w:r>
    </w:p>
    <w:p w14:paraId="09AF7E10"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15AF7D9E" wp14:editId="0872E29B">
            <wp:extent cx="8861425" cy="6645910"/>
            <wp:effectExtent l="2858" t="0" r="0" b="0"/>
            <wp:docPr id="26" name="Picture 26"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ppendices G.jpg"/>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8861425" cy="6645910"/>
                    </a:xfrm>
                    <a:prstGeom prst="rect">
                      <a:avLst/>
                    </a:prstGeom>
                  </pic:spPr>
                </pic:pic>
              </a:graphicData>
            </a:graphic>
          </wp:inline>
        </w:drawing>
      </w:r>
    </w:p>
    <w:p w14:paraId="2C83E3B6" w14:textId="77777777" w:rsidR="00335D99" w:rsidRDefault="00335D99" w:rsidP="00335D99">
      <w:pPr>
        <w:jc w:val="center"/>
        <w:rPr>
          <w:rFonts w:ascii="Arial" w:hAnsi="Arial" w:cs="Arial"/>
          <w:sz w:val="24"/>
        </w:rPr>
      </w:pPr>
      <w:r>
        <w:rPr>
          <w:rFonts w:ascii="Arial" w:hAnsi="Arial" w:cs="Arial"/>
          <w:sz w:val="24"/>
        </w:rPr>
        <w:t>Appendices H – Pupil 19 Storyboard</w:t>
      </w:r>
    </w:p>
    <w:p w14:paraId="5AC383EC"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3A6BFD5F" wp14:editId="5BE3EDAB">
            <wp:extent cx="6609506" cy="4957011"/>
            <wp:effectExtent l="0" t="0" r="1270" b="0"/>
            <wp:docPr id="27" name="Picture 27" descr="A close up of a news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ppendices H.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10558" cy="4957800"/>
                    </a:xfrm>
                    <a:prstGeom prst="rect">
                      <a:avLst/>
                    </a:prstGeom>
                  </pic:spPr>
                </pic:pic>
              </a:graphicData>
            </a:graphic>
          </wp:inline>
        </w:drawing>
      </w:r>
    </w:p>
    <w:p w14:paraId="19A8E787" w14:textId="77777777" w:rsidR="00335D99" w:rsidRDefault="00335D99" w:rsidP="00335D99">
      <w:pPr>
        <w:jc w:val="center"/>
        <w:rPr>
          <w:rFonts w:ascii="Arial" w:hAnsi="Arial" w:cs="Arial"/>
          <w:sz w:val="24"/>
        </w:rPr>
      </w:pPr>
      <w:r>
        <w:rPr>
          <w:rFonts w:ascii="Arial" w:hAnsi="Arial" w:cs="Arial"/>
          <w:sz w:val="24"/>
        </w:rPr>
        <w:t xml:space="preserve">Appendices I – Abraham: Lesson 2 </w:t>
      </w:r>
    </w:p>
    <w:p w14:paraId="7FC6E401" w14:textId="77777777" w:rsidR="00335D99" w:rsidRDefault="00335D99" w:rsidP="00335D99">
      <w:pPr>
        <w:jc w:val="center"/>
        <w:rPr>
          <w:rFonts w:ascii="Arial" w:hAnsi="Arial" w:cs="Arial"/>
          <w:sz w:val="24"/>
        </w:rPr>
      </w:pPr>
      <w:r>
        <w:rPr>
          <w:noProof/>
        </w:rPr>
        <w:drawing>
          <wp:inline distT="0" distB="0" distL="0" distR="0" wp14:anchorId="52218FE3" wp14:editId="6C99DE57">
            <wp:extent cx="6645910" cy="373634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3736340"/>
                    </a:xfrm>
                    <a:prstGeom prst="rect">
                      <a:avLst/>
                    </a:prstGeom>
                  </pic:spPr>
                </pic:pic>
              </a:graphicData>
            </a:graphic>
          </wp:inline>
        </w:drawing>
      </w:r>
    </w:p>
    <w:p w14:paraId="0C2602E3" w14:textId="77777777" w:rsidR="00335D99" w:rsidRDefault="00335D99" w:rsidP="00335D99">
      <w:pPr>
        <w:jc w:val="center"/>
        <w:rPr>
          <w:rFonts w:ascii="Arial" w:hAnsi="Arial" w:cs="Arial"/>
          <w:sz w:val="24"/>
        </w:rPr>
      </w:pPr>
      <w:r>
        <w:rPr>
          <w:noProof/>
        </w:rPr>
        <w:lastRenderedPageBreak/>
        <w:drawing>
          <wp:inline distT="0" distB="0" distL="0" distR="0" wp14:anchorId="65F39881" wp14:editId="4D2E7217">
            <wp:extent cx="6645910" cy="373634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3736340"/>
                    </a:xfrm>
                    <a:prstGeom prst="rect">
                      <a:avLst/>
                    </a:prstGeom>
                  </pic:spPr>
                </pic:pic>
              </a:graphicData>
            </a:graphic>
          </wp:inline>
        </w:drawing>
      </w:r>
    </w:p>
    <w:p w14:paraId="29497025" w14:textId="77777777" w:rsidR="00335D99" w:rsidRDefault="00335D99" w:rsidP="00335D99">
      <w:pPr>
        <w:jc w:val="center"/>
        <w:rPr>
          <w:rFonts w:ascii="Arial" w:hAnsi="Arial" w:cs="Arial"/>
          <w:sz w:val="24"/>
        </w:rPr>
      </w:pPr>
      <w:r>
        <w:rPr>
          <w:noProof/>
        </w:rPr>
        <w:drawing>
          <wp:inline distT="0" distB="0" distL="0" distR="0" wp14:anchorId="09DBC569" wp14:editId="4F30F395">
            <wp:extent cx="6645910" cy="373634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3736340"/>
                    </a:xfrm>
                    <a:prstGeom prst="rect">
                      <a:avLst/>
                    </a:prstGeom>
                  </pic:spPr>
                </pic:pic>
              </a:graphicData>
            </a:graphic>
          </wp:inline>
        </w:drawing>
      </w:r>
    </w:p>
    <w:p w14:paraId="015FFF55" w14:textId="77777777" w:rsidR="00335D99" w:rsidRDefault="00335D99" w:rsidP="00335D99">
      <w:pPr>
        <w:jc w:val="center"/>
        <w:rPr>
          <w:rFonts w:ascii="Arial" w:hAnsi="Arial" w:cs="Arial"/>
          <w:sz w:val="24"/>
        </w:rPr>
      </w:pPr>
      <w:r>
        <w:rPr>
          <w:rFonts w:ascii="Arial" w:hAnsi="Arial" w:cs="Arial"/>
          <w:sz w:val="24"/>
        </w:rPr>
        <w:t xml:space="preserve">Appendices J – PTE 2 Mentor Feedback on Abraham: Lesson 2 </w:t>
      </w:r>
    </w:p>
    <w:p w14:paraId="5AD302B8"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23FD7BF0" wp14:editId="4E8873BD">
            <wp:extent cx="8422960" cy="6645910"/>
            <wp:effectExtent l="0" t="6985" r="0" b="0"/>
            <wp:docPr id="31" name="Picture 31"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TE 2 MENTOR FEEBACK L2 AB.jpg"/>
                    <pic:cNvPicPr/>
                  </pic:nvPicPr>
                  <pic:blipFill rotWithShape="1">
                    <a:blip r:embed="rId36" cstate="print">
                      <a:extLst>
                        <a:ext uri="{28A0092B-C50C-407E-A947-70E740481C1C}">
                          <a14:useLocalDpi xmlns:a14="http://schemas.microsoft.com/office/drawing/2010/main" val="0"/>
                        </a:ext>
                      </a:extLst>
                    </a:blip>
                    <a:srcRect r="4948"/>
                    <a:stretch/>
                  </pic:blipFill>
                  <pic:spPr bwMode="auto">
                    <a:xfrm rot="5400000">
                      <a:off x="0" y="0"/>
                      <a:ext cx="8422960" cy="6645910"/>
                    </a:xfrm>
                    <a:prstGeom prst="rect">
                      <a:avLst/>
                    </a:prstGeom>
                    <a:ln>
                      <a:noFill/>
                    </a:ln>
                    <a:extLst>
                      <a:ext uri="{53640926-AAD7-44D8-BBD7-CCE9431645EC}">
                        <a14:shadowObscured xmlns:a14="http://schemas.microsoft.com/office/drawing/2010/main"/>
                      </a:ext>
                    </a:extLst>
                  </pic:spPr>
                </pic:pic>
              </a:graphicData>
            </a:graphic>
          </wp:inline>
        </w:drawing>
      </w:r>
    </w:p>
    <w:p w14:paraId="6C1C3871" w14:textId="77777777" w:rsidR="00335D99" w:rsidRDefault="00335D99" w:rsidP="00335D99">
      <w:pPr>
        <w:jc w:val="center"/>
        <w:rPr>
          <w:rFonts w:ascii="Arial" w:hAnsi="Arial" w:cs="Arial"/>
          <w:sz w:val="24"/>
        </w:rPr>
      </w:pPr>
      <w:r>
        <w:rPr>
          <w:rFonts w:ascii="Arial" w:hAnsi="Arial" w:cs="Arial"/>
          <w:sz w:val="24"/>
        </w:rPr>
        <w:t>Appendices K – Lesson 3: Abraham/Peer-Assessment</w:t>
      </w:r>
    </w:p>
    <w:p w14:paraId="11AE2610" w14:textId="77777777" w:rsidR="00335D99" w:rsidRDefault="00335D99" w:rsidP="00335D99">
      <w:pPr>
        <w:jc w:val="center"/>
        <w:rPr>
          <w:rFonts w:ascii="Arial" w:hAnsi="Arial" w:cs="Arial"/>
          <w:sz w:val="24"/>
        </w:rPr>
      </w:pPr>
      <w:r>
        <w:rPr>
          <w:noProof/>
        </w:rPr>
        <w:lastRenderedPageBreak/>
        <w:drawing>
          <wp:inline distT="0" distB="0" distL="0" distR="0" wp14:anchorId="63CCF36C" wp14:editId="48A3674D">
            <wp:extent cx="6645910" cy="373634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3736340"/>
                    </a:xfrm>
                    <a:prstGeom prst="rect">
                      <a:avLst/>
                    </a:prstGeom>
                  </pic:spPr>
                </pic:pic>
              </a:graphicData>
            </a:graphic>
          </wp:inline>
        </w:drawing>
      </w:r>
    </w:p>
    <w:p w14:paraId="60F6F393" w14:textId="77777777" w:rsidR="00335D99" w:rsidRDefault="00335D99" w:rsidP="00335D99">
      <w:pPr>
        <w:jc w:val="center"/>
        <w:rPr>
          <w:rFonts w:ascii="Arial" w:hAnsi="Arial" w:cs="Arial"/>
          <w:sz w:val="24"/>
        </w:rPr>
      </w:pPr>
      <w:r>
        <w:rPr>
          <w:noProof/>
        </w:rPr>
        <w:drawing>
          <wp:inline distT="0" distB="0" distL="0" distR="0" wp14:anchorId="3FBED27C" wp14:editId="169DACE6">
            <wp:extent cx="6645910" cy="373634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3736340"/>
                    </a:xfrm>
                    <a:prstGeom prst="rect">
                      <a:avLst/>
                    </a:prstGeom>
                  </pic:spPr>
                </pic:pic>
              </a:graphicData>
            </a:graphic>
          </wp:inline>
        </w:drawing>
      </w:r>
    </w:p>
    <w:p w14:paraId="7CEB3E58" w14:textId="77777777" w:rsidR="00335D99" w:rsidRDefault="00335D99" w:rsidP="00335D99">
      <w:pPr>
        <w:jc w:val="center"/>
        <w:rPr>
          <w:rFonts w:ascii="Arial" w:hAnsi="Arial" w:cs="Arial"/>
          <w:sz w:val="24"/>
        </w:rPr>
      </w:pPr>
      <w:r>
        <w:rPr>
          <w:noProof/>
        </w:rPr>
        <w:lastRenderedPageBreak/>
        <w:drawing>
          <wp:inline distT="0" distB="0" distL="0" distR="0" wp14:anchorId="39FEC2D4" wp14:editId="7D851F98">
            <wp:extent cx="6645910" cy="37363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3736340"/>
                    </a:xfrm>
                    <a:prstGeom prst="rect">
                      <a:avLst/>
                    </a:prstGeom>
                  </pic:spPr>
                </pic:pic>
              </a:graphicData>
            </a:graphic>
          </wp:inline>
        </w:drawing>
      </w:r>
    </w:p>
    <w:p w14:paraId="67C39E0B" w14:textId="77777777" w:rsidR="00335D99" w:rsidRDefault="00335D99" w:rsidP="00335D99">
      <w:pPr>
        <w:jc w:val="center"/>
        <w:rPr>
          <w:rFonts w:ascii="Arial" w:hAnsi="Arial" w:cs="Arial"/>
          <w:sz w:val="24"/>
        </w:rPr>
      </w:pPr>
      <w:r>
        <w:rPr>
          <w:noProof/>
        </w:rPr>
        <w:drawing>
          <wp:inline distT="0" distB="0" distL="0" distR="0" wp14:anchorId="771A0F97" wp14:editId="3DD4F9FC">
            <wp:extent cx="6645910" cy="373634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45910" cy="3736340"/>
                    </a:xfrm>
                    <a:prstGeom prst="rect">
                      <a:avLst/>
                    </a:prstGeom>
                  </pic:spPr>
                </pic:pic>
              </a:graphicData>
            </a:graphic>
          </wp:inline>
        </w:drawing>
      </w:r>
    </w:p>
    <w:p w14:paraId="5692F15F" w14:textId="77777777" w:rsidR="00335D99" w:rsidRDefault="00335D99" w:rsidP="00335D99">
      <w:pPr>
        <w:jc w:val="center"/>
        <w:rPr>
          <w:rFonts w:ascii="Arial" w:hAnsi="Arial" w:cs="Arial"/>
          <w:sz w:val="24"/>
        </w:rPr>
      </w:pPr>
      <w:r>
        <w:rPr>
          <w:noProof/>
        </w:rPr>
        <w:lastRenderedPageBreak/>
        <w:drawing>
          <wp:inline distT="0" distB="0" distL="0" distR="0" wp14:anchorId="2E870234" wp14:editId="0C6C4D93">
            <wp:extent cx="6645910" cy="373634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3736340"/>
                    </a:xfrm>
                    <a:prstGeom prst="rect">
                      <a:avLst/>
                    </a:prstGeom>
                  </pic:spPr>
                </pic:pic>
              </a:graphicData>
            </a:graphic>
          </wp:inline>
        </w:drawing>
      </w:r>
    </w:p>
    <w:p w14:paraId="5E42C07F" w14:textId="77777777" w:rsidR="00335D99" w:rsidRDefault="00335D99" w:rsidP="00335D99">
      <w:pPr>
        <w:jc w:val="center"/>
        <w:rPr>
          <w:rFonts w:ascii="Arial" w:hAnsi="Arial" w:cs="Arial"/>
          <w:sz w:val="24"/>
        </w:rPr>
      </w:pPr>
      <w:r>
        <w:rPr>
          <w:noProof/>
        </w:rPr>
        <w:drawing>
          <wp:inline distT="0" distB="0" distL="0" distR="0" wp14:anchorId="31E8BB39" wp14:editId="486343BC">
            <wp:extent cx="6645910" cy="373634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3736340"/>
                    </a:xfrm>
                    <a:prstGeom prst="rect">
                      <a:avLst/>
                    </a:prstGeom>
                  </pic:spPr>
                </pic:pic>
              </a:graphicData>
            </a:graphic>
          </wp:inline>
        </w:drawing>
      </w:r>
    </w:p>
    <w:p w14:paraId="41DFB30F" w14:textId="77777777" w:rsidR="00335D99" w:rsidRDefault="00335D99" w:rsidP="00335D99">
      <w:pPr>
        <w:jc w:val="center"/>
        <w:rPr>
          <w:rFonts w:ascii="Arial" w:hAnsi="Arial" w:cs="Arial"/>
          <w:sz w:val="24"/>
        </w:rPr>
      </w:pPr>
      <w:r>
        <w:rPr>
          <w:noProof/>
        </w:rPr>
        <w:lastRenderedPageBreak/>
        <w:drawing>
          <wp:inline distT="0" distB="0" distL="0" distR="0" wp14:anchorId="232A6ED2" wp14:editId="2DEA3ADE">
            <wp:extent cx="6645910" cy="373634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3736340"/>
                    </a:xfrm>
                    <a:prstGeom prst="rect">
                      <a:avLst/>
                    </a:prstGeom>
                  </pic:spPr>
                </pic:pic>
              </a:graphicData>
            </a:graphic>
          </wp:inline>
        </w:drawing>
      </w:r>
    </w:p>
    <w:p w14:paraId="3DE52802" w14:textId="77777777" w:rsidR="00335D99" w:rsidRDefault="00335D99" w:rsidP="00335D99">
      <w:pPr>
        <w:jc w:val="center"/>
        <w:rPr>
          <w:rFonts w:ascii="Arial" w:hAnsi="Arial" w:cs="Arial"/>
          <w:sz w:val="24"/>
        </w:rPr>
      </w:pPr>
      <w:r>
        <w:rPr>
          <w:noProof/>
        </w:rPr>
        <w:drawing>
          <wp:inline distT="0" distB="0" distL="0" distR="0" wp14:anchorId="0DE1228E" wp14:editId="10F75524">
            <wp:extent cx="6645910" cy="373634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645910" cy="3736340"/>
                    </a:xfrm>
                    <a:prstGeom prst="rect">
                      <a:avLst/>
                    </a:prstGeom>
                  </pic:spPr>
                </pic:pic>
              </a:graphicData>
            </a:graphic>
          </wp:inline>
        </w:drawing>
      </w:r>
    </w:p>
    <w:p w14:paraId="1B3C9B3D" w14:textId="77777777" w:rsidR="00335D99" w:rsidRDefault="00335D99" w:rsidP="00335D99">
      <w:pPr>
        <w:jc w:val="center"/>
        <w:rPr>
          <w:rFonts w:ascii="Arial" w:hAnsi="Arial" w:cs="Arial"/>
          <w:sz w:val="24"/>
        </w:rPr>
      </w:pPr>
      <w:r>
        <w:rPr>
          <w:noProof/>
        </w:rPr>
        <w:lastRenderedPageBreak/>
        <w:drawing>
          <wp:inline distT="0" distB="0" distL="0" distR="0" wp14:anchorId="7B89F85A" wp14:editId="77099053">
            <wp:extent cx="6645910" cy="373634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645910" cy="3736340"/>
                    </a:xfrm>
                    <a:prstGeom prst="rect">
                      <a:avLst/>
                    </a:prstGeom>
                  </pic:spPr>
                </pic:pic>
              </a:graphicData>
            </a:graphic>
          </wp:inline>
        </w:drawing>
      </w:r>
    </w:p>
    <w:p w14:paraId="7F1C23B6" w14:textId="77777777" w:rsidR="00335D99" w:rsidRDefault="00335D99" w:rsidP="00335D99">
      <w:pPr>
        <w:jc w:val="center"/>
        <w:rPr>
          <w:rFonts w:ascii="Arial" w:hAnsi="Arial" w:cs="Arial"/>
          <w:sz w:val="24"/>
        </w:rPr>
      </w:pPr>
      <w:r>
        <w:rPr>
          <w:rFonts w:ascii="Arial" w:hAnsi="Arial" w:cs="Arial"/>
          <w:sz w:val="24"/>
        </w:rPr>
        <w:t xml:space="preserve">Appendices L – Pupil 16 </w:t>
      </w:r>
    </w:p>
    <w:p w14:paraId="7592F1ED" w14:textId="77777777" w:rsidR="00335D99" w:rsidRDefault="00335D99" w:rsidP="00335D99">
      <w:pPr>
        <w:jc w:val="center"/>
        <w:rPr>
          <w:rFonts w:ascii="Arial" w:hAnsi="Arial" w:cs="Arial"/>
          <w:sz w:val="24"/>
        </w:rPr>
      </w:pPr>
      <w:r>
        <w:rPr>
          <w:rFonts w:ascii="Arial" w:hAnsi="Arial" w:cs="Arial"/>
          <w:noProof/>
          <w:sz w:val="24"/>
        </w:rPr>
        <w:drawing>
          <wp:inline distT="0" distB="0" distL="0" distR="0" wp14:anchorId="44F2B544" wp14:editId="2E20C7F2">
            <wp:extent cx="6809663" cy="5086350"/>
            <wp:effectExtent l="0" t="0" r="0" b="0"/>
            <wp:docPr id="41" name="Picture 41"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upil 16.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814035" cy="5089616"/>
                    </a:xfrm>
                    <a:prstGeom prst="rect">
                      <a:avLst/>
                    </a:prstGeom>
                  </pic:spPr>
                </pic:pic>
              </a:graphicData>
            </a:graphic>
          </wp:inline>
        </w:drawing>
      </w:r>
    </w:p>
    <w:p w14:paraId="21581832" w14:textId="77777777" w:rsidR="00335D99" w:rsidRDefault="00335D99" w:rsidP="00335D99">
      <w:pPr>
        <w:jc w:val="center"/>
        <w:rPr>
          <w:rFonts w:ascii="Arial" w:hAnsi="Arial" w:cs="Arial"/>
          <w:sz w:val="24"/>
        </w:rPr>
      </w:pPr>
      <w:r>
        <w:rPr>
          <w:rFonts w:ascii="Arial" w:hAnsi="Arial" w:cs="Arial"/>
          <w:sz w:val="24"/>
        </w:rPr>
        <w:t>Appendices M – Pupil 12</w:t>
      </w:r>
    </w:p>
    <w:p w14:paraId="4BA4FCD2"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3AA36B60" wp14:editId="2A5B2143">
            <wp:extent cx="6835168" cy="5105400"/>
            <wp:effectExtent l="0" t="0" r="3810" b="0"/>
            <wp:docPr id="42" name="Picture 42"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upil 13.JPG"/>
                    <pic:cNvPicPr/>
                  </pic:nvPicPr>
                  <pic:blipFill>
                    <a:blip r:embed="rId47" cstate="print">
                      <a:extLst>
                        <a:ext uri="{28A0092B-C50C-407E-A947-70E740481C1C}">
                          <a14:useLocalDpi xmlns:a14="http://schemas.microsoft.com/office/drawing/2010/main" val="0"/>
                        </a:ext>
                      </a:extLst>
                    </a:blip>
                    <a:stretch>
                      <a:fillRect/>
                    </a:stretch>
                  </pic:blipFill>
                  <pic:spPr>
                    <a:xfrm rot="10800000">
                      <a:off x="0" y="0"/>
                      <a:ext cx="6838603" cy="5107966"/>
                    </a:xfrm>
                    <a:prstGeom prst="rect">
                      <a:avLst/>
                    </a:prstGeom>
                  </pic:spPr>
                </pic:pic>
              </a:graphicData>
            </a:graphic>
          </wp:inline>
        </w:drawing>
      </w:r>
    </w:p>
    <w:p w14:paraId="1383E925" w14:textId="77777777" w:rsidR="00335D99" w:rsidRDefault="00335D99" w:rsidP="00335D99">
      <w:pPr>
        <w:jc w:val="center"/>
        <w:rPr>
          <w:rFonts w:ascii="Arial" w:hAnsi="Arial" w:cs="Arial"/>
          <w:sz w:val="24"/>
        </w:rPr>
      </w:pPr>
      <w:r>
        <w:rPr>
          <w:rFonts w:ascii="Arial" w:hAnsi="Arial" w:cs="Arial"/>
          <w:sz w:val="24"/>
        </w:rPr>
        <w:t xml:space="preserve">Appendices N – Pupil 17 </w:t>
      </w:r>
    </w:p>
    <w:p w14:paraId="4693F6A6"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0517C396" wp14:editId="7BB70677">
            <wp:extent cx="6645910" cy="4963795"/>
            <wp:effectExtent l="0" t="0" r="2540" b="8255"/>
            <wp:docPr id="43" name="Picture 43"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upil 17.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645910" cy="4963795"/>
                    </a:xfrm>
                    <a:prstGeom prst="rect">
                      <a:avLst/>
                    </a:prstGeom>
                  </pic:spPr>
                </pic:pic>
              </a:graphicData>
            </a:graphic>
          </wp:inline>
        </w:drawing>
      </w:r>
    </w:p>
    <w:p w14:paraId="356A1FB6" w14:textId="77777777" w:rsidR="00335D99" w:rsidRDefault="00335D99" w:rsidP="00335D99">
      <w:pPr>
        <w:jc w:val="center"/>
        <w:rPr>
          <w:rFonts w:ascii="Arial" w:hAnsi="Arial" w:cs="Arial"/>
          <w:sz w:val="24"/>
        </w:rPr>
      </w:pPr>
      <w:r>
        <w:rPr>
          <w:rFonts w:ascii="Arial" w:hAnsi="Arial" w:cs="Arial"/>
          <w:sz w:val="24"/>
        </w:rPr>
        <w:t xml:space="preserve">Appendices O – Pupil 9 </w:t>
      </w:r>
    </w:p>
    <w:p w14:paraId="434F680D" w14:textId="77777777" w:rsidR="00335D99" w:rsidRDefault="00335D99" w:rsidP="00335D99">
      <w:pPr>
        <w:jc w:val="center"/>
        <w:rPr>
          <w:rFonts w:ascii="Arial" w:hAnsi="Arial" w:cs="Arial"/>
          <w:sz w:val="24"/>
        </w:rPr>
      </w:pPr>
      <w:r>
        <w:rPr>
          <w:rFonts w:ascii="Arial" w:hAnsi="Arial" w:cs="Arial"/>
          <w:noProof/>
          <w:sz w:val="24"/>
        </w:rPr>
        <w:lastRenderedPageBreak/>
        <w:drawing>
          <wp:inline distT="0" distB="0" distL="0" distR="0" wp14:anchorId="377FED2E" wp14:editId="41BAD18E">
            <wp:extent cx="6645910" cy="4963795"/>
            <wp:effectExtent l="0" t="0" r="2540" b="8255"/>
            <wp:docPr id="44" name="Picture 44"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upil 9.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45910" cy="4963795"/>
                    </a:xfrm>
                    <a:prstGeom prst="rect">
                      <a:avLst/>
                    </a:prstGeom>
                  </pic:spPr>
                </pic:pic>
              </a:graphicData>
            </a:graphic>
          </wp:inline>
        </w:drawing>
      </w:r>
    </w:p>
    <w:p w14:paraId="585799E1" w14:textId="77777777" w:rsidR="00335D99" w:rsidRDefault="00335D99" w:rsidP="00335D99">
      <w:pPr>
        <w:jc w:val="center"/>
        <w:rPr>
          <w:rFonts w:ascii="Arial" w:hAnsi="Arial" w:cs="Arial"/>
          <w:sz w:val="24"/>
        </w:rPr>
      </w:pPr>
      <w:r>
        <w:rPr>
          <w:rFonts w:ascii="Arial" w:hAnsi="Arial" w:cs="Arial"/>
          <w:sz w:val="24"/>
        </w:rPr>
        <w:t>Appendices P – Peer-Assessed Re-Drafted Answers</w:t>
      </w:r>
    </w:p>
    <w:p w14:paraId="33B740CE" w14:textId="77777777" w:rsidR="00335D99" w:rsidRDefault="00335D99" w:rsidP="00335D99">
      <w:pPr>
        <w:jc w:val="center"/>
        <w:rPr>
          <w:sz w:val="32"/>
          <w:u w:val="single"/>
        </w:rPr>
      </w:pPr>
      <w:r w:rsidRPr="00907B8C">
        <w:rPr>
          <w:sz w:val="32"/>
          <w:u w:val="single"/>
        </w:rPr>
        <w:t>Pupil 22</w:t>
      </w:r>
    </w:p>
    <w:p w14:paraId="183DE02D" w14:textId="77777777" w:rsidR="00335D99" w:rsidRPr="00907B8C" w:rsidRDefault="00335D99" w:rsidP="00335D99">
      <w:pPr>
        <w:jc w:val="center"/>
        <w:rPr>
          <w:sz w:val="32"/>
          <w:u w:val="single"/>
        </w:rPr>
      </w:pPr>
      <w:r w:rsidRPr="00297892">
        <w:rPr>
          <w:noProof/>
          <w:sz w:val="32"/>
        </w:rPr>
        <w:lastRenderedPageBreak/>
        <w:drawing>
          <wp:inline distT="0" distB="0" distL="0" distR="0" wp14:anchorId="3706183E" wp14:editId="7FDCCC53">
            <wp:extent cx="4580966" cy="5569527"/>
            <wp:effectExtent l="0" t="0" r="0" b="0"/>
            <wp:docPr id="46" name="Picture 46"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upil 22.jpg"/>
                    <pic:cNvPicPr/>
                  </pic:nvPicPr>
                  <pic:blipFill rotWithShape="1">
                    <a:blip r:embed="rId50" cstate="print">
                      <a:extLst>
                        <a:ext uri="{28A0092B-C50C-407E-A947-70E740481C1C}">
                          <a14:useLocalDpi xmlns:a14="http://schemas.microsoft.com/office/drawing/2010/main" val="0"/>
                        </a:ext>
                      </a:extLst>
                    </a:blip>
                    <a:srcRect b="9187"/>
                    <a:stretch/>
                  </pic:blipFill>
                  <pic:spPr bwMode="auto">
                    <a:xfrm>
                      <a:off x="0" y="0"/>
                      <a:ext cx="4592064" cy="5583019"/>
                    </a:xfrm>
                    <a:prstGeom prst="rect">
                      <a:avLst/>
                    </a:prstGeom>
                    <a:ln>
                      <a:noFill/>
                    </a:ln>
                    <a:extLst>
                      <a:ext uri="{53640926-AAD7-44D8-BBD7-CCE9431645EC}">
                        <a14:shadowObscured xmlns:a14="http://schemas.microsoft.com/office/drawing/2010/main"/>
                      </a:ext>
                    </a:extLst>
                  </pic:spPr>
                </pic:pic>
              </a:graphicData>
            </a:graphic>
          </wp:inline>
        </w:drawing>
      </w:r>
    </w:p>
    <w:p w14:paraId="18CDE0D0" w14:textId="77777777" w:rsidR="00335D99" w:rsidRPr="00257E52" w:rsidRDefault="00335D99" w:rsidP="00335D99">
      <w:pPr>
        <w:pStyle w:val="ListParagraph"/>
        <w:numPr>
          <w:ilvl w:val="0"/>
          <w:numId w:val="31"/>
        </w:numPr>
        <w:spacing w:after="160" w:line="259" w:lineRule="auto"/>
        <w:jc w:val="both"/>
        <w:rPr>
          <w:i/>
          <w:sz w:val="32"/>
        </w:rPr>
      </w:pPr>
      <w:r w:rsidRPr="00257E52">
        <w:rPr>
          <w:i/>
          <w:sz w:val="32"/>
        </w:rPr>
        <w:t xml:space="preserve">I agree with this statement because if God didn’t test Abraham God would be unsure it Abraham was actually loyal and committed to God. However, I also disagree because God could’ve trusted Abrahams words and trusted that he was committed instead of testing him. I also think that there were many other significant events in Abraham’s life, such as the covenant agreement he made with God and the call he received to leave his home of Ur, because this was the starting point that led on to the rest of the events in his life. </w:t>
      </w:r>
    </w:p>
    <w:p w14:paraId="2D364376" w14:textId="77777777" w:rsidR="00335D99" w:rsidRDefault="00335D99" w:rsidP="00335D99">
      <w:pPr>
        <w:jc w:val="both"/>
        <w:rPr>
          <w:sz w:val="32"/>
        </w:rPr>
      </w:pPr>
    </w:p>
    <w:p w14:paraId="15C6CCAD" w14:textId="77777777" w:rsidR="00335D99" w:rsidRDefault="00335D99" w:rsidP="00335D99">
      <w:pPr>
        <w:jc w:val="center"/>
        <w:rPr>
          <w:sz w:val="32"/>
          <w:u w:val="single"/>
        </w:rPr>
      </w:pPr>
      <w:r w:rsidRPr="0056401E">
        <w:rPr>
          <w:sz w:val="32"/>
          <w:u w:val="single"/>
        </w:rPr>
        <w:t>Pupil 15</w:t>
      </w:r>
    </w:p>
    <w:p w14:paraId="06A6D547" w14:textId="77777777" w:rsidR="00335D99" w:rsidRPr="0056401E" w:rsidRDefault="00335D99" w:rsidP="00335D99">
      <w:pPr>
        <w:jc w:val="center"/>
        <w:rPr>
          <w:sz w:val="32"/>
          <w:u w:val="single"/>
        </w:rPr>
      </w:pPr>
      <w:r w:rsidRPr="00297892">
        <w:rPr>
          <w:i/>
          <w:noProof/>
          <w:sz w:val="32"/>
        </w:rPr>
        <w:lastRenderedPageBreak/>
        <w:drawing>
          <wp:inline distT="0" distB="0" distL="0" distR="0" wp14:anchorId="54978922" wp14:editId="5474B64A">
            <wp:extent cx="5731510" cy="3641834"/>
            <wp:effectExtent l="0" t="0" r="2540" b="0"/>
            <wp:docPr id="47" name="Picture 47"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upil 15.jpg"/>
                    <pic:cNvPicPr/>
                  </pic:nvPicPr>
                  <pic:blipFill rotWithShape="1">
                    <a:blip r:embed="rId51" cstate="print">
                      <a:extLst>
                        <a:ext uri="{28A0092B-C50C-407E-A947-70E740481C1C}">
                          <a14:useLocalDpi xmlns:a14="http://schemas.microsoft.com/office/drawing/2010/main" val="0"/>
                        </a:ext>
                      </a:extLst>
                    </a:blip>
                    <a:srcRect b="56661"/>
                    <a:stretch/>
                  </pic:blipFill>
                  <pic:spPr bwMode="auto">
                    <a:xfrm>
                      <a:off x="0" y="0"/>
                      <a:ext cx="5731510" cy="3641834"/>
                    </a:xfrm>
                    <a:prstGeom prst="rect">
                      <a:avLst/>
                    </a:prstGeom>
                    <a:ln>
                      <a:noFill/>
                    </a:ln>
                    <a:extLst>
                      <a:ext uri="{53640926-AAD7-44D8-BBD7-CCE9431645EC}">
                        <a14:shadowObscured xmlns:a14="http://schemas.microsoft.com/office/drawing/2010/main"/>
                      </a:ext>
                    </a:extLst>
                  </pic:spPr>
                </pic:pic>
              </a:graphicData>
            </a:graphic>
          </wp:inline>
        </w:drawing>
      </w:r>
    </w:p>
    <w:p w14:paraId="4950C2C2" w14:textId="77777777" w:rsidR="00335D99" w:rsidRPr="00E6405C" w:rsidRDefault="00335D99" w:rsidP="00335D99">
      <w:pPr>
        <w:pStyle w:val="ListParagraph"/>
        <w:numPr>
          <w:ilvl w:val="0"/>
          <w:numId w:val="30"/>
        </w:numPr>
        <w:spacing w:after="160" w:line="259" w:lineRule="auto"/>
        <w:jc w:val="both"/>
        <w:rPr>
          <w:i/>
          <w:sz w:val="32"/>
        </w:rPr>
      </w:pPr>
      <w:r w:rsidRPr="00257E52">
        <w:rPr>
          <w:i/>
          <w:sz w:val="32"/>
        </w:rPr>
        <w:t xml:space="preserve">‘God testing Abraham is the most significant event in Abraham’s life.’ I mostly agree with this statement because he could only be the father to many nations if he passed the test. This event also showed Abrahams faith to God. Although, I also think that the birth of Isaac was a really significant events in Abrahams life because he and Sarah had always wanted a child together, and this showed that God keeps his promises to those who follow him. </w:t>
      </w:r>
    </w:p>
    <w:p w14:paraId="3A4C6EA2" w14:textId="77777777" w:rsidR="00335D99" w:rsidRDefault="00335D99" w:rsidP="00335D99">
      <w:pPr>
        <w:jc w:val="center"/>
        <w:rPr>
          <w:sz w:val="32"/>
          <w:u w:val="single"/>
        </w:rPr>
      </w:pPr>
      <w:r w:rsidRPr="00953774">
        <w:rPr>
          <w:sz w:val="32"/>
          <w:u w:val="single"/>
        </w:rPr>
        <w:t>Pupil 11</w:t>
      </w:r>
    </w:p>
    <w:p w14:paraId="213D14BF" w14:textId="77777777" w:rsidR="00335D99" w:rsidRDefault="00335D99" w:rsidP="00335D99">
      <w:pPr>
        <w:jc w:val="center"/>
        <w:rPr>
          <w:sz w:val="32"/>
          <w:u w:val="single"/>
        </w:rPr>
      </w:pPr>
      <w:r w:rsidRPr="00297892">
        <w:rPr>
          <w:noProof/>
          <w:sz w:val="32"/>
        </w:rPr>
        <w:drawing>
          <wp:inline distT="0" distB="0" distL="0" distR="0" wp14:anchorId="1C822607" wp14:editId="47F998A9">
            <wp:extent cx="5731510" cy="3007894"/>
            <wp:effectExtent l="0" t="0" r="2540" b="2540"/>
            <wp:docPr id="48" name="Picture 48"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pil 11.jpg"/>
                    <pic:cNvPicPr/>
                  </pic:nvPicPr>
                  <pic:blipFill rotWithShape="1">
                    <a:blip r:embed="rId52" cstate="print">
                      <a:extLst>
                        <a:ext uri="{28A0092B-C50C-407E-A947-70E740481C1C}">
                          <a14:useLocalDpi xmlns:a14="http://schemas.microsoft.com/office/drawing/2010/main" val="0"/>
                        </a:ext>
                      </a:extLst>
                    </a:blip>
                    <a:srcRect b="60823"/>
                    <a:stretch/>
                  </pic:blipFill>
                  <pic:spPr bwMode="auto">
                    <a:xfrm>
                      <a:off x="0" y="0"/>
                      <a:ext cx="5731510" cy="3007894"/>
                    </a:xfrm>
                    <a:prstGeom prst="rect">
                      <a:avLst/>
                    </a:prstGeom>
                    <a:ln>
                      <a:noFill/>
                    </a:ln>
                    <a:extLst>
                      <a:ext uri="{53640926-AAD7-44D8-BBD7-CCE9431645EC}">
                        <a14:shadowObscured xmlns:a14="http://schemas.microsoft.com/office/drawing/2010/main"/>
                      </a:ext>
                    </a:extLst>
                  </pic:spPr>
                </pic:pic>
              </a:graphicData>
            </a:graphic>
          </wp:inline>
        </w:drawing>
      </w:r>
    </w:p>
    <w:p w14:paraId="3F519956" w14:textId="77777777" w:rsidR="00335D99" w:rsidRPr="00257E52" w:rsidRDefault="00335D99" w:rsidP="00335D99">
      <w:pPr>
        <w:pStyle w:val="ListParagraph"/>
        <w:numPr>
          <w:ilvl w:val="0"/>
          <w:numId w:val="29"/>
        </w:numPr>
        <w:spacing w:after="160" w:line="259" w:lineRule="auto"/>
        <w:jc w:val="both"/>
        <w:rPr>
          <w:i/>
          <w:sz w:val="32"/>
        </w:rPr>
      </w:pPr>
      <w:r w:rsidRPr="00257E52">
        <w:rPr>
          <w:i/>
          <w:sz w:val="32"/>
        </w:rPr>
        <w:t xml:space="preserve">I agree with this statement because it started a mutual trust between God and Abraham. This meant that God could truly believe that Abraham would follow his orders, even if this meant he had to kill his son. This also meant </w:t>
      </w:r>
      <w:r w:rsidRPr="00257E52">
        <w:rPr>
          <w:i/>
          <w:sz w:val="32"/>
        </w:rPr>
        <w:lastRenderedPageBreak/>
        <w:t xml:space="preserve">that Abraham could trust God because he knew how much he loved his son and knew it would be hard for him to kill Isaac. </w:t>
      </w:r>
    </w:p>
    <w:p w14:paraId="387449B1" w14:textId="77777777" w:rsidR="00335D99" w:rsidRPr="009E14D1" w:rsidRDefault="00335D99" w:rsidP="00335D99">
      <w:pPr>
        <w:jc w:val="center"/>
        <w:rPr>
          <w:rFonts w:ascii="Arial" w:hAnsi="Arial" w:cs="Arial"/>
          <w:sz w:val="24"/>
        </w:rPr>
      </w:pPr>
    </w:p>
    <w:p w14:paraId="3376251D" w14:textId="77777777" w:rsidR="00335D99" w:rsidRPr="00AC5937" w:rsidRDefault="00335D99" w:rsidP="00335D99">
      <w:pPr>
        <w:spacing w:line="480" w:lineRule="auto"/>
        <w:jc w:val="both"/>
        <w:rPr>
          <w:rFonts w:ascii="Arial" w:hAnsi="Arial" w:cs="Arial"/>
          <w:sz w:val="24"/>
          <w:u w:val="single"/>
        </w:rPr>
      </w:pPr>
    </w:p>
    <w:sectPr w:rsidR="00335D99" w:rsidRPr="00AC5937" w:rsidSect="00F248DC">
      <w:footerReference w:type="default" r:id="rId5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E545A" w14:textId="77777777" w:rsidR="002144CE" w:rsidRDefault="002144CE">
      <w:r>
        <w:separator/>
      </w:r>
    </w:p>
  </w:endnote>
  <w:endnote w:type="continuationSeparator" w:id="0">
    <w:p w14:paraId="60E6ED20" w14:textId="77777777" w:rsidR="002144CE" w:rsidRDefault="00214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5028355"/>
      <w:docPartObj>
        <w:docPartGallery w:val="Page Numbers (Bottom of Page)"/>
        <w:docPartUnique/>
      </w:docPartObj>
    </w:sdtPr>
    <w:sdtEndPr>
      <w:rPr>
        <w:noProof/>
      </w:rPr>
    </w:sdtEndPr>
    <w:sdtContent>
      <w:p w14:paraId="1FEEE421" w14:textId="77777777" w:rsidR="00021DF3" w:rsidRDefault="00021DF3">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AB27FC2" w14:textId="77777777" w:rsidR="00021DF3" w:rsidRDefault="00021DF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C3FE5" w14:textId="77777777" w:rsidR="002144CE" w:rsidRDefault="002144CE">
      <w:r>
        <w:separator/>
      </w:r>
    </w:p>
  </w:footnote>
  <w:footnote w:type="continuationSeparator" w:id="0">
    <w:p w14:paraId="41724D55" w14:textId="77777777" w:rsidR="002144CE" w:rsidRDefault="00214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1DBC"/>
    <w:multiLevelType w:val="hybridMultilevel"/>
    <w:tmpl w:val="FED039AE"/>
    <w:lvl w:ilvl="0" w:tplc="630A043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D5097"/>
    <w:multiLevelType w:val="hybridMultilevel"/>
    <w:tmpl w:val="88803E10"/>
    <w:lvl w:ilvl="0" w:tplc="F886BE92">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F91F2B"/>
    <w:multiLevelType w:val="hybridMultilevel"/>
    <w:tmpl w:val="E9B8C1EE"/>
    <w:lvl w:ilvl="0" w:tplc="630A043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F03C76"/>
    <w:multiLevelType w:val="hybridMultilevel"/>
    <w:tmpl w:val="9C9221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E62586"/>
    <w:multiLevelType w:val="hybridMultilevel"/>
    <w:tmpl w:val="4E3241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C42089"/>
    <w:multiLevelType w:val="hybridMultilevel"/>
    <w:tmpl w:val="B20AAA2C"/>
    <w:lvl w:ilvl="0" w:tplc="DF7EA4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1E5688"/>
    <w:multiLevelType w:val="hybridMultilevel"/>
    <w:tmpl w:val="C6B0F546"/>
    <w:lvl w:ilvl="0" w:tplc="630A043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0503B7"/>
    <w:multiLevelType w:val="hybridMultilevel"/>
    <w:tmpl w:val="7364652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13FCD"/>
    <w:multiLevelType w:val="hybridMultilevel"/>
    <w:tmpl w:val="BABA0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290365"/>
    <w:multiLevelType w:val="hybridMultilevel"/>
    <w:tmpl w:val="B7C489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9A5D8D"/>
    <w:multiLevelType w:val="hybridMultilevel"/>
    <w:tmpl w:val="1F8217B0"/>
    <w:lvl w:ilvl="0" w:tplc="125CA7F0">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0F7571"/>
    <w:multiLevelType w:val="hybridMultilevel"/>
    <w:tmpl w:val="F95C0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152A2A"/>
    <w:multiLevelType w:val="hybridMultilevel"/>
    <w:tmpl w:val="3266FDA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29"/>
  </w:num>
  <w:num w:numId="4">
    <w:abstractNumId w:val="21"/>
  </w:num>
  <w:num w:numId="5">
    <w:abstractNumId w:val="13"/>
  </w:num>
  <w:num w:numId="6">
    <w:abstractNumId w:val="28"/>
  </w:num>
  <w:num w:numId="7">
    <w:abstractNumId w:val="4"/>
  </w:num>
  <w:num w:numId="8">
    <w:abstractNumId w:val="25"/>
  </w:num>
  <w:num w:numId="9">
    <w:abstractNumId w:val="16"/>
  </w:num>
  <w:num w:numId="10">
    <w:abstractNumId w:val="7"/>
  </w:num>
  <w:num w:numId="11">
    <w:abstractNumId w:val="8"/>
  </w:num>
  <w:num w:numId="12">
    <w:abstractNumId w:val="14"/>
  </w:num>
  <w:num w:numId="13">
    <w:abstractNumId w:val="24"/>
  </w:num>
  <w:num w:numId="14">
    <w:abstractNumId w:val="5"/>
  </w:num>
  <w:num w:numId="15">
    <w:abstractNumId w:val="0"/>
  </w:num>
  <w:num w:numId="16">
    <w:abstractNumId w:val="12"/>
  </w:num>
  <w:num w:numId="17">
    <w:abstractNumId w:val="17"/>
  </w:num>
  <w:num w:numId="18">
    <w:abstractNumId w:val="18"/>
  </w:num>
  <w:num w:numId="19">
    <w:abstractNumId w:val="26"/>
  </w:num>
  <w:num w:numId="20">
    <w:abstractNumId w:val="11"/>
  </w:num>
  <w:num w:numId="21">
    <w:abstractNumId w:val="23"/>
  </w:num>
  <w:num w:numId="22">
    <w:abstractNumId w:val="9"/>
  </w:num>
  <w:num w:numId="23">
    <w:abstractNumId w:val="27"/>
  </w:num>
  <w:num w:numId="24">
    <w:abstractNumId w:val="20"/>
  </w:num>
  <w:num w:numId="25">
    <w:abstractNumId w:val="22"/>
  </w:num>
  <w:num w:numId="26">
    <w:abstractNumId w:val="10"/>
  </w:num>
  <w:num w:numId="27">
    <w:abstractNumId w:val="2"/>
  </w:num>
  <w:num w:numId="28">
    <w:abstractNumId w:val="30"/>
  </w:num>
  <w:num w:numId="29">
    <w:abstractNumId w:val="1"/>
  </w:num>
  <w:num w:numId="30">
    <w:abstractNumId w:val="6"/>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21DF3"/>
    <w:rsid w:val="00026B02"/>
    <w:rsid w:val="0007600E"/>
    <w:rsid w:val="000822E5"/>
    <w:rsid w:val="000971FC"/>
    <w:rsid w:val="000A2A3A"/>
    <w:rsid w:val="000A492A"/>
    <w:rsid w:val="000D2F80"/>
    <w:rsid w:val="000E413A"/>
    <w:rsid w:val="000F18DE"/>
    <w:rsid w:val="000F5AA3"/>
    <w:rsid w:val="00100396"/>
    <w:rsid w:val="00100B5C"/>
    <w:rsid w:val="001106E9"/>
    <w:rsid w:val="00124CA5"/>
    <w:rsid w:val="00134F77"/>
    <w:rsid w:val="00152E9D"/>
    <w:rsid w:val="00154487"/>
    <w:rsid w:val="001732A5"/>
    <w:rsid w:val="0017512A"/>
    <w:rsid w:val="001901BC"/>
    <w:rsid w:val="00196958"/>
    <w:rsid w:val="001A1E39"/>
    <w:rsid w:val="001A24F3"/>
    <w:rsid w:val="001B405C"/>
    <w:rsid w:val="001B5F45"/>
    <w:rsid w:val="001E1050"/>
    <w:rsid w:val="001E1E1F"/>
    <w:rsid w:val="001E2007"/>
    <w:rsid w:val="001E57C1"/>
    <w:rsid w:val="001F07EF"/>
    <w:rsid w:val="001F50B6"/>
    <w:rsid w:val="001F6D7A"/>
    <w:rsid w:val="002144CE"/>
    <w:rsid w:val="0022746E"/>
    <w:rsid w:val="00230AF0"/>
    <w:rsid w:val="002315AE"/>
    <w:rsid w:val="00235443"/>
    <w:rsid w:val="00235F71"/>
    <w:rsid w:val="002444CA"/>
    <w:rsid w:val="002507E8"/>
    <w:rsid w:val="00260DE6"/>
    <w:rsid w:val="00273FEE"/>
    <w:rsid w:val="0028204E"/>
    <w:rsid w:val="0028591B"/>
    <w:rsid w:val="00291841"/>
    <w:rsid w:val="00292ED3"/>
    <w:rsid w:val="002976BE"/>
    <w:rsid w:val="002A132E"/>
    <w:rsid w:val="002C449B"/>
    <w:rsid w:val="002C6040"/>
    <w:rsid w:val="002D5B3F"/>
    <w:rsid w:val="002E272E"/>
    <w:rsid w:val="002F5778"/>
    <w:rsid w:val="00300732"/>
    <w:rsid w:val="003223E0"/>
    <w:rsid w:val="00335D99"/>
    <w:rsid w:val="00352C4A"/>
    <w:rsid w:val="00362560"/>
    <w:rsid w:val="003732FD"/>
    <w:rsid w:val="003753B2"/>
    <w:rsid w:val="00376559"/>
    <w:rsid w:val="003766B8"/>
    <w:rsid w:val="00382BAA"/>
    <w:rsid w:val="00384D73"/>
    <w:rsid w:val="00393EB6"/>
    <w:rsid w:val="003A3CE5"/>
    <w:rsid w:val="003B366F"/>
    <w:rsid w:val="003B3F9D"/>
    <w:rsid w:val="003B6C95"/>
    <w:rsid w:val="003E283F"/>
    <w:rsid w:val="003E5751"/>
    <w:rsid w:val="004046A9"/>
    <w:rsid w:val="00404C50"/>
    <w:rsid w:val="00423934"/>
    <w:rsid w:val="00426244"/>
    <w:rsid w:val="00470A38"/>
    <w:rsid w:val="004874DE"/>
    <w:rsid w:val="004B5334"/>
    <w:rsid w:val="004B6C14"/>
    <w:rsid w:val="004D63D9"/>
    <w:rsid w:val="0050249F"/>
    <w:rsid w:val="00513CA7"/>
    <w:rsid w:val="00524566"/>
    <w:rsid w:val="00530BEF"/>
    <w:rsid w:val="00557191"/>
    <w:rsid w:val="00561F00"/>
    <w:rsid w:val="00562C4E"/>
    <w:rsid w:val="00562DEC"/>
    <w:rsid w:val="005709EC"/>
    <w:rsid w:val="00576AB4"/>
    <w:rsid w:val="00577917"/>
    <w:rsid w:val="00590667"/>
    <w:rsid w:val="005969E2"/>
    <w:rsid w:val="005A1689"/>
    <w:rsid w:val="005B61CD"/>
    <w:rsid w:val="005B7D87"/>
    <w:rsid w:val="005D1D58"/>
    <w:rsid w:val="005D29F9"/>
    <w:rsid w:val="005D432C"/>
    <w:rsid w:val="005E285E"/>
    <w:rsid w:val="005E5E58"/>
    <w:rsid w:val="005E72F8"/>
    <w:rsid w:val="005F0579"/>
    <w:rsid w:val="006062A3"/>
    <w:rsid w:val="00610E08"/>
    <w:rsid w:val="006140BF"/>
    <w:rsid w:val="006161BE"/>
    <w:rsid w:val="00620787"/>
    <w:rsid w:val="00632434"/>
    <w:rsid w:val="0063478F"/>
    <w:rsid w:val="00635CCB"/>
    <w:rsid w:val="00641090"/>
    <w:rsid w:val="00644256"/>
    <w:rsid w:val="00661D6F"/>
    <w:rsid w:val="006628E9"/>
    <w:rsid w:val="0066725E"/>
    <w:rsid w:val="006716C7"/>
    <w:rsid w:val="00681208"/>
    <w:rsid w:val="00681FA9"/>
    <w:rsid w:val="00691EA9"/>
    <w:rsid w:val="006934D4"/>
    <w:rsid w:val="006A6DC3"/>
    <w:rsid w:val="006D49ED"/>
    <w:rsid w:val="006D55CE"/>
    <w:rsid w:val="006D637A"/>
    <w:rsid w:val="006F45BF"/>
    <w:rsid w:val="006F60E0"/>
    <w:rsid w:val="00702F71"/>
    <w:rsid w:val="00704980"/>
    <w:rsid w:val="007366DF"/>
    <w:rsid w:val="007423C5"/>
    <w:rsid w:val="00757839"/>
    <w:rsid w:val="00770C81"/>
    <w:rsid w:val="00783CE7"/>
    <w:rsid w:val="00791024"/>
    <w:rsid w:val="00793F0A"/>
    <w:rsid w:val="007A2657"/>
    <w:rsid w:val="007C682C"/>
    <w:rsid w:val="007D2385"/>
    <w:rsid w:val="007D3A20"/>
    <w:rsid w:val="007F214F"/>
    <w:rsid w:val="00800069"/>
    <w:rsid w:val="0081730B"/>
    <w:rsid w:val="008310A0"/>
    <w:rsid w:val="00835D29"/>
    <w:rsid w:val="00842E7F"/>
    <w:rsid w:val="00852933"/>
    <w:rsid w:val="008566E5"/>
    <w:rsid w:val="008566FE"/>
    <w:rsid w:val="00865B46"/>
    <w:rsid w:val="0088296F"/>
    <w:rsid w:val="00896134"/>
    <w:rsid w:val="008A62BC"/>
    <w:rsid w:val="008B43E7"/>
    <w:rsid w:val="008C1855"/>
    <w:rsid w:val="008D763F"/>
    <w:rsid w:val="008F036F"/>
    <w:rsid w:val="008F78C2"/>
    <w:rsid w:val="00904568"/>
    <w:rsid w:val="00911394"/>
    <w:rsid w:val="00923EF2"/>
    <w:rsid w:val="00926D25"/>
    <w:rsid w:val="00926E9D"/>
    <w:rsid w:val="00932C6E"/>
    <w:rsid w:val="00933F10"/>
    <w:rsid w:val="009433C5"/>
    <w:rsid w:val="00943C40"/>
    <w:rsid w:val="00965881"/>
    <w:rsid w:val="009871FF"/>
    <w:rsid w:val="00990799"/>
    <w:rsid w:val="009A0631"/>
    <w:rsid w:val="009D3EA4"/>
    <w:rsid w:val="009D649C"/>
    <w:rsid w:val="009E4BC1"/>
    <w:rsid w:val="009F5A5B"/>
    <w:rsid w:val="009F5CB2"/>
    <w:rsid w:val="00A03BB8"/>
    <w:rsid w:val="00A16174"/>
    <w:rsid w:val="00A3505D"/>
    <w:rsid w:val="00A4036F"/>
    <w:rsid w:val="00A4641C"/>
    <w:rsid w:val="00A52FDE"/>
    <w:rsid w:val="00A55876"/>
    <w:rsid w:val="00A67FB1"/>
    <w:rsid w:val="00AB48A0"/>
    <w:rsid w:val="00AB6FE7"/>
    <w:rsid w:val="00AB7AD7"/>
    <w:rsid w:val="00AC5937"/>
    <w:rsid w:val="00AD2430"/>
    <w:rsid w:val="00AE41A6"/>
    <w:rsid w:val="00AF0E34"/>
    <w:rsid w:val="00AF271D"/>
    <w:rsid w:val="00AF56C2"/>
    <w:rsid w:val="00B004E6"/>
    <w:rsid w:val="00B01A8F"/>
    <w:rsid w:val="00B0744D"/>
    <w:rsid w:val="00B64082"/>
    <w:rsid w:val="00B72325"/>
    <w:rsid w:val="00B81AD3"/>
    <w:rsid w:val="00B829D8"/>
    <w:rsid w:val="00B84B5B"/>
    <w:rsid w:val="00B86446"/>
    <w:rsid w:val="00BA1176"/>
    <w:rsid w:val="00BA6B2C"/>
    <w:rsid w:val="00BE0B01"/>
    <w:rsid w:val="00BE79C7"/>
    <w:rsid w:val="00BF3CB5"/>
    <w:rsid w:val="00C1285B"/>
    <w:rsid w:val="00C1361B"/>
    <w:rsid w:val="00C1436D"/>
    <w:rsid w:val="00C14E1F"/>
    <w:rsid w:val="00C315AF"/>
    <w:rsid w:val="00C33030"/>
    <w:rsid w:val="00C36D9A"/>
    <w:rsid w:val="00C44A72"/>
    <w:rsid w:val="00C61FC2"/>
    <w:rsid w:val="00C705F9"/>
    <w:rsid w:val="00C80F0F"/>
    <w:rsid w:val="00C8667A"/>
    <w:rsid w:val="00C93BCB"/>
    <w:rsid w:val="00CB0803"/>
    <w:rsid w:val="00CC241A"/>
    <w:rsid w:val="00CC5C3C"/>
    <w:rsid w:val="00CE4035"/>
    <w:rsid w:val="00CE65AB"/>
    <w:rsid w:val="00CF4266"/>
    <w:rsid w:val="00D016DD"/>
    <w:rsid w:val="00D10C47"/>
    <w:rsid w:val="00D22D9C"/>
    <w:rsid w:val="00D241F1"/>
    <w:rsid w:val="00D2451B"/>
    <w:rsid w:val="00D275CB"/>
    <w:rsid w:val="00D30DFA"/>
    <w:rsid w:val="00D463A5"/>
    <w:rsid w:val="00D4710D"/>
    <w:rsid w:val="00D47D25"/>
    <w:rsid w:val="00D60318"/>
    <w:rsid w:val="00D62ACD"/>
    <w:rsid w:val="00D971AE"/>
    <w:rsid w:val="00DA36EE"/>
    <w:rsid w:val="00DB116D"/>
    <w:rsid w:val="00DC680E"/>
    <w:rsid w:val="00DD17CC"/>
    <w:rsid w:val="00DE217A"/>
    <w:rsid w:val="00DE34C7"/>
    <w:rsid w:val="00DE78FA"/>
    <w:rsid w:val="00DF321B"/>
    <w:rsid w:val="00E230E0"/>
    <w:rsid w:val="00E51AAC"/>
    <w:rsid w:val="00E66CC0"/>
    <w:rsid w:val="00E728A9"/>
    <w:rsid w:val="00E807D9"/>
    <w:rsid w:val="00EA0F4E"/>
    <w:rsid w:val="00EA295B"/>
    <w:rsid w:val="00EA6801"/>
    <w:rsid w:val="00EB4F96"/>
    <w:rsid w:val="00ED7072"/>
    <w:rsid w:val="00EE1A1D"/>
    <w:rsid w:val="00EE3132"/>
    <w:rsid w:val="00EE3D9D"/>
    <w:rsid w:val="00EE6F07"/>
    <w:rsid w:val="00EE6F25"/>
    <w:rsid w:val="00EF2E73"/>
    <w:rsid w:val="00EF62B0"/>
    <w:rsid w:val="00F02126"/>
    <w:rsid w:val="00F03D85"/>
    <w:rsid w:val="00F07C8C"/>
    <w:rsid w:val="00F248DC"/>
    <w:rsid w:val="00F249F1"/>
    <w:rsid w:val="00F25B9D"/>
    <w:rsid w:val="00F2664E"/>
    <w:rsid w:val="00F31163"/>
    <w:rsid w:val="00F31C04"/>
    <w:rsid w:val="00F442A7"/>
    <w:rsid w:val="00F57A89"/>
    <w:rsid w:val="00F61A20"/>
    <w:rsid w:val="00F63DD9"/>
    <w:rsid w:val="00F67644"/>
    <w:rsid w:val="00F8381F"/>
    <w:rsid w:val="00F94072"/>
    <w:rsid w:val="00FA04CD"/>
    <w:rsid w:val="00FA25F5"/>
    <w:rsid w:val="00FA2810"/>
    <w:rsid w:val="00FA68F8"/>
    <w:rsid w:val="00FB1DC0"/>
    <w:rsid w:val="00FB3B4E"/>
    <w:rsid w:val="00FB4521"/>
    <w:rsid w:val="00FB4F84"/>
    <w:rsid w:val="00FB5CF8"/>
    <w:rsid w:val="00FE6055"/>
    <w:rsid w:val="00FF273B"/>
    <w:rsid w:val="00FF5212"/>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0F04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paragraph" w:styleId="Quote">
    <w:name w:val="Quote"/>
    <w:basedOn w:val="Normal"/>
    <w:next w:val="Normal"/>
    <w:link w:val="QuoteChar"/>
    <w:uiPriority w:val="29"/>
    <w:qFormat/>
    <w:rsid w:val="00C33030"/>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C33030"/>
    <w:rPr>
      <w:rFonts w:asciiTheme="minorHAnsi" w:eastAsiaTheme="minorHAnsi" w:hAnsiTheme="minorHAnsi" w:cstheme="min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902946">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610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legislation/subordinate/nonsi/educationwales/2009/3220099/?lang=en"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wtsd.ac.uk/media/uwtsd-website/content-assets/documents/research/research-ethics-integrity-code-practice.pdf" TargetMode="Externa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98/29/pdfs/ukpga_19980029_en.pdf" TargetMode="External"/><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eg"/><Relationship Id="rId49" Type="http://schemas.openxmlformats.org/officeDocument/2006/relationships/image" Target="media/image37.jpeg"/><Relationship Id="rId10" Type="http://schemas.openxmlformats.org/officeDocument/2006/relationships/hyperlink" Target="http://www.bbk.ac.uk/sshp/research/sshp-ethics-committee-and-procedures/BERA-Ethical-Guidelines-2011.pdf"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png"/><Relationship Id="rId52"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jpeg"/><Relationship Id="rId8" Type="http://schemas.openxmlformats.org/officeDocument/2006/relationships/image" Target="media/image1.png"/><Relationship Id="rId51" Type="http://schemas.openxmlformats.org/officeDocument/2006/relationships/image" Target="media/image39.jpe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E4255-4141-4C6B-8233-7D519AFB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57</TotalTime>
  <Pages>51</Pages>
  <Words>9555</Words>
  <Characters>54464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63892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Holly Isitt</cp:lastModifiedBy>
  <cp:revision>25</cp:revision>
  <cp:lastPrinted>2014-10-10T07:42:00Z</cp:lastPrinted>
  <dcterms:created xsi:type="dcterms:W3CDTF">2018-01-28T17:04:00Z</dcterms:created>
  <dcterms:modified xsi:type="dcterms:W3CDTF">2018-05-13T12:22:00Z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