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46F07E" w14:textId="2F6D0AA9" w:rsidR="00D52227" w:rsidRDefault="00D52227" w:rsidP="00D52227">
      <w:pPr>
        <w:spacing w:before="120" w:after="120" w:line="360" w:lineRule="auto"/>
        <w:jc w:val="center"/>
        <w:rPr>
          <w:rFonts w:ascii="Arial" w:eastAsia="Arial" w:hAnsi="Arial" w:cs="Arial"/>
          <w:b/>
          <w:bCs/>
          <w:lang w:val="en-GB"/>
        </w:rPr>
      </w:pPr>
      <w:r>
        <w:fldChar w:fldCharType="begin"/>
      </w:r>
      <w:r>
        <w:instrText xml:space="preserve"> INCLUDEPICTURE "https://tukuz.com/wp-content/uploads/2021/06/university-of-wales-trinity-saint-david-logo-vector.png" \* MERGEFORMATINET </w:instrText>
      </w:r>
      <w:r>
        <w:fldChar w:fldCharType="separate"/>
      </w:r>
      <w:r>
        <w:rPr>
          <w:noProof/>
        </w:rPr>
        <w:drawing>
          <wp:inline distT="0" distB="0" distL="0" distR="0" wp14:anchorId="6AB738F3" wp14:editId="053EAEF2">
            <wp:extent cx="2232639" cy="1240355"/>
            <wp:effectExtent l="0" t="0" r="3175" b="4445"/>
            <wp:docPr id="6001262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73268" cy="1262927"/>
                    </a:xfrm>
                    <a:prstGeom prst="rect">
                      <a:avLst/>
                    </a:prstGeom>
                    <a:noFill/>
                    <a:ln>
                      <a:noFill/>
                    </a:ln>
                  </pic:spPr>
                </pic:pic>
              </a:graphicData>
            </a:graphic>
          </wp:inline>
        </w:drawing>
      </w:r>
      <w:r>
        <w:fldChar w:fldCharType="end"/>
      </w:r>
    </w:p>
    <w:p w14:paraId="61CA8D7D" w14:textId="1234EBCE" w:rsidR="000C7070" w:rsidRPr="002D39BB" w:rsidRDefault="000C7070" w:rsidP="000C7070">
      <w:pPr>
        <w:spacing w:before="120" w:after="120" w:line="360" w:lineRule="auto"/>
        <w:jc w:val="center"/>
        <w:rPr>
          <w:rFonts w:ascii="Arial" w:eastAsia="Arial" w:hAnsi="Arial" w:cs="Arial"/>
          <w:b/>
          <w:bCs/>
          <w:lang w:val="en-GB"/>
        </w:rPr>
      </w:pPr>
      <w:r w:rsidRPr="002D39BB">
        <w:rPr>
          <w:rFonts w:ascii="Arial" w:eastAsia="Arial" w:hAnsi="Arial" w:cs="Arial"/>
          <w:b/>
          <w:bCs/>
          <w:lang w:val="en-GB"/>
        </w:rPr>
        <w:t>MSc Public Health and Social Care in Practice</w:t>
      </w:r>
    </w:p>
    <w:p w14:paraId="32A2E135" w14:textId="77777777" w:rsidR="000C7070" w:rsidRPr="002D39BB" w:rsidRDefault="000C7070" w:rsidP="000C7070">
      <w:pPr>
        <w:spacing w:before="120" w:after="120" w:line="360" w:lineRule="auto"/>
        <w:jc w:val="center"/>
        <w:rPr>
          <w:rFonts w:ascii="Arial" w:eastAsia="Arial" w:hAnsi="Arial" w:cs="Arial"/>
          <w:b/>
          <w:bCs/>
          <w:lang w:val="en-GB"/>
        </w:rPr>
      </w:pPr>
      <w:r w:rsidRPr="002D39BB">
        <w:rPr>
          <w:rFonts w:ascii="Arial" w:eastAsia="Arial" w:hAnsi="Arial" w:cs="Arial"/>
          <w:b/>
          <w:bCs/>
          <w:lang w:val="en-GB"/>
        </w:rPr>
        <w:t>LCHS7003 Community Care and Management of Longer-term Conditions</w:t>
      </w:r>
    </w:p>
    <w:p w14:paraId="2DA67E34" w14:textId="77777777" w:rsidR="000C7070" w:rsidRPr="002D39BB" w:rsidRDefault="000C7070" w:rsidP="000C7070">
      <w:pPr>
        <w:spacing w:before="120" w:after="120" w:line="360" w:lineRule="auto"/>
        <w:jc w:val="center"/>
        <w:rPr>
          <w:rFonts w:ascii="Arial" w:eastAsia="Arial" w:hAnsi="Arial" w:cs="Arial"/>
          <w:lang w:val="en-GB"/>
        </w:rPr>
      </w:pPr>
    </w:p>
    <w:p w14:paraId="67446376" w14:textId="5355038E" w:rsidR="000C7070" w:rsidRPr="00DA6718" w:rsidRDefault="000C7070" w:rsidP="000C7070">
      <w:pPr>
        <w:spacing w:before="120" w:after="120" w:line="360" w:lineRule="auto"/>
        <w:jc w:val="center"/>
        <w:rPr>
          <w:rFonts w:ascii="Arial" w:eastAsia="Arial" w:hAnsi="Arial" w:cs="Arial"/>
          <w:b/>
          <w:bCs/>
          <w:lang w:val="en-GB"/>
        </w:rPr>
      </w:pPr>
      <w:r w:rsidRPr="00DA6718">
        <w:rPr>
          <w:rFonts w:ascii="Arial" w:eastAsia="Arial" w:hAnsi="Arial" w:cs="Arial"/>
          <w:b/>
          <w:bCs/>
          <w:lang w:val="en-GB"/>
        </w:rPr>
        <w:t>Component 1</w:t>
      </w:r>
      <w:r w:rsidR="00DA6718" w:rsidRPr="00DA6718">
        <w:rPr>
          <w:rFonts w:ascii="Arial" w:eastAsia="Arial" w:hAnsi="Arial" w:cs="Arial"/>
          <w:b/>
          <w:bCs/>
          <w:lang w:val="en-GB"/>
        </w:rPr>
        <w:t>:</w:t>
      </w:r>
      <w:r w:rsidRPr="00DA6718">
        <w:rPr>
          <w:rFonts w:ascii="Arial" w:eastAsia="Arial" w:hAnsi="Arial" w:cs="Arial"/>
          <w:b/>
          <w:bCs/>
          <w:lang w:val="en-GB"/>
        </w:rPr>
        <w:t xml:space="preserve"> Information Booklet of Long-term Condition Management</w:t>
      </w:r>
    </w:p>
    <w:p w14:paraId="45A88626" w14:textId="77777777" w:rsidR="000C7070" w:rsidRPr="00DA6718" w:rsidRDefault="000C7070" w:rsidP="000C7070">
      <w:pPr>
        <w:spacing w:before="120" w:after="120" w:line="360" w:lineRule="auto"/>
        <w:jc w:val="center"/>
        <w:rPr>
          <w:rFonts w:ascii="Arial" w:eastAsia="Arial" w:hAnsi="Arial" w:cs="Arial"/>
          <w:b/>
          <w:bCs/>
          <w:i/>
          <w:iCs/>
          <w:lang w:val="en-GB"/>
        </w:rPr>
      </w:pPr>
      <w:r w:rsidRPr="00DA6718">
        <w:rPr>
          <w:rFonts w:ascii="Arial" w:eastAsia="Arial" w:hAnsi="Arial" w:cs="Arial"/>
          <w:b/>
          <w:bCs/>
          <w:i/>
          <w:iCs/>
          <w:lang w:val="en-GB"/>
        </w:rPr>
        <w:t>Supporting Adults Living with Coronary Heart Disease in the UK</w:t>
      </w:r>
    </w:p>
    <w:p w14:paraId="6D2F494D" w14:textId="77777777" w:rsidR="000C7070" w:rsidRPr="002D39BB" w:rsidRDefault="000C7070" w:rsidP="000C7070">
      <w:pPr>
        <w:spacing w:before="120" w:after="120" w:line="360" w:lineRule="auto"/>
        <w:jc w:val="center"/>
        <w:rPr>
          <w:rFonts w:ascii="Arial" w:eastAsia="Arial" w:hAnsi="Arial" w:cs="Arial"/>
          <w:lang w:val="en-GB"/>
        </w:rPr>
      </w:pPr>
    </w:p>
    <w:p w14:paraId="4A1C0595" w14:textId="77777777" w:rsidR="000C7070" w:rsidRPr="002D39BB" w:rsidRDefault="000C7070" w:rsidP="00D52227">
      <w:pPr>
        <w:spacing w:before="120" w:after="120" w:line="360" w:lineRule="auto"/>
        <w:rPr>
          <w:rFonts w:ascii="Arial" w:eastAsia="Arial" w:hAnsi="Arial" w:cs="Arial"/>
          <w:lang w:val="en-GB"/>
        </w:rPr>
      </w:pPr>
    </w:p>
    <w:p w14:paraId="300F13A6" w14:textId="74043F1C" w:rsidR="000C7070" w:rsidRPr="00D52227" w:rsidRDefault="000C7070" w:rsidP="00D5222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0" w:after="0" w:line="240" w:lineRule="auto"/>
        <w:jc w:val="center"/>
        <w:rPr>
          <w:rFonts w:ascii="Helvetica" w:eastAsiaTheme="minorHAnsi" w:hAnsi="Helvetica" w:cs="Helvetica"/>
          <w:b/>
          <w:bCs/>
          <w:lang w:val="en-GB"/>
        </w:rPr>
      </w:pPr>
      <w:r w:rsidRPr="00D52227">
        <w:rPr>
          <w:rFonts w:ascii="Arial" w:eastAsia="Arial" w:hAnsi="Arial" w:cs="Arial"/>
          <w:b/>
          <w:bCs/>
          <w:lang w:val="en-GB"/>
        </w:rPr>
        <w:t xml:space="preserve">Student Name: </w:t>
      </w:r>
      <w:r w:rsidR="00D52227" w:rsidRPr="00D52227">
        <w:rPr>
          <w:rFonts w:ascii="Helvetica" w:eastAsiaTheme="minorHAnsi" w:hAnsi="Helvetica" w:cs="Helvetica"/>
          <w:b/>
          <w:bCs/>
          <w:lang w:val="en-GB"/>
        </w:rPr>
        <w:t>Harsh Kiritkumar Jadav</w:t>
      </w:r>
    </w:p>
    <w:p w14:paraId="4D719E12" w14:textId="1E74544F" w:rsidR="000C7070" w:rsidRPr="00D52227" w:rsidRDefault="000C7070" w:rsidP="00D52227">
      <w:pPr>
        <w:spacing w:before="120" w:after="120" w:line="360" w:lineRule="auto"/>
        <w:jc w:val="center"/>
        <w:rPr>
          <w:rFonts w:ascii="Arial" w:eastAsia="Arial" w:hAnsi="Arial" w:cs="Arial"/>
          <w:b/>
          <w:bCs/>
          <w:lang w:val="en-GB"/>
        </w:rPr>
      </w:pPr>
      <w:r w:rsidRPr="00D52227">
        <w:rPr>
          <w:rFonts w:ascii="Arial" w:eastAsia="Arial" w:hAnsi="Arial" w:cs="Arial"/>
          <w:b/>
          <w:bCs/>
          <w:lang w:val="en-GB"/>
        </w:rPr>
        <w:t>Student ID:</w:t>
      </w:r>
      <w:r w:rsidR="00D52227" w:rsidRPr="00D52227">
        <w:rPr>
          <w:b/>
          <w:bCs/>
        </w:rPr>
        <w:t xml:space="preserve"> </w:t>
      </w:r>
      <w:r w:rsidR="00D52227" w:rsidRPr="00D52227">
        <w:rPr>
          <w:rFonts w:ascii="Arial" w:eastAsia="Arial" w:hAnsi="Arial" w:cs="Arial"/>
          <w:b/>
          <w:bCs/>
          <w:lang w:val="en-GB"/>
        </w:rPr>
        <w:t>2526097</w:t>
      </w:r>
    </w:p>
    <w:p w14:paraId="52586E68" w14:textId="77777777" w:rsidR="000C7070" w:rsidRPr="002D39BB" w:rsidRDefault="000C7070" w:rsidP="00D52227">
      <w:pPr>
        <w:spacing w:before="120" w:after="120" w:line="360" w:lineRule="auto"/>
        <w:rPr>
          <w:rFonts w:ascii="Arial" w:eastAsia="Arial" w:hAnsi="Arial" w:cs="Arial"/>
          <w:lang w:val="en-GB"/>
        </w:rPr>
      </w:pPr>
    </w:p>
    <w:p w14:paraId="25907103" w14:textId="77777777" w:rsidR="000C7070" w:rsidRPr="00D52227" w:rsidRDefault="000C7070" w:rsidP="000C7070">
      <w:pPr>
        <w:spacing w:before="120" w:after="120" w:line="360" w:lineRule="auto"/>
        <w:jc w:val="center"/>
        <w:rPr>
          <w:rFonts w:ascii="Arial" w:eastAsia="Arial" w:hAnsi="Arial" w:cs="Arial"/>
          <w:b/>
          <w:bCs/>
          <w:lang w:val="en-GB"/>
        </w:rPr>
      </w:pPr>
      <w:r w:rsidRPr="00D52227">
        <w:rPr>
          <w:rFonts w:ascii="Arial" w:eastAsia="Arial" w:hAnsi="Arial" w:cs="Arial"/>
          <w:b/>
          <w:bCs/>
          <w:lang w:val="en-GB"/>
        </w:rPr>
        <w:t>Lecturer: Muhammad Khan</w:t>
      </w:r>
    </w:p>
    <w:p w14:paraId="55AA9918" w14:textId="77777777" w:rsidR="000C7070" w:rsidRPr="00D52227" w:rsidRDefault="000C7070" w:rsidP="00D52227">
      <w:pPr>
        <w:spacing w:before="120" w:after="120" w:line="360" w:lineRule="auto"/>
        <w:rPr>
          <w:rFonts w:ascii="Arial" w:eastAsia="Arial" w:hAnsi="Arial" w:cs="Arial"/>
          <w:b/>
          <w:bCs/>
          <w:lang w:val="en-GB"/>
        </w:rPr>
      </w:pPr>
    </w:p>
    <w:p w14:paraId="0CC00E88" w14:textId="0127B365" w:rsidR="000C7070" w:rsidRPr="00D52227" w:rsidRDefault="000C7070" w:rsidP="000C7070">
      <w:pPr>
        <w:spacing w:before="120" w:after="120" w:line="360" w:lineRule="auto"/>
        <w:jc w:val="center"/>
        <w:rPr>
          <w:rFonts w:ascii="Arial" w:eastAsia="Arial" w:hAnsi="Arial" w:cs="Arial"/>
          <w:b/>
          <w:bCs/>
          <w:lang w:val="en-GB"/>
        </w:rPr>
      </w:pPr>
      <w:r w:rsidRPr="00D52227">
        <w:rPr>
          <w:rFonts w:ascii="Arial" w:eastAsia="Arial" w:hAnsi="Arial" w:cs="Arial"/>
          <w:b/>
          <w:bCs/>
          <w:lang w:val="en-GB"/>
        </w:rPr>
        <w:t>Words:</w:t>
      </w:r>
      <w:r w:rsidR="00C85BF1" w:rsidRPr="00D52227">
        <w:rPr>
          <w:rFonts w:ascii="Arial" w:eastAsia="Arial" w:hAnsi="Arial" w:cs="Arial"/>
          <w:b/>
          <w:bCs/>
          <w:lang w:val="en-GB"/>
        </w:rPr>
        <w:t xml:space="preserve"> 3</w:t>
      </w:r>
      <w:r w:rsidR="00C45E51" w:rsidRPr="00D52227">
        <w:rPr>
          <w:rFonts w:ascii="Arial" w:eastAsia="Arial" w:hAnsi="Arial" w:cs="Arial"/>
          <w:b/>
          <w:bCs/>
          <w:lang w:val="en-GB"/>
        </w:rPr>
        <w:t>182</w:t>
      </w:r>
      <w:r w:rsidRPr="00D52227">
        <w:rPr>
          <w:b/>
          <w:bCs/>
          <w:lang w:val="en-GB"/>
        </w:rPr>
        <w:br w:type="page"/>
      </w:r>
    </w:p>
    <w:p w14:paraId="3EFA1E98" w14:textId="77777777" w:rsidR="000C7070" w:rsidRPr="003B5721" w:rsidRDefault="000C7070" w:rsidP="003B5721">
      <w:pPr>
        <w:spacing w:before="120" w:after="120" w:line="240" w:lineRule="auto"/>
        <w:jc w:val="center"/>
        <w:rPr>
          <w:rFonts w:ascii="Arial" w:eastAsia="Arial" w:hAnsi="Arial" w:cs="Arial"/>
          <w:b/>
          <w:bCs/>
          <w:lang w:val="en-GB"/>
        </w:rPr>
      </w:pPr>
      <w:r w:rsidRPr="003B5721">
        <w:rPr>
          <w:rFonts w:ascii="Arial" w:eastAsia="Arial" w:hAnsi="Arial" w:cs="Arial"/>
          <w:b/>
          <w:bCs/>
          <w:lang w:val="en-GB"/>
        </w:rPr>
        <w:t>Table of Contents</w:t>
      </w:r>
    </w:p>
    <w:sdt>
      <w:sdtPr>
        <w:rPr>
          <w:rFonts w:ascii="Arial" w:hAnsi="Arial" w:cs="Arial"/>
          <w:sz w:val="22"/>
          <w:szCs w:val="22"/>
          <w:lang w:val="en-GB"/>
        </w:rPr>
        <w:id w:val="319178918"/>
        <w:docPartObj>
          <w:docPartGallery w:val="Table of Contents"/>
          <w:docPartUnique/>
        </w:docPartObj>
      </w:sdtPr>
      <w:sdtEndPr/>
      <w:sdtContent>
        <w:p w14:paraId="70F45865" w14:textId="35D40D91" w:rsidR="003B5721" w:rsidRPr="003B5721" w:rsidRDefault="000C7070" w:rsidP="003B5721">
          <w:pPr>
            <w:pStyle w:val="TOC1"/>
            <w:tabs>
              <w:tab w:val="right" w:leader="dot" w:pos="12950"/>
            </w:tabs>
            <w:spacing w:line="240" w:lineRule="auto"/>
            <w:rPr>
              <w:rFonts w:ascii="Arial" w:hAnsi="Arial" w:cs="Arial"/>
              <w:noProof/>
              <w:sz w:val="22"/>
              <w:szCs w:val="22"/>
            </w:rPr>
          </w:pPr>
          <w:r w:rsidRPr="003B5721">
            <w:rPr>
              <w:rFonts w:ascii="Arial" w:hAnsi="Arial" w:cs="Arial"/>
              <w:sz w:val="22"/>
              <w:szCs w:val="22"/>
              <w:lang w:val="en-GB"/>
            </w:rPr>
            <w:fldChar w:fldCharType="begin"/>
          </w:r>
          <w:r w:rsidRPr="003B5721">
            <w:rPr>
              <w:rFonts w:ascii="Arial" w:hAnsi="Arial" w:cs="Arial"/>
              <w:sz w:val="22"/>
              <w:szCs w:val="22"/>
              <w:lang w:val="en-GB"/>
            </w:rPr>
            <w:instrText xml:space="preserve"> TOC \h \u \z \t "Heading 1,1,Heading 2,2,Heading 3,3,Heading 4,4,Heading 5,5,Heading 6,6,"</w:instrText>
          </w:r>
          <w:r w:rsidRPr="003B5721">
            <w:rPr>
              <w:rFonts w:ascii="Arial" w:hAnsi="Arial" w:cs="Arial"/>
              <w:sz w:val="22"/>
              <w:szCs w:val="22"/>
              <w:lang w:val="en-GB"/>
            </w:rPr>
            <w:fldChar w:fldCharType="separate"/>
          </w:r>
          <w:hyperlink w:anchor="_Toc235132690" w:history="1">
            <w:r w:rsidR="003B5721" w:rsidRPr="003B5721">
              <w:rPr>
                <w:rStyle w:val="Hyperlink"/>
                <w:rFonts w:ascii="Arial" w:eastAsia="Arial" w:hAnsi="Arial" w:cs="Arial"/>
                <w:noProof/>
                <w:sz w:val="22"/>
                <w:szCs w:val="22"/>
                <w:lang w:val="en-GB"/>
              </w:rPr>
              <w:t>1. Introduction</w:t>
            </w:r>
            <w:r w:rsidR="003B5721" w:rsidRPr="003B5721">
              <w:rPr>
                <w:rFonts w:ascii="Arial" w:hAnsi="Arial" w:cs="Arial"/>
                <w:noProof/>
                <w:webHidden/>
                <w:sz w:val="22"/>
                <w:szCs w:val="22"/>
              </w:rPr>
              <w:tab/>
            </w:r>
            <w:r w:rsidR="003B5721" w:rsidRPr="003B5721">
              <w:rPr>
                <w:rFonts w:ascii="Arial" w:hAnsi="Arial" w:cs="Arial"/>
                <w:noProof/>
                <w:webHidden/>
                <w:sz w:val="22"/>
                <w:szCs w:val="22"/>
              </w:rPr>
              <w:fldChar w:fldCharType="begin"/>
            </w:r>
            <w:r w:rsidR="003B5721" w:rsidRPr="003B5721">
              <w:rPr>
                <w:rFonts w:ascii="Arial" w:hAnsi="Arial" w:cs="Arial"/>
                <w:noProof/>
                <w:webHidden/>
                <w:sz w:val="22"/>
                <w:szCs w:val="22"/>
              </w:rPr>
              <w:instrText xml:space="preserve"> PAGEREF _Toc235132690 \h </w:instrText>
            </w:r>
            <w:r w:rsidR="003B5721" w:rsidRPr="003B5721">
              <w:rPr>
                <w:rFonts w:ascii="Arial" w:hAnsi="Arial" w:cs="Arial"/>
                <w:noProof/>
                <w:webHidden/>
                <w:sz w:val="22"/>
                <w:szCs w:val="22"/>
              </w:rPr>
            </w:r>
            <w:r w:rsidR="003B5721" w:rsidRPr="003B5721">
              <w:rPr>
                <w:rFonts w:ascii="Arial" w:hAnsi="Arial" w:cs="Arial"/>
                <w:noProof/>
                <w:webHidden/>
                <w:sz w:val="22"/>
                <w:szCs w:val="22"/>
              </w:rPr>
              <w:fldChar w:fldCharType="separate"/>
            </w:r>
            <w:r w:rsidR="00C53A93">
              <w:rPr>
                <w:rFonts w:ascii="Arial" w:hAnsi="Arial" w:cs="Arial"/>
                <w:noProof/>
                <w:webHidden/>
                <w:sz w:val="22"/>
                <w:szCs w:val="22"/>
              </w:rPr>
              <w:t>1</w:t>
            </w:r>
            <w:r w:rsidR="003B5721" w:rsidRPr="003B5721">
              <w:rPr>
                <w:rFonts w:ascii="Arial" w:hAnsi="Arial" w:cs="Arial"/>
                <w:noProof/>
                <w:webHidden/>
                <w:sz w:val="22"/>
                <w:szCs w:val="22"/>
              </w:rPr>
              <w:fldChar w:fldCharType="end"/>
            </w:r>
          </w:hyperlink>
        </w:p>
        <w:p w14:paraId="68F00BFB" w14:textId="5F650C21"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691" w:history="1">
            <w:r w:rsidRPr="003B5721">
              <w:rPr>
                <w:rStyle w:val="Hyperlink"/>
                <w:rFonts w:ascii="Arial" w:eastAsia="Arial" w:hAnsi="Arial" w:cs="Arial"/>
                <w:noProof/>
                <w:sz w:val="22"/>
                <w:szCs w:val="22"/>
                <w:lang w:val="en-GB"/>
              </w:rPr>
              <w:t>1.1 Definition of Coronary Heart Disease (CHD)</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_Toc235132691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1</w:t>
            </w:r>
            <w:r w:rsidRPr="003B5721">
              <w:rPr>
                <w:rFonts w:ascii="Arial" w:hAnsi="Arial" w:cs="Arial"/>
                <w:noProof/>
                <w:webHidden/>
                <w:sz w:val="22"/>
                <w:szCs w:val="22"/>
              </w:rPr>
              <w:fldChar w:fldCharType="end"/>
            </w:r>
          </w:hyperlink>
        </w:p>
        <w:p w14:paraId="5C088E99" w14:textId="74947A67"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692" w:history="1">
            <w:r w:rsidRPr="003B5721">
              <w:rPr>
                <w:rStyle w:val="Hyperlink"/>
                <w:rFonts w:ascii="Arial" w:eastAsia="Arial" w:hAnsi="Arial" w:cs="Arial"/>
                <w:noProof/>
                <w:sz w:val="22"/>
                <w:szCs w:val="22"/>
                <w:lang w:val="en-GB"/>
              </w:rPr>
              <w:t>1.2 Purpose of the Booklet</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_Toc235132692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1</w:t>
            </w:r>
            <w:r w:rsidRPr="003B5721">
              <w:rPr>
                <w:rFonts w:ascii="Arial" w:hAnsi="Arial" w:cs="Arial"/>
                <w:noProof/>
                <w:webHidden/>
                <w:sz w:val="22"/>
                <w:szCs w:val="22"/>
              </w:rPr>
              <w:fldChar w:fldCharType="end"/>
            </w:r>
          </w:hyperlink>
        </w:p>
        <w:p w14:paraId="4F536B6F" w14:textId="23A76CFF" w:rsidR="003B5721" w:rsidRPr="003B5721" w:rsidRDefault="003B5721" w:rsidP="003B5721">
          <w:pPr>
            <w:pStyle w:val="TOC1"/>
            <w:tabs>
              <w:tab w:val="right" w:leader="dot" w:pos="12950"/>
            </w:tabs>
            <w:spacing w:line="240" w:lineRule="auto"/>
            <w:rPr>
              <w:rFonts w:ascii="Arial" w:hAnsi="Arial" w:cs="Arial"/>
              <w:noProof/>
              <w:sz w:val="22"/>
              <w:szCs w:val="22"/>
            </w:rPr>
          </w:pPr>
          <w:hyperlink w:anchor="_Toc235132693" w:history="1">
            <w:r w:rsidRPr="003B5721">
              <w:rPr>
                <w:rStyle w:val="Hyperlink"/>
                <w:rFonts w:ascii="Arial" w:eastAsia="Arial" w:hAnsi="Arial" w:cs="Arial"/>
                <w:noProof/>
                <w:sz w:val="22"/>
                <w:szCs w:val="22"/>
                <w:lang w:val="en-GB"/>
              </w:rPr>
              <w:t>2. Burden on Public Healthcare</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_Toc235132693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1</w:t>
            </w:r>
            <w:r w:rsidRPr="003B5721">
              <w:rPr>
                <w:rFonts w:ascii="Arial" w:hAnsi="Arial" w:cs="Arial"/>
                <w:noProof/>
                <w:webHidden/>
                <w:sz w:val="22"/>
                <w:szCs w:val="22"/>
              </w:rPr>
              <w:fldChar w:fldCharType="end"/>
            </w:r>
          </w:hyperlink>
        </w:p>
        <w:p w14:paraId="4E4D51B9" w14:textId="5369CA2A"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694" w:history="1">
            <w:r w:rsidRPr="003B5721">
              <w:rPr>
                <w:rStyle w:val="Hyperlink"/>
                <w:rFonts w:ascii="Arial" w:eastAsia="Arial" w:hAnsi="Arial" w:cs="Arial"/>
                <w:noProof/>
                <w:sz w:val="22"/>
                <w:szCs w:val="22"/>
                <w:lang w:val="en-GB"/>
              </w:rPr>
              <w:t>2.1 Worldwide Prevalence</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_Toc235132694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2</w:t>
            </w:r>
            <w:r w:rsidRPr="003B5721">
              <w:rPr>
                <w:rFonts w:ascii="Arial" w:hAnsi="Arial" w:cs="Arial"/>
                <w:noProof/>
                <w:webHidden/>
                <w:sz w:val="22"/>
                <w:szCs w:val="22"/>
              </w:rPr>
              <w:fldChar w:fldCharType="end"/>
            </w:r>
          </w:hyperlink>
        </w:p>
        <w:p w14:paraId="0744FC3A" w14:textId="56BDB50A"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695" w:history="1">
            <w:r w:rsidRPr="003B5721">
              <w:rPr>
                <w:rStyle w:val="Hyperlink"/>
                <w:rFonts w:ascii="Arial" w:eastAsia="Arial" w:hAnsi="Arial" w:cs="Arial"/>
                <w:noProof/>
                <w:sz w:val="22"/>
                <w:szCs w:val="22"/>
                <w:lang w:val="en-GB"/>
              </w:rPr>
              <w:t>2.2 UK Prevalence</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_Toc235132695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2</w:t>
            </w:r>
            <w:r w:rsidRPr="003B5721">
              <w:rPr>
                <w:rFonts w:ascii="Arial" w:hAnsi="Arial" w:cs="Arial"/>
                <w:noProof/>
                <w:webHidden/>
                <w:sz w:val="22"/>
                <w:szCs w:val="22"/>
              </w:rPr>
              <w:fldChar w:fldCharType="end"/>
            </w:r>
          </w:hyperlink>
        </w:p>
        <w:p w14:paraId="7C8D04A0" w14:textId="6FE0E87E"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696" w:history="1">
            <w:r w:rsidRPr="003B5721">
              <w:rPr>
                <w:rStyle w:val="Hyperlink"/>
                <w:rFonts w:ascii="Arial" w:eastAsia="Arial" w:hAnsi="Arial" w:cs="Arial"/>
                <w:noProof/>
                <w:sz w:val="22"/>
                <w:szCs w:val="22"/>
                <w:lang w:val="en-GB"/>
              </w:rPr>
              <w:t>2.3 Burden on Public Healthcare</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_Toc235132696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2</w:t>
            </w:r>
            <w:r w:rsidRPr="003B5721">
              <w:rPr>
                <w:rFonts w:ascii="Arial" w:hAnsi="Arial" w:cs="Arial"/>
                <w:noProof/>
                <w:webHidden/>
                <w:sz w:val="22"/>
                <w:szCs w:val="22"/>
              </w:rPr>
              <w:fldChar w:fldCharType="end"/>
            </w:r>
          </w:hyperlink>
        </w:p>
        <w:p w14:paraId="48F759DF" w14:textId="32457B08" w:rsidR="003B5721" w:rsidRPr="003B5721" w:rsidRDefault="003B5721" w:rsidP="003B5721">
          <w:pPr>
            <w:pStyle w:val="TOC1"/>
            <w:tabs>
              <w:tab w:val="right" w:leader="dot" w:pos="12950"/>
            </w:tabs>
            <w:spacing w:line="240" w:lineRule="auto"/>
            <w:rPr>
              <w:rFonts w:ascii="Arial" w:hAnsi="Arial" w:cs="Arial"/>
              <w:noProof/>
              <w:sz w:val="22"/>
              <w:szCs w:val="22"/>
            </w:rPr>
          </w:pPr>
          <w:hyperlink w:anchor="_Toc235132697" w:history="1">
            <w:r w:rsidRPr="003B5721">
              <w:rPr>
                <w:rStyle w:val="Hyperlink"/>
                <w:rFonts w:ascii="Arial" w:eastAsia="Arial" w:hAnsi="Arial" w:cs="Arial"/>
                <w:noProof/>
                <w:sz w:val="22"/>
                <w:szCs w:val="22"/>
                <w:lang w:val="en-GB"/>
              </w:rPr>
              <w:t>3. Aetiology and Risk Factors</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_Toc235132697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2</w:t>
            </w:r>
            <w:r w:rsidRPr="003B5721">
              <w:rPr>
                <w:rFonts w:ascii="Arial" w:hAnsi="Arial" w:cs="Arial"/>
                <w:noProof/>
                <w:webHidden/>
                <w:sz w:val="22"/>
                <w:szCs w:val="22"/>
              </w:rPr>
              <w:fldChar w:fldCharType="end"/>
            </w:r>
          </w:hyperlink>
        </w:p>
        <w:p w14:paraId="543FA1A4" w14:textId="144686CF"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698" w:history="1">
            <w:r w:rsidRPr="003B5721">
              <w:rPr>
                <w:rStyle w:val="Hyperlink"/>
                <w:rFonts w:ascii="Arial" w:eastAsia="Arial" w:hAnsi="Arial" w:cs="Arial"/>
                <w:noProof/>
                <w:sz w:val="22"/>
                <w:szCs w:val="22"/>
                <w:lang w:val="en-GB"/>
              </w:rPr>
              <w:t>3.1 Biological Risk Factors</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_Toc235132698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3</w:t>
            </w:r>
            <w:r w:rsidRPr="003B5721">
              <w:rPr>
                <w:rFonts w:ascii="Arial" w:hAnsi="Arial" w:cs="Arial"/>
                <w:noProof/>
                <w:webHidden/>
                <w:sz w:val="22"/>
                <w:szCs w:val="22"/>
              </w:rPr>
              <w:fldChar w:fldCharType="end"/>
            </w:r>
          </w:hyperlink>
        </w:p>
        <w:p w14:paraId="2829046B" w14:textId="10145497"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699" w:history="1">
            <w:r w:rsidRPr="003B5721">
              <w:rPr>
                <w:rStyle w:val="Hyperlink"/>
                <w:rFonts w:ascii="Arial" w:eastAsia="Arial" w:hAnsi="Arial" w:cs="Arial"/>
                <w:noProof/>
                <w:sz w:val="22"/>
                <w:szCs w:val="22"/>
                <w:lang w:val="en-GB"/>
              </w:rPr>
              <w:t>3.2 Behavioural and Lifestyle Risk Factors</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_Toc235132699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3</w:t>
            </w:r>
            <w:r w:rsidRPr="003B5721">
              <w:rPr>
                <w:rFonts w:ascii="Arial" w:hAnsi="Arial" w:cs="Arial"/>
                <w:noProof/>
                <w:webHidden/>
                <w:sz w:val="22"/>
                <w:szCs w:val="22"/>
              </w:rPr>
              <w:fldChar w:fldCharType="end"/>
            </w:r>
          </w:hyperlink>
        </w:p>
        <w:p w14:paraId="489B4FAB" w14:textId="6D089147"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700" w:history="1">
            <w:r w:rsidRPr="003B5721">
              <w:rPr>
                <w:rStyle w:val="Hyperlink"/>
                <w:rFonts w:ascii="Arial" w:eastAsia="Arial" w:hAnsi="Arial" w:cs="Arial"/>
                <w:noProof/>
                <w:sz w:val="22"/>
                <w:szCs w:val="22"/>
                <w:lang w:val="en-GB"/>
              </w:rPr>
              <w:t>3.3 Social Determinants</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_Toc235132700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4</w:t>
            </w:r>
            <w:r w:rsidRPr="003B5721">
              <w:rPr>
                <w:rFonts w:ascii="Arial" w:hAnsi="Arial" w:cs="Arial"/>
                <w:noProof/>
                <w:webHidden/>
                <w:sz w:val="22"/>
                <w:szCs w:val="22"/>
              </w:rPr>
              <w:fldChar w:fldCharType="end"/>
            </w:r>
          </w:hyperlink>
        </w:p>
        <w:p w14:paraId="094C21F3" w14:textId="43E4BE1F" w:rsidR="003B5721" w:rsidRPr="003B5721" w:rsidRDefault="003B5721" w:rsidP="003B5721">
          <w:pPr>
            <w:pStyle w:val="TOC1"/>
            <w:tabs>
              <w:tab w:val="right" w:leader="dot" w:pos="12950"/>
            </w:tabs>
            <w:spacing w:line="240" w:lineRule="auto"/>
            <w:rPr>
              <w:rFonts w:ascii="Arial" w:hAnsi="Arial" w:cs="Arial"/>
              <w:noProof/>
              <w:sz w:val="22"/>
              <w:szCs w:val="22"/>
            </w:rPr>
          </w:pPr>
          <w:hyperlink w:anchor="_Toc235132701" w:history="1">
            <w:r w:rsidRPr="003B5721">
              <w:rPr>
                <w:rStyle w:val="Hyperlink"/>
                <w:rFonts w:ascii="Arial" w:eastAsia="Arial" w:hAnsi="Arial" w:cs="Arial"/>
                <w:noProof/>
                <w:sz w:val="22"/>
                <w:szCs w:val="22"/>
                <w:lang w:val="en-GB"/>
              </w:rPr>
              <w:t>4. Impact of Coronary Heart Disease on Patients, Families and Society and Available Evidence-Based Treatments and Services</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_Toc235132701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4</w:t>
            </w:r>
            <w:r w:rsidRPr="003B5721">
              <w:rPr>
                <w:rFonts w:ascii="Arial" w:hAnsi="Arial" w:cs="Arial"/>
                <w:noProof/>
                <w:webHidden/>
                <w:sz w:val="22"/>
                <w:szCs w:val="22"/>
              </w:rPr>
              <w:fldChar w:fldCharType="end"/>
            </w:r>
          </w:hyperlink>
        </w:p>
        <w:p w14:paraId="48BF1E0D" w14:textId="4E0AF247"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702" w:history="1">
            <w:r w:rsidRPr="003B5721">
              <w:rPr>
                <w:rStyle w:val="Hyperlink"/>
                <w:rFonts w:ascii="Arial" w:eastAsia="Arial" w:hAnsi="Arial" w:cs="Arial"/>
                <w:noProof/>
                <w:sz w:val="22"/>
                <w:szCs w:val="22"/>
                <w:lang w:val="en-GB"/>
              </w:rPr>
              <w:t>4.1 Physical Impact</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_Toc235132702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4</w:t>
            </w:r>
            <w:r w:rsidRPr="003B5721">
              <w:rPr>
                <w:rFonts w:ascii="Arial" w:hAnsi="Arial" w:cs="Arial"/>
                <w:noProof/>
                <w:webHidden/>
                <w:sz w:val="22"/>
                <w:szCs w:val="22"/>
              </w:rPr>
              <w:fldChar w:fldCharType="end"/>
            </w:r>
          </w:hyperlink>
        </w:p>
        <w:p w14:paraId="66F0AA18" w14:textId="366219F4"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703" w:history="1">
            <w:r w:rsidRPr="003B5721">
              <w:rPr>
                <w:rStyle w:val="Hyperlink"/>
                <w:rFonts w:ascii="Arial" w:eastAsia="Arial" w:hAnsi="Arial" w:cs="Arial"/>
                <w:noProof/>
                <w:sz w:val="22"/>
                <w:szCs w:val="22"/>
                <w:lang w:val="en-GB"/>
              </w:rPr>
              <w:t>4.2 Psychological Impact</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_Toc235132703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4</w:t>
            </w:r>
            <w:r w:rsidRPr="003B5721">
              <w:rPr>
                <w:rFonts w:ascii="Arial" w:hAnsi="Arial" w:cs="Arial"/>
                <w:noProof/>
                <w:webHidden/>
                <w:sz w:val="22"/>
                <w:szCs w:val="22"/>
              </w:rPr>
              <w:fldChar w:fldCharType="end"/>
            </w:r>
          </w:hyperlink>
        </w:p>
        <w:p w14:paraId="39BA3E99" w14:textId="193CAEDB"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704" w:history="1">
            <w:r w:rsidRPr="003B5721">
              <w:rPr>
                <w:rStyle w:val="Hyperlink"/>
                <w:rFonts w:ascii="Arial" w:eastAsia="Arial" w:hAnsi="Arial" w:cs="Arial"/>
                <w:noProof/>
                <w:sz w:val="22"/>
                <w:szCs w:val="22"/>
                <w:lang w:val="en-GB"/>
              </w:rPr>
              <w:t>4.3 Social Impact</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_Toc235132704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5</w:t>
            </w:r>
            <w:r w:rsidRPr="003B5721">
              <w:rPr>
                <w:rFonts w:ascii="Arial" w:hAnsi="Arial" w:cs="Arial"/>
                <w:noProof/>
                <w:webHidden/>
                <w:sz w:val="22"/>
                <w:szCs w:val="22"/>
              </w:rPr>
              <w:fldChar w:fldCharType="end"/>
            </w:r>
          </w:hyperlink>
        </w:p>
        <w:p w14:paraId="3900524B" w14:textId="33768F5F"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705" w:history="1">
            <w:r w:rsidRPr="003B5721">
              <w:rPr>
                <w:rStyle w:val="Hyperlink"/>
                <w:rFonts w:ascii="Arial" w:eastAsia="Arial" w:hAnsi="Arial" w:cs="Arial"/>
                <w:noProof/>
                <w:sz w:val="22"/>
                <w:szCs w:val="22"/>
                <w:lang w:val="en-GB"/>
              </w:rPr>
              <w:t>4.4 Self-Management Theory</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_Toc235132705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5</w:t>
            </w:r>
            <w:r w:rsidRPr="003B5721">
              <w:rPr>
                <w:rFonts w:ascii="Arial" w:hAnsi="Arial" w:cs="Arial"/>
                <w:noProof/>
                <w:webHidden/>
                <w:sz w:val="22"/>
                <w:szCs w:val="22"/>
              </w:rPr>
              <w:fldChar w:fldCharType="end"/>
            </w:r>
          </w:hyperlink>
        </w:p>
        <w:p w14:paraId="5C61D180" w14:textId="0CAF3A9B"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706" w:history="1">
            <w:r w:rsidRPr="003B5721">
              <w:rPr>
                <w:rStyle w:val="Hyperlink"/>
                <w:rFonts w:ascii="Arial" w:eastAsia="Arial" w:hAnsi="Arial" w:cs="Arial"/>
                <w:noProof/>
                <w:sz w:val="22"/>
                <w:szCs w:val="22"/>
                <w:lang w:val="en-GB"/>
              </w:rPr>
              <w:t>4.5 Evidence-Based Treatments</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_Toc235132706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6</w:t>
            </w:r>
            <w:r w:rsidRPr="003B5721">
              <w:rPr>
                <w:rFonts w:ascii="Arial" w:hAnsi="Arial" w:cs="Arial"/>
                <w:noProof/>
                <w:webHidden/>
                <w:sz w:val="22"/>
                <w:szCs w:val="22"/>
              </w:rPr>
              <w:fldChar w:fldCharType="end"/>
            </w:r>
          </w:hyperlink>
        </w:p>
        <w:p w14:paraId="2FAEF591" w14:textId="392B1DF5"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707" w:history="1">
            <w:r w:rsidRPr="003B5721">
              <w:rPr>
                <w:rStyle w:val="Hyperlink"/>
                <w:rFonts w:ascii="Arial" w:eastAsia="Arial" w:hAnsi="Arial" w:cs="Arial"/>
                <w:noProof/>
                <w:sz w:val="22"/>
                <w:szCs w:val="22"/>
                <w:lang w:val="en-GB"/>
              </w:rPr>
              <w:t>4.6 NHS Services and Multidisciplinary Care</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_Toc235132707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6</w:t>
            </w:r>
            <w:r w:rsidRPr="003B5721">
              <w:rPr>
                <w:rFonts w:ascii="Arial" w:hAnsi="Arial" w:cs="Arial"/>
                <w:noProof/>
                <w:webHidden/>
                <w:sz w:val="22"/>
                <w:szCs w:val="22"/>
              </w:rPr>
              <w:fldChar w:fldCharType="end"/>
            </w:r>
          </w:hyperlink>
        </w:p>
        <w:p w14:paraId="660F7BE3" w14:textId="5815E6BF" w:rsidR="003B5721" w:rsidRPr="003B5721" w:rsidRDefault="003B5721" w:rsidP="003B5721">
          <w:pPr>
            <w:pStyle w:val="TOC1"/>
            <w:tabs>
              <w:tab w:val="right" w:leader="dot" w:pos="12950"/>
            </w:tabs>
            <w:spacing w:line="240" w:lineRule="auto"/>
            <w:rPr>
              <w:rFonts w:ascii="Arial" w:hAnsi="Arial" w:cs="Arial"/>
              <w:noProof/>
              <w:sz w:val="22"/>
              <w:szCs w:val="22"/>
            </w:rPr>
          </w:pPr>
          <w:hyperlink w:anchor="_Toc235132708" w:history="1">
            <w:r w:rsidRPr="003B5721">
              <w:rPr>
                <w:rStyle w:val="Hyperlink"/>
                <w:rFonts w:ascii="Arial" w:eastAsia="Arial" w:hAnsi="Arial" w:cs="Arial"/>
                <w:noProof/>
                <w:sz w:val="22"/>
                <w:szCs w:val="22"/>
                <w:lang w:val="en-GB"/>
              </w:rPr>
              <w:t>5. Models and Frameworks for Improved Outcomes</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_Toc235132708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7</w:t>
            </w:r>
            <w:r w:rsidRPr="003B5721">
              <w:rPr>
                <w:rFonts w:ascii="Arial" w:hAnsi="Arial" w:cs="Arial"/>
                <w:noProof/>
                <w:webHidden/>
                <w:sz w:val="22"/>
                <w:szCs w:val="22"/>
              </w:rPr>
              <w:fldChar w:fldCharType="end"/>
            </w:r>
          </w:hyperlink>
        </w:p>
        <w:p w14:paraId="7B10A6DA" w14:textId="6D37AAC7"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709" w:history="1">
            <w:r w:rsidRPr="003B5721">
              <w:rPr>
                <w:rStyle w:val="Hyperlink"/>
                <w:rFonts w:ascii="Arial" w:eastAsia="Arial" w:hAnsi="Arial" w:cs="Arial"/>
                <w:noProof/>
                <w:sz w:val="22"/>
                <w:szCs w:val="22"/>
                <w:lang w:val="en-GB"/>
              </w:rPr>
              <w:t>5.1 UK Model: NHS Comprehensive Model of Personalised Care</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_Toc235132709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7</w:t>
            </w:r>
            <w:r w:rsidRPr="003B5721">
              <w:rPr>
                <w:rFonts w:ascii="Arial" w:hAnsi="Arial" w:cs="Arial"/>
                <w:noProof/>
                <w:webHidden/>
                <w:sz w:val="22"/>
                <w:szCs w:val="22"/>
              </w:rPr>
              <w:fldChar w:fldCharType="end"/>
            </w:r>
          </w:hyperlink>
        </w:p>
        <w:p w14:paraId="48DDEEE8" w14:textId="04EA3735"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710" w:history="1">
            <w:r w:rsidRPr="003B5721">
              <w:rPr>
                <w:rStyle w:val="Hyperlink"/>
                <w:rFonts w:ascii="Arial" w:eastAsia="Arial" w:hAnsi="Arial" w:cs="Arial"/>
                <w:noProof/>
                <w:sz w:val="22"/>
                <w:szCs w:val="22"/>
                <w:lang w:val="en-GB"/>
              </w:rPr>
              <w:t>5.2 International Model: WHO Innovative Care for Chronic Conditions (ICCC)</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_Toc235132710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8</w:t>
            </w:r>
            <w:r w:rsidRPr="003B5721">
              <w:rPr>
                <w:rFonts w:ascii="Arial" w:hAnsi="Arial" w:cs="Arial"/>
                <w:noProof/>
                <w:webHidden/>
                <w:sz w:val="22"/>
                <w:szCs w:val="22"/>
              </w:rPr>
              <w:fldChar w:fldCharType="end"/>
            </w:r>
          </w:hyperlink>
        </w:p>
        <w:p w14:paraId="052321E9" w14:textId="4F0503BE"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711" w:history="1">
            <w:r w:rsidRPr="003B5721">
              <w:rPr>
                <w:rStyle w:val="Hyperlink"/>
                <w:rFonts w:ascii="Arial" w:eastAsia="Arial" w:hAnsi="Arial" w:cs="Arial"/>
                <w:noProof/>
                <w:sz w:val="22"/>
                <w:szCs w:val="22"/>
                <w:lang w:val="en-GB"/>
              </w:rPr>
              <w:t>5.3 Critical Comparison</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_Toc235132711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8</w:t>
            </w:r>
            <w:r w:rsidRPr="003B5721">
              <w:rPr>
                <w:rFonts w:ascii="Arial" w:hAnsi="Arial" w:cs="Arial"/>
                <w:noProof/>
                <w:webHidden/>
                <w:sz w:val="22"/>
                <w:szCs w:val="22"/>
              </w:rPr>
              <w:fldChar w:fldCharType="end"/>
            </w:r>
          </w:hyperlink>
        </w:p>
        <w:p w14:paraId="2FD8A324" w14:textId="1442A4AA" w:rsidR="003B5721" w:rsidRPr="003B5721" w:rsidRDefault="003B5721" w:rsidP="003B5721">
          <w:pPr>
            <w:pStyle w:val="TOC1"/>
            <w:tabs>
              <w:tab w:val="right" w:leader="dot" w:pos="12950"/>
            </w:tabs>
            <w:spacing w:line="240" w:lineRule="auto"/>
            <w:rPr>
              <w:rFonts w:ascii="Arial" w:hAnsi="Arial" w:cs="Arial"/>
              <w:noProof/>
              <w:sz w:val="22"/>
              <w:szCs w:val="22"/>
            </w:rPr>
          </w:pPr>
          <w:hyperlink w:anchor="_Toc235132712" w:history="1">
            <w:r w:rsidRPr="003B5721">
              <w:rPr>
                <w:rStyle w:val="Hyperlink"/>
                <w:rFonts w:ascii="Arial" w:eastAsia="Arial" w:hAnsi="Arial" w:cs="Arial"/>
                <w:noProof/>
                <w:sz w:val="22"/>
                <w:szCs w:val="22"/>
                <w:lang w:val="en-GB"/>
              </w:rPr>
              <w:t>6. Local and National Policy Implications</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_Toc235132712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8</w:t>
            </w:r>
            <w:r w:rsidRPr="003B5721">
              <w:rPr>
                <w:rFonts w:ascii="Arial" w:hAnsi="Arial" w:cs="Arial"/>
                <w:noProof/>
                <w:webHidden/>
                <w:sz w:val="22"/>
                <w:szCs w:val="22"/>
              </w:rPr>
              <w:fldChar w:fldCharType="end"/>
            </w:r>
          </w:hyperlink>
        </w:p>
        <w:p w14:paraId="24F75819" w14:textId="4F288546"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713" w:history="1">
            <w:r w:rsidRPr="003B5721">
              <w:rPr>
                <w:rStyle w:val="Hyperlink"/>
                <w:rFonts w:ascii="Arial" w:eastAsia="Arial" w:hAnsi="Arial" w:cs="Arial"/>
                <w:noProof/>
                <w:sz w:val="22"/>
                <w:szCs w:val="22"/>
                <w:lang w:val="en-GB"/>
              </w:rPr>
              <w:t>6.1 National Policies</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_Toc235132713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8</w:t>
            </w:r>
            <w:r w:rsidRPr="003B5721">
              <w:rPr>
                <w:rFonts w:ascii="Arial" w:hAnsi="Arial" w:cs="Arial"/>
                <w:noProof/>
                <w:webHidden/>
                <w:sz w:val="22"/>
                <w:szCs w:val="22"/>
              </w:rPr>
              <w:fldChar w:fldCharType="end"/>
            </w:r>
          </w:hyperlink>
        </w:p>
        <w:p w14:paraId="3FFB7D84" w14:textId="5B4DB46B"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714" w:history="1">
            <w:r w:rsidRPr="003B5721">
              <w:rPr>
                <w:rStyle w:val="Hyperlink"/>
                <w:rFonts w:ascii="Arial" w:eastAsia="Arial" w:hAnsi="Arial" w:cs="Arial"/>
                <w:noProof/>
                <w:sz w:val="22"/>
                <w:szCs w:val="22"/>
                <w:lang w:val="en-GB"/>
              </w:rPr>
              <w:t>6.2 Local Interventions</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_Toc235132714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9</w:t>
            </w:r>
            <w:r w:rsidRPr="003B5721">
              <w:rPr>
                <w:rFonts w:ascii="Arial" w:hAnsi="Arial" w:cs="Arial"/>
                <w:noProof/>
                <w:webHidden/>
                <w:sz w:val="22"/>
                <w:szCs w:val="22"/>
              </w:rPr>
              <w:fldChar w:fldCharType="end"/>
            </w:r>
          </w:hyperlink>
        </w:p>
        <w:p w14:paraId="2E0B00E7" w14:textId="503A3C87" w:rsidR="003B5721" w:rsidRPr="003B5721" w:rsidRDefault="003B5721" w:rsidP="003B5721">
          <w:pPr>
            <w:pStyle w:val="TOC2"/>
            <w:tabs>
              <w:tab w:val="right" w:leader="dot" w:pos="12950"/>
            </w:tabs>
            <w:spacing w:line="240" w:lineRule="auto"/>
            <w:rPr>
              <w:rFonts w:ascii="Arial" w:hAnsi="Arial" w:cs="Arial"/>
              <w:noProof/>
              <w:sz w:val="22"/>
              <w:szCs w:val="22"/>
            </w:rPr>
          </w:pPr>
          <w:hyperlink w:anchor="_Toc235132715" w:history="1">
            <w:r w:rsidRPr="003B5721">
              <w:rPr>
                <w:rStyle w:val="Hyperlink"/>
                <w:rFonts w:ascii="Arial" w:eastAsia="Arial" w:hAnsi="Arial" w:cs="Arial"/>
                <w:noProof/>
                <w:sz w:val="22"/>
                <w:szCs w:val="22"/>
                <w:lang w:val="en-GB"/>
              </w:rPr>
              <w:t>6.3 Improving Outcomes through NHS Personalised Care</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_Toc235132715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9</w:t>
            </w:r>
            <w:r w:rsidRPr="003B5721">
              <w:rPr>
                <w:rFonts w:ascii="Arial" w:hAnsi="Arial" w:cs="Arial"/>
                <w:noProof/>
                <w:webHidden/>
                <w:sz w:val="22"/>
                <w:szCs w:val="22"/>
              </w:rPr>
              <w:fldChar w:fldCharType="end"/>
            </w:r>
          </w:hyperlink>
        </w:p>
        <w:p w14:paraId="772E707C" w14:textId="52701308" w:rsidR="003B5721" w:rsidRPr="003B5721" w:rsidRDefault="003B5721" w:rsidP="003B5721">
          <w:pPr>
            <w:pStyle w:val="TOC1"/>
            <w:tabs>
              <w:tab w:val="right" w:leader="dot" w:pos="12950"/>
            </w:tabs>
            <w:spacing w:line="240" w:lineRule="auto"/>
            <w:rPr>
              <w:rFonts w:ascii="Arial" w:hAnsi="Arial" w:cs="Arial"/>
              <w:noProof/>
              <w:sz w:val="22"/>
              <w:szCs w:val="22"/>
            </w:rPr>
          </w:pPr>
          <w:hyperlink w:anchor="_Toc235132716" w:history="1">
            <w:r w:rsidRPr="003B5721">
              <w:rPr>
                <w:rStyle w:val="Hyperlink"/>
                <w:rFonts w:ascii="Arial" w:eastAsia="Arial" w:hAnsi="Arial" w:cs="Arial"/>
                <w:noProof/>
                <w:sz w:val="22"/>
                <w:szCs w:val="22"/>
                <w:lang w:val="en-GB"/>
              </w:rPr>
              <w:t>7. Recommendations</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_Toc235132716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9</w:t>
            </w:r>
            <w:r w:rsidRPr="003B5721">
              <w:rPr>
                <w:rFonts w:ascii="Arial" w:hAnsi="Arial" w:cs="Arial"/>
                <w:noProof/>
                <w:webHidden/>
                <w:sz w:val="22"/>
                <w:szCs w:val="22"/>
              </w:rPr>
              <w:fldChar w:fldCharType="end"/>
            </w:r>
          </w:hyperlink>
        </w:p>
        <w:p w14:paraId="4B9E4BB1" w14:textId="6973C94D" w:rsidR="003B5721" w:rsidRPr="003B5721" w:rsidRDefault="003B5721" w:rsidP="003B5721">
          <w:pPr>
            <w:pStyle w:val="TOC1"/>
            <w:tabs>
              <w:tab w:val="right" w:leader="dot" w:pos="12950"/>
            </w:tabs>
            <w:spacing w:line="240" w:lineRule="auto"/>
            <w:rPr>
              <w:rFonts w:ascii="Arial" w:hAnsi="Arial" w:cs="Arial"/>
              <w:noProof/>
              <w:sz w:val="22"/>
              <w:szCs w:val="22"/>
            </w:rPr>
          </w:pPr>
          <w:hyperlink w:anchor="_Toc235132717" w:history="1">
            <w:r w:rsidRPr="003B5721">
              <w:rPr>
                <w:rStyle w:val="Hyperlink"/>
                <w:rFonts w:ascii="Arial" w:eastAsia="Arial" w:hAnsi="Arial" w:cs="Arial"/>
                <w:noProof/>
                <w:sz w:val="22"/>
                <w:szCs w:val="22"/>
                <w:lang w:val="en-GB"/>
              </w:rPr>
              <w:t>8. Conclusion</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_Toc235132717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10</w:t>
            </w:r>
            <w:r w:rsidRPr="003B5721">
              <w:rPr>
                <w:rFonts w:ascii="Arial" w:hAnsi="Arial" w:cs="Arial"/>
                <w:noProof/>
                <w:webHidden/>
                <w:sz w:val="22"/>
                <w:szCs w:val="22"/>
              </w:rPr>
              <w:fldChar w:fldCharType="end"/>
            </w:r>
          </w:hyperlink>
        </w:p>
        <w:p w14:paraId="12CAAEE1" w14:textId="2164157F" w:rsidR="003B5721" w:rsidRPr="003B5721" w:rsidRDefault="003B5721" w:rsidP="003B5721">
          <w:pPr>
            <w:pStyle w:val="TOC1"/>
            <w:tabs>
              <w:tab w:val="right" w:leader="dot" w:pos="12950"/>
            </w:tabs>
            <w:spacing w:line="240" w:lineRule="auto"/>
            <w:rPr>
              <w:rFonts w:ascii="Arial" w:hAnsi="Arial" w:cs="Arial"/>
              <w:noProof/>
              <w:sz w:val="22"/>
              <w:szCs w:val="22"/>
            </w:rPr>
          </w:pPr>
          <w:hyperlink w:anchor="_Toc235132718" w:history="1">
            <w:r w:rsidRPr="003B5721">
              <w:rPr>
                <w:rStyle w:val="Hyperlink"/>
                <w:rFonts w:ascii="Arial" w:eastAsia="Arial" w:hAnsi="Arial" w:cs="Arial"/>
                <w:noProof/>
                <w:sz w:val="22"/>
                <w:szCs w:val="22"/>
                <w:lang w:val="en-GB"/>
              </w:rPr>
              <w:t>References</w:t>
            </w:r>
            <w:r w:rsidRPr="003B5721">
              <w:rPr>
                <w:rFonts w:ascii="Arial" w:hAnsi="Arial" w:cs="Arial"/>
                <w:noProof/>
                <w:webHidden/>
                <w:sz w:val="22"/>
                <w:szCs w:val="22"/>
              </w:rPr>
              <w:tab/>
            </w:r>
            <w:r w:rsidRPr="003B5721">
              <w:rPr>
                <w:rFonts w:ascii="Arial" w:hAnsi="Arial" w:cs="Arial"/>
                <w:noProof/>
                <w:webHidden/>
                <w:sz w:val="22"/>
                <w:szCs w:val="22"/>
              </w:rPr>
              <w:fldChar w:fldCharType="begin"/>
            </w:r>
            <w:r w:rsidRPr="003B5721">
              <w:rPr>
                <w:rFonts w:ascii="Arial" w:hAnsi="Arial" w:cs="Arial"/>
                <w:noProof/>
                <w:webHidden/>
                <w:sz w:val="22"/>
                <w:szCs w:val="22"/>
              </w:rPr>
              <w:instrText xml:space="preserve"> PAGEREF _Toc235132718 \h </w:instrText>
            </w:r>
            <w:r w:rsidRPr="003B5721">
              <w:rPr>
                <w:rFonts w:ascii="Arial" w:hAnsi="Arial" w:cs="Arial"/>
                <w:noProof/>
                <w:webHidden/>
                <w:sz w:val="22"/>
                <w:szCs w:val="22"/>
              </w:rPr>
            </w:r>
            <w:r w:rsidRPr="003B5721">
              <w:rPr>
                <w:rFonts w:ascii="Arial" w:hAnsi="Arial" w:cs="Arial"/>
                <w:noProof/>
                <w:webHidden/>
                <w:sz w:val="22"/>
                <w:szCs w:val="22"/>
              </w:rPr>
              <w:fldChar w:fldCharType="separate"/>
            </w:r>
            <w:r w:rsidR="00C53A93">
              <w:rPr>
                <w:rFonts w:ascii="Arial" w:hAnsi="Arial" w:cs="Arial"/>
                <w:noProof/>
                <w:webHidden/>
                <w:sz w:val="22"/>
                <w:szCs w:val="22"/>
              </w:rPr>
              <w:t>11</w:t>
            </w:r>
            <w:r w:rsidRPr="003B5721">
              <w:rPr>
                <w:rFonts w:ascii="Arial" w:hAnsi="Arial" w:cs="Arial"/>
                <w:noProof/>
                <w:webHidden/>
                <w:sz w:val="22"/>
                <w:szCs w:val="22"/>
              </w:rPr>
              <w:fldChar w:fldCharType="end"/>
            </w:r>
          </w:hyperlink>
        </w:p>
        <w:p w14:paraId="0F528F15" w14:textId="04A39E98" w:rsidR="000C7070" w:rsidRPr="002D39BB" w:rsidRDefault="000C7070" w:rsidP="003B5721">
          <w:pPr>
            <w:widowControl w:val="0"/>
            <w:tabs>
              <w:tab w:val="right" w:leader="dot" w:pos="12000"/>
            </w:tabs>
            <w:spacing w:before="60" w:after="0" w:line="240" w:lineRule="auto"/>
            <w:rPr>
              <w:b/>
              <w:bCs/>
              <w:color w:val="000000"/>
              <w:lang w:val="en-GB"/>
            </w:rPr>
          </w:pPr>
          <w:r w:rsidRPr="003B5721">
            <w:rPr>
              <w:rFonts w:ascii="Arial" w:hAnsi="Arial" w:cs="Arial"/>
              <w:sz w:val="22"/>
              <w:szCs w:val="22"/>
              <w:lang w:val="en-GB"/>
            </w:rPr>
            <w:fldChar w:fldCharType="end"/>
          </w:r>
        </w:p>
      </w:sdtContent>
    </w:sdt>
    <w:p w14:paraId="6D47C79B" w14:textId="77777777" w:rsidR="000C7070" w:rsidRPr="002D39BB" w:rsidRDefault="000C7070" w:rsidP="000C7070">
      <w:pPr>
        <w:spacing w:before="120" w:after="120" w:line="360" w:lineRule="auto"/>
        <w:jc w:val="center"/>
        <w:rPr>
          <w:rFonts w:ascii="Arial" w:eastAsia="Arial" w:hAnsi="Arial" w:cs="Arial"/>
          <w:lang w:val="en-GB"/>
        </w:rPr>
      </w:pPr>
      <w:r w:rsidRPr="002D39BB">
        <w:rPr>
          <w:lang w:val="en-GB"/>
        </w:rPr>
        <w:br w:type="page"/>
      </w:r>
    </w:p>
    <w:p w14:paraId="02AD9867" w14:textId="77777777" w:rsidR="002D39BB" w:rsidRPr="002D39BB" w:rsidRDefault="002D39BB" w:rsidP="004028F8">
      <w:pPr>
        <w:pStyle w:val="Heading1"/>
        <w:sectPr w:rsidR="002D39BB" w:rsidRPr="002D39BB" w:rsidSect="00D52227">
          <w:footerReference w:type="default" r:id="rId8"/>
          <w:pgSz w:w="15840" w:h="12240" w:orient="landscape"/>
          <w:pgMar w:top="1440" w:right="1440" w:bottom="1440" w:left="1440" w:header="720" w:footer="720" w:gutter="0"/>
          <w:pgNumType w:start="1"/>
          <w:cols w:space="720"/>
          <w:titlePg/>
          <w:docGrid w:linePitch="326"/>
        </w:sectPr>
      </w:pPr>
    </w:p>
    <w:p w14:paraId="75C1813D" w14:textId="54A40C6A" w:rsidR="000C7070" w:rsidRPr="004028F8" w:rsidRDefault="002D39BB" w:rsidP="004028F8">
      <w:pPr>
        <w:pStyle w:val="Heading1"/>
      </w:pPr>
      <w:bookmarkStart w:id="0" w:name="_Toc235132690"/>
      <w:r w:rsidRPr="004028F8">
        <w:drawing>
          <wp:anchor distT="0" distB="0" distL="114300" distR="114300" simplePos="0" relativeHeight="251658240" behindDoc="0" locked="0" layoutInCell="1" allowOverlap="1" wp14:anchorId="7258F5B4" wp14:editId="03B66595">
            <wp:simplePos x="0" y="0"/>
            <wp:positionH relativeFrom="column">
              <wp:posOffset>3143250</wp:posOffset>
            </wp:positionH>
            <wp:positionV relativeFrom="paragraph">
              <wp:posOffset>0</wp:posOffset>
            </wp:positionV>
            <wp:extent cx="5943600" cy="3200400"/>
            <wp:effectExtent l="0" t="0" r="0" b="0"/>
            <wp:wrapThrough wrapText="bothSides">
              <wp:wrapPolygon edited="0">
                <wp:start x="0" y="0"/>
                <wp:lineTo x="0" y="21471"/>
                <wp:lineTo x="21531" y="21471"/>
                <wp:lineTo x="21531" y="0"/>
                <wp:lineTo x="0" y="0"/>
              </wp:wrapPolygon>
            </wp:wrapThrough>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extLst>
                        <a:ext uri="{28A0092B-C50C-407E-A947-70E740481C1C}">
                          <a14:useLocalDpi xmlns:a14="http://schemas.microsoft.com/office/drawing/2010/main" val="0"/>
                        </a:ext>
                      </a:extLst>
                    </a:blip>
                    <a:srcRect t="14504"/>
                    <a:stretch>
                      <a:fillRect/>
                    </a:stretch>
                  </pic:blipFill>
                  <pic:spPr>
                    <a:xfrm>
                      <a:off x="0" y="0"/>
                      <a:ext cx="5943600" cy="3200400"/>
                    </a:xfrm>
                    <a:prstGeom prst="rect">
                      <a:avLst/>
                    </a:prstGeom>
                    <a:ln/>
                  </pic:spPr>
                </pic:pic>
              </a:graphicData>
            </a:graphic>
            <wp14:sizeRelH relativeFrom="page">
              <wp14:pctWidth>0</wp14:pctWidth>
            </wp14:sizeRelH>
            <wp14:sizeRelV relativeFrom="page">
              <wp14:pctHeight>0</wp14:pctHeight>
            </wp14:sizeRelV>
          </wp:anchor>
        </w:drawing>
      </w:r>
      <w:r w:rsidR="000C7070" w:rsidRPr="004028F8">
        <w:t>1. Introduction</w:t>
      </w:r>
      <w:bookmarkEnd w:id="0"/>
    </w:p>
    <w:p w14:paraId="1B87EBC9" w14:textId="1FBDEFC5" w:rsidR="000C7070" w:rsidRPr="002D39BB" w:rsidRDefault="000C7070" w:rsidP="004028F8">
      <w:pPr>
        <w:pStyle w:val="Heading2"/>
      </w:pPr>
      <w:bookmarkStart w:id="1" w:name="_Toc235132691"/>
      <w:r w:rsidRPr="002D39BB">
        <w:t>1.1 Definition of Coronary Heart Disease (CHD)</w:t>
      </w:r>
      <w:bookmarkEnd w:id="1"/>
    </w:p>
    <w:p w14:paraId="486D43C7" w14:textId="2C04BC3B" w:rsidR="000C7070" w:rsidRPr="002D39BB" w:rsidRDefault="002D39BB" w:rsidP="000C7070">
      <w:pPr>
        <w:spacing w:before="120" w:after="120" w:line="360" w:lineRule="auto"/>
        <w:jc w:val="both"/>
        <w:rPr>
          <w:rFonts w:ascii="Arial" w:eastAsia="Arial" w:hAnsi="Arial" w:cs="Arial"/>
          <w:sz w:val="22"/>
          <w:szCs w:val="22"/>
          <w:lang w:val="en-GB"/>
        </w:rPr>
      </w:pPr>
      <w:r w:rsidRPr="002D39BB">
        <w:rPr>
          <w:rFonts w:ascii="Arial" w:eastAsia="Arial" w:hAnsi="Arial" w:cs="Arial"/>
          <w:noProof/>
          <w:sz w:val="22"/>
          <w:szCs w:val="22"/>
          <w:lang w:val="en-GB"/>
        </w:rPr>
        <mc:AlternateContent>
          <mc:Choice Requires="wps">
            <w:drawing>
              <wp:anchor distT="45720" distB="45720" distL="114300" distR="114300" simplePos="0" relativeHeight="251660288" behindDoc="0" locked="0" layoutInCell="1" allowOverlap="1" wp14:anchorId="5967C1FC" wp14:editId="022139FE">
                <wp:simplePos x="0" y="0"/>
                <wp:positionH relativeFrom="column">
                  <wp:posOffset>4324350</wp:posOffset>
                </wp:positionH>
                <wp:positionV relativeFrom="paragraph">
                  <wp:posOffset>2306320</wp:posOffset>
                </wp:positionV>
                <wp:extent cx="39243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24300" cy="1404620"/>
                        </a:xfrm>
                        <a:prstGeom prst="rect">
                          <a:avLst/>
                        </a:prstGeom>
                        <a:noFill/>
                        <a:ln w="9525">
                          <a:noFill/>
                          <a:miter lim="800000"/>
                          <a:headEnd/>
                          <a:tailEnd/>
                        </a:ln>
                      </wps:spPr>
                      <wps:txbx>
                        <w:txbxContent>
                          <w:p w14:paraId="26747920" w14:textId="23E3A81F" w:rsidR="002D39BB" w:rsidRPr="002D39BB" w:rsidRDefault="002D39BB" w:rsidP="002D39BB">
                            <w:pPr>
                              <w:spacing w:before="120" w:after="120" w:line="240" w:lineRule="auto"/>
                              <w:jc w:val="center"/>
                              <w:rPr>
                                <w:rFonts w:ascii="Arial" w:eastAsia="Arial" w:hAnsi="Arial" w:cs="Arial"/>
                                <w:b/>
                                <w:bCs/>
                                <w:sz w:val="22"/>
                                <w:szCs w:val="22"/>
                              </w:rPr>
                            </w:pPr>
                            <w:r w:rsidRPr="002D39BB">
                              <w:rPr>
                                <w:rFonts w:ascii="Arial" w:eastAsia="Arial" w:hAnsi="Arial" w:cs="Arial"/>
                                <w:b/>
                                <w:bCs/>
                                <w:sz w:val="22"/>
                                <w:szCs w:val="22"/>
                              </w:rPr>
                              <w:t>Estimated Deaths from Cardiovascular Disease in 2023</w:t>
                            </w:r>
                          </w:p>
                          <w:p w14:paraId="223DC4DB" w14:textId="6FB5817B" w:rsidR="002D39BB" w:rsidRPr="002D39BB" w:rsidRDefault="002D39BB" w:rsidP="002D39BB">
                            <w:pPr>
                              <w:spacing w:before="120" w:after="120" w:line="240" w:lineRule="auto"/>
                              <w:jc w:val="center"/>
                              <w:rPr>
                                <w:rFonts w:ascii="Arial" w:eastAsia="Arial" w:hAnsi="Arial" w:cs="Arial"/>
                                <w:sz w:val="22"/>
                                <w:szCs w:val="22"/>
                              </w:rPr>
                            </w:pPr>
                            <w:r w:rsidRPr="002D39BB">
                              <w:rPr>
                                <w:rFonts w:ascii="Arial" w:eastAsia="Arial" w:hAnsi="Arial" w:cs="Arial"/>
                                <w:sz w:val="22"/>
                                <w:szCs w:val="22"/>
                              </w:rPr>
                              <w:t>(Source: BHF, 2026b)</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967C1FC" id="_x0000_t202" coordsize="21600,21600" o:spt="202" path="m,l,21600r21600,l21600,xe">
                <v:stroke joinstyle="miter"/>
                <v:path gradientshapeok="t" o:connecttype="rect"/>
              </v:shapetype>
              <v:shape id="Text Box 2" o:spid="_x0000_s1026" type="#_x0000_t202" style="position:absolute;left:0;text-align:left;margin-left:340.5pt;margin-top:181.6pt;width:309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F5LqBf9AQAA2gMAAA4AAABkcnMvZTJvRG9jLnhtbKxTy27bMBC8F+g/ELzXkh05jQXLQZrU&#13;&#10;RYH0AaT9gDVFWUQpLkvSltyv75JSYqO9FdWB4GrI2Z3Z5fp26DQ7SucVmorPZzln0gisldlX/Pu3&#13;&#10;7ZsbznwAU4NGIyt+kp7fbl6/Wve2lAtsUdfSMSIxvuxtxdsQbJllXrSyAz9DKw2BDboOAoVun9UO&#13;&#10;emLvdLbI8+usR1dbh0J6T38fRpBvEn/TSBG+NI2XgemKU20hrS6tu7RmmzWUewe2VWKqA/6hjA6U&#13;&#10;oawvVA8QgB2c+ouqU8KhxybMBHYZNo0SMokgOfP8DzlPLViZxJA73r745P8frfh8fLJfHQvDOxyo&#13;&#10;g0mEt48ofnhm8L4Fs5d3zmHfSqgp8Zwz8izrrS+nu9FsX/rIsus/YU1thkPAxDQ0rou2kFBG9NSC&#13;&#10;09l2OQQm6O/ValFc5YQJAudFXlwvKIhZoHwmsM6HDxI7FjcVd9TZlACOjz5MZ5/PxIQGt0rrCECp&#13;&#10;DesrvloulunKJdSpQPOnVVfxmzx+KS+UUex7U4/3Ayg9BVSRNpP8qHjUHobdEI9GH3ZYn8gJh+Os&#13;&#10;0dugTYvuF2c9jVnF/c8DOMmZ/mjIztW8KChpSEGxfBuVu0tkd4mAEURV8cDZuL0PaZijSm/vyPWt&#13;&#10;Gt04lzJVS/OTDJ1mPQ7oZZxOnZ/k5jcAAAD//wMAUEsDBBQABgAIAAAAIQCQgkyL5gAAABIBAAAP&#13;&#10;AAAAZHJzL2Rvd25yZXYueG1sTI/LTsMwEEX3SPyDNUjsqNO0pGmaSVVBH0ugjVi7sUki4rEVu2n4&#13;&#10;e9wVbEaa17335OtRd2xQvWsNIUwnETBFlZEt1QjlafeUAnNekBSdIYXwoxysi/u7XGTSXOlDDUdf&#13;&#10;syBCLhMIjfc249xVjdLCTYxVFHZfptfCh7avuezFNYjrjsdRlHAtWgoOjbDqpVHV9/GiEay3+8Wh&#13;&#10;f3vfbHdDVH7uy7itt4iPD+PrKpTNCphXo//7gBtDyA9FCHY2F5KOdQhJOg1AHmGWzGJgt4t4uQyj&#13;&#10;M8JzOp8D40XO/6MUvwAAAP//AwBQSwECLQAUAAYACAAAACEAWiKTo/8AAADlAQAAEwAAAAAAAAAA&#13;&#10;AAAAAAAAAAAAW0NvbnRlbnRfVHlwZXNdLnhtbFBLAQItABQABgAIAAAAIQCnSs841wAAAJYBAAAL&#13;&#10;AAAAAAAAAAAAAAAAADABAABfcmVscy8ucmVsc1BLAQItABQABgAIAAAAIQBeS6gX/QEAANoDAAAO&#13;&#10;AAAAAAAAAAAAAAAAADACAABkcnMvZTJvRG9jLnhtbFBLAQItABQABgAIAAAAIQCQgkyL5gAAABIB&#13;&#10;AAAPAAAAAAAAAAAAAAAAAFkEAABkcnMvZG93bnJldi54bWxQSwUGAAAAAAQABADzAAAAbAUAAAAA&#13;&#10;" filled="f" stroked="f">
                <v:textbox style="mso-fit-shape-to-text:t">
                  <w:txbxContent>
                    <w:p w14:paraId="26747920" w14:textId="23E3A81F" w:rsidR="002D39BB" w:rsidRPr="002D39BB" w:rsidRDefault="002D39BB" w:rsidP="002D39BB">
                      <w:pPr>
                        <w:spacing w:before="120" w:after="120" w:line="240" w:lineRule="auto"/>
                        <w:jc w:val="center"/>
                        <w:rPr>
                          <w:rFonts w:ascii="Arial" w:eastAsia="Arial" w:hAnsi="Arial" w:cs="Arial"/>
                          <w:b/>
                          <w:bCs/>
                          <w:sz w:val="22"/>
                          <w:szCs w:val="22"/>
                        </w:rPr>
                      </w:pPr>
                      <w:r w:rsidRPr="002D39BB">
                        <w:rPr>
                          <w:rFonts w:ascii="Arial" w:eastAsia="Arial" w:hAnsi="Arial" w:cs="Arial"/>
                          <w:b/>
                          <w:bCs/>
                          <w:sz w:val="22"/>
                          <w:szCs w:val="22"/>
                        </w:rPr>
                        <w:t>Estimated Deaths from Cardiovascular Disease in 2023</w:t>
                      </w:r>
                    </w:p>
                    <w:p w14:paraId="223DC4DB" w14:textId="6FB5817B" w:rsidR="002D39BB" w:rsidRPr="002D39BB" w:rsidRDefault="002D39BB" w:rsidP="002D39BB">
                      <w:pPr>
                        <w:spacing w:before="120" w:after="120" w:line="240" w:lineRule="auto"/>
                        <w:jc w:val="center"/>
                        <w:rPr>
                          <w:rFonts w:ascii="Arial" w:eastAsia="Arial" w:hAnsi="Arial" w:cs="Arial"/>
                          <w:sz w:val="22"/>
                          <w:szCs w:val="22"/>
                        </w:rPr>
                      </w:pPr>
                      <w:r w:rsidRPr="002D39BB">
                        <w:rPr>
                          <w:rFonts w:ascii="Arial" w:eastAsia="Arial" w:hAnsi="Arial" w:cs="Arial"/>
                          <w:sz w:val="22"/>
                          <w:szCs w:val="22"/>
                        </w:rPr>
                        <w:t>(Source: BHF, 2026b)</w:t>
                      </w:r>
                    </w:p>
                  </w:txbxContent>
                </v:textbox>
                <w10:wrap type="square"/>
              </v:shape>
            </w:pict>
          </mc:Fallback>
        </mc:AlternateContent>
      </w:r>
      <w:r w:rsidR="000C7070" w:rsidRPr="002D39BB">
        <w:rPr>
          <w:rFonts w:ascii="Arial" w:eastAsia="Arial" w:hAnsi="Arial" w:cs="Arial"/>
          <w:sz w:val="22"/>
          <w:szCs w:val="22"/>
          <w:lang w:val="en-GB"/>
        </w:rPr>
        <w:t xml:space="preserve">Coronary heart disease is known as a type of heart disease. It occurs when the arteries of the heart are not able to deliver enough oxygen-rich blood to the heart muscle, due to narrowing from the </w:t>
      </w:r>
      <w:r w:rsidRPr="002D39BB">
        <w:rPr>
          <w:rFonts w:ascii="Arial" w:eastAsia="Arial" w:hAnsi="Arial" w:cs="Arial"/>
          <w:sz w:val="22"/>
          <w:szCs w:val="22"/>
          <w:lang w:val="en-GB"/>
        </w:rPr>
        <w:t>build-up</w:t>
      </w:r>
      <w:r w:rsidR="000C7070" w:rsidRPr="002D39BB">
        <w:rPr>
          <w:rFonts w:ascii="Arial" w:eastAsia="Arial" w:hAnsi="Arial" w:cs="Arial"/>
          <w:sz w:val="22"/>
          <w:szCs w:val="22"/>
          <w:lang w:val="en-GB"/>
        </w:rPr>
        <w:t xml:space="preserve"> of various fatty deposits, which are called plaque. The build-up of fatty plaques, or atheroma, is also called atherosclerosis (NHLBI, 2024a; CDC, 2024). The reduced blood supply to the heart can also lead to angina, heart attacks, and heart failure, in addition to other complications. Presently, there are 2.3 million people in the UK who are living with CHD. This includes around 1.5 million men and more than 800,000 women (BHF, 2026). According to WHO (2025a), CHD is a major component of cardiovascular diseases, which are also considered the leading cause of death globally.</w:t>
      </w:r>
    </w:p>
    <w:p w14:paraId="22CE0741" w14:textId="0C072928" w:rsidR="000C7070" w:rsidRPr="002D39BB" w:rsidRDefault="000C7070" w:rsidP="004028F8">
      <w:pPr>
        <w:pStyle w:val="Heading2"/>
      </w:pPr>
      <w:bookmarkStart w:id="2" w:name="_Toc235132692"/>
      <w:r w:rsidRPr="002D39BB">
        <w:t>1.2 Purpose of the Booklet</w:t>
      </w:r>
      <w:bookmarkEnd w:id="2"/>
    </w:p>
    <w:p w14:paraId="54F919E9" w14:textId="77777777"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This booklet will focus on educating adults who are living with CHD. It will also help in supporting carers, along with guiding healthcare professionals, in addition to explaining various risk factors. The booklet will also aim to discuss the various biopsychosocial impacts of CHD, along with presenting various evidence-based treatments. It will also focus on evaluating the various UK and international care models, along with examining the various NHS policies. By adopting a person-centred approach, it will be beneficial in empowering individuals to manage their condition much more effectively for gaining better long-term outcomes.</w:t>
      </w:r>
    </w:p>
    <w:p w14:paraId="7363DC8E" w14:textId="3CF80217" w:rsidR="000C7070" w:rsidRPr="002D39BB" w:rsidRDefault="000C7070" w:rsidP="004028F8">
      <w:pPr>
        <w:pStyle w:val="Heading1"/>
      </w:pPr>
      <w:bookmarkStart w:id="3" w:name="_Toc235132693"/>
      <w:r w:rsidRPr="002D39BB">
        <w:t>2. Burden on Public Healthcare</w:t>
      </w:r>
      <w:bookmarkEnd w:id="3"/>
    </w:p>
    <w:p w14:paraId="5911166A" w14:textId="717D9B68" w:rsidR="000C7070" w:rsidRPr="002D39BB" w:rsidRDefault="002D39BB" w:rsidP="004028F8">
      <w:pPr>
        <w:pStyle w:val="Heading2"/>
      </w:pPr>
      <w:bookmarkStart w:id="4" w:name="_Toc235132694"/>
      <w:r w:rsidRPr="002D39BB">
        <w:rPr>
          <w:noProof/>
        </w:rPr>
        <w:drawing>
          <wp:anchor distT="0" distB="0" distL="114300" distR="114300" simplePos="0" relativeHeight="251661312" behindDoc="0" locked="0" layoutInCell="1" allowOverlap="1" wp14:anchorId="22F5ED82" wp14:editId="437B60B3">
            <wp:simplePos x="0" y="0"/>
            <wp:positionH relativeFrom="column">
              <wp:posOffset>-666750</wp:posOffset>
            </wp:positionH>
            <wp:positionV relativeFrom="paragraph">
              <wp:posOffset>0</wp:posOffset>
            </wp:positionV>
            <wp:extent cx="5791200" cy="2476500"/>
            <wp:effectExtent l="0" t="0" r="0" b="0"/>
            <wp:wrapThrough wrapText="bothSides">
              <wp:wrapPolygon edited="0">
                <wp:start x="0" y="0"/>
                <wp:lineTo x="0" y="21434"/>
                <wp:lineTo x="21529" y="21434"/>
                <wp:lineTo x="21529" y="0"/>
                <wp:lineTo x="0" y="0"/>
              </wp:wrapPolygon>
            </wp:wrapThrough>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extLst>
                        <a:ext uri="{28A0092B-C50C-407E-A947-70E740481C1C}">
                          <a14:useLocalDpi xmlns:a14="http://schemas.microsoft.com/office/drawing/2010/main" val="0"/>
                        </a:ext>
                      </a:extLst>
                    </a:blip>
                    <a:srcRect/>
                    <a:stretch>
                      <a:fillRect/>
                    </a:stretch>
                  </pic:blipFill>
                  <pic:spPr>
                    <a:xfrm>
                      <a:off x="0" y="0"/>
                      <a:ext cx="5791200" cy="2476500"/>
                    </a:xfrm>
                    <a:prstGeom prst="rect">
                      <a:avLst/>
                    </a:prstGeom>
                    <a:ln/>
                  </pic:spPr>
                </pic:pic>
              </a:graphicData>
            </a:graphic>
            <wp14:sizeRelH relativeFrom="page">
              <wp14:pctWidth>0</wp14:pctWidth>
            </wp14:sizeRelH>
            <wp14:sizeRelV relativeFrom="page">
              <wp14:pctHeight>0</wp14:pctHeight>
            </wp14:sizeRelV>
          </wp:anchor>
        </w:drawing>
      </w:r>
      <w:r w:rsidR="000C7070" w:rsidRPr="002D39BB">
        <w:t>2.1 Worldwide Prevalence</w:t>
      </w:r>
      <w:bookmarkEnd w:id="4"/>
    </w:p>
    <w:p w14:paraId="6E7E23E8" w14:textId="4B3CF506"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Cardiovascular diseases are known as the leading cause of death globally. It is knwon for taking around 17.9 million lives each year (WHO, 2025b). CHD alone is responsible for killing around 9 million people every year, which is around 1 in 7 deaths globally (BHF, 2026b).</w:t>
      </w:r>
    </w:p>
    <w:p w14:paraId="783476D6" w14:textId="27E5B0E0"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The burden is known to stem from various factors, such as population ageing, along with urbanisation, in addition to various other risk factors, such as hypertension, obesity, and also diabetes (BHF, 2026b). It is essential to note that CHD remains the leading cause of death globally, primarily due to its preventability yet persistent high prevalence in high-income settings and low-income settings (WHO, 2025a).</w:t>
      </w:r>
    </w:p>
    <w:p w14:paraId="0FBFDDD1" w14:textId="1712E5E6" w:rsidR="000C7070" w:rsidRPr="002D39BB" w:rsidRDefault="000C7070" w:rsidP="004028F8">
      <w:pPr>
        <w:pStyle w:val="Heading2"/>
      </w:pPr>
      <w:bookmarkStart w:id="5" w:name="_Toc235132695"/>
      <w:r w:rsidRPr="002D39BB">
        <w:t>2.2 UK Prevalence</w:t>
      </w:r>
      <w:bookmarkEnd w:id="5"/>
    </w:p>
    <w:p w14:paraId="1C124A2D" w14:textId="7ABFDBFD" w:rsidR="000C7070" w:rsidRPr="002D39BB" w:rsidRDefault="002D39BB" w:rsidP="000C7070">
      <w:pPr>
        <w:spacing w:before="120" w:after="120" w:line="360" w:lineRule="auto"/>
        <w:jc w:val="both"/>
        <w:rPr>
          <w:rFonts w:ascii="Arial" w:eastAsia="Arial" w:hAnsi="Arial" w:cs="Arial"/>
          <w:sz w:val="22"/>
          <w:szCs w:val="22"/>
          <w:lang w:val="en-GB"/>
        </w:rPr>
      </w:pPr>
      <w:r w:rsidRPr="002D39BB">
        <w:rPr>
          <w:rFonts w:ascii="Arial" w:eastAsia="Arial" w:hAnsi="Arial" w:cs="Arial"/>
          <w:noProof/>
          <w:sz w:val="22"/>
          <w:szCs w:val="22"/>
          <w:lang w:val="en-GB"/>
        </w:rPr>
        <mc:AlternateContent>
          <mc:Choice Requires="wps">
            <w:drawing>
              <wp:anchor distT="45720" distB="45720" distL="114300" distR="114300" simplePos="0" relativeHeight="251663360" behindDoc="0" locked="0" layoutInCell="1" allowOverlap="1" wp14:anchorId="292F8C44" wp14:editId="3E0DC291">
                <wp:simplePos x="0" y="0"/>
                <wp:positionH relativeFrom="column">
                  <wp:posOffset>-2191385</wp:posOffset>
                </wp:positionH>
                <wp:positionV relativeFrom="paragraph">
                  <wp:posOffset>1350010</wp:posOffset>
                </wp:positionV>
                <wp:extent cx="2916555" cy="140462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6555" cy="1404620"/>
                        </a:xfrm>
                        <a:prstGeom prst="rect">
                          <a:avLst/>
                        </a:prstGeom>
                        <a:noFill/>
                        <a:ln w="9525">
                          <a:noFill/>
                          <a:miter lim="800000"/>
                          <a:headEnd/>
                          <a:tailEnd/>
                        </a:ln>
                      </wps:spPr>
                      <wps:txbx>
                        <w:txbxContent>
                          <w:p w14:paraId="66B87713" w14:textId="0F056BE7" w:rsidR="002D39BB" w:rsidRPr="002D39BB" w:rsidRDefault="002D39BB" w:rsidP="002D39BB">
                            <w:pPr>
                              <w:spacing w:before="120" w:after="120" w:line="240" w:lineRule="auto"/>
                              <w:jc w:val="center"/>
                              <w:rPr>
                                <w:rFonts w:ascii="Arial" w:eastAsia="Arial" w:hAnsi="Arial" w:cs="Arial"/>
                                <w:b/>
                                <w:bCs/>
                                <w:sz w:val="22"/>
                                <w:szCs w:val="22"/>
                                <w:lang w:val="en-GB"/>
                              </w:rPr>
                            </w:pPr>
                            <w:r w:rsidRPr="002D39BB">
                              <w:rPr>
                                <w:rFonts w:ascii="Arial" w:eastAsia="Arial" w:hAnsi="Arial" w:cs="Arial"/>
                                <w:b/>
                                <w:bCs/>
                                <w:sz w:val="22"/>
                                <w:szCs w:val="22"/>
                                <w:lang w:val="en-GB"/>
                              </w:rPr>
                              <w:t>Top Five Single Biggest Killers in the UK, 2024</w:t>
                            </w:r>
                          </w:p>
                          <w:p w14:paraId="5D89E87D" w14:textId="5E093C4E" w:rsidR="002D39BB" w:rsidRPr="002D39BB" w:rsidRDefault="002D39BB" w:rsidP="002D39BB">
                            <w:pPr>
                              <w:spacing w:before="120" w:after="120" w:line="240" w:lineRule="auto"/>
                              <w:jc w:val="center"/>
                              <w:rPr>
                                <w:rFonts w:ascii="Arial" w:eastAsia="Arial" w:hAnsi="Arial" w:cs="Arial"/>
                                <w:sz w:val="22"/>
                                <w:szCs w:val="22"/>
                                <w:lang w:val="en-GB"/>
                              </w:rPr>
                            </w:pPr>
                            <w:r w:rsidRPr="002D39BB">
                              <w:rPr>
                                <w:rFonts w:ascii="Arial" w:eastAsia="Arial" w:hAnsi="Arial" w:cs="Arial"/>
                                <w:sz w:val="22"/>
                                <w:szCs w:val="22"/>
                                <w:lang w:val="en-GB"/>
                              </w:rPr>
                              <w:t>(Source: BHF, 2026a)</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92F8C44" id="_x0000_s1027" type="#_x0000_t202" style="position:absolute;left:0;text-align:left;margin-left:-172.55pt;margin-top:106.3pt;width:229.6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N8j+8X/AQAA4QMAAA4AAABkcnMvZTJvRG9jLnhtbKxT247bIBB9r9R/QLw3tqM43VhxVtvd&#13;&#10;pqq0vUjbfgDBOEYFhgKJnX59B+xsou7bqn5AjAfOzDlzWN8OWpGjcF6CqWkxyykRhkMjzb6mP39s&#13;&#10;391Q4gMzDVNgRE1PwtPbzds3695WYg4dqEY4giDGV72taReCrbLM805o5mdghcFkC06zgKHbZ41j&#13;&#10;PaJrlc3zfJn14BrrgAvv8e/DmKSbhN+2godvbetFIKqm2FtIq0vrLq3ZZs2qvWO2k3zqg72iDc2k&#13;&#10;warPUA8sMHJw8gWUltyBhzbMOOgM2lZykUggnSL/h85Tx6xIZFAdb5918v8Pln89PtnvjoThAww4&#13;&#10;wUTC20fgvzwxcN8xsxd3zkHfCdZg4YIS1Czrra+mu1FsX/mIsuu/QINjZocACWlonY6yIFGC8DiC&#13;&#10;00V2MQTC8e98VSzLsqSEY7JY5IvlHA/GKqw6A1jnwycBmsRNTR1ONhVgx0cfprPnM7Ggga1UKiZY&#13;&#10;pQzpa7oq52W6cp3SMqD/lNQ1vcnjl+qyKpL9aJrxfmBSTQF2pMxEPzIeuYdhNxDZnMWJcuygOaEg&#13;&#10;DkbL4RPBTQfuDyU9uq2m/veBOUGJ+mxQ1VWxWER/pmBRvo8CuOvM7jrDDEeomgZKxu19SJ6OZL29&#13;&#10;Q/G3chTl0srUNNoo6TpZPvr0Ok6nLi9z8xcAAP//AwBQSwMEFAAGAAgAAAAhAIcX6VbmAAAAEgEA&#13;&#10;AA8AAABkcnMvZG93bnJldi54bWxMj81OwzAQhO9IvIO1SNxaJ04oVRqnqqAtx0IbcXZjk0TEP7Ld&#13;&#10;NLw92xNcVlrtzOx85XrSAxmVD701HNJ5AkSZxsretBzq0262BBKiMFIM1igOPyrAurq/K0Uh7dV8&#13;&#10;qPEYW4IhJhSCQxejKygNTae0CHPrlMHbl/VaRFx9S6UXVwzXA2VJsqBa9AY/dMKpl04138eL5uCi&#13;&#10;2z+/+cP7Zrsbk/pzX7O+3XL++DC9rnBsVkCimuKfA24M2B8qLHa2FyMDGTjMsvwpRS0HlrIFkJsk&#13;&#10;zRmQM4c8y5CNViX9j1L9AgAA//8DAFBLAQItABQABgAIAAAAIQBaIpOj/wAAAOUBAAATAAAAAAAA&#13;&#10;AAAAAAAAAAAAAABbQ29udGVudF9UeXBlc10ueG1sUEsBAi0AFAAGAAgAAAAhAKdKzzjXAAAAlgEA&#13;&#10;AAsAAAAAAAAAAAAAAAAAMAEAAF9yZWxzLy5yZWxzUEsBAi0AFAAGAAgAAAAhAN8j+8X/AQAA4QMA&#13;&#10;AA4AAAAAAAAAAAAAAAAAMAIAAGRycy9lMm9Eb2MueG1sUEsBAi0AFAAGAAgAAAAhAIcX6VbmAAAA&#13;&#10;EgEAAA8AAAAAAAAAAAAAAAAAWwQAAGRycy9kb3ducmV2LnhtbFBLBQYAAAAABAAEAPMAAABuBQAA&#13;&#10;AAA=&#13;&#10;" filled="f" stroked="f">
                <v:textbox style="mso-fit-shape-to-text:t">
                  <w:txbxContent>
                    <w:p w14:paraId="66B87713" w14:textId="0F056BE7" w:rsidR="002D39BB" w:rsidRPr="002D39BB" w:rsidRDefault="002D39BB" w:rsidP="002D39BB">
                      <w:pPr>
                        <w:spacing w:before="120" w:after="120" w:line="240" w:lineRule="auto"/>
                        <w:jc w:val="center"/>
                        <w:rPr>
                          <w:rFonts w:ascii="Arial" w:eastAsia="Arial" w:hAnsi="Arial" w:cs="Arial"/>
                          <w:b/>
                          <w:bCs/>
                          <w:sz w:val="22"/>
                          <w:szCs w:val="22"/>
                          <w:lang w:val="en-GB"/>
                        </w:rPr>
                      </w:pPr>
                      <w:r w:rsidRPr="002D39BB">
                        <w:rPr>
                          <w:rFonts w:ascii="Arial" w:eastAsia="Arial" w:hAnsi="Arial" w:cs="Arial"/>
                          <w:b/>
                          <w:bCs/>
                          <w:sz w:val="22"/>
                          <w:szCs w:val="22"/>
                          <w:lang w:val="en-GB"/>
                        </w:rPr>
                        <w:t>Top Five Single Biggest Killers in the UK, 2024</w:t>
                      </w:r>
                    </w:p>
                    <w:p w14:paraId="5D89E87D" w14:textId="5E093C4E" w:rsidR="002D39BB" w:rsidRPr="002D39BB" w:rsidRDefault="002D39BB" w:rsidP="002D39BB">
                      <w:pPr>
                        <w:spacing w:before="120" w:after="120" w:line="240" w:lineRule="auto"/>
                        <w:jc w:val="center"/>
                        <w:rPr>
                          <w:rFonts w:ascii="Arial" w:eastAsia="Arial" w:hAnsi="Arial" w:cs="Arial"/>
                          <w:sz w:val="22"/>
                          <w:szCs w:val="22"/>
                          <w:lang w:val="en-GB"/>
                        </w:rPr>
                      </w:pPr>
                      <w:r w:rsidRPr="002D39BB">
                        <w:rPr>
                          <w:rFonts w:ascii="Arial" w:eastAsia="Arial" w:hAnsi="Arial" w:cs="Arial"/>
                          <w:sz w:val="22"/>
                          <w:szCs w:val="22"/>
                          <w:lang w:val="en-GB"/>
                        </w:rPr>
                        <w:t>(Source: BHF, 2026a)</w:t>
                      </w:r>
                    </w:p>
                  </w:txbxContent>
                </v:textbox>
                <w10:wrap type="square"/>
              </v:shape>
            </w:pict>
          </mc:Fallback>
        </mc:AlternateContent>
      </w:r>
      <w:r w:rsidR="000C7070" w:rsidRPr="002D39BB">
        <w:rPr>
          <w:rFonts w:ascii="Arial" w:eastAsia="Arial" w:hAnsi="Arial" w:cs="Arial"/>
          <w:sz w:val="22"/>
          <w:szCs w:val="22"/>
          <w:lang w:val="en-GB"/>
        </w:rPr>
        <w:t xml:space="preserve">In the UK, CHD is known for being responsible for around 63,000 deaths each year, which is an average of 170 people per day, or one death every eight minutes. It ranked second in the top five single biggest killers in the UK in 2024 (BHF, 2026a). It is also essential to note the regional variations, with higher rates in England and Scotland, while lower in Northern Ireland. There are also notable concerns, such as hospital admissions and premature deaths (under 75). However, overall mortality rates are known to have declined over decades (Cheema </w:t>
      </w:r>
      <w:r w:rsidR="000C7070" w:rsidRPr="002D39BB">
        <w:rPr>
          <w:rFonts w:ascii="Arial" w:eastAsia="Arial" w:hAnsi="Arial" w:cs="Arial"/>
          <w:i/>
          <w:iCs/>
          <w:sz w:val="22"/>
          <w:szCs w:val="22"/>
          <w:lang w:val="en-GB"/>
        </w:rPr>
        <w:t>et al.,</w:t>
      </w:r>
      <w:r w:rsidR="000C7070" w:rsidRPr="002D39BB">
        <w:rPr>
          <w:rFonts w:ascii="Arial" w:eastAsia="Arial" w:hAnsi="Arial" w:cs="Arial"/>
          <w:sz w:val="22"/>
          <w:szCs w:val="22"/>
          <w:lang w:val="en-GB"/>
        </w:rPr>
        <w:t xml:space="preserve"> 2022).</w:t>
      </w:r>
    </w:p>
    <w:p w14:paraId="04B4680F" w14:textId="77777777" w:rsidR="000C7070" w:rsidRPr="002D39BB" w:rsidRDefault="000C7070" w:rsidP="004028F8">
      <w:pPr>
        <w:pStyle w:val="Heading2"/>
      </w:pPr>
      <w:bookmarkStart w:id="6" w:name="_Toc235132696"/>
      <w:r w:rsidRPr="002D39BB">
        <w:t>2.3 Burden on Public Healthcare</w:t>
      </w:r>
      <w:bookmarkEnd w:id="6"/>
    </w:p>
    <w:p w14:paraId="1808B469" w14:textId="77777777"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The cost of CVD to the wider economy in England is known to be around £15.8 billion each year, including premature death, disability, revascularisation procedures, in addition to informal costs (NHS England, 2026). Early diagnosis is considered important for preventing acute events, along with reducing hospitalisations, in addition to improving quality of life, which also helps in easing pressure on public resources.</w:t>
      </w:r>
    </w:p>
    <w:p w14:paraId="20FDD306" w14:textId="77777777" w:rsidR="000C7070" w:rsidRPr="002D39BB" w:rsidRDefault="000C7070" w:rsidP="004028F8">
      <w:pPr>
        <w:pStyle w:val="Heading1"/>
      </w:pPr>
      <w:bookmarkStart w:id="7" w:name="_Toc235132697"/>
      <w:r w:rsidRPr="002D39BB">
        <w:t>3. Aetiology and Risk Factors</w:t>
      </w:r>
      <w:bookmarkEnd w:id="7"/>
    </w:p>
    <w:p w14:paraId="44954D78" w14:textId="256E195A"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The Biopsychosocial Model is known as a comprehensive approach to health that involves biological, psychological, and social factors to enhance well-being (Marschall, 2023). The model explains that CHD is able to develop through interactions of the three factors, rather than biological factors alone.</w:t>
      </w:r>
    </w:p>
    <w:p w14:paraId="2EC9C897" w14:textId="1EAB1C6C" w:rsidR="000C7070" w:rsidRPr="002D39BB" w:rsidRDefault="000C7070" w:rsidP="000C7070">
      <w:pPr>
        <w:spacing w:before="120" w:after="120" w:line="360" w:lineRule="auto"/>
        <w:jc w:val="center"/>
        <w:rPr>
          <w:rFonts w:ascii="Arial" w:eastAsia="Arial" w:hAnsi="Arial" w:cs="Arial"/>
          <w:sz w:val="22"/>
          <w:szCs w:val="22"/>
          <w:lang w:val="en-GB"/>
        </w:rPr>
      </w:pPr>
      <w:r w:rsidRPr="002D39BB">
        <w:rPr>
          <w:rFonts w:ascii="Arial" w:eastAsia="Arial" w:hAnsi="Arial" w:cs="Arial"/>
          <w:noProof/>
          <w:sz w:val="22"/>
          <w:szCs w:val="22"/>
          <w:lang w:val="en-GB"/>
        </w:rPr>
        <w:drawing>
          <wp:inline distT="114300" distB="114300" distL="114300" distR="114300" wp14:anchorId="13F0283A" wp14:editId="7773F312">
            <wp:extent cx="3686175" cy="3924300"/>
            <wp:effectExtent l="0" t="0" r="9525"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l="16026" r="16026" b="7453"/>
                    <a:stretch>
                      <a:fillRect/>
                    </a:stretch>
                  </pic:blipFill>
                  <pic:spPr>
                    <a:xfrm>
                      <a:off x="0" y="0"/>
                      <a:ext cx="3686175" cy="3924300"/>
                    </a:xfrm>
                    <a:prstGeom prst="rect">
                      <a:avLst/>
                    </a:prstGeom>
                    <a:ln/>
                  </pic:spPr>
                </pic:pic>
              </a:graphicData>
            </a:graphic>
          </wp:inline>
        </w:drawing>
      </w:r>
    </w:p>
    <w:p w14:paraId="0E211416" w14:textId="77777777" w:rsidR="000C7070" w:rsidRPr="002D39BB" w:rsidRDefault="000C7070" w:rsidP="000C7070">
      <w:pPr>
        <w:spacing w:before="120" w:after="120" w:line="360" w:lineRule="auto"/>
        <w:jc w:val="center"/>
        <w:rPr>
          <w:rFonts w:ascii="Arial" w:eastAsia="Arial" w:hAnsi="Arial" w:cs="Arial"/>
          <w:b/>
          <w:bCs/>
          <w:sz w:val="22"/>
          <w:szCs w:val="22"/>
          <w:lang w:val="en-GB"/>
        </w:rPr>
      </w:pPr>
      <w:r w:rsidRPr="002D39BB">
        <w:rPr>
          <w:rFonts w:ascii="Arial" w:eastAsia="Arial" w:hAnsi="Arial" w:cs="Arial"/>
          <w:b/>
          <w:bCs/>
          <w:sz w:val="22"/>
          <w:szCs w:val="22"/>
          <w:lang w:val="en-GB"/>
        </w:rPr>
        <w:t>The Biopsychosocial Model</w:t>
      </w:r>
    </w:p>
    <w:p w14:paraId="260C518E" w14:textId="77777777" w:rsidR="000C7070" w:rsidRPr="002D39BB" w:rsidRDefault="000C7070" w:rsidP="000C7070">
      <w:pPr>
        <w:spacing w:before="120" w:after="120" w:line="360" w:lineRule="auto"/>
        <w:jc w:val="center"/>
        <w:rPr>
          <w:rFonts w:ascii="Arial" w:eastAsia="Arial" w:hAnsi="Arial" w:cs="Arial"/>
          <w:sz w:val="22"/>
          <w:szCs w:val="22"/>
          <w:lang w:val="en-GB"/>
        </w:rPr>
      </w:pPr>
      <w:r w:rsidRPr="002D39BB">
        <w:rPr>
          <w:rFonts w:ascii="Arial" w:eastAsia="Arial" w:hAnsi="Arial" w:cs="Arial"/>
          <w:sz w:val="22"/>
          <w:szCs w:val="22"/>
          <w:lang w:val="en-GB"/>
        </w:rPr>
        <w:t xml:space="preserve">(Source: Hardie, 2021) </w:t>
      </w:r>
    </w:p>
    <w:p w14:paraId="41A18BF4" w14:textId="77777777" w:rsidR="000C7070" w:rsidRPr="002D39BB" w:rsidRDefault="000C7070" w:rsidP="004028F8">
      <w:pPr>
        <w:pStyle w:val="Heading2"/>
      </w:pPr>
      <w:bookmarkStart w:id="8" w:name="_Toc235132698"/>
      <w:r w:rsidRPr="002D39BB">
        <w:t>3.1 Biological Risk Factors</w:t>
      </w:r>
      <w:bookmarkEnd w:id="8"/>
    </w:p>
    <w:p w14:paraId="6D82E189" w14:textId="77777777"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There are several key biological risks, such as advancing age, family history and genetics, heart and blood vessel diseases, sex, diabetes mellitus, high cholesterol, along with obesity (NHLBI, 2024b).  These are known for being able to promote atherosclerosis, primarily by damaging the arterial walls, along with developing plaque buildup, in addition to inflammation and endothelial dysfunction, narrowing coronary arteries and also impairing myocardial blood supply.</w:t>
      </w:r>
    </w:p>
    <w:p w14:paraId="51133310" w14:textId="77777777" w:rsidR="000C7070" w:rsidRPr="002D39BB" w:rsidRDefault="000C7070" w:rsidP="004028F8">
      <w:pPr>
        <w:pStyle w:val="Heading2"/>
      </w:pPr>
      <w:bookmarkStart w:id="9" w:name="_Toc235132699"/>
      <w:r w:rsidRPr="002D39BB">
        <w:t>3.2 Behavioural and Lifestyle Risk Factors</w:t>
      </w:r>
      <w:bookmarkEnd w:id="9"/>
    </w:p>
    <w:p w14:paraId="689AD509" w14:textId="77777777"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There are also various lifestyle and behavioural risk factors, major contributors of which are considered smoking. This is able to accelerate plaque formation, along with thrombosis. There is also poor diet high in saturated fats and salt, along with processed foods, which are responsible, in addition to excessive alcohol consumption. Other factors include physical inactivity, chronic stress and poor medication adherence (NHLBI, 2024b). It is essential to note that the Health Belief Model is able to illuminate behaviour change as individuals have a higher possibility to adopt healthier lifestyles when they are able to perceive high personal susceptibility to CHD complications, along with when they understand the danger of outcomes such as heart attack or failure, in addition to believing in the benefits of actions, such as quitting smoking or exercising (</w:t>
      </w:r>
      <w:r w:rsidRPr="002D39BB">
        <w:rPr>
          <w:rFonts w:ascii="Arial" w:eastAsia="Arial" w:hAnsi="Arial" w:cs="Arial"/>
          <w:sz w:val="22"/>
          <w:szCs w:val="22"/>
          <w:highlight w:val="white"/>
          <w:lang w:val="en-GB"/>
        </w:rPr>
        <w:t>Athbi and Hassan, 2019)</w:t>
      </w:r>
      <w:r w:rsidRPr="002D39BB">
        <w:rPr>
          <w:rFonts w:ascii="Arial" w:eastAsia="Arial" w:hAnsi="Arial" w:cs="Arial"/>
          <w:sz w:val="22"/>
          <w:szCs w:val="22"/>
          <w:lang w:val="en-GB"/>
        </w:rPr>
        <w:t>. These are able to outweigh barriers, including time or expense.</w:t>
      </w:r>
    </w:p>
    <w:p w14:paraId="16EBAD83" w14:textId="77777777" w:rsidR="000C7070" w:rsidRPr="002D39BB" w:rsidRDefault="000C7070" w:rsidP="004028F8">
      <w:pPr>
        <w:pStyle w:val="Heading2"/>
      </w:pPr>
      <w:bookmarkStart w:id="10" w:name="_Toc235132700"/>
      <w:r w:rsidRPr="002D39BB">
        <w:t>3.3 Social Determinants</w:t>
      </w:r>
      <w:bookmarkEnd w:id="10"/>
    </w:p>
    <w:p w14:paraId="6A6C3C00" w14:textId="77777777"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Social determinants include poverty, socioeconomic deprivation, lower education levels, particular ethnic backgrounds such as having higher prevalence in UK South Asian communities, limited healthcare access, along with stressful occupation, which are known for significantly exacerbating risk (Walia and Mankoff, 2023; Jalal </w:t>
      </w:r>
      <w:r w:rsidRPr="002D39BB">
        <w:rPr>
          <w:rFonts w:ascii="Arial" w:eastAsia="Arial" w:hAnsi="Arial" w:cs="Arial"/>
          <w:i/>
          <w:iCs/>
          <w:sz w:val="22"/>
          <w:szCs w:val="22"/>
          <w:lang w:val="en-GB"/>
        </w:rPr>
        <w:t xml:space="preserve">et al., </w:t>
      </w:r>
      <w:r w:rsidRPr="002D39BB">
        <w:rPr>
          <w:rFonts w:ascii="Arial" w:eastAsia="Arial" w:hAnsi="Arial" w:cs="Arial"/>
          <w:sz w:val="22"/>
          <w:szCs w:val="22"/>
          <w:lang w:val="en-GB"/>
        </w:rPr>
        <w:t>2018). Such factors are able to drive health inequalities, with various deprived areas experiencing higher CHD incidence, alongside mortality mainly due to clustered risks, poor living conditions and also several barriers to prevention (Winkleby, Sundquist and Cubbin, 2007). This results in making the addressing of social determinants essential for gaining equitable outcomes.</w:t>
      </w:r>
    </w:p>
    <w:p w14:paraId="5546BBCB" w14:textId="77777777" w:rsidR="000C7070" w:rsidRPr="002D39BB" w:rsidRDefault="000C7070" w:rsidP="004028F8">
      <w:pPr>
        <w:pStyle w:val="Heading1"/>
      </w:pPr>
      <w:bookmarkStart w:id="11" w:name="_Toc235132701"/>
      <w:r w:rsidRPr="002D39BB">
        <w:t>4. Impact of Coronary Heart Disease on Patients, Families and Society and Available Evidence-Based Treatments and Services</w:t>
      </w:r>
      <w:bookmarkEnd w:id="11"/>
    </w:p>
    <w:p w14:paraId="159F34E3" w14:textId="77777777"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The Biopsychosocial Model highlights the way in which CHD is able to affect the whole person, including physical symptoms interacting with psychological distress and social challenges, which also requires holistic management.</w:t>
      </w:r>
    </w:p>
    <w:p w14:paraId="17BCAFA6" w14:textId="77777777" w:rsidR="000C7070" w:rsidRPr="002D39BB" w:rsidRDefault="000C7070" w:rsidP="004028F8">
      <w:pPr>
        <w:pStyle w:val="Heading2"/>
      </w:pPr>
      <w:bookmarkStart w:id="12" w:name="_Toc235132702"/>
      <w:r w:rsidRPr="002D39BB">
        <w:t>4.1 Physical Impact</w:t>
      </w:r>
      <w:bookmarkEnd w:id="12"/>
    </w:p>
    <w:p w14:paraId="3CAB3C36" w14:textId="77777777"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CHD is known for being manifested through a range of debilitating physical symptoms. There is stable angina, which is chest pain or discomfort lasting up to five minutes and most often occurs when a person is exerting himself or stressed (Cleveland Clinic, 2021). On the other hand, unstable angina is known for typically presenting as chest pain that is new in onset, occurring at rest or even exhibiting a worsening pattern (Goyal and Zeltser, 2022). Exertional dyspnoea, commonly known as breathlessness, is also among the dominant symptoms of patients with heart failure, and it progresses relentlessly as the disease advances (Dubé, Agostoni and Laveneziana, 2016). There is also exercise intolerance, which is the limited ability to do physical activities, making simple tasks such as climbing stairs exhausting (Li </w:t>
      </w:r>
      <w:r w:rsidRPr="002D39BB">
        <w:rPr>
          <w:rFonts w:ascii="Arial" w:eastAsia="Arial" w:hAnsi="Arial" w:cs="Arial"/>
          <w:i/>
          <w:iCs/>
          <w:sz w:val="22"/>
          <w:szCs w:val="22"/>
          <w:lang w:val="en-GB"/>
        </w:rPr>
        <w:t xml:space="preserve">et al., </w:t>
      </w:r>
      <w:r w:rsidRPr="002D39BB">
        <w:rPr>
          <w:rFonts w:ascii="Arial" w:eastAsia="Arial" w:hAnsi="Arial" w:cs="Arial"/>
          <w:sz w:val="22"/>
          <w:szCs w:val="22"/>
          <w:lang w:val="en-GB"/>
        </w:rPr>
        <w:t>2023). Various patients are also known to face increased risk of recurrent myocardial infarction, along with arrhythmias, where the heart is not able to pump blood effectively (SIGN, 2018). Such symptoms result in leading to diminished quality of life, along with significant loss of independence, in addition to fear of sudden deterioration or death. Hence, early recognition of symptoms and management are considered crucial for preventing acute events, alongside preserving function.</w:t>
      </w:r>
    </w:p>
    <w:p w14:paraId="1031B358" w14:textId="5906D74A" w:rsidR="000C7070" w:rsidRPr="002D39BB" w:rsidRDefault="000C7070" w:rsidP="004028F8">
      <w:pPr>
        <w:pStyle w:val="Heading2"/>
      </w:pPr>
      <w:bookmarkStart w:id="13" w:name="_Toc235132703"/>
      <w:r w:rsidRPr="002D39BB">
        <w:t>4.2 Psychological Impact</w:t>
      </w:r>
      <w:bookmarkEnd w:id="13"/>
    </w:p>
    <w:p w14:paraId="5DB9F4A2" w14:textId="767E04C0" w:rsidR="000C7070" w:rsidRPr="002D39BB" w:rsidRDefault="003D7981" w:rsidP="000C7070">
      <w:pPr>
        <w:spacing w:before="120" w:after="120" w:line="360" w:lineRule="auto"/>
        <w:jc w:val="both"/>
        <w:rPr>
          <w:rFonts w:ascii="Arial" w:eastAsia="Arial" w:hAnsi="Arial" w:cs="Arial"/>
          <w:sz w:val="22"/>
          <w:szCs w:val="22"/>
          <w:lang w:val="en-GB"/>
        </w:rPr>
      </w:pPr>
      <w:r>
        <w:rPr>
          <w:noProof/>
        </w:rPr>
        <w:drawing>
          <wp:anchor distT="0" distB="0" distL="114300" distR="114300" simplePos="0" relativeHeight="251665408" behindDoc="0" locked="0" layoutInCell="1" allowOverlap="1" wp14:anchorId="09A9581E" wp14:editId="5CAE983F">
            <wp:simplePos x="0" y="0"/>
            <wp:positionH relativeFrom="column">
              <wp:posOffset>2781300</wp:posOffset>
            </wp:positionH>
            <wp:positionV relativeFrom="paragraph">
              <wp:posOffset>993140</wp:posOffset>
            </wp:positionV>
            <wp:extent cx="2476500" cy="2476500"/>
            <wp:effectExtent l="0" t="0" r="0" b="0"/>
            <wp:wrapThrough wrapText="bothSides">
              <wp:wrapPolygon edited="0">
                <wp:start x="13957" y="665"/>
                <wp:lineTo x="1828" y="997"/>
                <wp:lineTo x="1163" y="3988"/>
                <wp:lineTo x="1329" y="5649"/>
                <wp:lineTo x="7643" y="6314"/>
                <wp:lineTo x="332" y="7145"/>
                <wp:lineTo x="0" y="7311"/>
                <wp:lineTo x="665" y="8972"/>
                <wp:lineTo x="0" y="9969"/>
                <wp:lineTo x="0" y="11465"/>
                <wp:lineTo x="1163" y="11631"/>
                <wp:lineTo x="831" y="12794"/>
                <wp:lineTo x="1662" y="14289"/>
                <wp:lineTo x="1662" y="15452"/>
                <wp:lineTo x="4486" y="16948"/>
                <wp:lineTo x="6646" y="16948"/>
                <wp:lineTo x="2160" y="18111"/>
                <wp:lineTo x="1662" y="19274"/>
                <wp:lineTo x="2326" y="19606"/>
                <wp:lineTo x="2658" y="20769"/>
                <wp:lineTo x="3655" y="20769"/>
                <wp:lineTo x="19606" y="19938"/>
                <wp:lineTo x="19772" y="18443"/>
                <wp:lineTo x="18443" y="17612"/>
                <wp:lineTo x="14123" y="16948"/>
                <wp:lineTo x="15452" y="16948"/>
                <wp:lineTo x="19274" y="14954"/>
                <wp:lineTo x="19440" y="14289"/>
                <wp:lineTo x="21434" y="11631"/>
                <wp:lineTo x="21434" y="6978"/>
                <wp:lineTo x="17280" y="6314"/>
                <wp:lineTo x="21434" y="4486"/>
                <wp:lineTo x="21434" y="3655"/>
                <wp:lineTo x="19606" y="3655"/>
                <wp:lineTo x="21102" y="1163"/>
                <wp:lineTo x="21102" y="665"/>
                <wp:lineTo x="13957" y="665"/>
              </wp:wrapPolygon>
            </wp:wrapThrough>
            <wp:docPr id="6" name="Picture 6" descr="Heart disease - Free healthcare and medical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eart disease - Free healthcare and medical icon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76500" cy="2476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7070" w:rsidRPr="002D39BB">
        <w:rPr>
          <w:rFonts w:ascii="Arial" w:eastAsia="Arial" w:hAnsi="Arial" w:cs="Arial"/>
          <w:sz w:val="22"/>
          <w:szCs w:val="22"/>
          <w:lang w:val="en-GB"/>
        </w:rPr>
        <w:t>The psychological burden of CHD is substantial and often under-recognised. Following diagnosis or a cardiac event, many individuals experience anxiety disorders and clinical depression, with prevalence rates significantly higher than in the general population. Fear of another heart attack (cardiac anxiety) can lead to hypervigilance, avoidance of physical activity, and panic attacks. Chronic stress exacerbates symptoms through elevated cortisol and blood pressure. Loss of confidence and self-esteem frequently follows role changes, such as inability to work or participate in hobbies. These issues impair medication adherence and engagement with rehabilitation. Psychological support, including cognitive behavioural therapy (CBT), counselling, and mindfulness techniques integrated into cardiac rehabilitation, is essential for emotional adjustment, building resilience, and improving treatment outcomes. Untreated psychological distress is linked to poorer prognosis and higher rehospitalisation rates.</w:t>
      </w:r>
    </w:p>
    <w:p w14:paraId="41EAD77F" w14:textId="202F84C0" w:rsidR="000C7070" w:rsidRPr="002D39BB" w:rsidRDefault="000C7070" w:rsidP="004028F8">
      <w:pPr>
        <w:pStyle w:val="Heading2"/>
      </w:pPr>
      <w:bookmarkStart w:id="14" w:name="_Toc235132704"/>
      <w:r w:rsidRPr="002D39BB">
        <w:t>4.3 Social Impact</w:t>
      </w:r>
      <w:bookmarkEnd w:id="14"/>
    </w:p>
    <w:p w14:paraId="5249D5E8" w14:textId="7E34F912" w:rsidR="003D7981"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CHD is known for extending its effects beyond the individuals to their families, communities, alongside society.  Individuals are known for experiencing challenges in the case of returning to employment due to physical limitations, along with fatigue or various employer concerns (Girouard and Kovacs, 2020). This leads to financial strain from lost income, early retirement or even reliance on benefits. Families are often known for shouldering significant caregiver burden as partners or children start assuming new responsibilities regarding household tasks, management of medication and emotional support (Awoke </w:t>
      </w:r>
      <w:r w:rsidRPr="002D39BB">
        <w:rPr>
          <w:rFonts w:ascii="Arial" w:eastAsia="Arial" w:hAnsi="Arial" w:cs="Arial"/>
          <w:i/>
          <w:iCs/>
          <w:sz w:val="22"/>
          <w:szCs w:val="22"/>
          <w:lang w:val="en-GB"/>
        </w:rPr>
        <w:t>et al.,</w:t>
      </w:r>
      <w:r w:rsidRPr="002D39BB">
        <w:rPr>
          <w:rFonts w:ascii="Arial" w:eastAsia="Arial" w:hAnsi="Arial" w:cs="Arial"/>
          <w:sz w:val="22"/>
          <w:szCs w:val="22"/>
          <w:lang w:val="en-GB"/>
        </w:rPr>
        <w:t xml:space="preserve"> 2026). This can also lead to strained relationships, alongside causing caregiver fatigue or even burnout. There are also possibilities of financial difficulties arising due to treatment expenses, appointments, or home adaptations. It is also essential to note that social isolation is quite common due to patients withdrawing from various social activities due to fear or worsening mental health (Heffner </w:t>
      </w:r>
      <w:r w:rsidRPr="002D39BB">
        <w:rPr>
          <w:rFonts w:ascii="Arial" w:eastAsia="Arial" w:hAnsi="Arial" w:cs="Arial"/>
          <w:i/>
          <w:iCs/>
          <w:sz w:val="22"/>
          <w:szCs w:val="22"/>
          <w:lang w:val="en-GB"/>
        </w:rPr>
        <w:t xml:space="preserve">et al., </w:t>
      </w:r>
      <w:r w:rsidRPr="002D39BB">
        <w:rPr>
          <w:rFonts w:ascii="Arial" w:eastAsia="Arial" w:hAnsi="Arial" w:cs="Arial"/>
          <w:sz w:val="22"/>
          <w:szCs w:val="22"/>
          <w:lang w:val="en-GB"/>
        </w:rPr>
        <w:t xml:space="preserve">2011). At the social level, CHD is known for contributing to significant productivity losses, along with increased welfare demands, in addition to higher healthcare utilisation. The wider economic burden is also present, which includes direct medical expenses, alongside indirect expenses from premature mortality and disability (Patel </w:t>
      </w:r>
      <w:r w:rsidRPr="002D39BB">
        <w:rPr>
          <w:rFonts w:ascii="Arial" w:eastAsia="Arial" w:hAnsi="Arial" w:cs="Arial"/>
          <w:i/>
          <w:iCs/>
          <w:sz w:val="22"/>
          <w:szCs w:val="22"/>
          <w:lang w:val="en-GB"/>
        </w:rPr>
        <w:t>et al.,</w:t>
      </w:r>
      <w:r w:rsidRPr="002D39BB">
        <w:rPr>
          <w:rFonts w:ascii="Arial" w:eastAsia="Arial" w:hAnsi="Arial" w:cs="Arial"/>
          <w:sz w:val="22"/>
          <w:szCs w:val="22"/>
          <w:lang w:val="en-GB"/>
        </w:rPr>
        <w:t xml:space="preserve"> 2020).</w:t>
      </w:r>
    </w:p>
    <w:p w14:paraId="3E787B67" w14:textId="77777777" w:rsidR="000C7070" w:rsidRPr="002D39BB" w:rsidRDefault="000C7070" w:rsidP="004028F8">
      <w:pPr>
        <w:pStyle w:val="Heading2"/>
      </w:pPr>
      <w:bookmarkStart w:id="15" w:name="_Toc235132705"/>
      <w:r w:rsidRPr="002D39BB">
        <w:t>4.4 Self-Management Theory</w:t>
      </w:r>
      <w:bookmarkEnd w:id="15"/>
    </w:p>
    <w:p w14:paraId="2F22FDF4" w14:textId="3A069839"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Self-Management Theory, drawing from models including Corbin and Strauss contend that patient self-management of any type of chronic illness such as CHD involves the development of various core skills (Ould Brahim, 2019). These skills include consistent medication adherence, regular blood pressure and cholesterol monitoring, adoption of heart-healthy eating patterns, cardiac rehabilitation, along with incorporating safe regular exercise, in addition to ceasing smoking. Recognising the symptoms of CHD is also essential for seeking timely medical help (Aadicura, 2025). Such behaviours are able to encourage autonomy, along with improving self-efficacy, in addition to achieving better symptom control and improving quality of life. It is essential to note that successful self-management is able to significantly reduce acute service reliance, along with also supporting long-term condition control. Various healthcare professionals are also known for playing essential roles as they are able to provide tailored education.</w:t>
      </w:r>
    </w:p>
    <w:p w14:paraId="6C7543D1" w14:textId="77777777" w:rsidR="000C7070" w:rsidRPr="002D39BB" w:rsidRDefault="000C7070" w:rsidP="004028F8">
      <w:pPr>
        <w:pStyle w:val="Heading2"/>
      </w:pPr>
      <w:bookmarkStart w:id="16" w:name="_Toc235132706"/>
      <w:r w:rsidRPr="002D39BB">
        <w:t>4.5 Evidence-Based Treatments</w:t>
      </w:r>
      <w:bookmarkEnd w:id="16"/>
    </w:p>
    <w:p w14:paraId="69B7A262" w14:textId="4E519BA5"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Various NICE guidelines are known for covering diagnosing and managing chronic heart failure in people aged 18 and over. Several pharmacological treatments include high-intensity statins, such as atorvastatin between 20 mg and 80 mg for lowering LDL cholesterol, alongside stabilising plaques (NICE, 2023). NICE also recommends rivaroxaban, with aspirin and clopidogrel or aspirin alone as an option for preventing atherothrombotic events in people (NICE, 2020). Ramipril, which is an angiotensin-converting enzyme inhibitor, is also utilised for treating hypertension and preventing heart failure progression in patients (Chauhan, Patel and Ahmad, 2024). Beta-blockers are also able to reduce myocardial workload and oxygen consumption via a decrease in heart rate as well as blood pressure (Strauss, Hall and Narkiewicz, 2021). It is also essential to mention Percutaneous coronary intervention, which is a non-surgical and invasive procedure aimed at relieving the narrowing or occlusion of the coronary artery (Ahmad </w:t>
      </w:r>
      <w:r w:rsidRPr="002D39BB">
        <w:rPr>
          <w:rFonts w:ascii="Arial" w:eastAsia="Arial" w:hAnsi="Arial" w:cs="Arial"/>
          <w:i/>
          <w:iCs/>
          <w:sz w:val="22"/>
          <w:szCs w:val="22"/>
          <w:lang w:val="en-GB"/>
        </w:rPr>
        <w:t>et al.,</w:t>
      </w:r>
      <w:r w:rsidRPr="002D39BB">
        <w:rPr>
          <w:rFonts w:ascii="Arial" w:eastAsia="Arial" w:hAnsi="Arial" w:cs="Arial"/>
          <w:sz w:val="22"/>
          <w:szCs w:val="22"/>
          <w:lang w:val="en-GB"/>
        </w:rPr>
        <w:t xml:space="preserve"> 2023). Coronary Artery Bypass Grafting is utilised when there </w:t>
      </w:r>
      <w:r w:rsidR="002D39BB" w:rsidRPr="002D39BB">
        <w:rPr>
          <w:rFonts w:ascii="Arial" w:eastAsia="Arial" w:hAnsi="Arial" w:cs="Arial"/>
          <w:sz w:val="22"/>
          <w:szCs w:val="22"/>
          <w:lang w:val="en-GB"/>
        </w:rPr>
        <w:t>is</w:t>
      </w:r>
      <w:r w:rsidRPr="002D39BB">
        <w:rPr>
          <w:rFonts w:ascii="Arial" w:eastAsia="Arial" w:hAnsi="Arial" w:cs="Arial"/>
          <w:sz w:val="22"/>
          <w:szCs w:val="22"/>
          <w:lang w:val="en-GB"/>
        </w:rPr>
        <w:t xml:space="preserve"> presence of high-grade blockages in any of the major coronary arteries (Bachar and Manna, 2023). Lifestyle interventions, such as cardiac rehabilitation programmes, are known for including exercise training, along with physical activity promotion, in addition to health education and psychological support (Li </w:t>
      </w:r>
      <w:r w:rsidRPr="002D39BB">
        <w:rPr>
          <w:rFonts w:ascii="Arial" w:eastAsia="Arial" w:hAnsi="Arial" w:cs="Arial"/>
          <w:i/>
          <w:iCs/>
          <w:sz w:val="22"/>
          <w:szCs w:val="22"/>
          <w:lang w:val="en-GB"/>
        </w:rPr>
        <w:t>et al.,</w:t>
      </w:r>
      <w:r w:rsidRPr="002D39BB">
        <w:rPr>
          <w:rFonts w:ascii="Arial" w:eastAsia="Arial" w:hAnsi="Arial" w:cs="Arial"/>
          <w:sz w:val="22"/>
          <w:szCs w:val="22"/>
          <w:lang w:val="en-GB"/>
        </w:rPr>
        <w:t xml:space="preserve"> 2024). There is also dietary advice, which targets weight management, alongside lipid control, in addition to intensive smoking cessation support, reducing recurrence risk. Such a combination of evidence-based approaches is able to lower mortality rates and morbidity.</w:t>
      </w:r>
    </w:p>
    <w:p w14:paraId="44DD7460" w14:textId="77777777" w:rsidR="000C7070" w:rsidRPr="002D39BB" w:rsidRDefault="000C7070" w:rsidP="004028F8">
      <w:pPr>
        <w:pStyle w:val="Heading2"/>
      </w:pPr>
      <w:bookmarkStart w:id="17" w:name="_Toc235132707"/>
      <w:r w:rsidRPr="002D39BB">
        <w:t>4.6 NHS Services and Multidisciplinary Care</w:t>
      </w:r>
      <w:bookmarkEnd w:id="17"/>
    </w:p>
    <w:p w14:paraId="7EC65A7E" w14:textId="3EF99AC9"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The NHS is known for delivering CHD care through a coordinated multidisciplinary approach. General practitioners focus on providing ongoing monitoring, along with risk factor management, in addition to annual reviews (NHS, 2015). Cardiologists, on the other hand, are known for offering specialist diagnostics, in addition to intervention. There are also cardiac nurses, who are known for delivering education, along with rehabilitation support. Dietitians are known for specialising in treating nutritional problems associated with heart disease (NHS England, 2021). Pharmacists focus on ensuring optimal medication utilisation and adherence. Cardiac rehabilitation is known as a programme that helps in recovering after a recent heart attack or heart failure (NHS, 202</w:t>
      </w:r>
      <w:r w:rsidR="0069697B">
        <w:rPr>
          <w:rFonts w:ascii="Arial" w:eastAsia="Arial" w:hAnsi="Arial" w:cs="Arial"/>
          <w:sz w:val="22"/>
          <w:szCs w:val="22"/>
          <w:lang w:val="en-GB"/>
        </w:rPr>
        <w:t>4</w:t>
      </w:r>
      <w:r w:rsidRPr="002D39BB">
        <w:rPr>
          <w:rFonts w:ascii="Arial" w:eastAsia="Arial" w:hAnsi="Arial" w:cs="Arial"/>
          <w:sz w:val="22"/>
          <w:szCs w:val="22"/>
          <w:lang w:val="en-GB"/>
        </w:rPr>
        <w:t>). There is also the community heart support nursing service, which is run by a team of specialist nurses, supporting people with a diagnosis of heart failure (NHS, 2026). Such a multidisciplinary model helps in ensuring seamless and holistic care across various primary, secondary and community settings.</w:t>
      </w:r>
    </w:p>
    <w:p w14:paraId="1A8A88E4" w14:textId="2D375661" w:rsidR="000C7070" w:rsidRPr="002D39BB" w:rsidRDefault="000C7070" w:rsidP="004028F8">
      <w:pPr>
        <w:pStyle w:val="Heading1"/>
      </w:pPr>
      <w:bookmarkStart w:id="18" w:name="_Toc235132708"/>
      <w:r w:rsidRPr="002D39BB">
        <w:t>5. Models and Frameworks for Improved Outcomes</w:t>
      </w:r>
      <w:bookmarkEnd w:id="18"/>
    </w:p>
    <w:p w14:paraId="4FB242B5" w14:textId="2D76DA9C" w:rsidR="000C7070" w:rsidRPr="002D39BB" w:rsidRDefault="000C7070" w:rsidP="004028F8">
      <w:pPr>
        <w:pStyle w:val="Heading2"/>
      </w:pPr>
      <w:bookmarkStart w:id="19" w:name="_Toc235132709"/>
      <w:r w:rsidRPr="002D39BB">
        <w:t>5.1 UK Model: NHS Comprehensive Model of Personalised Care</w:t>
      </w:r>
      <w:bookmarkEnd w:id="19"/>
    </w:p>
    <w:p w14:paraId="27908165" w14:textId="682AF733"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This model is known for being able to empower individuals with various long-term conditions such as CHD through six interconnected components:</w:t>
      </w:r>
    </w:p>
    <w:p w14:paraId="6DC0B4AA" w14:textId="7F54B79F" w:rsidR="000C7070" w:rsidRPr="002D39BB" w:rsidRDefault="000C7070" w:rsidP="000C7070">
      <w:pPr>
        <w:numPr>
          <w:ilvl w:val="0"/>
          <w:numId w:val="2"/>
        </w:numPr>
        <w:spacing w:before="120" w:after="120" w:line="360" w:lineRule="auto"/>
        <w:jc w:val="both"/>
        <w:rPr>
          <w:sz w:val="22"/>
          <w:szCs w:val="22"/>
          <w:lang w:val="en-GB"/>
        </w:rPr>
      </w:pPr>
      <w:r w:rsidRPr="002D39BB">
        <w:rPr>
          <w:rFonts w:ascii="Arial" w:eastAsia="Arial" w:hAnsi="Arial" w:cs="Arial"/>
          <w:b/>
          <w:bCs/>
          <w:i/>
          <w:iCs/>
          <w:sz w:val="22"/>
          <w:szCs w:val="22"/>
          <w:lang w:val="en-GB"/>
        </w:rPr>
        <w:t>Shared Decision Making</w:t>
      </w:r>
      <w:r w:rsidRPr="002D39BB">
        <w:rPr>
          <w:rFonts w:ascii="Arial" w:eastAsia="Arial" w:hAnsi="Arial" w:cs="Arial"/>
          <w:sz w:val="22"/>
          <w:szCs w:val="22"/>
          <w:lang w:val="en-GB"/>
        </w:rPr>
        <w:t xml:space="preserve"> is known for ensuring that individuals are supported in making decisions that are right for them. This also involves various collaborative discussions between patients and clinicians regarding various treatment options, risks and also preferences (NHS England, 2019).</w:t>
      </w:r>
    </w:p>
    <w:p w14:paraId="14DFC7B6" w14:textId="77777777" w:rsidR="000C7070" w:rsidRPr="002D39BB" w:rsidRDefault="000C7070" w:rsidP="000C7070">
      <w:pPr>
        <w:numPr>
          <w:ilvl w:val="0"/>
          <w:numId w:val="2"/>
        </w:numPr>
        <w:spacing w:before="120" w:after="120" w:line="360" w:lineRule="auto"/>
        <w:jc w:val="both"/>
        <w:rPr>
          <w:sz w:val="22"/>
          <w:szCs w:val="22"/>
          <w:lang w:val="en-GB"/>
        </w:rPr>
      </w:pPr>
      <w:r w:rsidRPr="002D39BB">
        <w:rPr>
          <w:rFonts w:ascii="Arial" w:eastAsia="Arial" w:hAnsi="Arial" w:cs="Arial"/>
          <w:b/>
          <w:bCs/>
          <w:i/>
          <w:iCs/>
          <w:sz w:val="22"/>
          <w:szCs w:val="22"/>
          <w:lang w:val="en-GB"/>
        </w:rPr>
        <w:t>Personalised Care and Support Planning</w:t>
      </w:r>
      <w:r w:rsidRPr="002D39BB">
        <w:rPr>
          <w:rFonts w:ascii="Arial" w:eastAsia="Arial" w:hAnsi="Arial" w:cs="Arial"/>
          <w:sz w:val="22"/>
          <w:szCs w:val="22"/>
          <w:lang w:val="en-GB"/>
        </w:rPr>
        <w:t xml:space="preserve"> is known as a series of facilitated conversations in which an individual or those who are familiar with them actively participates for exploring the management of their health, in addition to their well-being within the very context of their family situation and life (NHS England, 2022a).</w:t>
      </w:r>
    </w:p>
    <w:p w14:paraId="67FD3E99" w14:textId="77777777" w:rsidR="000C7070" w:rsidRPr="002D39BB" w:rsidRDefault="000C7070" w:rsidP="000C7070">
      <w:pPr>
        <w:numPr>
          <w:ilvl w:val="0"/>
          <w:numId w:val="2"/>
        </w:numPr>
        <w:spacing w:before="120" w:after="120" w:line="360" w:lineRule="auto"/>
        <w:jc w:val="both"/>
        <w:rPr>
          <w:sz w:val="22"/>
          <w:szCs w:val="22"/>
          <w:lang w:val="en-GB"/>
        </w:rPr>
      </w:pPr>
      <w:r w:rsidRPr="002D39BB">
        <w:rPr>
          <w:rFonts w:ascii="Arial" w:eastAsia="Arial" w:hAnsi="Arial" w:cs="Arial"/>
          <w:sz w:val="22"/>
          <w:szCs w:val="22"/>
          <w:lang w:val="en-GB"/>
        </w:rPr>
        <w:t xml:space="preserve">NHS is also known for offering patients with </w:t>
      </w:r>
      <w:r w:rsidRPr="002D39BB">
        <w:rPr>
          <w:rFonts w:ascii="Arial" w:eastAsia="Arial" w:hAnsi="Arial" w:cs="Arial"/>
          <w:b/>
          <w:bCs/>
          <w:i/>
          <w:iCs/>
          <w:sz w:val="22"/>
          <w:szCs w:val="22"/>
          <w:lang w:val="en-GB"/>
        </w:rPr>
        <w:t xml:space="preserve">Choices </w:t>
      </w:r>
      <w:r w:rsidRPr="002D39BB">
        <w:rPr>
          <w:rFonts w:ascii="Arial" w:eastAsia="Arial" w:hAnsi="Arial" w:cs="Arial"/>
          <w:sz w:val="22"/>
          <w:szCs w:val="22"/>
          <w:lang w:val="en-GB"/>
        </w:rPr>
        <w:t xml:space="preserve">on where they are willing to receive healthcare services, along with such choices having extended over time in legislation. </w:t>
      </w:r>
    </w:p>
    <w:p w14:paraId="7957573C" w14:textId="77777777" w:rsidR="000C7070" w:rsidRPr="002D39BB" w:rsidRDefault="000C7070" w:rsidP="000C7070">
      <w:pPr>
        <w:numPr>
          <w:ilvl w:val="0"/>
          <w:numId w:val="2"/>
        </w:numPr>
        <w:spacing w:before="120" w:after="120" w:line="360" w:lineRule="auto"/>
        <w:jc w:val="both"/>
        <w:rPr>
          <w:sz w:val="22"/>
          <w:szCs w:val="22"/>
          <w:lang w:val="en-GB"/>
        </w:rPr>
      </w:pPr>
      <w:r w:rsidRPr="002D39BB">
        <w:rPr>
          <w:rFonts w:ascii="Arial" w:eastAsia="Arial" w:hAnsi="Arial" w:cs="Arial"/>
          <w:b/>
          <w:bCs/>
          <w:i/>
          <w:iCs/>
          <w:sz w:val="22"/>
          <w:szCs w:val="22"/>
          <w:lang w:val="en-GB"/>
        </w:rPr>
        <w:t>Social Prescribing</w:t>
      </w:r>
      <w:r w:rsidRPr="002D39BB">
        <w:rPr>
          <w:rFonts w:ascii="Arial" w:eastAsia="Arial" w:hAnsi="Arial" w:cs="Arial"/>
          <w:sz w:val="22"/>
          <w:szCs w:val="22"/>
          <w:lang w:val="en-GB"/>
        </w:rPr>
        <w:t xml:space="preserve"> is known for being a key component of universal personalised care, connecting people to various activities, groups, alongside services in their community for meeting the practical, social and emotional needs, affecting their health and wellbeing (NHS England, 2024).</w:t>
      </w:r>
    </w:p>
    <w:p w14:paraId="26BA88F7" w14:textId="77777777" w:rsidR="000C7070" w:rsidRPr="002D39BB" w:rsidRDefault="000C7070" w:rsidP="000C7070">
      <w:pPr>
        <w:numPr>
          <w:ilvl w:val="0"/>
          <w:numId w:val="2"/>
        </w:numPr>
        <w:spacing w:before="120" w:after="120" w:line="360" w:lineRule="auto"/>
        <w:jc w:val="both"/>
        <w:rPr>
          <w:sz w:val="22"/>
          <w:szCs w:val="22"/>
          <w:lang w:val="en-GB"/>
        </w:rPr>
      </w:pPr>
      <w:r w:rsidRPr="002D39BB">
        <w:rPr>
          <w:rFonts w:ascii="Arial" w:eastAsia="Arial" w:hAnsi="Arial" w:cs="Arial"/>
          <w:b/>
          <w:bCs/>
          <w:i/>
          <w:iCs/>
          <w:sz w:val="22"/>
          <w:szCs w:val="22"/>
          <w:lang w:val="en-GB"/>
        </w:rPr>
        <w:t>Supported self-management</w:t>
      </w:r>
      <w:r w:rsidRPr="002D39BB">
        <w:rPr>
          <w:rFonts w:ascii="Arial" w:eastAsia="Arial" w:hAnsi="Arial" w:cs="Arial"/>
          <w:sz w:val="22"/>
          <w:szCs w:val="22"/>
          <w:lang w:val="en-GB"/>
        </w:rPr>
        <w:t xml:space="preserve"> can be defined as increasing the knowledge, skills, alongside confidence an individual has in the case of managing their own health. It also means putting in place various interventions, including peer support, self-management education, along with health coaching (NHS England, 2020).</w:t>
      </w:r>
    </w:p>
    <w:p w14:paraId="5D25426C" w14:textId="77777777" w:rsidR="000C7070" w:rsidRPr="002D39BB" w:rsidRDefault="000C7070" w:rsidP="000C7070">
      <w:pPr>
        <w:numPr>
          <w:ilvl w:val="0"/>
          <w:numId w:val="2"/>
        </w:numPr>
        <w:spacing w:before="120" w:after="120" w:line="360" w:lineRule="auto"/>
        <w:jc w:val="both"/>
        <w:rPr>
          <w:sz w:val="22"/>
          <w:szCs w:val="22"/>
          <w:lang w:val="en-GB"/>
        </w:rPr>
      </w:pPr>
      <w:r w:rsidRPr="002D39BB">
        <w:rPr>
          <w:rFonts w:ascii="Arial" w:eastAsia="Arial" w:hAnsi="Arial" w:cs="Arial"/>
          <w:sz w:val="22"/>
          <w:szCs w:val="22"/>
          <w:lang w:val="en-GB"/>
        </w:rPr>
        <w:t xml:space="preserve">Lastly, </w:t>
      </w:r>
      <w:r w:rsidRPr="002D39BB">
        <w:rPr>
          <w:rFonts w:ascii="Arial" w:eastAsia="Arial" w:hAnsi="Arial" w:cs="Arial"/>
          <w:b/>
          <w:bCs/>
          <w:i/>
          <w:iCs/>
          <w:sz w:val="22"/>
          <w:szCs w:val="22"/>
          <w:lang w:val="en-GB"/>
        </w:rPr>
        <w:t>Personal Health Budgets</w:t>
      </w:r>
      <w:r w:rsidRPr="002D39BB">
        <w:rPr>
          <w:rFonts w:ascii="Arial" w:eastAsia="Arial" w:hAnsi="Arial" w:cs="Arial"/>
          <w:sz w:val="22"/>
          <w:szCs w:val="22"/>
          <w:lang w:val="en-GB"/>
        </w:rPr>
        <w:t>, where suitable, are able to provide patients with control over funding, regarding tailored support services (NHS England, 2022b).</w:t>
      </w:r>
    </w:p>
    <w:p w14:paraId="79720924" w14:textId="77777777"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When applied to CHD, such a model is able to promote empowerment, along with improving adherence to lifestyle changes and medication, in addition to improving quality of life.</w:t>
      </w:r>
    </w:p>
    <w:p w14:paraId="26D5971A" w14:textId="77777777" w:rsidR="000C7070" w:rsidRPr="002D39BB" w:rsidRDefault="000C7070" w:rsidP="004028F8">
      <w:pPr>
        <w:pStyle w:val="Heading2"/>
      </w:pPr>
      <w:bookmarkStart w:id="20" w:name="_Toc235132710"/>
      <w:r w:rsidRPr="002D39BB">
        <w:t>5.2 International Model: WHO Innovative Care for Chronic Conditions (ICCC)</w:t>
      </w:r>
      <w:bookmarkEnd w:id="20"/>
    </w:p>
    <w:p w14:paraId="6B127F02" w14:textId="77777777"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The WHO ICCC framework is known for being the first key component of a three–pronged WHO strategy for the purpose of improving the prevention and management of chronic conditions such as CHD in health care systems (WHO, 2002). It is known for operating across three levels; which are </w:t>
      </w:r>
      <w:r w:rsidRPr="002D39BB">
        <w:rPr>
          <w:rFonts w:ascii="Arial" w:eastAsia="Arial" w:hAnsi="Arial" w:cs="Arial"/>
          <w:b/>
          <w:bCs/>
          <w:i/>
          <w:iCs/>
          <w:sz w:val="22"/>
          <w:szCs w:val="22"/>
          <w:lang w:val="en-GB"/>
        </w:rPr>
        <w:t>micro</w:t>
      </w:r>
      <w:r w:rsidRPr="002D39BB">
        <w:rPr>
          <w:rFonts w:ascii="Arial" w:eastAsia="Arial" w:hAnsi="Arial" w:cs="Arial"/>
          <w:sz w:val="22"/>
          <w:szCs w:val="22"/>
          <w:lang w:val="en-GB"/>
        </w:rPr>
        <w:t xml:space="preserve">, including patient and family; </w:t>
      </w:r>
      <w:r w:rsidRPr="002D39BB">
        <w:rPr>
          <w:rFonts w:ascii="Arial" w:eastAsia="Arial" w:hAnsi="Arial" w:cs="Arial"/>
          <w:b/>
          <w:bCs/>
          <w:i/>
          <w:iCs/>
          <w:sz w:val="22"/>
          <w:szCs w:val="22"/>
          <w:lang w:val="en-GB"/>
        </w:rPr>
        <w:t>meso</w:t>
      </w:r>
      <w:r w:rsidRPr="002D39BB">
        <w:rPr>
          <w:rFonts w:ascii="Arial" w:eastAsia="Arial" w:hAnsi="Arial" w:cs="Arial"/>
          <w:sz w:val="22"/>
          <w:szCs w:val="22"/>
          <w:lang w:val="en-GB"/>
        </w:rPr>
        <w:t xml:space="preserve">, including healthcare organisation and community; and lastly, </w:t>
      </w:r>
      <w:r w:rsidRPr="002D39BB">
        <w:rPr>
          <w:rFonts w:ascii="Arial" w:eastAsia="Arial" w:hAnsi="Arial" w:cs="Arial"/>
          <w:b/>
          <w:bCs/>
          <w:i/>
          <w:iCs/>
          <w:sz w:val="22"/>
          <w:szCs w:val="22"/>
          <w:lang w:val="en-GB"/>
        </w:rPr>
        <w:t>macro</w:t>
      </w:r>
      <w:r w:rsidRPr="002D39BB">
        <w:rPr>
          <w:rFonts w:ascii="Arial" w:eastAsia="Arial" w:hAnsi="Arial" w:cs="Arial"/>
          <w:sz w:val="22"/>
          <w:szCs w:val="22"/>
          <w:lang w:val="en-GB"/>
        </w:rPr>
        <w:t>, including policy environment. Combined together, this is known for encouraging integrated systems that are able to support continuity of care regarding chronic disease such as CHD.</w:t>
      </w:r>
    </w:p>
    <w:p w14:paraId="3F9F6344" w14:textId="77777777" w:rsidR="000C7070" w:rsidRPr="002D39BB" w:rsidRDefault="000C7070" w:rsidP="004028F8">
      <w:pPr>
        <w:pStyle w:val="Heading2"/>
      </w:pPr>
      <w:bookmarkStart w:id="21" w:name="_Toc235132711"/>
      <w:r w:rsidRPr="002D39BB">
        <w:t>5.3 Critical Comparison</w:t>
      </w:r>
      <w:bookmarkEnd w:id="21"/>
    </w:p>
    <w:p w14:paraId="60B00523" w14:textId="77777777"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It can be stated that the UK model excels in personalisation, alongside integration within a tax-funded system. However, it is also able to face resource constraints. On the other hand, the WHO ICCC is quite wider regarding global applicability, significantly stronger on prevention, along with community links. However, it might require more adaptation in the case of various resource-rich settings, such as the NHS. It is essential to note that both are able to support person-centred CHD care in an effective manner when implemented properly.</w:t>
      </w:r>
    </w:p>
    <w:p w14:paraId="5BC1FCF5" w14:textId="77777777" w:rsidR="000C7070" w:rsidRPr="002D39BB" w:rsidRDefault="000C7070" w:rsidP="004028F8">
      <w:pPr>
        <w:pStyle w:val="Heading1"/>
      </w:pPr>
      <w:bookmarkStart w:id="22" w:name="_Toc235132712"/>
      <w:r w:rsidRPr="002D39BB">
        <w:t>6. Local and National Policy Implications</w:t>
      </w:r>
      <w:bookmarkEnd w:id="22"/>
    </w:p>
    <w:p w14:paraId="3C123CC3" w14:textId="77777777" w:rsidR="000C7070" w:rsidRPr="002D39BB" w:rsidRDefault="000C7070" w:rsidP="004028F8">
      <w:pPr>
        <w:pStyle w:val="Heading2"/>
      </w:pPr>
      <w:bookmarkStart w:id="23" w:name="_Toc235132713"/>
      <w:r w:rsidRPr="002D39BB">
        <w:t>6.1 National Policies</w:t>
      </w:r>
      <w:bookmarkEnd w:id="23"/>
    </w:p>
    <w:p w14:paraId="22B1E50D" w14:textId="77777777"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The NHS Long Term Plan is known for focusing on identifying cardiovascular disease as a clinical priority. It aims to prevent over 150,000 heart attacks, strokes and dementia cases by 2029, alongside outlining the method in which the NHS and their partners will be meeting such an ambition (NHS England, 2025). There is the </w:t>
      </w:r>
      <w:r w:rsidRPr="002D39BB">
        <w:rPr>
          <w:rFonts w:ascii="Arial" w:eastAsia="Arial" w:hAnsi="Arial" w:cs="Arial"/>
          <w:b/>
          <w:bCs/>
          <w:i/>
          <w:iCs/>
          <w:sz w:val="22"/>
          <w:szCs w:val="22"/>
          <w:lang w:val="en-GB"/>
        </w:rPr>
        <w:t>NICE NG238</w:t>
      </w:r>
      <w:r w:rsidRPr="002D39BB">
        <w:rPr>
          <w:rFonts w:ascii="Arial" w:eastAsia="Arial" w:hAnsi="Arial" w:cs="Arial"/>
          <w:sz w:val="22"/>
          <w:szCs w:val="22"/>
          <w:lang w:val="en-GB"/>
        </w:rPr>
        <w:t xml:space="preserve"> guideline, which is known for covering the identification and assessment of risk of cardiovascular disease in adults without established CVD, in addition to various other guidelines (NICE, 2023). The British Heart Foundation is known for being the biggest independent funder of research into cardiovascular disease in the UK, driving initiatives in prevention and rehabilitation (BHF, 2024). There is also the CVD prevention programme, along with the NHS Health Check Programme, which is known for focusing on identifying and managing risk factors, such as hypertension, atrial fibrillation and dyslipidaemia (NICE, 2019; Robson </w:t>
      </w:r>
      <w:r w:rsidRPr="002D39BB">
        <w:rPr>
          <w:rFonts w:ascii="Arial" w:eastAsia="Arial" w:hAnsi="Arial" w:cs="Arial"/>
          <w:i/>
          <w:iCs/>
          <w:sz w:val="22"/>
          <w:szCs w:val="22"/>
          <w:lang w:val="en-GB"/>
        </w:rPr>
        <w:t>et al.,</w:t>
      </w:r>
      <w:r w:rsidRPr="002D39BB">
        <w:rPr>
          <w:rFonts w:ascii="Arial" w:eastAsia="Arial" w:hAnsi="Arial" w:cs="Arial"/>
          <w:sz w:val="22"/>
          <w:szCs w:val="22"/>
          <w:lang w:val="en-GB"/>
        </w:rPr>
        <w:t xml:space="preserve"> 2016).</w:t>
      </w:r>
    </w:p>
    <w:p w14:paraId="1DACDFE4" w14:textId="77777777" w:rsidR="000C7070" w:rsidRPr="002D39BB" w:rsidRDefault="000C7070" w:rsidP="004028F8">
      <w:pPr>
        <w:pStyle w:val="Heading2"/>
      </w:pPr>
      <w:bookmarkStart w:id="24" w:name="_Toc235132714"/>
      <w:r w:rsidRPr="002D39BB">
        <w:t>6.2 Local Interventions</w:t>
      </w:r>
      <w:bookmarkEnd w:id="24"/>
    </w:p>
    <w:p w14:paraId="0C160233" w14:textId="79F2DFAE" w:rsidR="000C7070" w:rsidRPr="002D39BB" w:rsidRDefault="002D39BB"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At the local level, various Integrated Care Systems, along with Primary Care Networks, are known for coordinating seamless care across various healthcare providers (NHS England, 2022c; Baird, Wickens and Zearmal, 2020). There are several key interventions, such as the </w:t>
      </w:r>
      <w:r w:rsidRPr="002D39BB">
        <w:rPr>
          <w:rFonts w:ascii="Arial" w:eastAsia="Arial" w:hAnsi="Arial" w:cs="Arial"/>
          <w:b/>
          <w:bCs/>
          <w:i/>
          <w:iCs/>
          <w:sz w:val="22"/>
          <w:szCs w:val="22"/>
          <w:lang w:val="en-GB"/>
        </w:rPr>
        <w:t>NHS Cardiac Rehabilitation Programme</w:t>
      </w:r>
      <w:r w:rsidRPr="002D39BB">
        <w:rPr>
          <w:rFonts w:ascii="Arial" w:eastAsia="Arial" w:hAnsi="Arial" w:cs="Arial"/>
          <w:sz w:val="22"/>
          <w:szCs w:val="22"/>
          <w:lang w:val="en-GB"/>
        </w:rPr>
        <w:t>, along with community cardiac nurses, in addition to community pharmacies that are known for offering accessible monitoring and advice</w:t>
      </w:r>
      <w:r w:rsidR="0069697B">
        <w:rPr>
          <w:rFonts w:ascii="Arial" w:eastAsia="Arial" w:hAnsi="Arial" w:cs="Arial"/>
          <w:sz w:val="22"/>
          <w:szCs w:val="22"/>
          <w:lang w:val="en-GB"/>
        </w:rPr>
        <w:t xml:space="preserve"> (</w:t>
      </w:r>
      <w:r w:rsidR="0069697B" w:rsidRPr="0069697B">
        <w:rPr>
          <w:rFonts w:ascii="Arial" w:eastAsia="Arial" w:hAnsi="Arial" w:cs="Arial"/>
          <w:sz w:val="22"/>
          <w:szCs w:val="22"/>
          <w:lang w:val="en-GB"/>
        </w:rPr>
        <w:t>NHS</w:t>
      </w:r>
      <w:r w:rsidR="0069697B">
        <w:rPr>
          <w:rFonts w:ascii="Arial" w:eastAsia="Arial" w:hAnsi="Arial" w:cs="Arial"/>
          <w:sz w:val="22"/>
          <w:szCs w:val="22"/>
          <w:lang w:val="en-GB"/>
        </w:rPr>
        <w:t>, 2024)</w:t>
      </w:r>
      <w:r w:rsidRPr="002D39BB">
        <w:rPr>
          <w:rFonts w:ascii="Arial" w:eastAsia="Arial" w:hAnsi="Arial" w:cs="Arial"/>
          <w:sz w:val="22"/>
          <w:szCs w:val="22"/>
          <w:lang w:val="en-GB"/>
        </w:rPr>
        <w:t xml:space="preserve">. </w:t>
      </w:r>
      <w:r>
        <w:rPr>
          <w:rFonts w:ascii="Arial" w:eastAsia="Arial" w:hAnsi="Arial" w:cs="Arial"/>
          <w:sz w:val="22"/>
          <w:szCs w:val="22"/>
          <w:lang w:val="en-GB"/>
        </w:rPr>
        <w:t>This is d</w:t>
      </w:r>
      <w:r w:rsidRPr="002D39BB">
        <w:rPr>
          <w:rFonts w:ascii="Arial" w:eastAsia="Arial" w:hAnsi="Arial" w:cs="Arial"/>
          <w:sz w:val="22"/>
          <w:szCs w:val="22"/>
          <w:lang w:val="en-GB"/>
        </w:rPr>
        <w:t xml:space="preserve">elivered through local NHS Trusts and community cardiac rehabilitation services, </w:t>
      </w:r>
      <w:r>
        <w:rPr>
          <w:rFonts w:ascii="Arial" w:eastAsia="Arial" w:hAnsi="Arial" w:cs="Arial"/>
          <w:sz w:val="22"/>
          <w:szCs w:val="22"/>
          <w:lang w:val="en-GB"/>
        </w:rPr>
        <w:t>and</w:t>
      </w:r>
      <w:r w:rsidRPr="002D39BB">
        <w:rPr>
          <w:rFonts w:ascii="Arial" w:eastAsia="Arial" w:hAnsi="Arial" w:cs="Arial"/>
          <w:sz w:val="22"/>
          <w:szCs w:val="22"/>
          <w:lang w:val="en-GB"/>
        </w:rPr>
        <w:t xml:space="preserve"> provides </w:t>
      </w:r>
      <w:r>
        <w:rPr>
          <w:rFonts w:ascii="Arial" w:eastAsia="Arial" w:hAnsi="Arial" w:cs="Arial"/>
          <w:sz w:val="22"/>
          <w:szCs w:val="22"/>
          <w:lang w:val="en-GB"/>
        </w:rPr>
        <w:t xml:space="preserve">a </w:t>
      </w:r>
      <w:r w:rsidRPr="002D39BB">
        <w:rPr>
          <w:rFonts w:ascii="Arial" w:eastAsia="Arial" w:hAnsi="Arial" w:cs="Arial"/>
          <w:sz w:val="22"/>
          <w:szCs w:val="22"/>
          <w:lang w:val="en-GB"/>
        </w:rPr>
        <w:t xml:space="preserve">supervised exercise, lifestyle education, psychological support, and personalised recovery planning following cardiac events, </w:t>
      </w:r>
      <w:r>
        <w:rPr>
          <w:rFonts w:ascii="Arial" w:eastAsia="Arial" w:hAnsi="Arial" w:cs="Arial"/>
          <w:sz w:val="22"/>
          <w:szCs w:val="22"/>
          <w:lang w:val="en-GB"/>
        </w:rPr>
        <w:t xml:space="preserve">which as a result </w:t>
      </w:r>
      <w:r w:rsidRPr="002D39BB">
        <w:rPr>
          <w:rFonts w:ascii="Arial" w:eastAsia="Arial" w:hAnsi="Arial" w:cs="Arial"/>
          <w:sz w:val="22"/>
          <w:szCs w:val="22"/>
          <w:lang w:val="en-GB"/>
        </w:rPr>
        <w:t>help</w:t>
      </w:r>
      <w:r>
        <w:rPr>
          <w:rFonts w:ascii="Arial" w:eastAsia="Arial" w:hAnsi="Arial" w:cs="Arial"/>
          <w:sz w:val="22"/>
          <w:szCs w:val="22"/>
          <w:lang w:val="en-GB"/>
        </w:rPr>
        <w:t>s</w:t>
      </w:r>
      <w:r w:rsidRPr="002D39BB">
        <w:rPr>
          <w:rFonts w:ascii="Arial" w:eastAsia="Arial" w:hAnsi="Arial" w:cs="Arial"/>
          <w:sz w:val="22"/>
          <w:szCs w:val="22"/>
          <w:lang w:val="en-GB"/>
        </w:rPr>
        <w:t xml:space="preserve"> patients to reduce their risk of future cardiovascular complications while improving long-term quality of life. </w:t>
      </w:r>
      <w:r>
        <w:rPr>
          <w:rFonts w:ascii="Arial" w:eastAsia="Arial" w:hAnsi="Arial" w:cs="Arial"/>
          <w:sz w:val="22"/>
          <w:szCs w:val="22"/>
          <w:lang w:val="en-GB"/>
        </w:rPr>
        <w:t>This programme</w:t>
      </w:r>
      <w:r w:rsidRPr="002D39BB">
        <w:rPr>
          <w:rFonts w:ascii="Arial" w:eastAsia="Arial" w:hAnsi="Arial" w:cs="Arial"/>
          <w:sz w:val="22"/>
          <w:szCs w:val="22"/>
          <w:lang w:val="en-GB"/>
        </w:rPr>
        <w:t xml:space="preserve"> </w:t>
      </w:r>
      <w:r w:rsidR="000251D7" w:rsidRPr="002D39BB">
        <w:rPr>
          <w:rFonts w:ascii="Arial" w:eastAsia="Arial" w:hAnsi="Arial" w:cs="Arial"/>
          <w:sz w:val="22"/>
          <w:szCs w:val="22"/>
          <w:lang w:val="en-GB"/>
        </w:rPr>
        <w:t>helps</w:t>
      </w:r>
      <w:r w:rsidRPr="002D39BB">
        <w:rPr>
          <w:rFonts w:ascii="Arial" w:eastAsia="Arial" w:hAnsi="Arial" w:cs="Arial"/>
          <w:sz w:val="22"/>
          <w:szCs w:val="22"/>
          <w:lang w:val="en-GB"/>
        </w:rPr>
        <w:t xml:space="preserve"> in bringing services much closer to patients, along with also addressing various health inequalities.</w:t>
      </w:r>
    </w:p>
    <w:p w14:paraId="435F263C" w14:textId="77777777" w:rsidR="000C7070" w:rsidRPr="002D39BB" w:rsidRDefault="000C7070" w:rsidP="004028F8">
      <w:pPr>
        <w:pStyle w:val="Heading2"/>
      </w:pPr>
      <w:bookmarkStart w:id="25" w:name="_Toc235132715"/>
      <w:r w:rsidRPr="002D39BB">
        <w:t>6.3 Improving Outcomes through NHS Personalised Care</w:t>
      </w:r>
      <w:bookmarkEnd w:id="25"/>
    </w:p>
    <w:p w14:paraId="344A9F1E" w14:textId="2D6F0467"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The overall burden of CHD can be significantly reduced by putting emphasis on person-centred care, alongside self-management, shared decision-making, in addition to early intervention and continuity of care. Such elements are able to empower patients, along with improving adherence, and improve quality of life, while at the same time also reducing pressure on the resources of the NHS.</w:t>
      </w:r>
    </w:p>
    <w:p w14:paraId="2DC71B24" w14:textId="2AAFC781" w:rsidR="000C7070" w:rsidRPr="002D39BB" w:rsidRDefault="000C7070" w:rsidP="004028F8">
      <w:pPr>
        <w:pStyle w:val="Heading1"/>
      </w:pPr>
      <w:bookmarkStart w:id="26" w:name="_Toc235132716"/>
      <w:r w:rsidRPr="002D39BB">
        <w:t>7. Recommendations</w:t>
      </w:r>
      <w:bookmarkEnd w:id="26"/>
    </w:p>
    <w:p w14:paraId="4A68F45E" w14:textId="229DE3BB"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In order to improve outcomes regarding adults living with CHD in the UK, the author is recommending the following suggestions:</w:t>
      </w:r>
    </w:p>
    <w:p w14:paraId="37738E25" w14:textId="2E8CA8D6" w:rsidR="000C7070" w:rsidRPr="002D39BB" w:rsidRDefault="000C7070" w:rsidP="000C7070">
      <w:pPr>
        <w:numPr>
          <w:ilvl w:val="0"/>
          <w:numId w:val="1"/>
        </w:num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To increase cardiac rehabilitation participation through implementing better referral systems, along with flexible delivery, in addition to addressing various barriers, including transport and awareness.</w:t>
      </w:r>
    </w:p>
    <w:p w14:paraId="6720ECAB" w14:textId="5B2E0B49" w:rsidR="000C7070" w:rsidRPr="002D39BB" w:rsidRDefault="00C53A93" w:rsidP="000C7070">
      <w:pPr>
        <w:numPr>
          <w:ilvl w:val="0"/>
          <w:numId w:val="1"/>
        </w:numPr>
        <w:spacing w:before="120" w:after="120" w:line="360" w:lineRule="auto"/>
        <w:jc w:val="both"/>
        <w:rPr>
          <w:rFonts w:ascii="Arial" w:eastAsia="Arial" w:hAnsi="Arial" w:cs="Arial"/>
          <w:sz w:val="22"/>
          <w:szCs w:val="22"/>
          <w:lang w:val="en-GB"/>
        </w:rPr>
      </w:pPr>
      <w:r>
        <w:rPr>
          <w:rFonts w:ascii="Arial" w:eastAsia="Arial" w:hAnsi="Arial" w:cs="Arial"/>
          <w:noProof/>
          <w:sz w:val="22"/>
          <w:szCs w:val="22"/>
          <w:lang w:val="en-GB"/>
        </w:rPr>
        <w:drawing>
          <wp:anchor distT="0" distB="0" distL="114300" distR="114300" simplePos="0" relativeHeight="251667456" behindDoc="0" locked="0" layoutInCell="1" allowOverlap="1" wp14:anchorId="604DD2BC" wp14:editId="3C18A4F3">
            <wp:simplePos x="0" y="0"/>
            <wp:positionH relativeFrom="column">
              <wp:posOffset>-914400</wp:posOffset>
            </wp:positionH>
            <wp:positionV relativeFrom="paragraph">
              <wp:posOffset>0</wp:posOffset>
            </wp:positionV>
            <wp:extent cx="2295525" cy="1280160"/>
            <wp:effectExtent l="0" t="0" r="9525" b="0"/>
            <wp:wrapThrough wrapText="bothSides">
              <wp:wrapPolygon edited="0">
                <wp:start x="13623" y="0"/>
                <wp:lineTo x="12727" y="1286"/>
                <wp:lineTo x="11831" y="3857"/>
                <wp:lineTo x="11831" y="5143"/>
                <wp:lineTo x="3764" y="7714"/>
                <wp:lineTo x="2868" y="8357"/>
                <wp:lineTo x="2868" y="10286"/>
                <wp:lineTo x="0" y="15107"/>
                <wp:lineTo x="0" y="18321"/>
                <wp:lineTo x="5198" y="20571"/>
                <wp:lineTo x="5378" y="21214"/>
                <wp:lineTo x="6274" y="21214"/>
                <wp:lineTo x="6632" y="20571"/>
                <wp:lineTo x="17208" y="15750"/>
                <wp:lineTo x="20435" y="10286"/>
                <wp:lineTo x="21510" y="7714"/>
                <wp:lineTo x="21510" y="1929"/>
                <wp:lineTo x="20076" y="0"/>
                <wp:lineTo x="13623"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95525" cy="1280160"/>
                    </a:xfrm>
                    <a:prstGeom prst="rect">
                      <a:avLst/>
                    </a:prstGeom>
                  </pic:spPr>
                </pic:pic>
              </a:graphicData>
            </a:graphic>
            <wp14:sizeRelH relativeFrom="margin">
              <wp14:pctWidth>0</wp14:pctWidth>
            </wp14:sizeRelH>
            <wp14:sizeRelV relativeFrom="margin">
              <wp14:pctHeight>0</wp14:pctHeight>
            </wp14:sizeRelV>
          </wp:anchor>
        </w:drawing>
      </w:r>
      <w:r w:rsidR="000C7070" w:rsidRPr="002D39BB">
        <w:rPr>
          <w:rFonts w:ascii="Arial" w:eastAsia="Arial" w:hAnsi="Arial" w:cs="Arial"/>
          <w:sz w:val="22"/>
          <w:szCs w:val="22"/>
          <w:lang w:val="en-GB"/>
        </w:rPr>
        <w:t>To focus on improving smoking cessation programmes by providing improved access to behavioural support, along with pharmacotherapy, in addition to long-term follow-up in the case of sustaining quit rates.</w:t>
      </w:r>
    </w:p>
    <w:p w14:paraId="7524440B" w14:textId="10FC4248" w:rsidR="000C7070" w:rsidRPr="002D39BB" w:rsidRDefault="000C7070" w:rsidP="000C7070">
      <w:pPr>
        <w:numPr>
          <w:ilvl w:val="0"/>
          <w:numId w:val="1"/>
        </w:num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To expand various digital self-management tools that will be helpful in checking blood pressures and monitoring symptoms. Apps will also be able to provide medication reminders. Other than that, virtual cardiac rehabilitation will also be beneficial for empowering patients, along with improving adherence.</w:t>
      </w:r>
    </w:p>
    <w:p w14:paraId="0B5357BB" w14:textId="388783C5" w:rsidR="000C7070" w:rsidRPr="002D39BB" w:rsidRDefault="00C53A93" w:rsidP="000C7070">
      <w:pPr>
        <w:numPr>
          <w:ilvl w:val="0"/>
          <w:numId w:val="1"/>
        </w:numPr>
        <w:spacing w:before="120" w:after="120" w:line="360" w:lineRule="auto"/>
        <w:jc w:val="both"/>
        <w:rPr>
          <w:rFonts w:ascii="Arial" w:eastAsia="Arial" w:hAnsi="Arial" w:cs="Arial"/>
          <w:sz w:val="22"/>
          <w:szCs w:val="22"/>
          <w:lang w:val="en-GB"/>
        </w:rPr>
      </w:pPr>
      <w:r>
        <w:rPr>
          <w:noProof/>
        </w:rPr>
        <w:drawing>
          <wp:anchor distT="0" distB="0" distL="114300" distR="114300" simplePos="0" relativeHeight="251668480" behindDoc="0" locked="0" layoutInCell="1" allowOverlap="1" wp14:anchorId="446A796C" wp14:editId="5771A2F6">
            <wp:simplePos x="0" y="0"/>
            <wp:positionH relativeFrom="column">
              <wp:posOffset>2895600</wp:posOffset>
            </wp:positionH>
            <wp:positionV relativeFrom="paragraph">
              <wp:posOffset>361315</wp:posOffset>
            </wp:positionV>
            <wp:extent cx="2486025" cy="2486025"/>
            <wp:effectExtent l="0" t="0" r="9525" b="0"/>
            <wp:wrapThrough wrapText="bothSides">
              <wp:wrapPolygon edited="0">
                <wp:start x="6124" y="331"/>
                <wp:lineTo x="4966" y="828"/>
                <wp:lineTo x="2317" y="2648"/>
                <wp:lineTo x="1655" y="6124"/>
                <wp:lineTo x="0" y="8607"/>
                <wp:lineTo x="0" y="10924"/>
                <wp:lineTo x="1986" y="11255"/>
                <wp:lineTo x="0" y="12248"/>
                <wp:lineTo x="0" y="12414"/>
                <wp:lineTo x="497" y="13903"/>
                <wp:lineTo x="2152" y="16552"/>
                <wp:lineTo x="4634" y="19200"/>
                <wp:lineTo x="5793" y="21186"/>
                <wp:lineTo x="20524" y="21186"/>
                <wp:lineTo x="21517" y="19366"/>
                <wp:lineTo x="21517" y="16221"/>
                <wp:lineTo x="20855" y="13903"/>
                <wp:lineTo x="21517" y="12414"/>
                <wp:lineTo x="21021" y="11752"/>
                <wp:lineTo x="17379" y="11255"/>
                <wp:lineTo x="18869" y="8607"/>
                <wp:lineTo x="19862" y="5959"/>
                <wp:lineTo x="19200" y="2648"/>
                <wp:lineTo x="16386" y="828"/>
                <wp:lineTo x="15228" y="331"/>
                <wp:lineTo x="6124" y="331"/>
              </wp:wrapPolygon>
            </wp:wrapThrough>
            <wp:docPr id="8" name="Picture 8" descr="Healthy Heart Illustrations - Free Download in SVG,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ealthy Heart Illustrations - Free Download in SVG, 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486025" cy="24860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C7070" w:rsidRPr="002D39BB">
        <w:rPr>
          <w:rFonts w:ascii="Arial" w:eastAsia="Arial" w:hAnsi="Arial" w:cs="Arial"/>
          <w:sz w:val="22"/>
          <w:szCs w:val="22"/>
          <w:lang w:val="en-GB"/>
        </w:rPr>
        <w:t>To increase community screening, along with NHS Health Checks, which is particularly recommended in various deprived and high-risk ethnic communities. This will help in enabling earlier diagnosis and intervention.</w:t>
      </w:r>
    </w:p>
    <w:p w14:paraId="17594C9F" w14:textId="775C4221" w:rsidR="000C7070" w:rsidRPr="002D39BB" w:rsidRDefault="000C7070" w:rsidP="000C7070">
      <w:pPr>
        <w:numPr>
          <w:ilvl w:val="0"/>
          <w:numId w:val="1"/>
        </w:num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To improve multidisciplinary collaboration across primary, secondary and also community care settings. This will help in ensuring seamless and coordinated support.</w:t>
      </w:r>
    </w:p>
    <w:p w14:paraId="57DD1F44" w14:textId="50CF6455" w:rsidR="000C7070" w:rsidRPr="002D39BB" w:rsidRDefault="000C7070" w:rsidP="000C7070">
      <w:pPr>
        <w:numPr>
          <w:ilvl w:val="0"/>
          <w:numId w:val="1"/>
        </w:num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To improve personalised care planning, along with shared-decision making, which will help in tailoring treatment, in addition to lifestyle plans, for various needs and preferences of individuals.</w:t>
      </w:r>
    </w:p>
    <w:p w14:paraId="3F9E4B38" w14:textId="6829539D" w:rsidR="003D7981" w:rsidRPr="003D7981" w:rsidRDefault="000C7070" w:rsidP="003D7981">
      <w:pPr>
        <w:numPr>
          <w:ilvl w:val="0"/>
          <w:numId w:val="1"/>
        </w:num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To strengthen supported self-management education for patients and also carers, especially focusing on practical skills, along with ongoing support.</w:t>
      </w:r>
    </w:p>
    <w:p w14:paraId="3C685490" w14:textId="0613AAE8" w:rsidR="000C7070" w:rsidRPr="002D39BB" w:rsidRDefault="000C7070" w:rsidP="004028F8">
      <w:pPr>
        <w:pStyle w:val="Heading1"/>
      </w:pPr>
      <w:bookmarkStart w:id="27" w:name="_Toc235132717"/>
      <w:r w:rsidRPr="002D39BB">
        <w:t>8. Conclusion</w:t>
      </w:r>
      <w:bookmarkEnd w:id="27"/>
    </w:p>
    <w:p w14:paraId="0980F90C" w14:textId="593B58D1" w:rsidR="000C7070" w:rsidRPr="002D39BB" w:rsidRDefault="000C7070"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It can be stated that in order to gain better outcomes for adults who are living with CHD, it will require early diagnosis, multidisciplinary collaboration, person-centred care, along with supported self-management, in addition to integrated healthcare services. It will be possible for the UK to reduce the burden of such a condition, alongside improving quality of life for millions of individuals, by addressing the various biopsychosocial needs and leveraging evidence-based approaches. Thus, a sustained commitment to prevention, equity, alongside empowerment will be able to offer a hopeful path toward healthier hearts, along with stronger communities across the UK.</w:t>
      </w:r>
      <w:r w:rsidRPr="002D39BB">
        <w:rPr>
          <w:lang w:val="en-GB"/>
        </w:rPr>
        <w:br w:type="page"/>
      </w:r>
    </w:p>
    <w:p w14:paraId="33DF07F1" w14:textId="77777777" w:rsidR="000C7070" w:rsidRPr="002D39BB" w:rsidRDefault="000C7070" w:rsidP="004028F8">
      <w:pPr>
        <w:pStyle w:val="Heading1"/>
      </w:pPr>
      <w:bookmarkStart w:id="28" w:name="_Toc235132718"/>
      <w:r w:rsidRPr="002D39BB">
        <w:t>References</w:t>
      </w:r>
      <w:bookmarkEnd w:id="28"/>
    </w:p>
    <w:p w14:paraId="3FAFC10A"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Aadicura (2025). </w:t>
      </w:r>
      <w:r w:rsidRPr="002D39BB">
        <w:rPr>
          <w:rFonts w:ascii="Arial" w:eastAsia="Arial" w:hAnsi="Arial" w:cs="Arial"/>
          <w:i/>
          <w:iCs/>
          <w:sz w:val="22"/>
          <w:szCs w:val="22"/>
          <w:lang w:val="en-GB"/>
        </w:rPr>
        <w:t>Coronary Heart Disease: Causes, Symptoms &amp; Prevention Tips</w:t>
      </w:r>
      <w:r w:rsidRPr="002D39BB">
        <w:rPr>
          <w:rFonts w:ascii="Arial" w:eastAsia="Arial" w:hAnsi="Arial" w:cs="Arial"/>
          <w:sz w:val="22"/>
          <w:szCs w:val="22"/>
          <w:lang w:val="en-GB"/>
        </w:rPr>
        <w:t>. [online] Aadicura. Available at: https://aadicura.com/coronary-heart-disease-causes-prevention/ [Accessed 16 July 2026].</w:t>
      </w:r>
    </w:p>
    <w:p w14:paraId="548D7E1D"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Ahmad, M., Mehta, P., Reddivari, A.K.R. and Mungee, S. (2023). </w:t>
      </w:r>
      <w:r w:rsidRPr="002D39BB">
        <w:rPr>
          <w:rFonts w:ascii="Arial" w:eastAsia="Arial" w:hAnsi="Arial" w:cs="Arial"/>
          <w:i/>
          <w:iCs/>
          <w:sz w:val="22"/>
          <w:szCs w:val="22"/>
          <w:lang w:val="en-GB"/>
        </w:rPr>
        <w:t>Percutaneous Coronary Intervention</w:t>
      </w:r>
      <w:r w:rsidRPr="002D39BB">
        <w:rPr>
          <w:rFonts w:ascii="Arial" w:eastAsia="Arial" w:hAnsi="Arial" w:cs="Arial"/>
          <w:sz w:val="22"/>
          <w:szCs w:val="22"/>
          <w:lang w:val="en-GB"/>
        </w:rPr>
        <w:t>. [online] PubMed. Available at: https://www.ncbi.nlm.nih.gov/books/NBK556123/ [Accessed 16 July 2026].</w:t>
      </w:r>
    </w:p>
    <w:p w14:paraId="532C0470"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highlight w:val="white"/>
          <w:lang w:val="en-GB"/>
        </w:rPr>
        <w:t xml:space="preserve">Athbi, H.A. and Hassan, H.B., (2019). Health beliefs of patients with coronary heart disease toward secondary prevention: the health beliefs model as a theoretical framework. </w:t>
      </w:r>
      <w:r w:rsidRPr="002D39BB">
        <w:rPr>
          <w:rFonts w:ascii="Arial" w:eastAsia="Arial" w:hAnsi="Arial" w:cs="Arial"/>
          <w:i/>
          <w:iCs/>
          <w:sz w:val="22"/>
          <w:szCs w:val="22"/>
          <w:highlight w:val="white"/>
          <w:lang w:val="en-GB"/>
        </w:rPr>
        <w:t>Indian Journal of Public Health Research &amp; Development</w:t>
      </w:r>
      <w:r w:rsidRPr="002D39BB">
        <w:rPr>
          <w:rFonts w:ascii="Arial" w:eastAsia="Arial" w:hAnsi="Arial" w:cs="Arial"/>
          <w:sz w:val="22"/>
          <w:szCs w:val="22"/>
          <w:highlight w:val="white"/>
          <w:lang w:val="en-GB"/>
        </w:rPr>
        <w:t xml:space="preserve">, </w:t>
      </w:r>
      <w:r w:rsidRPr="002D39BB">
        <w:rPr>
          <w:rFonts w:ascii="Arial" w:eastAsia="Arial" w:hAnsi="Arial" w:cs="Arial"/>
          <w:i/>
          <w:iCs/>
          <w:sz w:val="22"/>
          <w:szCs w:val="22"/>
          <w:highlight w:val="white"/>
          <w:lang w:val="en-GB"/>
        </w:rPr>
        <w:t>1</w:t>
      </w:r>
      <w:r w:rsidRPr="002D39BB">
        <w:rPr>
          <w:rFonts w:ascii="Arial" w:eastAsia="Arial" w:hAnsi="Arial" w:cs="Arial"/>
          <w:sz w:val="22"/>
          <w:szCs w:val="22"/>
          <w:highlight w:val="white"/>
          <w:lang w:val="en-GB"/>
        </w:rPr>
        <w:t>(1), pp.821-826.</w:t>
      </w:r>
      <w:r w:rsidRPr="002D39BB">
        <w:rPr>
          <w:rFonts w:ascii="Arial" w:eastAsia="Arial" w:hAnsi="Arial" w:cs="Arial"/>
          <w:sz w:val="22"/>
          <w:szCs w:val="22"/>
          <w:lang w:val="en-GB"/>
        </w:rPr>
        <w:t xml:space="preserve"> </w:t>
      </w:r>
    </w:p>
    <w:p w14:paraId="5AB317B9"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Awoke, G., Tilahun, M., Tsega, T. and Assaye, B.T. (2026). Disease burden and associated factors among caregivers of children with congenital heart disease at tertiary hospitals in Addis Ababa, Ethiopia. </w:t>
      </w:r>
      <w:r w:rsidRPr="002D39BB">
        <w:rPr>
          <w:rFonts w:ascii="Arial" w:eastAsia="Arial" w:hAnsi="Arial" w:cs="Arial"/>
          <w:i/>
          <w:iCs/>
          <w:sz w:val="22"/>
          <w:szCs w:val="22"/>
          <w:lang w:val="en-GB"/>
        </w:rPr>
        <w:t>Scientific Reports</w:t>
      </w:r>
      <w:r w:rsidRPr="002D39BB">
        <w:rPr>
          <w:rFonts w:ascii="Arial" w:eastAsia="Arial" w:hAnsi="Arial" w:cs="Arial"/>
          <w:sz w:val="22"/>
          <w:szCs w:val="22"/>
          <w:lang w:val="en-GB"/>
        </w:rPr>
        <w:t>. [online] doi:10.1038/s41598-026-44249-2.</w:t>
      </w:r>
    </w:p>
    <w:p w14:paraId="23A208A6"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Bachar, B.J. and Manna, B. (2023). </w:t>
      </w:r>
      <w:r w:rsidRPr="002D39BB">
        <w:rPr>
          <w:rFonts w:ascii="Arial" w:eastAsia="Arial" w:hAnsi="Arial" w:cs="Arial"/>
          <w:i/>
          <w:iCs/>
          <w:sz w:val="22"/>
          <w:szCs w:val="22"/>
          <w:lang w:val="en-GB"/>
        </w:rPr>
        <w:t>Coronary Artery Bypass Graft</w:t>
      </w:r>
      <w:r w:rsidRPr="002D39BB">
        <w:rPr>
          <w:rFonts w:ascii="Arial" w:eastAsia="Arial" w:hAnsi="Arial" w:cs="Arial"/>
          <w:sz w:val="22"/>
          <w:szCs w:val="22"/>
          <w:lang w:val="en-GB"/>
        </w:rPr>
        <w:t>. [online] PubMed. Available at: https://www.ncbi.nlm.nih.gov/books/NBK507836/ [Accessed 16 July 2026].</w:t>
      </w:r>
    </w:p>
    <w:p w14:paraId="1A328620"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Baird, B., Wickens, C. and Zearmal, S. (2020). </w:t>
      </w:r>
      <w:r w:rsidRPr="002D39BB">
        <w:rPr>
          <w:rFonts w:ascii="Arial" w:eastAsia="Arial" w:hAnsi="Arial" w:cs="Arial"/>
          <w:i/>
          <w:iCs/>
          <w:sz w:val="22"/>
          <w:szCs w:val="22"/>
          <w:lang w:val="en-GB"/>
        </w:rPr>
        <w:t>Primary Care Networks Explained</w:t>
      </w:r>
      <w:r w:rsidRPr="002D39BB">
        <w:rPr>
          <w:rFonts w:ascii="Arial" w:eastAsia="Arial" w:hAnsi="Arial" w:cs="Arial"/>
          <w:sz w:val="22"/>
          <w:szCs w:val="22"/>
          <w:lang w:val="en-GB"/>
        </w:rPr>
        <w:t>. [online] The King’s Fund. Available at: https://www.kingsfund.org.uk/insight-and-analysis/long-reads/primary-care-networks-explained [Accessed 16 July 2026].</w:t>
      </w:r>
    </w:p>
    <w:p w14:paraId="1F50277C"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BHF (2024). </w:t>
      </w:r>
      <w:r w:rsidRPr="002D39BB">
        <w:rPr>
          <w:rFonts w:ascii="Arial" w:eastAsia="Arial" w:hAnsi="Arial" w:cs="Arial"/>
          <w:i/>
          <w:iCs/>
          <w:sz w:val="22"/>
          <w:szCs w:val="22"/>
          <w:lang w:val="en-GB"/>
        </w:rPr>
        <w:t>British Heart Foundation</w:t>
      </w:r>
      <w:r w:rsidRPr="002D39BB">
        <w:rPr>
          <w:rFonts w:ascii="Arial" w:eastAsia="Arial" w:hAnsi="Arial" w:cs="Arial"/>
          <w:sz w:val="22"/>
          <w:szCs w:val="22"/>
          <w:lang w:val="en-GB"/>
        </w:rPr>
        <w:t>. [online] British Heart foundation. Available at: https://www.bhf.org.uk/ [Accessed 16 July 2026].</w:t>
      </w:r>
    </w:p>
    <w:p w14:paraId="610779D1"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BHF (2026a). </w:t>
      </w:r>
      <w:r w:rsidRPr="002D39BB">
        <w:rPr>
          <w:rFonts w:ascii="Arial" w:eastAsia="Arial" w:hAnsi="Arial" w:cs="Arial"/>
          <w:i/>
          <w:iCs/>
          <w:sz w:val="22"/>
          <w:szCs w:val="22"/>
          <w:lang w:val="en-GB"/>
        </w:rPr>
        <w:t>UK Cardiovascular Disease Factsheet</w:t>
      </w:r>
      <w:r w:rsidRPr="002D39BB">
        <w:rPr>
          <w:rFonts w:ascii="Arial" w:eastAsia="Arial" w:hAnsi="Arial" w:cs="Arial"/>
          <w:sz w:val="22"/>
          <w:szCs w:val="22"/>
          <w:lang w:val="en-GB"/>
        </w:rPr>
        <w:t>. [online] Available at: https://www.bhf.org.uk/-/media/files/for-professionals/research/heart-statistics/bhf-cvd-statistics-uk-factsheet-jan26.pdf?rev=26534e1487094dbd806277891baef112 [Accessed 16 July 2026].</w:t>
      </w:r>
    </w:p>
    <w:p w14:paraId="76D9227C"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BHF (2026b). </w:t>
      </w:r>
      <w:r w:rsidRPr="002D39BB">
        <w:rPr>
          <w:rFonts w:ascii="Arial" w:eastAsia="Arial" w:hAnsi="Arial" w:cs="Arial"/>
          <w:i/>
          <w:iCs/>
          <w:sz w:val="22"/>
          <w:szCs w:val="22"/>
          <w:lang w:val="en-GB"/>
        </w:rPr>
        <w:t>Global Cardiovascular Disease Factsheet</w:t>
      </w:r>
      <w:r w:rsidRPr="002D39BB">
        <w:rPr>
          <w:rFonts w:ascii="Arial" w:eastAsia="Arial" w:hAnsi="Arial" w:cs="Arial"/>
          <w:sz w:val="22"/>
          <w:szCs w:val="22"/>
          <w:lang w:val="en-GB"/>
        </w:rPr>
        <w:t>. [online] Available at: https://www.bhf.org.uk/-/media/files/for-professionals/research/heart-statistics/bhf-cvd-statistics-global-factsheet-jan26.pdf [Accessed 16 July 2026a].</w:t>
      </w:r>
    </w:p>
    <w:p w14:paraId="030CEDE8"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CDC (2024). </w:t>
      </w:r>
      <w:r w:rsidRPr="002D39BB">
        <w:rPr>
          <w:rFonts w:ascii="Arial" w:eastAsia="Arial" w:hAnsi="Arial" w:cs="Arial"/>
          <w:i/>
          <w:iCs/>
          <w:sz w:val="22"/>
          <w:szCs w:val="22"/>
          <w:lang w:val="en-GB"/>
        </w:rPr>
        <w:t>About Coronary Artery Disease (CAD)</w:t>
      </w:r>
      <w:r w:rsidRPr="002D39BB">
        <w:rPr>
          <w:rFonts w:ascii="Arial" w:eastAsia="Arial" w:hAnsi="Arial" w:cs="Arial"/>
          <w:sz w:val="22"/>
          <w:szCs w:val="22"/>
          <w:lang w:val="en-GB"/>
        </w:rPr>
        <w:t>. [online] Heart Disease. Available at: https://www.cdc.gov/heart-disease/about/coronary-artery-disease.html [Accessed 16 July 2026].</w:t>
      </w:r>
    </w:p>
    <w:p w14:paraId="220F7E54"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Chauhan, M., Patel, J. and Ahmad, F. (2024). </w:t>
      </w:r>
      <w:r w:rsidRPr="002D39BB">
        <w:rPr>
          <w:rFonts w:ascii="Arial" w:eastAsia="Arial" w:hAnsi="Arial" w:cs="Arial"/>
          <w:i/>
          <w:iCs/>
          <w:sz w:val="22"/>
          <w:szCs w:val="22"/>
          <w:lang w:val="en-GB"/>
        </w:rPr>
        <w:t>Ramipril</w:t>
      </w:r>
      <w:r w:rsidRPr="002D39BB">
        <w:rPr>
          <w:rFonts w:ascii="Arial" w:eastAsia="Arial" w:hAnsi="Arial" w:cs="Arial"/>
          <w:sz w:val="22"/>
          <w:szCs w:val="22"/>
          <w:lang w:val="en-GB"/>
        </w:rPr>
        <w:t>. [online] PubMed. Available at: https://www.ncbi.nlm.nih.gov/books/NBK537119/ [Accessed 16 July 2026].</w:t>
      </w:r>
    </w:p>
    <w:p w14:paraId="476E13F7"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Cheema, K.M., Dicks, E., Pearson, J. and Samani, N.J. (2022). Long-term Trends in the Epidemiology of Cardiovascular Diseases in the UK: Insights from the British Heart Foundation Statistical Compendium. </w:t>
      </w:r>
      <w:r w:rsidRPr="002D39BB">
        <w:rPr>
          <w:rFonts w:ascii="Arial" w:eastAsia="Arial" w:hAnsi="Arial" w:cs="Arial"/>
          <w:i/>
          <w:iCs/>
          <w:sz w:val="22"/>
          <w:szCs w:val="22"/>
          <w:lang w:val="en-GB"/>
        </w:rPr>
        <w:t>Cardiovascular Research</w:t>
      </w:r>
      <w:r w:rsidRPr="002D39BB">
        <w:rPr>
          <w:rFonts w:ascii="Arial" w:eastAsia="Arial" w:hAnsi="Arial" w:cs="Arial"/>
          <w:sz w:val="22"/>
          <w:szCs w:val="22"/>
          <w:lang w:val="en-GB"/>
        </w:rPr>
        <w:t>, [online] 118(10). doi:10.1093/cvr/cvac053.</w:t>
      </w:r>
    </w:p>
    <w:p w14:paraId="6500C518"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Cleveland Clinic (2021). </w:t>
      </w:r>
      <w:r w:rsidRPr="002D39BB">
        <w:rPr>
          <w:rFonts w:ascii="Arial" w:eastAsia="Arial" w:hAnsi="Arial" w:cs="Arial"/>
          <w:i/>
          <w:iCs/>
          <w:sz w:val="22"/>
          <w:szCs w:val="22"/>
          <w:lang w:val="en-GB"/>
        </w:rPr>
        <w:t>Stable angina: Causes, symptoms and treatment</w:t>
      </w:r>
      <w:r w:rsidRPr="002D39BB">
        <w:rPr>
          <w:rFonts w:ascii="Arial" w:eastAsia="Arial" w:hAnsi="Arial" w:cs="Arial"/>
          <w:sz w:val="22"/>
          <w:szCs w:val="22"/>
          <w:lang w:val="en-GB"/>
        </w:rPr>
        <w:t>. [online] Cleveland Clinic. Available at: https://my.clevelandclinic.org/health/diseases/21847-stable-angina [Accessed 16 July 2026].</w:t>
      </w:r>
    </w:p>
    <w:p w14:paraId="699605CE"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Dubé, B.-P., Agostoni, P. and Laveneziana, P. (2016). Exertional dyspnoea in chronic heart failure: The role of the lung and respiratory mechanical factors. </w:t>
      </w:r>
      <w:r w:rsidRPr="002D39BB">
        <w:rPr>
          <w:rFonts w:ascii="Arial" w:eastAsia="Arial" w:hAnsi="Arial" w:cs="Arial"/>
          <w:i/>
          <w:iCs/>
          <w:sz w:val="22"/>
          <w:szCs w:val="22"/>
          <w:lang w:val="en-GB"/>
        </w:rPr>
        <w:t>European Respiratory Review</w:t>
      </w:r>
      <w:r w:rsidRPr="002D39BB">
        <w:rPr>
          <w:rFonts w:ascii="Arial" w:eastAsia="Arial" w:hAnsi="Arial" w:cs="Arial"/>
          <w:sz w:val="22"/>
          <w:szCs w:val="22"/>
          <w:lang w:val="en-GB"/>
        </w:rPr>
        <w:t>, [online] 25(141), pp.317–332. doi:10.1183/16000617.0048-2016.</w:t>
      </w:r>
    </w:p>
    <w:p w14:paraId="3B6992BE"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Girouard, H.S. and Kovacs, A.H. (2020). Congenital heart disease: Education and Employment Considerations and Outcomes. </w:t>
      </w:r>
      <w:r w:rsidRPr="002D39BB">
        <w:rPr>
          <w:rFonts w:ascii="Arial" w:eastAsia="Arial" w:hAnsi="Arial" w:cs="Arial"/>
          <w:i/>
          <w:iCs/>
          <w:sz w:val="22"/>
          <w:szCs w:val="22"/>
          <w:lang w:val="en-GB"/>
        </w:rPr>
        <w:t>International Journal of Cardiology Congenital Heart Disease</w:t>
      </w:r>
      <w:r w:rsidRPr="002D39BB">
        <w:rPr>
          <w:rFonts w:ascii="Arial" w:eastAsia="Arial" w:hAnsi="Arial" w:cs="Arial"/>
          <w:sz w:val="22"/>
          <w:szCs w:val="22"/>
          <w:lang w:val="en-GB"/>
        </w:rPr>
        <w:t>, 1, p.100005. doi:10.1016/j.ijcchd.2020.100005.</w:t>
      </w:r>
    </w:p>
    <w:p w14:paraId="5C2F53DF"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Goyal, A. and Zeltser, R. (2022). </w:t>
      </w:r>
      <w:r w:rsidRPr="002D39BB">
        <w:rPr>
          <w:rFonts w:ascii="Arial" w:eastAsia="Arial" w:hAnsi="Arial" w:cs="Arial"/>
          <w:i/>
          <w:iCs/>
          <w:sz w:val="22"/>
          <w:szCs w:val="22"/>
          <w:lang w:val="en-GB"/>
        </w:rPr>
        <w:t>Unstable angina</w:t>
      </w:r>
      <w:r w:rsidRPr="002D39BB">
        <w:rPr>
          <w:rFonts w:ascii="Arial" w:eastAsia="Arial" w:hAnsi="Arial" w:cs="Arial"/>
          <w:sz w:val="22"/>
          <w:szCs w:val="22"/>
          <w:lang w:val="en-GB"/>
        </w:rPr>
        <w:t>. [online] National Library of Medicine. Available at: https://www.ncbi.nlm.nih.gov/books/NBK442000/ [Accessed 16 July 2026].</w:t>
      </w:r>
    </w:p>
    <w:p w14:paraId="1EB16B7A"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Hardie, M. (2021). </w:t>
      </w:r>
      <w:r w:rsidRPr="002D39BB">
        <w:rPr>
          <w:rFonts w:ascii="Arial" w:eastAsia="Arial" w:hAnsi="Arial" w:cs="Arial"/>
          <w:i/>
          <w:iCs/>
          <w:sz w:val="22"/>
          <w:szCs w:val="22"/>
          <w:lang w:val="en-GB"/>
        </w:rPr>
        <w:t>Three aspects of health and healing: The biopsychosocial model in medicine</w:t>
      </w:r>
      <w:r w:rsidRPr="002D39BB">
        <w:rPr>
          <w:rFonts w:ascii="Arial" w:eastAsia="Arial" w:hAnsi="Arial" w:cs="Arial"/>
          <w:sz w:val="22"/>
          <w:szCs w:val="22"/>
          <w:lang w:val="en-GB"/>
        </w:rPr>
        <w:t>. [online] Department of Surgery. Available at: https://surgery.wustl.edu/three-aspects-of-health-and-healing-the-biopsychosocial-model/ [Accessed 16 July 2026].</w:t>
      </w:r>
    </w:p>
    <w:p w14:paraId="1774FC84"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Heffner, K.L., Waring, M.E., Roberts, M.B., Eaton, C.B. and Gramling, R. (2011). Social isolation, C-reactive protein, and coronary heart disease mortality among community-dwelling adults. </w:t>
      </w:r>
      <w:r w:rsidRPr="002D39BB">
        <w:rPr>
          <w:rFonts w:ascii="Arial" w:eastAsia="Arial" w:hAnsi="Arial" w:cs="Arial"/>
          <w:i/>
          <w:iCs/>
          <w:sz w:val="22"/>
          <w:szCs w:val="22"/>
          <w:lang w:val="en-GB"/>
        </w:rPr>
        <w:t>Social Science &amp; Medicine</w:t>
      </w:r>
      <w:r w:rsidRPr="002D39BB">
        <w:rPr>
          <w:rFonts w:ascii="Arial" w:eastAsia="Arial" w:hAnsi="Arial" w:cs="Arial"/>
          <w:sz w:val="22"/>
          <w:szCs w:val="22"/>
          <w:lang w:val="en-GB"/>
        </w:rPr>
        <w:t>, 72(9), pp.1482–1488. doi:10.1016/j.socscimed.2011.03.016.</w:t>
      </w:r>
    </w:p>
    <w:p w14:paraId="7E081B95"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Jalal, Z., Antoniou, S., Taylor, D., Paudyal, V., Finlay, K. and Smith, F. (2018). South Asians living in the UK and adherence to coronary heart disease medication: A mixed- method study. </w:t>
      </w:r>
      <w:r w:rsidRPr="002D39BB">
        <w:rPr>
          <w:rFonts w:ascii="Arial" w:eastAsia="Arial" w:hAnsi="Arial" w:cs="Arial"/>
          <w:i/>
          <w:iCs/>
          <w:sz w:val="22"/>
          <w:szCs w:val="22"/>
          <w:lang w:val="en-GB"/>
        </w:rPr>
        <w:t>International Journal of Clinical Pharmacy</w:t>
      </w:r>
      <w:r w:rsidRPr="002D39BB">
        <w:rPr>
          <w:rFonts w:ascii="Arial" w:eastAsia="Arial" w:hAnsi="Arial" w:cs="Arial"/>
          <w:sz w:val="22"/>
          <w:szCs w:val="22"/>
          <w:lang w:val="en-GB"/>
        </w:rPr>
        <w:t>, 41(1), pp.122–130. doi:10.1007/s11096-018-0760-3.</w:t>
      </w:r>
    </w:p>
    <w:p w14:paraId="181715D9"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Li, H., Wei, M., Zhang, L., Huang, L., Wang, Y., Wang, J., Zhuang, S., Wu, X. and Wu, J. (2023). Factors contributing to exercise tolerance in patients with coronary artery disease undergoing percutaneous coronary intervention. </w:t>
      </w:r>
      <w:r w:rsidRPr="002D39BB">
        <w:rPr>
          <w:rFonts w:ascii="Arial" w:eastAsia="Arial" w:hAnsi="Arial" w:cs="Arial"/>
          <w:i/>
          <w:iCs/>
          <w:sz w:val="22"/>
          <w:szCs w:val="22"/>
          <w:lang w:val="en-GB"/>
        </w:rPr>
        <w:t>BMC Sports Science, Medicine and Rehabilitation</w:t>
      </w:r>
      <w:r w:rsidRPr="002D39BB">
        <w:rPr>
          <w:rFonts w:ascii="Arial" w:eastAsia="Arial" w:hAnsi="Arial" w:cs="Arial"/>
          <w:sz w:val="22"/>
          <w:szCs w:val="22"/>
          <w:lang w:val="en-GB"/>
        </w:rPr>
        <w:t>, 15(1). doi:10.1186/s13102-023-00640-4.</w:t>
      </w:r>
    </w:p>
    <w:p w14:paraId="48ADDCE7"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Li, Z., Guo, K., Yang, Y., Shuai, Y., Fan, R., Li, Y., Du, J., Niu, J. and Yang, K. (2024). Exercise-based cardiac rehabilitation for patients with coronary heart disease: A systematic review and evidence mapping study. </w:t>
      </w:r>
      <w:r w:rsidRPr="002D39BB">
        <w:rPr>
          <w:rFonts w:ascii="Arial" w:eastAsia="Arial" w:hAnsi="Arial" w:cs="Arial"/>
          <w:i/>
          <w:iCs/>
          <w:sz w:val="22"/>
          <w:szCs w:val="22"/>
          <w:lang w:val="en-GB"/>
        </w:rPr>
        <w:t>European Journal of Physical and Rehabilitation Medicine</w:t>
      </w:r>
      <w:r w:rsidRPr="002D39BB">
        <w:rPr>
          <w:rFonts w:ascii="Arial" w:eastAsia="Arial" w:hAnsi="Arial" w:cs="Arial"/>
          <w:sz w:val="22"/>
          <w:szCs w:val="22"/>
          <w:lang w:val="en-GB"/>
        </w:rPr>
        <w:t>. [online] doi:10.23736/s1973-9087.23.08165-0.</w:t>
      </w:r>
    </w:p>
    <w:p w14:paraId="5100772A"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Marschall, A. (2023). </w:t>
      </w:r>
      <w:r w:rsidRPr="002D39BB">
        <w:rPr>
          <w:rFonts w:ascii="Arial" w:eastAsia="Arial" w:hAnsi="Arial" w:cs="Arial"/>
          <w:i/>
          <w:iCs/>
          <w:sz w:val="22"/>
          <w:szCs w:val="22"/>
          <w:lang w:val="en-GB"/>
        </w:rPr>
        <w:t>Understanding the Biopsychosocial Model of Health and Wellness</w:t>
      </w:r>
      <w:r w:rsidRPr="002D39BB">
        <w:rPr>
          <w:rFonts w:ascii="Arial" w:eastAsia="Arial" w:hAnsi="Arial" w:cs="Arial"/>
          <w:sz w:val="22"/>
          <w:szCs w:val="22"/>
          <w:lang w:val="en-GB"/>
        </w:rPr>
        <w:t>. [online] Verywell Mind. Available at: https://www.verywellmind.com/understanding-the-biopsychosocial-model-7549226 [Accessed 16 July 2026].</w:t>
      </w:r>
    </w:p>
    <w:p w14:paraId="19E859A8"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NHLBI (2024a). </w:t>
      </w:r>
      <w:r w:rsidRPr="002D39BB">
        <w:rPr>
          <w:rFonts w:ascii="Arial" w:eastAsia="Arial" w:hAnsi="Arial" w:cs="Arial"/>
          <w:i/>
          <w:iCs/>
          <w:sz w:val="22"/>
          <w:szCs w:val="22"/>
          <w:lang w:val="en-GB"/>
        </w:rPr>
        <w:t>Coronary Heart Disease - What Is Coronary Heart Disease?</w:t>
      </w:r>
      <w:r w:rsidRPr="002D39BB">
        <w:rPr>
          <w:rFonts w:ascii="Arial" w:eastAsia="Arial" w:hAnsi="Arial" w:cs="Arial"/>
          <w:sz w:val="22"/>
          <w:szCs w:val="22"/>
          <w:lang w:val="en-GB"/>
        </w:rPr>
        <w:t xml:space="preserve"> [online] Www.nhlbi.nih.gov. Available at: https://www.nhlbi.nih.gov/health/coronary-heart-disease [Accessed 16 July 2026].</w:t>
      </w:r>
    </w:p>
    <w:p w14:paraId="01C43BE1"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NHLBI (2024b). </w:t>
      </w:r>
      <w:r w:rsidRPr="002D39BB">
        <w:rPr>
          <w:rFonts w:ascii="Arial" w:eastAsia="Arial" w:hAnsi="Arial" w:cs="Arial"/>
          <w:i/>
          <w:iCs/>
          <w:sz w:val="22"/>
          <w:szCs w:val="22"/>
          <w:lang w:val="en-GB"/>
        </w:rPr>
        <w:t>Risk Factors</w:t>
      </w:r>
      <w:r w:rsidRPr="002D39BB">
        <w:rPr>
          <w:rFonts w:ascii="Arial" w:eastAsia="Arial" w:hAnsi="Arial" w:cs="Arial"/>
          <w:sz w:val="22"/>
          <w:szCs w:val="22"/>
          <w:lang w:val="en-GB"/>
        </w:rPr>
        <w:t>. [online] NHLBI, NIH. Available at: https://www.nhlbi.nih.gov/health/coronary-heart-disease/risk-factors [Accessed 16 July 2026b].</w:t>
      </w:r>
    </w:p>
    <w:p w14:paraId="6039E2E7"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NHS (2015). </w:t>
      </w:r>
      <w:r w:rsidRPr="002D39BB">
        <w:rPr>
          <w:rFonts w:ascii="Arial" w:eastAsia="Arial" w:hAnsi="Arial" w:cs="Arial"/>
          <w:i/>
          <w:iCs/>
          <w:sz w:val="22"/>
          <w:szCs w:val="22"/>
          <w:lang w:val="en-GB"/>
        </w:rPr>
        <w:t>General Practitioner</w:t>
      </w:r>
      <w:r w:rsidRPr="002D39BB">
        <w:rPr>
          <w:rFonts w:ascii="Arial" w:eastAsia="Arial" w:hAnsi="Arial" w:cs="Arial"/>
          <w:sz w:val="22"/>
          <w:szCs w:val="22"/>
          <w:lang w:val="en-GB"/>
        </w:rPr>
        <w:t>. [online] Health Careers. Available at: https://www.healthcareers.nhs.uk/explore-roles/doctors/roles-doctors/general-practitioner [Accessed 16 July 2026].</w:t>
      </w:r>
    </w:p>
    <w:p w14:paraId="27C2B2A8"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NHS (202</w:t>
      </w:r>
      <w:r>
        <w:rPr>
          <w:rFonts w:ascii="Arial" w:eastAsia="Arial" w:hAnsi="Arial" w:cs="Arial"/>
          <w:sz w:val="22"/>
          <w:szCs w:val="22"/>
          <w:lang w:val="en-GB"/>
        </w:rPr>
        <w:t>4</w:t>
      </w:r>
      <w:r w:rsidRPr="002D39BB">
        <w:rPr>
          <w:rFonts w:ascii="Arial" w:eastAsia="Arial" w:hAnsi="Arial" w:cs="Arial"/>
          <w:sz w:val="22"/>
          <w:szCs w:val="22"/>
          <w:lang w:val="en-GB"/>
        </w:rPr>
        <w:t xml:space="preserve">). </w:t>
      </w:r>
      <w:r w:rsidRPr="002D39BB">
        <w:rPr>
          <w:rFonts w:ascii="Arial" w:eastAsia="Arial" w:hAnsi="Arial" w:cs="Arial"/>
          <w:i/>
          <w:iCs/>
          <w:sz w:val="22"/>
          <w:szCs w:val="22"/>
          <w:lang w:val="en-GB"/>
        </w:rPr>
        <w:t>Recovery - Coronary heart disease</w:t>
      </w:r>
      <w:r w:rsidRPr="002D39BB">
        <w:rPr>
          <w:rFonts w:ascii="Arial" w:eastAsia="Arial" w:hAnsi="Arial" w:cs="Arial"/>
          <w:sz w:val="22"/>
          <w:szCs w:val="22"/>
          <w:lang w:val="en-GB"/>
        </w:rPr>
        <w:t>. [online] NHS. Available at: https://www.nhs.uk/conditions/coronary-heart-disease/recovery/ [Accessed 16 July 2026].</w:t>
      </w:r>
    </w:p>
    <w:p w14:paraId="734C8F60"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NHS (2026). </w:t>
      </w:r>
      <w:r w:rsidRPr="002D39BB">
        <w:rPr>
          <w:rFonts w:ascii="Arial" w:eastAsia="Arial" w:hAnsi="Arial" w:cs="Arial"/>
          <w:i/>
          <w:iCs/>
          <w:sz w:val="22"/>
          <w:szCs w:val="22"/>
          <w:lang w:val="en-GB"/>
        </w:rPr>
        <w:t>Heart nursing and cardiology :: Central London Community Healthcare NHS Trust</w:t>
      </w:r>
      <w:r w:rsidRPr="002D39BB">
        <w:rPr>
          <w:rFonts w:ascii="Arial" w:eastAsia="Arial" w:hAnsi="Arial" w:cs="Arial"/>
          <w:sz w:val="22"/>
          <w:szCs w:val="22"/>
          <w:lang w:val="en-GB"/>
        </w:rPr>
        <w:t>. [online] Clch.nhs.uk. Available at: https://clch.nhs.uk/services/heart-nursing [Accessed 16 July 2026].</w:t>
      </w:r>
    </w:p>
    <w:p w14:paraId="5B25467E"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NHS England (2019). </w:t>
      </w:r>
      <w:r w:rsidRPr="002D39BB">
        <w:rPr>
          <w:rFonts w:ascii="Arial" w:eastAsia="Arial" w:hAnsi="Arial" w:cs="Arial"/>
          <w:i/>
          <w:iCs/>
          <w:sz w:val="22"/>
          <w:szCs w:val="22"/>
          <w:lang w:val="en-GB"/>
        </w:rPr>
        <w:t>NHS England: Shared decision making</w:t>
      </w:r>
      <w:r w:rsidRPr="002D39BB">
        <w:rPr>
          <w:rFonts w:ascii="Arial" w:eastAsia="Arial" w:hAnsi="Arial" w:cs="Arial"/>
          <w:sz w:val="22"/>
          <w:szCs w:val="22"/>
          <w:lang w:val="en-GB"/>
        </w:rPr>
        <w:t>. [online] NHS England. Available at: https://www.england.nhs.uk/personalisedcare/shared-decision-making/ [Accessed 16 July 2026].</w:t>
      </w:r>
    </w:p>
    <w:p w14:paraId="400E29EA"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NHS England (2020). </w:t>
      </w:r>
      <w:r w:rsidRPr="002D39BB">
        <w:rPr>
          <w:rFonts w:ascii="Arial" w:eastAsia="Arial" w:hAnsi="Arial" w:cs="Arial"/>
          <w:i/>
          <w:iCs/>
          <w:sz w:val="22"/>
          <w:szCs w:val="22"/>
          <w:lang w:val="en-GB"/>
        </w:rPr>
        <w:t>Supported Self-Management</w:t>
      </w:r>
      <w:r w:rsidRPr="002D39BB">
        <w:rPr>
          <w:rFonts w:ascii="Arial" w:eastAsia="Arial" w:hAnsi="Arial" w:cs="Arial"/>
          <w:sz w:val="22"/>
          <w:szCs w:val="22"/>
          <w:lang w:val="en-GB"/>
        </w:rPr>
        <w:t>. [online] NHS England. Available at: https://www.england.nhs.uk/personalisedcare/supported-self-management/ [Accessed 16 July 2026].</w:t>
      </w:r>
    </w:p>
    <w:p w14:paraId="7A6ABD30"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NHS England (2021). </w:t>
      </w:r>
      <w:r w:rsidRPr="002D39BB">
        <w:rPr>
          <w:rFonts w:ascii="Arial" w:eastAsia="Arial" w:hAnsi="Arial" w:cs="Arial"/>
          <w:i/>
          <w:iCs/>
          <w:sz w:val="22"/>
          <w:szCs w:val="22"/>
          <w:lang w:val="en-GB"/>
        </w:rPr>
        <w:t>Nutrition and dietetics | Royal Brompton &amp; Harefield hospitals</w:t>
      </w:r>
      <w:r w:rsidRPr="002D39BB">
        <w:rPr>
          <w:rFonts w:ascii="Arial" w:eastAsia="Arial" w:hAnsi="Arial" w:cs="Arial"/>
          <w:sz w:val="22"/>
          <w:szCs w:val="22"/>
          <w:lang w:val="en-GB"/>
        </w:rPr>
        <w:t>. [online] Rbht.nhs.uk. Available at: https://www.rbht.nhs.uk/our-services/clinical_support/rehabilitation-and-therapies/nutrition-and-dietetics [Accessed 16 July 2026].</w:t>
      </w:r>
    </w:p>
    <w:p w14:paraId="6BE8C9B4"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NHS England (2022a). </w:t>
      </w:r>
      <w:r w:rsidRPr="002D39BB">
        <w:rPr>
          <w:rFonts w:ascii="Arial" w:eastAsia="Arial" w:hAnsi="Arial" w:cs="Arial"/>
          <w:i/>
          <w:iCs/>
          <w:sz w:val="22"/>
          <w:szCs w:val="22"/>
          <w:lang w:val="en-GB"/>
        </w:rPr>
        <w:t>Personalised Care and Support Planning</w:t>
      </w:r>
      <w:r w:rsidRPr="002D39BB">
        <w:rPr>
          <w:rFonts w:ascii="Arial" w:eastAsia="Arial" w:hAnsi="Arial" w:cs="Arial"/>
          <w:sz w:val="22"/>
          <w:szCs w:val="22"/>
          <w:lang w:val="en-GB"/>
        </w:rPr>
        <w:t>. [online] NHS England. Available at: https://www.england.nhs.uk/personalisedcare/pcsp/ [Accessed 16 July 2026].</w:t>
      </w:r>
    </w:p>
    <w:p w14:paraId="5C8EF48D"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NHS England (2022b). </w:t>
      </w:r>
      <w:r w:rsidRPr="002D39BB">
        <w:rPr>
          <w:rFonts w:ascii="Arial" w:eastAsia="Arial" w:hAnsi="Arial" w:cs="Arial"/>
          <w:i/>
          <w:iCs/>
          <w:sz w:val="22"/>
          <w:szCs w:val="22"/>
          <w:lang w:val="en-GB"/>
        </w:rPr>
        <w:t>NHS England » Personal health budgets</w:t>
      </w:r>
      <w:r w:rsidRPr="002D39BB">
        <w:rPr>
          <w:rFonts w:ascii="Arial" w:eastAsia="Arial" w:hAnsi="Arial" w:cs="Arial"/>
          <w:sz w:val="22"/>
          <w:szCs w:val="22"/>
          <w:lang w:val="en-GB"/>
        </w:rPr>
        <w:t>. [online] Www.england.nhs.uk. Available at: https://www.england.nhs.uk/personalisedcare/personal-health-budgets/ [Accessed 16 July 2026a].</w:t>
      </w:r>
    </w:p>
    <w:p w14:paraId="7348B04B"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NHS England (2022c). </w:t>
      </w:r>
      <w:r w:rsidRPr="002D39BB">
        <w:rPr>
          <w:rFonts w:ascii="Arial" w:eastAsia="Arial" w:hAnsi="Arial" w:cs="Arial"/>
          <w:i/>
          <w:iCs/>
          <w:sz w:val="22"/>
          <w:szCs w:val="22"/>
          <w:lang w:val="en-GB"/>
        </w:rPr>
        <w:t>What Are Integrated Care systems?</w:t>
      </w:r>
      <w:r w:rsidRPr="002D39BB">
        <w:rPr>
          <w:rFonts w:ascii="Arial" w:eastAsia="Arial" w:hAnsi="Arial" w:cs="Arial"/>
          <w:sz w:val="22"/>
          <w:szCs w:val="22"/>
          <w:lang w:val="en-GB"/>
        </w:rPr>
        <w:t xml:space="preserve"> [online] NHS England. Available at: https://www.england.nhs.uk/integratedcare/what-is-integrated-care/ [Accessed 16 July 2026c].</w:t>
      </w:r>
    </w:p>
    <w:p w14:paraId="46A01CBD"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NHS England (2024). </w:t>
      </w:r>
      <w:r w:rsidRPr="002D39BB">
        <w:rPr>
          <w:rFonts w:ascii="Arial" w:eastAsia="Arial" w:hAnsi="Arial" w:cs="Arial"/>
          <w:i/>
          <w:iCs/>
          <w:sz w:val="22"/>
          <w:szCs w:val="22"/>
          <w:lang w:val="en-GB"/>
        </w:rPr>
        <w:t>Social Prescribing</w:t>
      </w:r>
      <w:r w:rsidRPr="002D39BB">
        <w:rPr>
          <w:rFonts w:ascii="Arial" w:eastAsia="Arial" w:hAnsi="Arial" w:cs="Arial"/>
          <w:sz w:val="22"/>
          <w:szCs w:val="22"/>
          <w:lang w:val="en-GB"/>
        </w:rPr>
        <w:t>. [online] NHS England. Available at: https://www.england.nhs.uk/personalisedcare/social-prescribing/ [Accessed 16 July 2026].</w:t>
      </w:r>
    </w:p>
    <w:p w14:paraId="077B634B"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NHS England (2025). </w:t>
      </w:r>
      <w:r w:rsidRPr="002D39BB">
        <w:rPr>
          <w:rFonts w:ascii="Arial" w:eastAsia="Arial" w:hAnsi="Arial" w:cs="Arial"/>
          <w:i/>
          <w:iCs/>
          <w:sz w:val="22"/>
          <w:szCs w:val="22"/>
          <w:lang w:val="en-GB"/>
        </w:rPr>
        <w:t>Cardiovascular Disease (CVD)</w:t>
      </w:r>
      <w:r w:rsidRPr="002D39BB">
        <w:rPr>
          <w:rFonts w:ascii="Arial" w:eastAsia="Arial" w:hAnsi="Arial" w:cs="Arial"/>
          <w:sz w:val="22"/>
          <w:szCs w:val="22"/>
          <w:lang w:val="en-GB"/>
        </w:rPr>
        <w:t>. [online] England.nhs.uk. Available at: https://www.england.nhs.uk/ourwork/clinical-policy/cvd/ [Accessed 16 July 2026].</w:t>
      </w:r>
    </w:p>
    <w:p w14:paraId="239CE58D"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NHS England (2026). </w:t>
      </w:r>
      <w:r w:rsidRPr="002D39BB">
        <w:rPr>
          <w:rFonts w:ascii="Arial" w:eastAsia="Arial" w:hAnsi="Arial" w:cs="Arial"/>
          <w:i/>
          <w:iCs/>
          <w:sz w:val="22"/>
          <w:szCs w:val="22"/>
          <w:lang w:val="en-GB"/>
        </w:rPr>
        <w:t>Cardiovascular Disease Prevention Audit (CVDPREVENT Audit)</w:t>
      </w:r>
      <w:r w:rsidRPr="002D39BB">
        <w:rPr>
          <w:rFonts w:ascii="Arial" w:eastAsia="Arial" w:hAnsi="Arial" w:cs="Arial"/>
          <w:sz w:val="22"/>
          <w:szCs w:val="22"/>
          <w:lang w:val="en-GB"/>
        </w:rPr>
        <w:t>. [online] digital.nhs.uk. Available at: https://digital.nhs.uk/data-and-information/keeping-data-safe-and-benefitting-the-public/gdpr/gdpr-register/cardiovascular-disease-prevention-audit-cvdprevent-audit [Accessed 16 July 2026].</w:t>
      </w:r>
    </w:p>
    <w:p w14:paraId="551F19A1"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NICE (2019). </w:t>
      </w:r>
      <w:r w:rsidRPr="002D39BB">
        <w:rPr>
          <w:rFonts w:ascii="Arial" w:eastAsia="Arial" w:hAnsi="Arial" w:cs="Arial"/>
          <w:i/>
          <w:iCs/>
          <w:sz w:val="22"/>
          <w:szCs w:val="22"/>
          <w:lang w:val="en-GB"/>
        </w:rPr>
        <w:t>CVD prevention: NHS Health Checks</w:t>
      </w:r>
      <w:r w:rsidRPr="002D39BB">
        <w:rPr>
          <w:rFonts w:ascii="Arial" w:eastAsia="Arial" w:hAnsi="Arial" w:cs="Arial"/>
          <w:sz w:val="22"/>
          <w:szCs w:val="22"/>
          <w:lang w:val="en-GB"/>
        </w:rPr>
        <w:t>. [online] Nice.org.uk. Available at: https://stpsupport.nice.org.uk/healthcheck/index.html [Accessed 16 July 2026].</w:t>
      </w:r>
    </w:p>
    <w:p w14:paraId="2527134D"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NICE (2020). </w:t>
      </w:r>
      <w:r w:rsidRPr="002D39BB">
        <w:rPr>
          <w:rFonts w:ascii="Arial" w:eastAsia="Arial" w:hAnsi="Arial" w:cs="Arial"/>
          <w:i/>
          <w:iCs/>
          <w:sz w:val="22"/>
          <w:szCs w:val="22"/>
          <w:lang w:val="en-GB"/>
        </w:rPr>
        <w:t>Recommendations | Acute coronary syndromes | Guidance | NICE</w:t>
      </w:r>
      <w:r w:rsidRPr="002D39BB">
        <w:rPr>
          <w:rFonts w:ascii="Arial" w:eastAsia="Arial" w:hAnsi="Arial" w:cs="Arial"/>
          <w:sz w:val="22"/>
          <w:szCs w:val="22"/>
          <w:lang w:val="en-GB"/>
        </w:rPr>
        <w:t>. [online] Www.nice.org.uk. Available at: https://www.nice.org.uk/guidance/ng185/chapter/Recommendations [Accessed 16 July 2026].</w:t>
      </w:r>
    </w:p>
    <w:p w14:paraId="671C3455"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NICE (2023). </w:t>
      </w:r>
      <w:r w:rsidRPr="002D39BB">
        <w:rPr>
          <w:rFonts w:ascii="Arial" w:eastAsia="Arial" w:hAnsi="Arial" w:cs="Arial"/>
          <w:i/>
          <w:iCs/>
          <w:sz w:val="22"/>
          <w:szCs w:val="22"/>
          <w:lang w:val="en-GB"/>
        </w:rPr>
        <w:t>Recommendations | Cardiovascular disease: Risk assessment and reduction, including lipid modification | Guidance | NICE</w:t>
      </w:r>
      <w:r w:rsidRPr="002D39BB">
        <w:rPr>
          <w:rFonts w:ascii="Arial" w:eastAsia="Arial" w:hAnsi="Arial" w:cs="Arial"/>
          <w:sz w:val="22"/>
          <w:szCs w:val="22"/>
          <w:lang w:val="en-GB"/>
        </w:rPr>
        <w:t>. [online] Www.nice.org.uk. Available at: https://www.nice.org.uk/guidance/ng238/chapter/Recommendations [Accessed 16 July 2026].</w:t>
      </w:r>
    </w:p>
    <w:p w14:paraId="40108608"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Ould Brahim, L. (2019). Reconsidering the ‘self’ in self‐management of chronic illness: Lessons from relational autonomy. </w:t>
      </w:r>
      <w:r w:rsidRPr="002D39BB">
        <w:rPr>
          <w:rFonts w:ascii="Arial" w:eastAsia="Arial" w:hAnsi="Arial" w:cs="Arial"/>
          <w:i/>
          <w:iCs/>
          <w:sz w:val="22"/>
          <w:szCs w:val="22"/>
          <w:lang w:val="en-GB"/>
        </w:rPr>
        <w:t>Nursing Inquiry</w:t>
      </w:r>
      <w:r w:rsidRPr="002D39BB">
        <w:rPr>
          <w:rFonts w:ascii="Arial" w:eastAsia="Arial" w:hAnsi="Arial" w:cs="Arial"/>
          <w:sz w:val="22"/>
          <w:szCs w:val="22"/>
          <w:lang w:val="en-GB"/>
        </w:rPr>
        <w:t>, 26(3), p.e12292. doi:10.1111/nin.12292.</w:t>
      </w:r>
    </w:p>
    <w:p w14:paraId="54F2C2FD"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Patel, S., Ram, F., Patel, S.K. and Kumar, K. (2020). Cardiovascular diseases and health care expenditure (HCE) of inpatient and outpatient: A study from India Human Development Survey. </w:t>
      </w:r>
      <w:r w:rsidRPr="002D39BB">
        <w:rPr>
          <w:rFonts w:ascii="Arial" w:eastAsia="Arial" w:hAnsi="Arial" w:cs="Arial"/>
          <w:i/>
          <w:iCs/>
          <w:sz w:val="22"/>
          <w:szCs w:val="22"/>
          <w:lang w:val="en-GB"/>
        </w:rPr>
        <w:t>Clinical Epidemiology and Global Health</w:t>
      </w:r>
      <w:r w:rsidRPr="002D39BB">
        <w:rPr>
          <w:rFonts w:ascii="Arial" w:eastAsia="Arial" w:hAnsi="Arial" w:cs="Arial"/>
          <w:sz w:val="22"/>
          <w:szCs w:val="22"/>
          <w:lang w:val="en-GB"/>
        </w:rPr>
        <w:t>, 8(3), pp.671–677. doi:10.1016/j.cegh.2019.12.024.</w:t>
      </w:r>
    </w:p>
    <w:p w14:paraId="002F34D6"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Robson, J., Dostal, I., Sheikh, A., Eldridge, S., Madurasinghe, V., Griffiths, C., Coupland, C. and Hippisley-Cox, J. (2016). The NHS Health Check in England: An evaluation of the first 4 years. </w:t>
      </w:r>
      <w:r w:rsidRPr="002D39BB">
        <w:rPr>
          <w:rFonts w:ascii="Arial" w:eastAsia="Arial" w:hAnsi="Arial" w:cs="Arial"/>
          <w:i/>
          <w:iCs/>
          <w:sz w:val="22"/>
          <w:szCs w:val="22"/>
          <w:lang w:val="en-GB"/>
        </w:rPr>
        <w:t>BMJ Open</w:t>
      </w:r>
      <w:r w:rsidRPr="002D39BB">
        <w:rPr>
          <w:rFonts w:ascii="Arial" w:eastAsia="Arial" w:hAnsi="Arial" w:cs="Arial"/>
          <w:sz w:val="22"/>
          <w:szCs w:val="22"/>
          <w:lang w:val="en-GB"/>
        </w:rPr>
        <w:t>, [online] 6(1), p.e008840. doi:10.1136/bmjopen-2015-008840.</w:t>
      </w:r>
    </w:p>
    <w:p w14:paraId="2E0AAFD0"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SIGN (2018). </w:t>
      </w:r>
      <w:r w:rsidRPr="002D39BB">
        <w:rPr>
          <w:rFonts w:ascii="Arial" w:eastAsia="Arial" w:hAnsi="Arial" w:cs="Arial"/>
          <w:i/>
          <w:iCs/>
          <w:sz w:val="22"/>
          <w:szCs w:val="22"/>
          <w:lang w:val="en-GB"/>
        </w:rPr>
        <w:t>Cardiac arrhythmias in coronary heart disease</w:t>
      </w:r>
      <w:r w:rsidRPr="002D39BB">
        <w:rPr>
          <w:rFonts w:ascii="Arial" w:eastAsia="Arial" w:hAnsi="Arial" w:cs="Arial"/>
          <w:sz w:val="22"/>
          <w:szCs w:val="22"/>
          <w:lang w:val="en-GB"/>
        </w:rPr>
        <w:t>. [online] SIGN. Available at: http://www.sign.ac.uk/guidelines/cardiac-arrhythmias-in-coronary-heart-disease/ [Accessed 16 July 2026].</w:t>
      </w:r>
    </w:p>
    <w:p w14:paraId="6B078FA2"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Strauss, M.H., Hall, A.S. and Narkiewicz, K. (2021). The combination of beta-blockers and ACE inhibitors across the spectrum of cardiovascular diseases. </w:t>
      </w:r>
      <w:r w:rsidRPr="002D39BB">
        <w:rPr>
          <w:rFonts w:ascii="Arial" w:eastAsia="Arial" w:hAnsi="Arial" w:cs="Arial"/>
          <w:i/>
          <w:iCs/>
          <w:sz w:val="22"/>
          <w:szCs w:val="22"/>
          <w:lang w:val="en-GB"/>
        </w:rPr>
        <w:t>Cardiovascular Drugs and Therapy</w:t>
      </w:r>
      <w:r w:rsidRPr="002D39BB">
        <w:rPr>
          <w:rFonts w:ascii="Arial" w:eastAsia="Arial" w:hAnsi="Arial" w:cs="Arial"/>
          <w:sz w:val="22"/>
          <w:szCs w:val="22"/>
          <w:lang w:val="en-GB"/>
        </w:rPr>
        <w:t>, 37(4), pp.757–770. doi:10.1007/s10557-021-07248-1.</w:t>
      </w:r>
    </w:p>
    <w:p w14:paraId="1C1E369C"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Walia, R.S. and Mankoff, R. (2023). Impact of Socioeconomic Status on Heart Failure. </w:t>
      </w:r>
      <w:r w:rsidRPr="002D39BB">
        <w:rPr>
          <w:rFonts w:ascii="Arial" w:eastAsia="Arial" w:hAnsi="Arial" w:cs="Arial"/>
          <w:i/>
          <w:iCs/>
          <w:sz w:val="22"/>
          <w:szCs w:val="22"/>
          <w:lang w:val="en-GB"/>
        </w:rPr>
        <w:t>Journal of community hospital internal medicine perspectives.</w:t>
      </w:r>
      <w:r w:rsidRPr="002D39BB">
        <w:rPr>
          <w:rFonts w:ascii="Arial" w:eastAsia="Arial" w:hAnsi="Arial" w:cs="Arial"/>
          <w:sz w:val="22"/>
          <w:szCs w:val="22"/>
          <w:lang w:val="en-GB"/>
        </w:rPr>
        <w:t>, [online] 13(6). doi:10.55729/2000-9666.1258.</w:t>
      </w:r>
    </w:p>
    <w:p w14:paraId="4E21C2C8"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WHO (2002). </w:t>
      </w:r>
      <w:r w:rsidRPr="002D39BB">
        <w:rPr>
          <w:rFonts w:ascii="Arial" w:eastAsia="Arial" w:hAnsi="Arial" w:cs="Arial"/>
          <w:i/>
          <w:iCs/>
          <w:sz w:val="22"/>
          <w:szCs w:val="22"/>
          <w:lang w:val="en-GB"/>
        </w:rPr>
        <w:t>Innovative Care for Chrenic Conditions: Building Blocks for Action</w:t>
      </w:r>
      <w:r w:rsidRPr="002D39BB">
        <w:rPr>
          <w:rFonts w:ascii="Arial" w:eastAsia="Arial" w:hAnsi="Arial" w:cs="Arial"/>
          <w:sz w:val="22"/>
          <w:szCs w:val="22"/>
          <w:lang w:val="en-GB"/>
        </w:rPr>
        <w:t>. [online] Who.int. Available at: https://iris.who.int/server/api/core/bitstreams/e3ce2c65-c0d8-496c-ae93-4709403fe79a/content [Accessed 16 July 2026].</w:t>
      </w:r>
    </w:p>
    <w:p w14:paraId="003A50C5"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WHO (2025a). </w:t>
      </w:r>
      <w:r w:rsidRPr="002D39BB">
        <w:rPr>
          <w:rFonts w:ascii="Arial" w:eastAsia="Arial" w:hAnsi="Arial" w:cs="Arial"/>
          <w:i/>
          <w:iCs/>
          <w:sz w:val="22"/>
          <w:szCs w:val="22"/>
          <w:lang w:val="en-GB"/>
        </w:rPr>
        <w:t>Cardiovascular diseases (CVDs)</w:t>
      </w:r>
      <w:r w:rsidRPr="002D39BB">
        <w:rPr>
          <w:rFonts w:ascii="Arial" w:eastAsia="Arial" w:hAnsi="Arial" w:cs="Arial"/>
          <w:sz w:val="22"/>
          <w:szCs w:val="22"/>
          <w:lang w:val="en-GB"/>
        </w:rPr>
        <w:t>. [online] World Health Organization . Available at: https://www.who.int/news-room/fact-sheets/detail/cardiovascular-diseases-(cvds) [Accessed 16 July 2026].</w:t>
      </w:r>
    </w:p>
    <w:p w14:paraId="58394E70"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WHO (2025b). </w:t>
      </w:r>
      <w:r w:rsidRPr="002D39BB">
        <w:rPr>
          <w:rFonts w:ascii="Arial" w:eastAsia="Arial" w:hAnsi="Arial" w:cs="Arial"/>
          <w:i/>
          <w:iCs/>
          <w:sz w:val="22"/>
          <w:szCs w:val="22"/>
          <w:lang w:val="en-GB"/>
        </w:rPr>
        <w:t>Cardiovascular Diseases</w:t>
      </w:r>
      <w:r w:rsidRPr="002D39BB">
        <w:rPr>
          <w:rFonts w:ascii="Arial" w:eastAsia="Arial" w:hAnsi="Arial" w:cs="Arial"/>
          <w:sz w:val="22"/>
          <w:szCs w:val="22"/>
          <w:lang w:val="en-GB"/>
        </w:rPr>
        <w:t>. [online] World Health Organisation. Available at: https://www.who.int/health-topics/cardiovascular-diseases#tab=tab_1 [Accessed 16 July 2026a].</w:t>
      </w:r>
    </w:p>
    <w:p w14:paraId="2982F35C" w14:textId="77777777" w:rsidR="007E5F95" w:rsidRPr="002D39BB" w:rsidRDefault="007E5F95" w:rsidP="000C7070">
      <w:pPr>
        <w:spacing w:before="120" w:after="120" w:line="360" w:lineRule="auto"/>
        <w:jc w:val="both"/>
        <w:rPr>
          <w:rFonts w:ascii="Arial" w:eastAsia="Arial" w:hAnsi="Arial" w:cs="Arial"/>
          <w:sz w:val="22"/>
          <w:szCs w:val="22"/>
          <w:lang w:val="en-GB"/>
        </w:rPr>
      </w:pPr>
      <w:r w:rsidRPr="002D39BB">
        <w:rPr>
          <w:rFonts w:ascii="Arial" w:eastAsia="Arial" w:hAnsi="Arial" w:cs="Arial"/>
          <w:sz w:val="22"/>
          <w:szCs w:val="22"/>
          <w:lang w:val="en-GB"/>
        </w:rPr>
        <w:t xml:space="preserve">Winkleby, M., Sundquist, K. and Cubbin, C. (2007). Inequities in CHD Incidence and Case Fatality by Neighborhood Deprivation. </w:t>
      </w:r>
      <w:r w:rsidRPr="002D39BB">
        <w:rPr>
          <w:rFonts w:ascii="Arial" w:eastAsia="Arial" w:hAnsi="Arial" w:cs="Arial"/>
          <w:i/>
          <w:iCs/>
          <w:sz w:val="22"/>
          <w:szCs w:val="22"/>
          <w:lang w:val="en-GB"/>
        </w:rPr>
        <w:t>American Journal of Preventive Medicine</w:t>
      </w:r>
      <w:r w:rsidRPr="002D39BB">
        <w:rPr>
          <w:rFonts w:ascii="Arial" w:eastAsia="Arial" w:hAnsi="Arial" w:cs="Arial"/>
          <w:sz w:val="22"/>
          <w:szCs w:val="22"/>
          <w:lang w:val="en-GB"/>
        </w:rPr>
        <w:t>, 32(2), pp.97–106. doi:10.1016/j.amepre.2006.10.002.</w:t>
      </w:r>
    </w:p>
    <w:sectPr w:rsidR="007E5F95" w:rsidRPr="002D39BB" w:rsidSect="002D39BB">
      <w:type w:val="continuous"/>
      <w:pgSz w:w="15840" w:h="12240" w:orient="landscape"/>
      <w:pgMar w:top="1440" w:right="1440" w:bottom="1440" w:left="1440" w:header="720" w:footer="720" w:gutter="0"/>
      <w:pgNumType w:start="1"/>
      <w:cols w:num="2"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5A4E25" w14:textId="77777777" w:rsidR="00960B90" w:rsidRDefault="00960B90">
      <w:pPr>
        <w:spacing w:before="0" w:after="0" w:line="240" w:lineRule="auto"/>
      </w:pPr>
      <w:r>
        <w:separator/>
      </w:r>
    </w:p>
  </w:endnote>
  <w:endnote w:type="continuationSeparator" w:id="0">
    <w:p w14:paraId="6CC54259" w14:textId="77777777" w:rsidR="00960B90" w:rsidRDefault="00960B9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altName w:val="Arial"/>
    <w:panose1 w:val="020B05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205D95" w14:textId="77777777" w:rsidR="00B95044" w:rsidRDefault="008B06D7">
    <w:pPr>
      <w:jc w:val="right"/>
      <w:rPr>
        <w:rFonts w:ascii="Arial" w:eastAsia="Arial" w:hAnsi="Arial" w:cs="Arial"/>
      </w:rPr>
    </w:pPr>
    <w:r>
      <w:rPr>
        <w:rFonts w:ascii="Arial" w:eastAsia="Arial" w:hAnsi="Arial" w:cs="Arial"/>
      </w:rPr>
      <w:fldChar w:fldCharType="begin"/>
    </w:r>
    <w:r>
      <w:rPr>
        <w:rFonts w:ascii="Arial" w:eastAsia="Arial" w:hAnsi="Arial" w:cs="Arial"/>
      </w:rPr>
      <w:instrText>PAGE</w:instrText>
    </w:r>
    <w:r>
      <w:rPr>
        <w:rFonts w:ascii="Arial" w:eastAsia="Arial" w:hAnsi="Arial" w:cs="Arial"/>
      </w:rPr>
      <w:fldChar w:fldCharType="separate"/>
    </w:r>
    <w:r>
      <w:rPr>
        <w:rFonts w:ascii="Arial" w:eastAsia="Arial" w:hAnsi="Arial" w:cs="Arial"/>
        <w:noProof/>
      </w:rPr>
      <w:t>1</w:t>
    </w:r>
    <w:r>
      <w:rPr>
        <w:rFonts w:ascii="Arial" w:eastAsia="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B9C14A" w14:textId="77777777" w:rsidR="00960B90" w:rsidRDefault="00960B90">
      <w:pPr>
        <w:spacing w:before="0" w:after="0" w:line="240" w:lineRule="auto"/>
      </w:pPr>
      <w:r>
        <w:separator/>
      </w:r>
    </w:p>
  </w:footnote>
  <w:footnote w:type="continuationSeparator" w:id="0">
    <w:p w14:paraId="5F18A32D" w14:textId="77777777" w:rsidR="00960B90" w:rsidRDefault="00960B9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CE78E6"/>
    <w:multiLevelType w:val="multilevel"/>
    <w:tmpl w:val="DAB053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D4B01D9"/>
    <w:multiLevelType w:val="multilevel"/>
    <w:tmpl w:val="0BC6EB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95847981">
    <w:abstractNumId w:val="1"/>
  </w:num>
  <w:num w:numId="2" w16cid:durableId="502014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070"/>
    <w:rsid w:val="000251D7"/>
    <w:rsid w:val="000C7070"/>
    <w:rsid w:val="001139BD"/>
    <w:rsid w:val="001E1E27"/>
    <w:rsid w:val="002237C2"/>
    <w:rsid w:val="00232CC2"/>
    <w:rsid w:val="002D39BB"/>
    <w:rsid w:val="002F3F8E"/>
    <w:rsid w:val="003321A6"/>
    <w:rsid w:val="003B5721"/>
    <w:rsid w:val="003D7981"/>
    <w:rsid w:val="004028F8"/>
    <w:rsid w:val="004D124C"/>
    <w:rsid w:val="00523C75"/>
    <w:rsid w:val="0069697B"/>
    <w:rsid w:val="007E5F95"/>
    <w:rsid w:val="0085491B"/>
    <w:rsid w:val="008B06D7"/>
    <w:rsid w:val="008B2AA1"/>
    <w:rsid w:val="00960B90"/>
    <w:rsid w:val="00A20041"/>
    <w:rsid w:val="00B95044"/>
    <w:rsid w:val="00C45E51"/>
    <w:rsid w:val="00C53A93"/>
    <w:rsid w:val="00C85BF1"/>
    <w:rsid w:val="00C90FAE"/>
    <w:rsid w:val="00CD0B98"/>
    <w:rsid w:val="00D52227"/>
    <w:rsid w:val="00DA6718"/>
    <w:rsid w:val="00E01C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ACCB4"/>
  <w15:chartTrackingRefBased/>
  <w15:docId w15:val="{CF35EC15-E210-4CB4-8E38-AA90451E9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070"/>
    <w:pPr>
      <w:spacing w:before="240" w:after="240" w:line="276" w:lineRule="auto"/>
    </w:pPr>
    <w:rPr>
      <w:rFonts w:ascii="Calibri" w:eastAsia="Calibri" w:hAnsi="Calibri" w:cs="Calibri"/>
      <w:sz w:val="24"/>
      <w:szCs w:val="24"/>
      <w:lang w:val="en"/>
    </w:rPr>
  </w:style>
  <w:style w:type="paragraph" w:styleId="Heading1">
    <w:name w:val="heading 1"/>
    <w:basedOn w:val="Normal"/>
    <w:next w:val="Normal"/>
    <w:link w:val="Heading1Char"/>
    <w:uiPriority w:val="9"/>
    <w:qFormat/>
    <w:rsid w:val="004028F8"/>
    <w:pPr>
      <w:spacing w:before="120" w:after="120" w:line="360" w:lineRule="auto"/>
      <w:jc w:val="both"/>
      <w:outlineLvl w:val="0"/>
    </w:pPr>
    <w:rPr>
      <w:rFonts w:ascii="Arial" w:eastAsia="Arial" w:hAnsi="Arial" w:cs="Arial"/>
      <w:b/>
      <w:bCs/>
      <w:noProof/>
      <w:lang w:val="en-GB"/>
    </w:rPr>
  </w:style>
  <w:style w:type="paragraph" w:styleId="Heading2">
    <w:name w:val="heading 2"/>
    <w:basedOn w:val="Normal"/>
    <w:next w:val="Normal"/>
    <w:link w:val="Heading2Char"/>
    <w:uiPriority w:val="9"/>
    <w:unhideWhenUsed/>
    <w:qFormat/>
    <w:rsid w:val="004028F8"/>
    <w:pPr>
      <w:spacing w:before="120" w:after="120" w:line="360" w:lineRule="auto"/>
      <w:jc w:val="both"/>
      <w:outlineLvl w:val="1"/>
    </w:pPr>
    <w:rPr>
      <w:rFonts w:ascii="Arial" w:eastAsia="Arial" w:hAnsi="Arial" w:cs="Arial"/>
      <w:b/>
      <w:bCs/>
      <w:sz w:val="22"/>
      <w:szCs w:val="22"/>
      <w:lang w:val="en-GB"/>
    </w:rPr>
  </w:style>
  <w:style w:type="paragraph" w:styleId="Heading3">
    <w:name w:val="heading 3"/>
    <w:basedOn w:val="Normal"/>
    <w:next w:val="Normal"/>
    <w:link w:val="Heading3Char"/>
    <w:uiPriority w:val="9"/>
    <w:semiHidden/>
    <w:unhideWhenUsed/>
    <w:qFormat/>
    <w:rsid w:val="003B5721"/>
    <w:pPr>
      <w:keepNext/>
      <w:keepLines/>
      <w:spacing w:before="40" w:after="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B5721"/>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B5721"/>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B5721"/>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8F8"/>
    <w:rPr>
      <w:rFonts w:ascii="Arial" w:eastAsia="Arial" w:hAnsi="Arial" w:cs="Arial"/>
      <w:b/>
      <w:bCs/>
      <w:noProof/>
      <w:sz w:val="24"/>
      <w:szCs w:val="24"/>
      <w:lang w:val="en-GB"/>
    </w:rPr>
  </w:style>
  <w:style w:type="character" w:customStyle="1" w:styleId="Heading2Char">
    <w:name w:val="Heading 2 Char"/>
    <w:basedOn w:val="DefaultParagraphFont"/>
    <w:link w:val="Heading2"/>
    <w:uiPriority w:val="9"/>
    <w:rsid w:val="004028F8"/>
    <w:rPr>
      <w:rFonts w:ascii="Arial" w:eastAsia="Arial" w:hAnsi="Arial" w:cs="Arial"/>
      <w:b/>
      <w:bCs/>
      <w:lang w:val="en-GB"/>
    </w:rPr>
  </w:style>
  <w:style w:type="character" w:customStyle="1" w:styleId="Heading3Char">
    <w:name w:val="Heading 3 Char"/>
    <w:basedOn w:val="DefaultParagraphFont"/>
    <w:link w:val="Heading3"/>
    <w:uiPriority w:val="9"/>
    <w:semiHidden/>
    <w:rsid w:val="003B5721"/>
    <w:rPr>
      <w:rFonts w:asciiTheme="majorHAnsi" w:eastAsiaTheme="majorEastAsia" w:hAnsiTheme="majorHAnsi" w:cstheme="majorBidi"/>
      <w:color w:val="1F3763" w:themeColor="accent1" w:themeShade="7F"/>
      <w:sz w:val="24"/>
      <w:szCs w:val="24"/>
      <w:lang w:val="en"/>
    </w:rPr>
  </w:style>
  <w:style w:type="character" w:customStyle="1" w:styleId="Heading4Char">
    <w:name w:val="Heading 4 Char"/>
    <w:basedOn w:val="DefaultParagraphFont"/>
    <w:link w:val="Heading4"/>
    <w:uiPriority w:val="9"/>
    <w:semiHidden/>
    <w:rsid w:val="003B5721"/>
    <w:rPr>
      <w:rFonts w:asciiTheme="majorHAnsi" w:eastAsiaTheme="majorEastAsia" w:hAnsiTheme="majorHAnsi" w:cstheme="majorBidi"/>
      <w:i/>
      <w:iCs/>
      <w:color w:val="2F5496" w:themeColor="accent1" w:themeShade="BF"/>
      <w:sz w:val="24"/>
      <w:szCs w:val="24"/>
      <w:lang w:val="en"/>
    </w:rPr>
  </w:style>
  <w:style w:type="character" w:customStyle="1" w:styleId="Heading5Char">
    <w:name w:val="Heading 5 Char"/>
    <w:basedOn w:val="DefaultParagraphFont"/>
    <w:link w:val="Heading5"/>
    <w:uiPriority w:val="9"/>
    <w:semiHidden/>
    <w:rsid w:val="003B5721"/>
    <w:rPr>
      <w:rFonts w:asciiTheme="majorHAnsi" w:eastAsiaTheme="majorEastAsia" w:hAnsiTheme="majorHAnsi" w:cstheme="majorBidi"/>
      <w:color w:val="2F5496" w:themeColor="accent1" w:themeShade="BF"/>
      <w:sz w:val="24"/>
      <w:szCs w:val="24"/>
      <w:lang w:val="en"/>
    </w:rPr>
  </w:style>
  <w:style w:type="character" w:customStyle="1" w:styleId="Heading6Char">
    <w:name w:val="Heading 6 Char"/>
    <w:basedOn w:val="DefaultParagraphFont"/>
    <w:link w:val="Heading6"/>
    <w:uiPriority w:val="9"/>
    <w:semiHidden/>
    <w:rsid w:val="003B5721"/>
    <w:rPr>
      <w:rFonts w:asciiTheme="majorHAnsi" w:eastAsiaTheme="majorEastAsia" w:hAnsiTheme="majorHAnsi" w:cstheme="majorBidi"/>
      <w:color w:val="1F3763" w:themeColor="accent1" w:themeShade="7F"/>
      <w:sz w:val="24"/>
      <w:szCs w:val="24"/>
      <w:lang w:val="en"/>
    </w:rPr>
  </w:style>
  <w:style w:type="paragraph" w:styleId="TOC1">
    <w:name w:val="toc 1"/>
    <w:basedOn w:val="Normal"/>
    <w:next w:val="Normal"/>
    <w:autoRedefine/>
    <w:uiPriority w:val="39"/>
    <w:unhideWhenUsed/>
    <w:rsid w:val="003B5721"/>
    <w:pPr>
      <w:spacing w:after="100"/>
    </w:pPr>
  </w:style>
  <w:style w:type="paragraph" w:styleId="TOC2">
    <w:name w:val="toc 2"/>
    <w:basedOn w:val="Normal"/>
    <w:next w:val="Normal"/>
    <w:autoRedefine/>
    <w:uiPriority w:val="39"/>
    <w:unhideWhenUsed/>
    <w:rsid w:val="003B5721"/>
    <w:pPr>
      <w:spacing w:after="100"/>
      <w:ind w:left="240"/>
    </w:pPr>
  </w:style>
  <w:style w:type="character" w:styleId="Hyperlink">
    <w:name w:val="Hyperlink"/>
    <w:basedOn w:val="DefaultParagraphFont"/>
    <w:uiPriority w:val="99"/>
    <w:unhideWhenUsed/>
    <w:rsid w:val="003B5721"/>
    <w:rPr>
      <w:color w:val="0563C1" w:themeColor="hyperlink"/>
      <w:u w:val="single"/>
    </w:rPr>
  </w:style>
  <w:style w:type="paragraph" w:styleId="Header">
    <w:name w:val="header"/>
    <w:basedOn w:val="Normal"/>
    <w:link w:val="HeaderChar"/>
    <w:uiPriority w:val="99"/>
    <w:unhideWhenUsed/>
    <w:rsid w:val="00D5222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52227"/>
    <w:rPr>
      <w:rFonts w:ascii="Calibri" w:eastAsia="Calibri" w:hAnsi="Calibri" w:cs="Calibri"/>
      <w:sz w:val="24"/>
      <w:szCs w:val="24"/>
      <w:lang w:val="en"/>
    </w:rPr>
  </w:style>
  <w:style w:type="paragraph" w:styleId="Footer">
    <w:name w:val="footer"/>
    <w:basedOn w:val="Normal"/>
    <w:link w:val="FooterChar"/>
    <w:uiPriority w:val="99"/>
    <w:unhideWhenUsed/>
    <w:rsid w:val="00D5222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52227"/>
    <w:rPr>
      <w:rFonts w:ascii="Calibri" w:eastAsia="Calibri" w:hAnsi="Calibri" w:cs="Calibri"/>
      <w:sz w:val="24"/>
      <w:szCs w:val="24"/>
      <w:lang w:val="e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6.png"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5.png" /><Relationship Id="rId2" Type="http://schemas.openxmlformats.org/officeDocument/2006/relationships/styles" Target="styles.xml" /><Relationship Id="rId16"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4.png" /><Relationship Id="rId5" Type="http://schemas.openxmlformats.org/officeDocument/2006/relationships/footnotes" Target="footnotes.xml" /><Relationship Id="rId15" Type="http://schemas.openxmlformats.org/officeDocument/2006/relationships/fontTable" Target="fontTable.xml" /><Relationship Id="rId10" Type="http://schemas.openxmlformats.org/officeDocument/2006/relationships/image" Target="media/image3.png"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5365</Words>
  <Characters>30581</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Harsh Jadav</cp:lastModifiedBy>
  <cp:revision>2</cp:revision>
  <dcterms:created xsi:type="dcterms:W3CDTF">2026-07-17T12:36:00Z</dcterms:created>
  <dcterms:modified xsi:type="dcterms:W3CDTF">2026-07-17T12:36:00Z</dcterms:modified>
</cp:coreProperties>
</file>