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7A0A3" w14:textId="3AC07955" w:rsidR="00741D4C" w:rsidRDefault="00741D4C">
      <w:r>
        <w:rPr>
          <w:noProof/>
        </w:rPr>
        <w:drawing>
          <wp:inline distT="0" distB="0" distL="0" distR="0" wp14:anchorId="673A4F02" wp14:editId="66A749A0">
            <wp:extent cx="5731510" cy="66948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694805"/>
                    </a:xfrm>
                    <a:prstGeom prst="rect">
                      <a:avLst/>
                    </a:prstGeom>
                    <a:noFill/>
                    <a:ln>
                      <a:noFill/>
                    </a:ln>
                  </pic:spPr>
                </pic:pic>
              </a:graphicData>
            </a:graphic>
          </wp:inline>
        </w:drawing>
      </w:r>
    </w:p>
    <w:p w14:paraId="04FB958A" w14:textId="5E369D41" w:rsidR="00741D4C" w:rsidRDefault="00741D4C"/>
    <w:p w14:paraId="703BAB3D" w14:textId="3C254131" w:rsidR="00741D4C" w:rsidRDefault="00741D4C"/>
    <w:p w14:paraId="7C42BC5B" w14:textId="2740DACF" w:rsidR="00741D4C" w:rsidRDefault="00741D4C"/>
    <w:p w14:paraId="7E16F277" w14:textId="5160B312" w:rsidR="00741D4C" w:rsidRDefault="00741D4C"/>
    <w:p w14:paraId="05C28C7D" w14:textId="77777777" w:rsidR="00741D4C" w:rsidRDefault="00741D4C"/>
    <w:p w14:paraId="393A74E9" w14:textId="77777777" w:rsidR="00741D4C" w:rsidRDefault="00741D4C"/>
    <w:p w14:paraId="3365C261" w14:textId="77777777" w:rsidR="00741D4C" w:rsidRDefault="00741D4C"/>
    <w:p w14:paraId="048B6D60" w14:textId="7C98887C" w:rsidR="00741D4C" w:rsidRDefault="00741D4C" w:rsidP="00741D4C">
      <w:pPr>
        <w:rPr>
          <w:rFonts w:ascii="Arial" w:eastAsia="SimSun" w:hAnsi="Arial" w:cs="Arial"/>
          <w:b/>
          <w:sz w:val="24"/>
          <w:szCs w:val="24"/>
        </w:rPr>
      </w:pPr>
      <w:r w:rsidRPr="00741D4C">
        <w:rPr>
          <w:rFonts w:ascii="Arial" w:eastAsia="SimSun" w:hAnsi="Arial" w:cs="Arial"/>
          <w:b/>
          <w:sz w:val="24"/>
          <w:szCs w:val="24"/>
        </w:rPr>
        <w:lastRenderedPageBreak/>
        <w:t xml:space="preserve">Title: A financial analysis report of </w:t>
      </w:r>
      <w:proofErr w:type="spellStart"/>
      <w:r w:rsidRPr="00741D4C">
        <w:rPr>
          <w:rFonts w:ascii="Times New Roman" w:hAnsi="Times New Roman" w:cs="Times New Roman"/>
          <w:b/>
          <w:sz w:val="24"/>
          <w:szCs w:val="24"/>
        </w:rPr>
        <w:t>Gemilang</w:t>
      </w:r>
      <w:proofErr w:type="spellEnd"/>
      <w:r w:rsidRPr="00741D4C">
        <w:rPr>
          <w:rFonts w:ascii="Times New Roman" w:hAnsi="Times New Roman" w:cs="Times New Roman"/>
          <w:b/>
          <w:sz w:val="24"/>
          <w:szCs w:val="24"/>
        </w:rPr>
        <w:t xml:space="preserve"> International Limited</w:t>
      </w:r>
    </w:p>
    <w:p w14:paraId="02B9002D" w14:textId="77777777" w:rsidR="00741D4C" w:rsidRPr="00741D4C" w:rsidRDefault="00741D4C" w:rsidP="00741D4C">
      <w:pPr>
        <w:rPr>
          <w:rFonts w:ascii="Arial" w:eastAsia="SimSun" w:hAnsi="Arial" w:cs="Arial"/>
          <w:b/>
          <w:sz w:val="24"/>
          <w:szCs w:val="24"/>
        </w:rPr>
      </w:pPr>
    </w:p>
    <w:p w14:paraId="73EFAEAC" w14:textId="73AB6F00" w:rsidR="00741D4C" w:rsidRPr="00874BD7" w:rsidRDefault="00741D4C" w:rsidP="00741D4C">
      <w:pPr>
        <w:rPr>
          <w:rFonts w:ascii="Arial" w:eastAsia="SimSun" w:hAnsi="Arial" w:cs="Arial"/>
          <w:b/>
          <w:bCs/>
          <w:color w:val="000000"/>
          <w:sz w:val="24"/>
          <w:szCs w:val="24"/>
        </w:rPr>
      </w:pPr>
      <w:r w:rsidRPr="00874BD7">
        <w:rPr>
          <w:rFonts w:ascii="Arial" w:eastAsia="SimSun" w:hAnsi="Arial" w:cs="Arial"/>
          <w:b/>
          <w:bCs/>
          <w:color w:val="000000"/>
          <w:sz w:val="24"/>
          <w:szCs w:val="24"/>
        </w:rPr>
        <w:t>Executive summary</w:t>
      </w:r>
    </w:p>
    <w:p w14:paraId="6F486E9C" w14:textId="48C84FE8" w:rsidR="00B93364" w:rsidRPr="00874BD7" w:rsidRDefault="00A57AF3" w:rsidP="00B93364">
      <w:pPr>
        <w:rPr>
          <w:rFonts w:ascii="Arial" w:hAnsi="Arial" w:cs="Arial"/>
          <w:sz w:val="24"/>
          <w:szCs w:val="24"/>
        </w:rPr>
      </w:pPr>
      <w:r w:rsidRPr="00874BD7">
        <w:rPr>
          <w:rStyle w:val="colorlink61"/>
          <w:rFonts w:ascii="Arial" w:hAnsi="Arial" w:cs="Arial"/>
          <w:color w:val="auto"/>
          <w:sz w:val="24"/>
          <w:szCs w:val="24"/>
        </w:rPr>
        <w:t>This paper appraises</w:t>
      </w:r>
      <w:r w:rsidRPr="00874BD7">
        <w:rPr>
          <w:rStyle w:val="colorlink61"/>
          <w:rFonts w:ascii="Arial" w:eastAsia="PMingLiU" w:hAnsi="Arial" w:cs="Arial"/>
          <w:color w:val="auto"/>
          <w:sz w:val="24"/>
          <w:szCs w:val="24"/>
        </w:rPr>
        <w:t xml:space="preserve"> the annual reports of </w:t>
      </w:r>
      <w:proofErr w:type="spellStart"/>
      <w:r w:rsidRPr="00874BD7">
        <w:rPr>
          <w:rStyle w:val="colorlink61"/>
          <w:rFonts w:ascii="Arial" w:eastAsia="PMingLiU" w:hAnsi="Arial" w:cs="Arial"/>
          <w:color w:val="auto"/>
          <w:sz w:val="24"/>
          <w:szCs w:val="24"/>
        </w:rPr>
        <w:t>Gemilang</w:t>
      </w:r>
      <w:proofErr w:type="spellEnd"/>
      <w:r w:rsidRPr="00874BD7">
        <w:rPr>
          <w:rStyle w:val="colorlink61"/>
          <w:rFonts w:ascii="Arial" w:eastAsia="PMingLiU" w:hAnsi="Arial" w:cs="Arial"/>
          <w:color w:val="auto"/>
          <w:sz w:val="24"/>
          <w:szCs w:val="24"/>
        </w:rPr>
        <w:t xml:space="preserve"> International Limited. The evaluation will </w:t>
      </w:r>
      <w:r w:rsidRPr="00874BD7">
        <w:rPr>
          <w:rFonts w:ascii="Arial" w:hAnsi="Arial" w:cs="Arial"/>
          <w:sz w:val="24"/>
          <w:szCs w:val="24"/>
        </w:rPr>
        <w:t>be divided into six parts, 1) background information about the company; 2) Financial Analysis of the company and the competitors; 3) corporate governance</w:t>
      </w:r>
      <w:r w:rsidR="00B93364" w:rsidRPr="00874BD7">
        <w:rPr>
          <w:rFonts w:ascii="Arial" w:hAnsi="Arial" w:cs="Arial"/>
          <w:sz w:val="24"/>
          <w:szCs w:val="24"/>
        </w:rPr>
        <w:t xml:space="preserve">; 4)investment appraisals; 5) fund rising method; 6) an audit report to enable companies operating efficiency achieve the desired goal. </w:t>
      </w:r>
    </w:p>
    <w:p w14:paraId="4DD87995" w14:textId="0C6E1009" w:rsidR="00A57AF3" w:rsidRPr="00A57AF3" w:rsidRDefault="00A57AF3" w:rsidP="00A57AF3">
      <w:pPr>
        <w:snapToGrid w:val="0"/>
        <w:spacing w:line="360" w:lineRule="exact"/>
        <w:rPr>
          <w:rStyle w:val="colorlink61"/>
          <w:rFonts w:ascii="Arial" w:eastAsia="PMingLiU" w:hAnsi="Arial" w:cs="Arial"/>
          <w:color w:val="auto"/>
          <w:sz w:val="24"/>
          <w:szCs w:val="24"/>
        </w:rPr>
      </w:pPr>
    </w:p>
    <w:p w14:paraId="31D781F6" w14:textId="77777777" w:rsidR="00A57AF3" w:rsidRDefault="00A57AF3" w:rsidP="00A57AF3">
      <w:pPr>
        <w:snapToGrid w:val="0"/>
        <w:spacing w:line="360" w:lineRule="exact"/>
        <w:rPr>
          <w:rStyle w:val="colorlink61"/>
          <w:rFonts w:ascii="Arial" w:eastAsia="PMingLiU" w:hAnsi="Arial" w:cs="Arial"/>
          <w:color w:val="auto"/>
          <w:sz w:val="24"/>
          <w:szCs w:val="24"/>
        </w:rPr>
      </w:pPr>
    </w:p>
    <w:p w14:paraId="07C38137" w14:textId="77777777" w:rsidR="006655D3" w:rsidRPr="00BC2EE3" w:rsidRDefault="006655D3" w:rsidP="006655D3">
      <w:pPr>
        <w:ind w:left="360"/>
        <w:jc w:val="both"/>
        <w:rPr>
          <w:rFonts w:ascii="Arial" w:hAnsi="Arial" w:cs="Arial"/>
          <w:lang w:eastAsia="zh-HK"/>
        </w:rPr>
      </w:pPr>
    </w:p>
    <w:p w14:paraId="18202E15" w14:textId="29A7581C" w:rsidR="006655D3" w:rsidRDefault="006655D3"/>
    <w:p w14:paraId="13EBF780" w14:textId="5E82AE5C" w:rsidR="006655D3" w:rsidRDefault="006655D3"/>
    <w:p w14:paraId="5667D67D" w14:textId="689C55CB" w:rsidR="006655D3" w:rsidRDefault="006655D3"/>
    <w:p w14:paraId="50944B86" w14:textId="64223A68" w:rsidR="006655D3" w:rsidRDefault="006655D3"/>
    <w:p w14:paraId="102782BF" w14:textId="56CFA07E" w:rsidR="006655D3" w:rsidRDefault="006655D3"/>
    <w:p w14:paraId="764CEA12" w14:textId="7FBCAEBE" w:rsidR="006655D3" w:rsidRDefault="006655D3"/>
    <w:p w14:paraId="7C2BBC63" w14:textId="04D56AAA" w:rsidR="006655D3" w:rsidRDefault="006655D3"/>
    <w:p w14:paraId="1F5C1CB9" w14:textId="2BC69C35" w:rsidR="006655D3" w:rsidRDefault="006655D3"/>
    <w:p w14:paraId="7D635D2A" w14:textId="67FA1223" w:rsidR="006655D3" w:rsidRDefault="006655D3"/>
    <w:p w14:paraId="7F96A88B" w14:textId="51CCE8E9" w:rsidR="006655D3" w:rsidRDefault="006655D3"/>
    <w:p w14:paraId="3D101BC5" w14:textId="2E062856" w:rsidR="006655D3" w:rsidRDefault="006655D3"/>
    <w:p w14:paraId="3D4647EE" w14:textId="4C424363" w:rsidR="006655D3" w:rsidRDefault="006655D3"/>
    <w:p w14:paraId="25200336" w14:textId="58701C5F" w:rsidR="006655D3" w:rsidRDefault="006655D3"/>
    <w:p w14:paraId="5FFD5A67" w14:textId="1581FEDB" w:rsidR="00874BD7" w:rsidRDefault="00874BD7"/>
    <w:p w14:paraId="371ADE71" w14:textId="1CD46873" w:rsidR="00874BD7" w:rsidRDefault="00874BD7"/>
    <w:p w14:paraId="1BB7BDA0" w14:textId="72F25F4A" w:rsidR="00874BD7" w:rsidRDefault="00874BD7"/>
    <w:p w14:paraId="573E949D" w14:textId="16D83942" w:rsidR="00874BD7" w:rsidRDefault="00874BD7"/>
    <w:p w14:paraId="001953E0" w14:textId="66B36302" w:rsidR="00874BD7" w:rsidRDefault="00874BD7"/>
    <w:p w14:paraId="0AEA2B22" w14:textId="77777777" w:rsidR="00874BD7" w:rsidRDefault="00874BD7"/>
    <w:p w14:paraId="0D7E1FDE" w14:textId="41761E07" w:rsidR="006655D3" w:rsidRDefault="006655D3"/>
    <w:sdt>
      <w:sdtPr>
        <w:rPr>
          <w:rFonts w:asciiTheme="minorHAnsi" w:eastAsiaTheme="minorHAnsi" w:hAnsiTheme="minorHAnsi" w:cstheme="minorBidi"/>
          <w:b w:val="0"/>
          <w:bCs w:val="0"/>
          <w:color w:val="auto"/>
          <w:sz w:val="22"/>
          <w:szCs w:val="22"/>
          <w:lang w:val="en-HK" w:eastAsia="zh-TW"/>
        </w:rPr>
        <w:id w:val="118224604"/>
        <w:docPartObj>
          <w:docPartGallery w:val="Table of Contents"/>
          <w:docPartUnique/>
        </w:docPartObj>
      </w:sdtPr>
      <w:sdtEndPr>
        <w:rPr>
          <w:rFonts w:ascii="Times New Roman" w:eastAsiaTheme="minorEastAsia" w:hAnsi="Times New Roman" w:cs="Times New Roman"/>
          <w:sz w:val="24"/>
          <w:szCs w:val="24"/>
        </w:rPr>
      </w:sdtEndPr>
      <w:sdtContent>
        <w:p w14:paraId="65915657" w14:textId="77777777" w:rsidR="00132A2C" w:rsidRPr="00563EC9" w:rsidRDefault="00132A2C" w:rsidP="00132A2C">
          <w:pPr>
            <w:pStyle w:val="TOCHeading"/>
            <w:spacing w:line="360" w:lineRule="auto"/>
            <w:jc w:val="center"/>
            <w:rPr>
              <w:rFonts w:ascii="Times New Roman" w:hAnsi="Times New Roman" w:cs="Times New Roman"/>
              <w:sz w:val="24"/>
              <w:szCs w:val="24"/>
            </w:rPr>
          </w:pPr>
          <w:r w:rsidRPr="00563EC9">
            <w:rPr>
              <w:rFonts w:ascii="Times New Roman" w:hAnsi="Times New Roman" w:cs="Times New Roman"/>
              <w:color w:val="auto"/>
              <w:sz w:val="32"/>
              <w:szCs w:val="32"/>
            </w:rPr>
            <w:t>Contents</w:t>
          </w:r>
        </w:p>
        <w:p w14:paraId="13AA360E" w14:textId="5B627358" w:rsidR="00132A2C" w:rsidRPr="00563EC9" w:rsidRDefault="00132A2C" w:rsidP="00132A2C">
          <w:pPr>
            <w:pStyle w:val="TOC1"/>
            <w:tabs>
              <w:tab w:val="right" w:leader="dot" w:pos="9350"/>
            </w:tabs>
            <w:spacing w:line="360" w:lineRule="auto"/>
            <w:rPr>
              <w:rFonts w:ascii="Times New Roman" w:hAnsi="Times New Roman" w:cs="Times New Roman"/>
              <w:noProof/>
              <w:sz w:val="24"/>
              <w:szCs w:val="24"/>
            </w:rPr>
          </w:pPr>
          <w:r w:rsidRPr="00563EC9">
            <w:rPr>
              <w:rFonts w:ascii="Times New Roman" w:hAnsi="Times New Roman" w:cs="Times New Roman"/>
              <w:sz w:val="24"/>
              <w:szCs w:val="24"/>
            </w:rPr>
            <w:fldChar w:fldCharType="begin"/>
          </w:r>
          <w:r w:rsidRPr="00563EC9">
            <w:rPr>
              <w:rFonts w:ascii="Times New Roman" w:hAnsi="Times New Roman" w:cs="Times New Roman"/>
              <w:sz w:val="24"/>
              <w:szCs w:val="24"/>
            </w:rPr>
            <w:instrText xml:space="preserve"> TOC \o "1-3" \h \z \u </w:instrText>
          </w:r>
          <w:r w:rsidRPr="00563EC9">
            <w:rPr>
              <w:rFonts w:ascii="Times New Roman" w:hAnsi="Times New Roman" w:cs="Times New Roman"/>
              <w:sz w:val="24"/>
              <w:szCs w:val="24"/>
            </w:rPr>
            <w:fldChar w:fldCharType="separate"/>
          </w:r>
          <w:hyperlink w:anchor="_Toc15819805" w:history="1">
            <w:r w:rsidRPr="00563EC9">
              <w:rPr>
                <w:rStyle w:val="Hyperlink"/>
                <w:rFonts w:cs="Times New Roman"/>
                <w:noProof/>
                <w:sz w:val="24"/>
                <w:szCs w:val="24"/>
              </w:rPr>
              <w:t>1: Background Information about the Company</w:t>
            </w:r>
            <w:r w:rsidRPr="00563EC9">
              <w:rPr>
                <w:rFonts w:ascii="Times New Roman" w:hAnsi="Times New Roman" w:cs="Times New Roman"/>
                <w:noProof/>
                <w:webHidden/>
                <w:sz w:val="24"/>
                <w:szCs w:val="24"/>
              </w:rPr>
              <w:tab/>
            </w:r>
            <w:r w:rsidRPr="00563EC9">
              <w:rPr>
                <w:rFonts w:ascii="Times New Roman" w:hAnsi="Times New Roman" w:cs="Times New Roman"/>
                <w:noProof/>
                <w:webHidden/>
                <w:sz w:val="24"/>
                <w:szCs w:val="24"/>
              </w:rPr>
              <w:fldChar w:fldCharType="begin"/>
            </w:r>
            <w:r w:rsidRPr="00563EC9">
              <w:rPr>
                <w:rFonts w:ascii="Times New Roman" w:hAnsi="Times New Roman" w:cs="Times New Roman"/>
                <w:noProof/>
                <w:webHidden/>
                <w:sz w:val="24"/>
                <w:szCs w:val="24"/>
              </w:rPr>
              <w:instrText xml:space="preserve"> PAGEREF _Toc15819805 \h </w:instrText>
            </w:r>
            <w:r w:rsidRPr="00563EC9">
              <w:rPr>
                <w:rFonts w:ascii="Times New Roman" w:hAnsi="Times New Roman" w:cs="Times New Roman"/>
                <w:noProof/>
                <w:webHidden/>
                <w:sz w:val="24"/>
                <w:szCs w:val="24"/>
              </w:rPr>
            </w:r>
            <w:r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4</w:t>
            </w:r>
            <w:r w:rsidRPr="00563EC9">
              <w:rPr>
                <w:rFonts w:ascii="Times New Roman" w:hAnsi="Times New Roman" w:cs="Times New Roman"/>
                <w:noProof/>
                <w:webHidden/>
                <w:sz w:val="24"/>
                <w:szCs w:val="24"/>
              </w:rPr>
              <w:fldChar w:fldCharType="end"/>
            </w:r>
          </w:hyperlink>
        </w:p>
        <w:p w14:paraId="03E86086" w14:textId="30A0369E" w:rsidR="00132A2C" w:rsidRPr="00563EC9" w:rsidRDefault="0003299D" w:rsidP="00132A2C">
          <w:pPr>
            <w:pStyle w:val="TOC1"/>
            <w:tabs>
              <w:tab w:val="right" w:leader="dot" w:pos="9350"/>
            </w:tabs>
            <w:spacing w:line="360" w:lineRule="auto"/>
            <w:rPr>
              <w:rFonts w:ascii="Times New Roman" w:hAnsi="Times New Roman" w:cs="Times New Roman"/>
              <w:noProof/>
              <w:sz w:val="24"/>
              <w:szCs w:val="24"/>
            </w:rPr>
          </w:pPr>
          <w:hyperlink w:anchor="_Toc15819806" w:history="1">
            <w:r w:rsidR="00132A2C" w:rsidRPr="00563EC9">
              <w:rPr>
                <w:rStyle w:val="Hyperlink"/>
                <w:rFonts w:cs="Times New Roman"/>
                <w:noProof/>
                <w:sz w:val="24"/>
                <w:szCs w:val="24"/>
              </w:rPr>
              <w:t>2: Financial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_Toc15819806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6</w:t>
            </w:r>
            <w:r w:rsidR="00132A2C" w:rsidRPr="00563EC9">
              <w:rPr>
                <w:rFonts w:ascii="Times New Roman" w:hAnsi="Times New Roman" w:cs="Times New Roman"/>
                <w:noProof/>
                <w:webHidden/>
                <w:sz w:val="24"/>
                <w:szCs w:val="24"/>
              </w:rPr>
              <w:fldChar w:fldCharType="end"/>
            </w:r>
          </w:hyperlink>
        </w:p>
        <w:p w14:paraId="04CBB951" w14:textId="2B6451AE" w:rsidR="00132A2C" w:rsidRPr="00563EC9" w:rsidRDefault="0003299D" w:rsidP="00132A2C">
          <w:pPr>
            <w:pStyle w:val="TOC2"/>
            <w:tabs>
              <w:tab w:val="right" w:leader="dot" w:pos="9350"/>
            </w:tabs>
            <w:spacing w:line="360" w:lineRule="auto"/>
            <w:rPr>
              <w:rFonts w:ascii="Times New Roman" w:hAnsi="Times New Roman" w:cs="Times New Roman"/>
              <w:noProof/>
              <w:sz w:val="24"/>
              <w:szCs w:val="24"/>
            </w:rPr>
          </w:pPr>
          <w:hyperlink w:anchor="_Toc15819807" w:history="1">
            <w:r w:rsidR="00132A2C" w:rsidRPr="00563EC9">
              <w:rPr>
                <w:rStyle w:val="Hyperlink"/>
                <w:rFonts w:cs="Times New Roman"/>
                <w:noProof/>
                <w:sz w:val="24"/>
                <w:szCs w:val="24"/>
              </w:rPr>
              <w:t>Trend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_Toc15819807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6</w:t>
            </w:r>
            <w:r w:rsidR="00132A2C" w:rsidRPr="00563EC9">
              <w:rPr>
                <w:rFonts w:ascii="Times New Roman" w:hAnsi="Times New Roman" w:cs="Times New Roman"/>
                <w:noProof/>
                <w:webHidden/>
                <w:sz w:val="24"/>
                <w:szCs w:val="24"/>
              </w:rPr>
              <w:fldChar w:fldCharType="end"/>
            </w:r>
          </w:hyperlink>
        </w:p>
        <w:p w14:paraId="16911A97" w14:textId="133C8FA4" w:rsidR="00132A2C" w:rsidRPr="00563EC9" w:rsidRDefault="0003299D" w:rsidP="00132A2C">
          <w:pPr>
            <w:pStyle w:val="TOC2"/>
            <w:tabs>
              <w:tab w:val="right" w:leader="dot" w:pos="9350"/>
            </w:tabs>
            <w:spacing w:line="360" w:lineRule="auto"/>
            <w:rPr>
              <w:rFonts w:ascii="Times New Roman" w:hAnsi="Times New Roman" w:cs="Times New Roman"/>
              <w:noProof/>
              <w:sz w:val="24"/>
              <w:szCs w:val="24"/>
            </w:rPr>
          </w:pPr>
          <w:hyperlink w:anchor="_Toc15819808" w:history="1">
            <w:r w:rsidR="00132A2C" w:rsidRPr="00563EC9">
              <w:rPr>
                <w:rStyle w:val="Hyperlink"/>
                <w:rFonts w:cs="Times New Roman"/>
                <w:noProof/>
                <w:sz w:val="24"/>
                <w:szCs w:val="24"/>
              </w:rPr>
              <w:t>Horizontal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_Toc15819808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9</w:t>
            </w:r>
            <w:r w:rsidR="00132A2C" w:rsidRPr="00563EC9">
              <w:rPr>
                <w:rFonts w:ascii="Times New Roman" w:hAnsi="Times New Roman" w:cs="Times New Roman"/>
                <w:noProof/>
                <w:webHidden/>
                <w:sz w:val="24"/>
                <w:szCs w:val="24"/>
              </w:rPr>
              <w:fldChar w:fldCharType="end"/>
            </w:r>
          </w:hyperlink>
        </w:p>
        <w:p w14:paraId="57B5D53E" w14:textId="446476A4" w:rsidR="00132A2C" w:rsidRPr="00563EC9" w:rsidRDefault="0003299D" w:rsidP="00132A2C">
          <w:pPr>
            <w:pStyle w:val="TOC2"/>
            <w:tabs>
              <w:tab w:val="right" w:leader="dot" w:pos="9350"/>
            </w:tabs>
            <w:spacing w:line="360" w:lineRule="auto"/>
            <w:rPr>
              <w:rFonts w:ascii="Times New Roman" w:hAnsi="Times New Roman" w:cs="Times New Roman"/>
              <w:noProof/>
              <w:sz w:val="24"/>
              <w:szCs w:val="24"/>
            </w:rPr>
          </w:pPr>
          <w:hyperlink w:anchor="_Toc15819809" w:history="1">
            <w:r w:rsidR="00132A2C" w:rsidRPr="00563EC9">
              <w:rPr>
                <w:rStyle w:val="Hyperlink"/>
                <w:rFonts w:cs="Times New Roman"/>
                <w:noProof/>
                <w:sz w:val="24"/>
                <w:szCs w:val="24"/>
              </w:rPr>
              <w:t>Vertical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_Toc15819809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10</w:t>
            </w:r>
            <w:r w:rsidR="00132A2C" w:rsidRPr="00563EC9">
              <w:rPr>
                <w:rFonts w:ascii="Times New Roman" w:hAnsi="Times New Roman" w:cs="Times New Roman"/>
                <w:noProof/>
                <w:webHidden/>
                <w:sz w:val="24"/>
                <w:szCs w:val="24"/>
              </w:rPr>
              <w:fldChar w:fldCharType="end"/>
            </w:r>
          </w:hyperlink>
        </w:p>
        <w:p w14:paraId="75C282D0" w14:textId="04220FAC" w:rsidR="00132A2C" w:rsidRPr="00563EC9" w:rsidRDefault="0003299D" w:rsidP="00132A2C">
          <w:pPr>
            <w:pStyle w:val="TOC2"/>
            <w:tabs>
              <w:tab w:val="right" w:leader="dot" w:pos="9350"/>
            </w:tabs>
            <w:spacing w:line="360" w:lineRule="auto"/>
            <w:rPr>
              <w:rFonts w:ascii="Times New Roman" w:hAnsi="Times New Roman" w:cs="Times New Roman"/>
              <w:noProof/>
              <w:sz w:val="24"/>
              <w:szCs w:val="24"/>
            </w:rPr>
          </w:pPr>
          <w:hyperlink w:anchor="_Toc15819810" w:history="1">
            <w:r w:rsidR="00132A2C" w:rsidRPr="00563EC9">
              <w:rPr>
                <w:rStyle w:val="Hyperlink"/>
                <w:rFonts w:cs="Times New Roman"/>
                <w:noProof/>
                <w:sz w:val="24"/>
                <w:szCs w:val="24"/>
              </w:rPr>
              <w:t>Financial Ratio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_Toc15819810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11</w:t>
            </w:r>
            <w:r w:rsidR="00132A2C" w:rsidRPr="00563EC9">
              <w:rPr>
                <w:rFonts w:ascii="Times New Roman" w:hAnsi="Times New Roman" w:cs="Times New Roman"/>
                <w:noProof/>
                <w:webHidden/>
                <w:sz w:val="24"/>
                <w:szCs w:val="24"/>
              </w:rPr>
              <w:fldChar w:fldCharType="end"/>
            </w:r>
          </w:hyperlink>
        </w:p>
        <w:p w14:paraId="422156DB" w14:textId="396A04C8" w:rsidR="00132A2C" w:rsidRPr="00563EC9" w:rsidRDefault="0003299D" w:rsidP="00132A2C">
          <w:pPr>
            <w:pStyle w:val="TOC1"/>
            <w:tabs>
              <w:tab w:val="right" w:leader="dot" w:pos="9350"/>
            </w:tabs>
            <w:spacing w:line="360" w:lineRule="auto"/>
            <w:rPr>
              <w:rFonts w:ascii="Times New Roman" w:hAnsi="Times New Roman" w:cs="Times New Roman"/>
              <w:noProof/>
              <w:sz w:val="24"/>
              <w:szCs w:val="24"/>
            </w:rPr>
          </w:pPr>
          <w:hyperlink w:anchor="_Toc15819811" w:history="1">
            <w:r w:rsidR="00132A2C" w:rsidRPr="00563EC9">
              <w:rPr>
                <w:rStyle w:val="Hyperlink"/>
                <w:rFonts w:cs="Times New Roman"/>
                <w:noProof/>
                <w:sz w:val="24"/>
                <w:szCs w:val="24"/>
              </w:rPr>
              <w:t>3: Corporate Governance</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_Toc15819811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17</w:t>
            </w:r>
            <w:r w:rsidR="00132A2C" w:rsidRPr="00563EC9">
              <w:rPr>
                <w:rFonts w:ascii="Times New Roman" w:hAnsi="Times New Roman" w:cs="Times New Roman"/>
                <w:noProof/>
                <w:webHidden/>
                <w:sz w:val="24"/>
                <w:szCs w:val="24"/>
              </w:rPr>
              <w:fldChar w:fldCharType="end"/>
            </w:r>
          </w:hyperlink>
        </w:p>
        <w:p w14:paraId="140DDB9D" w14:textId="4190FC48" w:rsidR="00132A2C" w:rsidRPr="00563EC9" w:rsidRDefault="0003299D" w:rsidP="00132A2C">
          <w:pPr>
            <w:pStyle w:val="TOC1"/>
            <w:tabs>
              <w:tab w:val="right" w:leader="dot" w:pos="9350"/>
            </w:tabs>
            <w:spacing w:line="360" w:lineRule="auto"/>
            <w:rPr>
              <w:rFonts w:ascii="Times New Roman" w:hAnsi="Times New Roman" w:cs="Times New Roman"/>
              <w:noProof/>
              <w:sz w:val="24"/>
              <w:szCs w:val="24"/>
            </w:rPr>
          </w:pPr>
          <w:hyperlink w:anchor="_Toc15819812" w:history="1">
            <w:r w:rsidR="00132A2C" w:rsidRPr="00563EC9">
              <w:rPr>
                <w:rStyle w:val="Hyperlink"/>
                <w:rFonts w:cs="Times New Roman"/>
                <w:noProof/>
                <w:sz w:val="24"/>
                <w:szCs w:val="24"/>
              </w:rPr>
              <w:t>4: Investment Appraisals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_Toc15819812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19</w:t>
            </w:r>
            <w:r w:rsidR="00132A2C" w:rsidRPr="00563EC9">
              <w:rPr>
                <w:rFonts w:ascii="Times New Roman" w:hAnsi="Times New Roman" w:cs="Times New Roman"/>
                <w:noProof/>
                <w:webHidden/>
                <w:sz w:val="24"/>
                <w:szCs w:val="24"/>
              </w:rPr>
              <w:fldChar w:fldCharType="end"/>
            </w:r>
          </w:hyperlink>
        </w:p>
        <w:p w14:paraId="72AED785" w14:textId="0B12578E" w:rsidR="00132A2C" w:rsidRPr="00563EC9" w:rsidRDefault="0003299D" w:rsidP="00132A2C">
          <w:pPr>
            <w:pStyle w:val="TOC2"/>
            <w:tabs>
              <w:tab w:val="right" w:leader="dot" w:pos="9350"/>
            </w:tabs>
            <w:spacing w:line="360" w:lineRule="auto"/>
            <w:rPr>
              <w:rFonts w:ascii="Times New Roman" w:hAnsi="Times New Roman" w:cs="Times New Roman"/>
              <w:noProof/>
              <w:sz w:val="24"/>
              <w:szCs w:val="24"/>
            </w:rPr>
          </w:pPr>
          <w:hyperlink w:anchor="_Toc15819813" w:history="1">
            <w:r w:rsidR="00132A2C" w:rsidRPr="00563EC9">
              <w:rPr>
                <w:rStyle w:val="Hyperlink"/>
                <w:rFonts w:cs="Times New Roman"/>
                <w:noProof/>
                <w:sz w:val="24"/>
                <w:szCs w:val="24"/>
              </w:rPr>
              <w:t>Net Present Value (NPV)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_Toc15819813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19</w:t>
            </w:r>
            <w:r w:rsidR="00132A2C" w:rsidRPr="00563EC9">
              <w:rPr>
                <w:rFonts w:ascii="Times New Roman" w:hAnsi="Times New Roman" w:cs="Times New Roman"/>
                <w:noProof/>
                <w:webHidden/>
                <w:sz w:val="24"/>
                <w:szCs w:val="24"/>
              </w:rPr>
              <w:fldChar w:fldCharType="end"/>
            </w:r>
          </w:hyperlink>
        </w:p>
        <w:p w14:paraId="388F0014" w14:textId="55A546A2" w:rsidR="00132A2C" w:rsidRPr="00563EC9" w:rsidRDefault="0003299D" w:rsidP="00132A2C">
          <w:pPr>
            <w:pStyle w:val="TOC2"/>
            <w:tabs>
              <w:tab w:val="right" w:leader="dot" w:pos="9350"/>
            </w:tabs>
            <w:spacing w:line="360" w:lineRule="auto"/>
            <w:rPr>
              <w:rFonts w:ascii="Times New Roman" w:hAnsi="Times New Roman" w:cs="Times New Roman"/>
              <w:noProof/>
              <w:sz w:val="24"/>
              <w:szCs w:val="24"/>
            </w:rPr>
          </w:pPr>
          <w:hyperlink w:anchor="_Toc15819814" w:history="1">
            <w:r w:rsidR="00132A2C" w:rsidRPr="00563EC9">
              <w:rPr>
                <w:rStyle w:val="Hyperlink"/>
                <w:rFonts w:cs="Times New Roman"/>
                <w:noProof/>
                <w:sz w:val="24"/>
                <w:szCs w:val="24"/>
              </w:rPr>
              <w:t>Internal Rate of Return (IRR)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_Toc15819814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21</w:t>
            </w:r>
            <w:r w:rsidR="00132A2C" w:rsidRPr="00563EC9">
              <w:rPr>
                <w:rFonts w:ascii="Times New Roman" w:hAnsi="Times New Roman" w:cs="Times New Roman"/>
                <w:noProof/>
                <w:webHidden/>
                <w:sz w:val="24"/>
                <w:szCs w:val="24"/>
              </w:rPr>
              <w:fldChar w:fldCharType="end"/>
            </w:r>
          </w:hyperlink>
        </w:p>
        <w:p w14:paraId="6102D55B" w14:textId="2B6209C0" w:rsidR="00132A2C" w:rsidRPr="00563EC9" w:rsidRDefault="0003299D" w:rsidP="00132A2C">
          <w:pPr>
            <w:pStyle w:val="TOC1"/>
            <w:tabs>
              <w:tab w:val="right" w:leader="dot" w:pos="9350"/>
            </w:tabs>
            <w:spacing w:line="360" w:lineRule="auto"/>
            <w:rPr>
              <w:rFonts w:ascii="Times New Roman" w:hAnsi="Times New Roman" w:cs="Times New Roman"/>
              <w:noProof/>
              <w:sz w:val="24"/>
              <w:szCs w:val="24"/>
            </w:rPr>
          </w:pPr>
          <w:hyperlink w:anchor="_Toc15819815" w:history="1">
            <w:r w:rsidR="00132A2C" w:rsidRPr="00563EC9">
              <w:rPr>
                <w:rStyle w:val="Hyperlink"/>
                <w:rFonts w:cs="Times New Roman"/>
                <w:noProof/>
                <w:sz w:val="24"/>
                <w:szCs w:val="24"/>
              </w:rPr>
              <w:t>5: Financing-Fund Rising</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_Toc15819815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23</w:t>
            </w:r>
            <w:r w:rsidR="00132A2C" w:rsidRPr="00563EC9">
              <w:rPr>
                <w:rFonts w:ascii="Times New Roman" w:hAnsi="Times New Roman" w:cs="Times New Roman"/>
                <w:noProof/>
                <w:webHidden/>
                <w:sz w:val="24"/>
                <w:szCs w:val="24"/>
              </w:rPr>
              <w:fldChar w:fldCharType="end"/>
            </w:r>
          </w:hyperlink>
        </w:p>
        <w:p w14:paraId="44BFF8F2" w14:textId="14D5C3C5" w:rsidR="00132A2C" w:rsidRPr="00563EC9" w:rsidRDefault="0003299D" w:rsidP="00132A2C">
          <w:pPr>
            <w:pStyle w:val="TOC1"/>
            <w:tabs>
              <w:tab w:val="right" w:leader="dot" w:pos="9350"/>
            </w:tabs>
            <w:spacing w:line="360" w:lineRule="auto"/>
            <w:rPr>
              <w:rFonts w:ascii="Times New Roman" w:hAnsi="Times New Roman" w:cs="Times New Roman"/>
              <w:noProof/>
              <w:sz w:val="24"/>
              <w:szCs w:val="24"/>
            </w:rPr>
          </w:pPr>
          <w:hyperlink w:anchor="_Toc15819816" w:history="1">
            <w:r w:rsidR="00132A2C" w:rsidRPr="00563EC9">
              <w:rPr>
                <w:rStyle w:val="Hyperlink"/>
                <w:rFonts w:cs="Times New Roman"/>
                <w:noProof/>
                <w:sz w:val="24"/>
                <w:szCs w:val="24"/>
              </w:rPr>
              <w:t>6: Audit Plan</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_Toc15819816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24</w:t>
            </w:r>
            <w:r w:rsidR="00132A2C" w:rsidRPr="00563EC9">
              <w:rPr>
                <w:rFonts w:ascii="Times New Roman" w:hAnsi="Times New Roman" w:cs="Times New Roman"/>
                <w:noProof/>
                <w:webHidden/>
                <w:sz w:val="24"/>
                <w:szCs w:val="24"/>
              </w:rPr>
              <w:fldChar w:fldCharType="end"/>
            </w:r>
          </w:hyperlink>
        </w:p>
        <w:p w14:paraId="13BE438B" w14:textId="39A72510" w:rsidR="00132A2C" w:rsidRPr="00563EC9" w:rsidRDefault="0003299D" w:rsidP="00132A2C">
          <w:pPr>
            <w:pStyle w:val="TOC1"/>
            <w:tabs>
              <w:tab w:val="right" w:leader="dot" w:pos="9350"/>
            </w:tabs>
            <w:spacing w:line="360" w:lineRule="auto"/>
            <w:rPr>
              <w:rFonts w:ascii="Times New Roman" w:hAnsi="Times New Roman" w:cs="Times New Roman"/>
              <w:noProof/>
              <w:sz w:val="24"/>
              <w:szCs w:val="24"/>
            </w:rPr>
          </w:pPr>
          <w:hyperlink w:anchor="_Toc15819817" w:history="1">
            <w:r w:rsidR="00132A2C" w:rsidRPr="00563EC9">
              <w:rPr>
                <w:rStyle w:val="Hyperlink"/>
                <w:rFonts w:cs="Times New Roman"/>
                <w:noProof/>
                <w:sz w:val="24"/>
                <w:szCs w:val="24"/>
              </w:rPr>
              <w:t>References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_Toc15819817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0D5107">
              <w:rPr>
                <w:rFonts w:ascii="Times New Roman" w:hAnsi="Times New Roman" w:cs="Times New Roman"/>
                <w:noProof/>
                <w:webHidden/>
                <w:sz w:val="24"/>
                <w:szCs w:val="24"/>
              </w:rPr>
              <w:t>25</w:t>
            </w:r>
            <w:r w:rsidR="00132A2C" w:rsidRPr="00563EC9">
              <w:rPr>
                <w:rFonts w:ascii="Times New Roman" w:hAnsi="Times New Roman" w:cs="Times New Roman"/>
                <w:noProof/>
                <w:webHidden/>
                <w:sz w:val="24"/>
                <w:szCs w:val="24"/>
              </w:rPr>
              <w:fldChar w:fldCharType="end"/>
            </w:r>
          </w:hyperlink>
        </w:p>
        <w:p w14:paraId="0531E6FE" w14:textId="77777777" w:rsidR="00132A2C" w:rsidRPr="00563EC9" w:rsidRDefault="00132A2C" w:rsidP="00132A2C">
          <w:pPr>
            <w:spacing w:line="360" w:lineRule="auto"/>
            <w:rPr>
              <w:rFonts w:ascii="Times New Roman" w:hAnsi="Times New Roman" w:cs="Times New Roman"/>
              <w:sz w:val="24"/>
              <w:szCs w:val="24"/>
            </w:rPr>
          </w:pPr>
          <w:r w:rsidRPr="00563EC9">
            <w:rPr>
              <w:rFonts w:ascii="Times New Roman" w:hAnsi="Times New Roman" w:cs="Times New Roman"/>
              <w:sz w:val="24"/>
              <w:szCs w:val="24"/>
            </w:rPr>
            <w:fldChar w:fldCharType="end"/>
          </w:r>
        </w:p>
      </w:sdtContent>
    </w:sdt>
    <w:p w14:paraId="66775A4A" w14:textId="77777777" w:rsidR="00132A2C" w:rsidRDefault="00132A2C" w:rsidP="00132A2C">
      <w:pPr>
        <w:rPr>
          <w:rFonts w:ascii="Times New Roman" w:eastAsiaTheme="majorEastAsia" w:hAnsi="Times New Roman" w:cstheme="majorBidi"/>
          <w:b/>
          <w:bCs/>
          <w:sz w:val="32"/>
          <w:szCs w:val="28"/>
        </w:rPr>
      </w:pPr>
      <w:r>
        <w:br w:type="page"/>
      </w:r>
      <w:bookmarkStart w:id="0" w:name="_GoBack"/>
      <w:bookmarkEnd w:id="0"/>
    </w:p>
    <w:p w14:paraId="04C6C21E" w14:textId="782F3A8A" w:rsidR="00892561" w:rsidRDefault="00132A2C" w:rsidP="00892561">
      <w:pPr>
        <w:pStyle w:val="Heading1"/>
        <w:numPr>
          <w:ilvl w:val="0"/>
          <w:numId w:val="2"/>
        </w:numPr>
        <w:spacing w:line="360" w:lineRule="auto"/>
        <w:jc w:val="left"/>
        <w:rPr>
          <w:rFonts w:ascii="Arial" w:hAnsi="Arial" w:cs="Arial"/>
          <w:sz w:val="24"/>
          <w:szCs w:val="24"/>
        </w:rPr>
      </w:pPr>
      <w:bookmarkStart w:id="1" w:name="_Toc15819805"/>
      <w:r w:rsidRPr="00892561">
        <w:rPr>
          <w:rFonts w:ascii="Arial" w:hAnsi="Arial" w:cs="Arial"/>
          <w:sz w:val="24"/>
          <w:szCs w:val="24"/>
        </w:rPr>
        <w:lastRenderedPageBreak/>
        <w:t>Background Information about the Company</w:t>
      </w:r>
      <w:bookmarkEnd w:id="1"/>
    </w:p>
    <w:p w14:paraId="46E5A6C9" w14:textId="77777777" w:rsidR="00FB62F8" w:rsidRPr="00FB62F8" w:rsidRDefault="00FB62F8" w:rsidP="00FB62F8">
      <w:pPr>
        <w:rPr>
          <w:lang w:val="en-US" w:eastAsia="en-US"/>
        </w:rPr>
      </w:pPr>
    </w:p>
    <w:p w14:paraId="679B8B77" w14:textId="4B9397B1" w:rsidR="00132A2C" w:rsidRPr="003778BA" w:rsidRDefault="00132A2C" w:rsidP="003778BA">
      <w:pPr>
        <w:spacing w:line="480" w:lineRule="auto"/>
        <w:rPr>
          <w:rFonts w:ascii="Arial" w:hAnsi="Arial" w:cs="Arial"/>
          <w:sz w:val="24"/>
          <w:szCs w:val="24"/>
        </w:rPr>
      </w:pPr>
      <w:r w:rsidRPr="00892561">
        <w:rPr>
          <w:rFonts w:ascii="Arial" w:hAnsi="Arial" w:cs="Arial"/>
          <w:sz w:val="24"/>
          <w:szCs w:val="24"/>
        </w:rPr>
        <w:t xml:space="preserve">Annual Reports are the </w:t>
      </w:r>
      <w:r w:rsidR="003103D3">
        <w:rPr>
          <w:rFonts w:ascii="Arial" w:hAnsi="Arial" w:cs="Arial"/>
          <w:sz w:val="24"/>
          <w:szCs w:val="24"/>
        </w:rPr>
        <w:t>end-</w:t>
      </w:r>
      <w:r w:rsidR="003103D3" w:rsidRPr="00892561">
        <w:rPr>
          <w:rFonts w:ascii="Arial" w:hAnsi="Arial" w:cs="Arial"/>
          <w:sz w:val="24"/>
          <w:szCs w:val="24"/>
        </w:rPr>
        <w:t>product</w:t>
      </w:r>
      <w:r w:rsidRPr="00892561">
        <w:rPr>
          <w:rFonts w:ascii="Arial" w:hAnsi="Arial" w:cs="Arial"/>
          <w:sz w:val="24"/>
          <w:szCs w:val="24"/>
        </w:rPr>
        <w:t xml:space="preserve"> for a company. It enlists the activities and important information which is highly significant for different users of the financial statement (</w:t>
      </w:r>
      <w:r w:rsidRPr="00892561">
        <w:rPr>
          <w:rFonts w:ascii="Arial" w:hAnsi="Arial" w:cs="Arial"/>
          <w:color w:val="222222"/>
          <w:sz w:val="24"/>
          <w:szCs w:val="24"/>
          <w:shd w:val="clear" w:color="auto" w:fill="FFFFFF"/>
        </w:rPr>
        <w:t xml:space="preserve">Maylor, Blackmon and </w:t>
      </w:r>
      <w:proofErr w:type="spellStart"/>
      <w:r w:rsidRPr="00892561">
        <w:rPr>
          <w:rFonts w:ascii="Arial" w:hAnsi="Arial" w:cs="Arial"/>
          <w:color w:val="222222"/>
          <w:sz w:val="24"/>
          <w:szCs w:val="24"/>
          <w:shd w:val="clear" w:color="auto" w:fill="FFFFFF"/>
        </w:rPr>
        <w:t>Huemann</w:t>
      </w:r>
      <w:proofErr w:type="spellEnd"/>
      <w:r w:rsidRPr="00892561">
        <w:rPr>
          <w:rFonts w:ascii="Arial" w:hAnsi="Arial" w:cs="Arial"/>
          <w:color w:val="222222"/>
          <w:sz w:val="24"/>
          <w:szCs w:val="24"/>
          <w:shd w:val="clear" w:color="auto" w:fill="FFFFFF"/>
        </w:rPr>
        <w:t>, 2016)</w:t>
      </w:r>
      <w:r w:rsidRPr="00892561">
        <w:rPr>
          <w:rFonts w:ascii="Arial" w:hAnsi="Arial" w:cs="Arial"/>
          <w:sz w:val="24"/>
          <w:szCs w:val="24"/>
        </w:rPr>
        <w:t xml:space="preserve">. Mostly annual reports are used by the upper management and the potential shareholders in order to reach on a final verdict about the corporation. The aim of this assignment is about exploring the financial </w:t>
      </w:r>
      <w:r w:rsidR="00F03489">
        <w:rPr>
          <w:rFonts w:ascii="Arial" w:hAnsi="Arial" w:cs="Arial"/>
          <w:sz w:val="24"/>
          <w:szCs w:val="24"/>
        </w:rPr>
        <w:t>reports</w:t>
      </w:r>
      <w:r w:rsidRPr="00892561">
        <w:rPr>
          <w:rFonts w:ascii="Arial" w:hAnsi="Arial" w:cs="Arial"/>
          <w:sz w:val="24"/>
          <w:szCs w:val="24"/>
        </w:rPr>
        <w:t xml:space="preserve">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w:t>
      </w:r>
      <w:r w:rsidR="00F03489">
        <w:rPr>
          <w:rFonts w:ascii="Arial" w:hAnsi="Arial" w:cs="Arial"/>
          <w:sz w:val="24"/>
          <w:szCs w:val="24"/>
        </w:rPr>
        <w:t xml:space="preserve">Limited </w:t>
      </w:r>
      <w:r w:rsidRPr="00892561">
        <w:rPr>
          <w:rFonts w:ascii="Arial" w:hAnsi="Arial" w:cs="Arial"/>
          <w:sz w:val="24"/>
          <w:szCs w:val="24"/>
        </w:rPr>
        <w:t xml:space="preserve">by initiating a financial ratio analysis aspect. </w:t>
      </w:r>
      <w:r w:rsidR="00F03489">
        <w:rPr>
          <w:rFonts w:ascii="Arial" w:hAnsi="Arial" w:cs="Arial"/>
          <w:sz w:val="24"/>
          <w:szCs w:val="24"/>
        </w:rPr>
        <w:t xml:space="preserve">Also, to compare the financial situation to its major competitors.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is a company that designs and manufactures the bodies of the bus</w:t>
      </w:r>
      <w:r w:rsidR="00F03489">
        <w:rPr>
          <w:rFonts w:ascii="Arial" w:hAnsi="Arial" w:cs="Arial"/>
          <w:sz w:val="24"/>
          <w:szCs w:val="24"/>
        </w:rPr>
        <w:t xml:space="preserve"> </w:t>
      </w:r>
      <w:r w:rsidRPr="00892561">
        <w:rPr>
          <w:rFonts w:ascii="Arial" w:hAnsi="Arial" w:cs="Arial"/>
          <w:sz w:val="24"/>
          <w:szCs w:val="24"/>
        </w:rPr>
        <w:t xml:space="preserve">and assembles the buses accordingly. The company has more than 25 years of experience in the relevant field.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is the largest Group covered in the field of bus body manufacturing in Malaysia and Singapore</w:t>
      </w:r>
      <w:r w:rsidR="00F03489">
        <w:rPr>
          <w:rFonts w:ascii="Arial" w:hAnsi="Arial" w:cs="Arial"/>
          <w:sz w:val="24"/>
          <w:szCs w:val="24"/>
        </w:rPr>
        <w:t xml:space="preserve"> and sell the buses and the services to other Asian countries. </w:t>
      </w:r>
      <w:r w:rsidRPr="00892561">
        <w:rPr>
          <w:rFonts w:ascii="Arial" w:hAnsi="Arial" w:cs="Arial"/>
          <w:sz w:val="24"/>
          <w:szCs w:val="24"/>
        </w:rPr>
        <w:t>They are in the field of making steel bus bodies. Currently, they are selling their buses in 10 different markets of the world. The first Initial Public Offering (IPO) of the company has been initiated in the year 2000</w:t>
      </w:r>
      <w:r w:rsidR="00F03489">
        <w:rPr>
          <w:rFonts w:ascii="Arial" w:hAnsi="Arial" w:cs="Arial"/>
          <w:sz w:val="24"/>
          <w:szCs w:val="24"/>
        </w:rPr>
        <w:t xml:space="preserve"> in Hong Kong</w:t>
      </w:r>
      <w:r w:rsidRPr="00892561">
        <w:rPr>
          <w:rFonts w:ascii="Arial" w:hAnsi="Arial" w:cs="Arial"/>
          <w:sz w:val="24"/>
          <w:szCs w:val="24"/>
        </w:rPr>
        <w:t xml:space="preserve">. The major products of the company are buses. The company is </w:t>
      </w:r>
      <w:r w:rsidR="00F03489">
        <w:rPr>
          <w:rFonts w:ascii="Arial" w:hAnsi="Arial" w:cs="Arial"/>
          <w:sz w:val="24"/>
          <w:szCs w:val="24"/>
        </w:rPr>
        <w:t xml:space="preserve">considered as a </w:t>
      </w:r>
      <w:r w:rsidRPr="00892561">
        <w:rPr>
          <w:rFonts w:ascii="Arial" w:hAnsi="Arial" w:cs="Arial"/>
          <w:sz w:val="24"/>
          <w:szCs w:val="24"/>
        </w:rPr>
        <w:t>financially stable</w:t>
      </w:r>
      <w:r w:rsidR="00F03489">
        <w:rPr>
          <w:rFonts w:ascii="Arial" w:hAnsi="Arial" w:cs="Arial"/>
          <w:sz w:val="24"/>
          <w:szCs w:val="24"/>
        </w:rPr>
        <w:t xml:space="preserve"> enterprises, </w:t>
      </w:r>
      <w:r w:rsidRPr="00892561">
        <w:rPr>
          <w:rFonts w:ascii="Arial" w:hAnsi="Arial" w:cs="Arial"/>
          <w:sz w:val="24"/>
          <w:szCs w:val="24"/>
        </w:rPr>
        <w:t xml:space="preserve">however </w:t>
      </w:r>
      <w:r w:rsidR="00F03489">
        <w:rPr>
          <w:rFonts w:ascii="Arial" w:hAnsi="Arial" w:cs="Arial"/>
          <w:sz w:val="24"/>
          <w:szCs w:val="24"/>
        </w:rPr>
        <w:t xml:space="preserve">according to the annual report of </w:t>
      </w:r>
      <w:r w:rsidRPr="00892561">
        <w:rPr>
          <w:rFonts w:ascii="Arial" w:hAnsi="Arial" w:cs="Arial"/>
          <w:sz w:val="24"/>
          <w:szCs w:val="24"/>
        </w:rPr>
        <w:t>year 2018</w:t>
      </w:r>
      <w:r w:rsidR="00F03489">
        <w:rPr>
          <w:rFonts w:ascii="Arial" w:hAnsi="Arial" w:cs="Arial"/>
          <w:sz w:val="24"/>
          <w:szCs w:val="24"/>
        </w:rPr>
        <w:t xml:space="preserve">, it </w:t>
      </w:r>
      <w:r w:rsidRPr="00892561">
        <w:rPr>
          <w:rFonts w:ascii="Arial" w:hAnsi="Arial" w:cs="Arial"/>
          <w:sz w:val="24"/>
          <w:szCs w:val="24"/>
        </w:rPr>
        <w:t>was not one of the best years for the company in terms of their financial competitiveness</w:t>
      </w:r>
      <w:r w:rsidR="00CD5C86">
        <w:rPr>
          <w:rFonts w:ascii="Arial" w:hAnsi="Arial" w:cs="Arial"/>
          <w:sz w:val="24"/>
          <w:szCs w:val="24"/>
        </w:rPr>
        <w:t xml:space="preserve">. </w:t>
      </w:r>
      <w:r w:rsidR="00CD5C86" w:rsidRPr="003103D3">
        <w:rPr>
          <w:rFonts w:ascii="Arial" w:hAnsi="Arial" w:cs="Arial"/>
          <w:sz w:val="24"/>
          <w:szCs w:val="24"/>
        </w:rPr>
        <w:t>Loss for the year was approximately US$1.45 million</w:t>
      </w:r>
      <w:r w:rsidR="00FB62F8">
        <w:rPr>
          <w:rFonts w:ascii="Arial" w:hAnsi="Arial" w:cs="Arial"/>
          <w:sz w:val="24"/>
          <w:szCs w:val="24"/>
        </w:rPr>
        <w:t xml:space="preserve"> </w:t>
      </w:r>
      <w:r w:rsidR="003103D3" w:rsidRPr="003103D3">
        <w:rPr>
          <w:rFonts w:ascii="Arial" w:hAnsi="Arial" w:cs="Arial"/>
          <w:sz w:val="24"/>
          <w:szCs w:val="24"/>
        </w:rPr>
        <w:t xml:space="preserve">due to </w:t>
      </w:r>
      <w:r w:rsidR="003103D3">
        <w:rPr>
          <w:rFonts w:ascii="Arial" w:hAnsi="Arial" w:cs="Arial"/>
          <w:sz w:val="24"/>
          <w:szCs w:val="24"/>
        </w:rPr>
        <w:t xml:space="preserve">1) </w:t>
      </w:r>
      <w:r w:rsidR="003103D3" w:rsidRPr="003103D3">
        <w:rPr>
          <w:rFonts w:ascii="Arial" w:hAnsi="Arial" w:cs="Arial"/>
          <w:sz w:val="24"/>
          <w:szCs w:val="24"/>
        </w:rPr>
        <w:t xml:space="preserve">decrease in </w:t>
      </w:r>
      <w:r w:rsidR="003103D3">
        <w:rPr>
          <w:rFonts w:ascii="Arial" w:hAnsi="Arial" w:cs="Arial"/>
          <w:sz w:val="24"/>
          <w:szCs w:val="24"/>
        </w:rPr>
        <w:t xml:space="preserve">sales; 2) </w:t>
      </w:r>
      <w:r w:rsidR="003103D3" w:rsidRPr="003103D3">
        <w:rPr>
          <w:rFonts w:ascii="Arial" w:hAnsi="Arial" w:cs="Arial"/>
          <w:sz w:val="24"/>
          <w:szCs w:val="24"/>
        </w:rPr>
        <w:t>a significant increase in general and administrative expenses</w:t>
      </w:r>
      <w:r w:rsidR="003103D3">
        <w:rPr>
          <w:rFonts w:ascii="Arial" w:hAnsi="Arial" w:cs="Arial"/>
          <w:sz w:val="24"/>
          <w:szCs w:val="24"/>
        </w:rPr>
        <w:t xml:space="preserve"> </w:t>
      </w:r>
      <w:r w:rsidR="003103D3" w:rsidRPr="003103D3">
        <w:rPr>
          <w:rFonts w:ascii="Arial" w:hAnsi="Arial" w:cs="Arial"/>
          <w:sz w:val="24"/>
          <w:szCs w:val="24"/>
        </w:rPr>
        <w:t>was mainly attributable to the increase in the impairment loss of approximately US$2.72 million</w:t>
      </w:r>
      <w:r w:rsidR="003103D3">
        <w:rPr>
          <w:rFonts w:ascii="Arial" w:hAnsi="Arial" w:cs="Arial"/>
          <w:sz w:val="24"/>
          <w:szCs w:val="24"/>
        </w:rPr>
        <w:t>; 3)</w:t>
      </w:r>
      <w:r w:rsidR="00CD5C86">
        <w:rPr>
          <w:rFonts w:ascii="Arial" w:hAnsi="Arial" w:cs="Arial"/>
          <w:sz w:val="24"/>
          <w:szCs w:val="24"/>
        </w:rPr>
        <w:t xml:space="preserve"> </w:t>
      </w:r>
      <w:r w:rsidR="00CD5C86" w:rsidRPr="003103D3">
        <w:rPr>
          <w:rFonts w:ascii="Arial" w:hAnsi="Arial" w:cs="Arial"/>
          <w:sz w:val="24"/>
          <w:szCs w:val="24"/>
        </w:rPr>
        <w:t>the decrease in gross profit margin</w:t>
      </w:r>
      <w:r w:rsidR="00CD5C86">
        <w:rPr>
          <w:rFonts w:ascii="Arial" w:hAnsi="Arial" w:cs="Arial"/>
          <w:sz w:val="24"/>
          <w:szCs w:val="24"/>
        </w:rPr>
        <w:t xml:space="preserve"> </w:t>
      </w:r>
      <w:r w:rsidR="00CD5C86" w:rsidRPr="003103D3">
        <w:rPr>
          <w:rFonts w:ascii="Arial" w:hAnsi="Arial" w:cs="Arial"/>
          <w:sz w:val="24"/>
          <w:szCs w:val="24"/>
        </w:rPr>
        <w:t>as a result of the appreciation of Malaysian Ringgit against foreign currencies</w:t>
      </w:r>
      <w:r w:rsidR="00CD5C86">
        <w:rPr>
          <w:rFonts w:ascii="Arial" w:hAnsi="Arial" w:cs="Arial"/>
          <w:sz w:val="24"/>
          <w:szCs w:val="24"/>
        </w:rPr>
        <w:t xml:space="preserve">. Since </w:t>
      </w:r>
      <w:r w:rsidR="00CD5C86" w:rsidRPr="003103D3">
        <w:rPr>
          <w:rFonts w:ascii="Arial" w:hAnsi="Arial" w:cs="Arial"/>
          <w:sz w:val="24"/>
          <w:szCs w:val="24"/>
        </w:rPr>
        <w:t xml:space="preserve">the Group’s </w:t>
      </w:r>
      <w:r w:rsidR="00FB62F8">
        <w:rPr>
          <w:rFonts w:ascii="Arial" w:hAnsi="Arial" w:cs="Arial"/>
          <w:sz w:val="24"/>
          <w:szCs w:val="24"/>
        </w:rPr>
        <w:t xml:space="preserve">revenue was </w:t>
      </w:r>
      <w:r w:rsidR="003103D3" w:rsidRPr="003103D3">
        <w:rPr>
          <w:rFonts w:ascii="Arial" w:hAnsi="Arial" w:cs="Arial"/>
          <w:sz w:val="24"/>
          <w:szCs w:val="24"/>
        </w:rPr>
        <w:t>denominated in</w:t>
      </w:r>
      <w:r w:rsidR="00FB62F8">
        <w:rPr>
          <w:rFonts w:ascii="Arial" w:hAnsi="Arial" w:cs="Arial"/>
          <w:sz w:val="24"/>
          <w:szCs w:val="24"/>
        </w:rPr>
        <w:t xml:space="preserve"> US Dollar</w:t>
      </w:r>
      <w:r w:rsidR="003103D3" w:rsidRPr="003103D3">
        <w:rPr>
          <w:rFonts w:ascii="Arial" w:hAnsi="Arial" w:cs="Arial"/>
          <w:sz w:val="24"/>
          <w:szCs w:val="24"/>
        </w:rPr>
        <w:t>.</w:t>
      </w:r>
      <w:r w:rsidR="00FB62F8">
        <w:rPr>
          <w:rFonts w:ascii="Arial" w:hAnsi="Arial" w:cs="Arial"/>
          <w:sz w:val="24"/>
          <w:szCs w:val="24"/>
        </w:rPr>
        <w:t xml:space="preserve"> Hence,</w:t>
      </w:r>
      <w:r w:rsidR="003103D3" w:rsidRPr="003103D3">
        <w:rPr>
          <w:rFonts w:ascii="Arial" w:hAnsi="Arial" w:cs="Arial"/>
          <w:sz w:val="24"/>
          <w:szCs w:val="24"/>
        </w:rPr>
        <w:t xml:space="preserve"> the appreciation of Malaysian Ringgit would cause a drop in the Group’s gross profit </w:t>
      </w:r>
      <w:r w:rsidR="003103D3" w:rsidRPr="003103D3">
        <w:rPr>
          <w:rFonts w:ascii="Arial" w:hAnsi="Arial" w:cs="Arial"/>
          <w:sz w:val="24"/>
          <w:szCs w:val="24"/>
        </w:rPr>
        <w:lastRenderedPageBreak/>
        <w:t>margin during the Year as compared to the corresponding year.</w:t>
      </w:r>
      <w:r w:rsidR="00FB62F8">
        <w:rPr>
          <w:rFonts w:ascii="Arial" w:hAnsi="Arial" w:cs="Arial"/>
          <w:sz w:val="24"/>
          <w:szCs w:val="24"/>
        </w:rPr>
        <w:t xml:space="preserve"> </w:t>
      </w:r>
      <w:r w:rsidRPr="00892561">
        <w:rPr>
          <w:rFonts w:ascii="Arial" w:hAnsi="Arial" w:cs="Arial"/>
          <w:sz w:val="24"/>
          <w:szCs w:val="24"/>
        </w:rPr>
        <w:t xml:space="preserve">The structure of the company is strong with high market capitalization. The current market capitalization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is $ 389.6 Million which is </w:t>
      </w:r>
      <w:r w:rsidR="003778BA">
        <w:rPr>
          <w:rFonts w:ascii="Arial" w:hAnsi="Arial" w:cs="Arial"/>
          <w:sz w:val="24"/>
          <w:szCs w:val="24"/>
        </w:rPr>
        <w:t xml:space="preserve">considered as </w:t>
      </w:r>
      <w:r w:rsidRPr="00892561">
        <w:rPr>
          <w:rFonts w:ascii="Arial" w:hAnsi="Arial" w:cs="Arial"/>
          <w:sz w:val="24"/>
          <w:szCs w:val="24"/>
        </w:rPr>
        <w:t xml:space="preserve">high and effective. There are two main competitors as well which have been selected for the same analysis. The names of the competitors are Xinyi Automobiles and Johnson Electric Holdings which are making and presenting somewhat similar products to the company. </w:t>
      </w:r>
    </w:p>
    <w:p w14:paraId="55423483"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br w:type="page"/>
      </w:r>
    </w:p>
    <w:p w14:paraId="67E56F16" w14:textId="5D073313" w:rsidR="00132A2C" w:rsidRDefault="00132A2C" w:rsidP="00892561">
      <w:pPr>
        <w:pStyle w:val="Heading1"/>
        <w:numPr>
          <w:ilvl w:val="0"/>
          <w:numId w:val="2"/>
        </w:numPr>
        <w:jc w:val="left"/>
        <w:rPr>
          <w:rFonts w:ascii="Arial" w:hAnsi="Arial" w:cs="Arial"/>
          <w:sz w:val="24"/>
          <w:szCs w:val="24"/>
        </w:rPr>
      </w:pPr>
      <w:bookmarkStart w:id="2" w:name="_Toc15819806"/>
      <w:r w:rsidRPr="00892561">
        <w:rPr>
          <w:rFonts w:ascii="Arial" w:hAnsi="Arial" w:cs="Arial"/>
          <w:sz w:val="24"/>
          <w:szCs w:val="24"/>
        </w:rPr>
        <w:lastRenderedPageBreak/>
        <w:t>Financial Analysis</w:t>
      </w:r>
      <w:bookmarkEnd w:id="2"/>
    </w:p>
    <w:p w14:paraId="783F3DC9" w14:textId="77777777" w:rsidR="00892561" w:rsidRPr="00892561" w:rsidRDefault="00892561" w:rsidP="00892561">
      <w:pPr>
        <w:rPr>
          <w:lang w:val="en-US" w:eastAsia="en-US"/>
        </w:rPr>
      </w:pPr>
    </w:p>
    <w:p w14:paraId="67E3959A" w14:textId="2E86D57A" w:rsidR="00132A2C" w:rsidRPr="00892561" w:rsidRDefault="00132A2C" w:rsidP="00892561">
      <w:pPr>
        <w:spacing w:line="480" w:lineRule="auto"/>
        <w:rPr>
          <w:rFonts w:ascii="Arial" w:hAnsi="Arial" w:cs="Arial"/>
          <w:b/>
          <w:sz w:val="24"/>
          <w:szCs w:val="24"/>
        </w:rPr>
      </w:pPr>
      <w:r w:rsidRPr="00892561">
        <w:rPr>
          <w:rFonts w:ascii="Arial" w:hAnsi="Arial" w:cs="Arial"/>
          <w:sz w:val="24"/>
          <w:szCs w:val="24"/>
        </w:rPr>
        <w:t>Financial Analysis is an important and valuable tool that uses by the investors and other managerial officials to assess the financial performance and position of an organization. Based on the calculated financial performance and positioning they take valuable economic decisions. This part of the assignment is divided into our main sections (</w:t>
      </w:r>
      <w:r w:rsidRPr="00892561">
        <w:rPr>
          <w:rFonts w:ascii="Arial" w:hAnsi="Arial" w:cs="Arial"/>
          <w:color w:val="222222"/>
          <w:sz w:val="24"/>
          <w:szCs w:val="24"/>
          <w:shd w:val="clear" w:color="auto" w:fill="FFFFFF"/>
        </w:rPr>
        <w:t>Kaplan and Atkinson, 2015)</w:t>
      </w:r>
      <w:r w:rsidRPr="00892561">
        <w:rPr>
          <w:rFonts w:ascii="Arial" w:hAnsi="Arial" w:cs="Arial"/>
          <w:sz w:val="24"/>
          <w:szCs w:val="24"/>
        </w:rPr>
        <w:t xml:space="preserve">. The first section is about the trend analysis that followed by Horizontal and Vertical analysis. Finally, the section will be summing up with the financial ratio analysis. </w:t>
      </w:r>
    </w:p>
    <w:p w14:paraId="20EF2364" w14:textId="77777777" w:rsidR="00132A2C" w:rsidRPr="00892561" w:rsidRDefault="00132A2C" w:rsidP="00892561">
      <w:pPr>
        <w:pStyle w:val="Heading2"/>
        <w:spacing w:line="480" w:lineRule="auto"/>
        <w:rPr>
          <w:rFonts w:ascii="Arial" w:hAnsi="Arial" w:cs="Arial"/>
          <w:sz w:val="24"/>
          <w:szCs w:val="24"/>
        </w:rPr>
      </w:pPr>
      <w:bookmarkStart w:id="3" w:name="_Toc15819807"/>
      <w:r w:rsidRPr="00892561">
        <w:rPr>
          <w:rFonts w:ascii="Arial" w:hAnsi="Arial" w:cs="Arial"/>
          <w:sz w:val="24"/>
          <w:szCs w:val="24"/>
        </w:rPr>
        <w:t>Trend Analysis</w:t>
      </w:r>
      <w:bookmarkEnd w:id="3"/>
    </w:p>
    <w:p w14:paraId="112D8321" w14:textId="7B12F9F7" w:rsidR="00132A2C" w:rsidRDefault="00132A2C" w:rsidP="00892561">
      <w:pPr>
        <w:spacing w:line="480" w:lineRule="auto"/>
        <w:rPr>
          <w:rFonts w:ascii="Arial" w:hAnsi="Arial" w:cs="Arial"/>
          <w:sz w:val="24"/>
          <w:szCs w:val="24"/>
        </w:rPr>
      </w:pPr>
      <w:r w:rsidRPr="00892561">
        <w:rPr>
          <w:rFonts w:ascii="Arial" w:hAnsi="Arial" w:cs="Arial"/>
          <w:sz w:val="24"/>
          <w:szCs w:val="24"/>
        </w:rPr>
        <w:t xml:space="preserve">Trend analysis is an important part of the ratio analysis. It is the analytical tool that </w:t>
      </w:r>
      <w:r w:rsidR="006630EE" w:rsidRPr="00892561">
        <w:rPr>
          <w:rFonts w:ascii="Arial" w:hAnsi="Arial" w:cs="Arial"/>
          <w:sz w:val="24"/>
          <w:szCs w:val="24"/>
        </w:rPr>
        <w:t>analyses</w:t>
      </w:r>
      <w:r w:rsidRPr="00892561">
        <w:rPr>
          <w:rFonts w:ascii="Arial" w:hAnsi="Arial" w:cs="Arial"/>
          <w:sz w:val="24"/>
          <w:szCs w:val="24"/>
        </w:rPr>
        <w:t xml:space="preserve"> the trend of the revenue, net income and other important provisions associated with the financial statement of the company (</w:t>
      </w:r>
      <w:r w:rsidRPr="00892561">
        <w:rPr>
          <w:rFonts w:ascii="Arial" w:hAnsi="Arial" w:cs="Arial"/>
          <w:color w:val="222222"/>
          <w:sz w:val="24"/>
          <w:szCs w:val="24"/>
          <w:shd w:val="clear" w:color="auto" w:fill="FFFFFF"/>
        </w:rPr>
        <w:t>Kaplan, 2017)</w:t>
      </w:r>
      <w:r w:rsidRPr="00892561">
        <w:rPr>
          <w:rFonts w:ascii="Arial" w:hAnsi="Arial" w:cs="Arial"/>
          <w:sz w:val="24"/>
          <w:szCs w:val="24"/>
        </w:rPr>
        <w:t xml:space="preserve">. There are two main factors which have been considered for this part. These factors are revenue and net income. The trend of the revenue and net income of the companies have been </w:t>
      </w:r>
      <w:r w:rsidR="006630EE" w:rsidRPr="00892561">
        <w:rPr>
          <w:rFonts w:ascii="Arial" w:hAnsi="Arial" w:cs="Arial"/>
          <w:sz w:val="24"/>
          <w:szCs w:val="24"/>
        </w:rPr>
        <w:t>analysed</w:t>
      </w:r>
      <w:r w:rsidRPr="00892561">
        <w:rPr>
          <w:rFonts w:ascii="Arial" w:hAnsi="Arial" w:cs="Arial"/>
          <w:sz w:val="24"/>
          <w:szCs w:val="24"/>
        </w:rPr>
        <w:t xml:space="preserve"> </w:t>
      </w:r>
      <w:proofErr w:type="gramStart"/>
      <w:r w:rsidRPr="00892561">
        <w:rPr>
          <w:rFonts w:ascii="Arial" w:hAnsi="Arial" w:cs="Arial"/>
          <w:sz w:val="24"/>
          <w:szCs w:val="24"/>
        </w:rPr>
        <w:t>on the basis of</w:t>
      </w:r>
      <w:proofErr w:type="gramEnd"/>
      <w:r w:rsidRPr="00892561">
        <w:rPr>
          <w:rFonts w:ascii="Arial" w:hAnsi="Arial" w:cs="Arial"/>
          <w:sz w:val="24"/>
          <w:szCs w:val="24"/>
        </w:rPr>
        <w:t xml:space="preserve"> different years (</w:t>
      </w:r>
      <w:proofErr w:type="spellStart"/>
      <w:r w:rsidRPr="00892561">
        <w:rPr>
          <w:rFonts w:ascii="Arial" w:hAnsi="Arial" w:cs="Arial"/>
          <w:color w:val="222222"/>
          <w:sz w:val="24"/>
          <w:szCs w:val="24"/>
          <w:shd w:val="clear" w:color="auto" w:fill="FFFFFF"/>
        </w:rPr>
        <w:t>Dyllick</w:t>
      </w:r>
      <w:proofErr w:type="spellEnd"/>
      <w:r w:rsidRPr="00892561">
        <w:rPr>
          <w:rFonts w:ascii="Arial" w:hAnsi="Arial" w:cs="Arial"/>
          <w:color w:val="222222"/>
          <w:sz w:val="24"/>
          <w:szCs w:val="24"/>
          <w:shd w:val="clear" w:color="auto" w:fill="FFFFFF"/>
        </w:rPr>
        <w:t xml:space="preserve"> and Muff, 2016)</w:t>
      </w:r>
      <w:r w:rsidRPr="00892561">
        <w:rPr>
          <w:rFonts w:ascii="Arial" w:hAnsi="Arial" w:cs="Arial"/>
          <w:sz w:val="24"/>
          <w:szCs w:val="24"/>
        </w:rPr>
        <w:t>. The trend relating to revenue and net income of the companies is as follows</w:t>
      </w:r>
      <w:r w:rsidR="00892561">
        <w:rPr>
          <w:rFonts w:ascii="Arial" w:hAnsi="Arial" w:cs="Arial"/>
          <w:sz w:val="24"/>
          <w:szCs w:val="24"/>
        </w:rPr>
        <w:t>.</w:t>
      </w:r>
    </w:p>
    <w:p w14:paraId="220C6381" w14:textId="260ADDC8" w:rsidR="0099288C" w:rsidRPr="0099288C" w:rsidRDefault="0099288C" w:rsidP="00892561">
      <w:pPr>
        <w:spacing w:line="480" w:lineRule="auto"/>
        <w:rPr>
          <w:rFonts w:ascii="Arial" w:hAnsi="Arial" w:cs="Arial"/>
          <w:sz w:val="24"/>
          <w:szCs w:val="24"/>
          <w:u w:val="single"/>
        </w:rPr>
      </w:pPr>
      <w:r w:rsidRPr="0099288C">
        <w:rPr>
          <w:rFonts w:ascii="Arial" w:hAnsi="Arial" w:cs="Arial"/>
          <w:sz w:val="24"/>
          <w:szCs w:val="24"/>
          <w:u w:val="single"/>
        </w:rPr>
        <w:t>Table 2.1 The revenue trend from 2016 - 2018</w:t>
      </w:r>
    </w:p>
    <w:p w14:paraId="1A0C4DA0" w14:textId="178876FB" w:rsidR="00132A2C"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lastRenderedPageBreak/>
        <w:drawing>
          <wp:inline distT="0" distB="0" distL="0" distR="0" wp14:anchorId="0ACF7EC3" wp14:editId="553EC3FF">
            <wp:extent cx="5943600" cy="25781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9493B9F" w14:textId="1D2D0F70" w:rsidR="0099288C" w:rsidRPr="000F53F3" w:rsidRDefault="0099288C" w:rsidP="00132A2C">
      <w:pPr>
        <w:spacing w:line="360" w:lineRule="auto"/>
        <w:rPr>
          <w:rFonts w:ascii="Times New Roman" w:hAnsi="Times New Roman" w:cs="Times New Roman"/>
          <w:sz w:val="24"/>
          <w:szCs w:val="24"/>
        </w:rPr>
      </w:pPr>
      <w:r w:rsidRPr="0099288C">
        <w:rPr>
          <w:rFonts w:ascii="Arial" w:hAnsi="Arial" w:cs="Arial"/>
          <w:sz w:val="24"/>
          <w:szCs w:val="24"/>
          <w:u w:val="single"/>
        </w:rPr>
        <w:t>Table 2.</w:t>
      </w:r>
      <w:r>
        <w:rPr>
          <w:rFonts w:ascii="Arial" w:hAnsi="Arial" w:cs="Arial"/>
          <w:sz w:val="24"/>
          <w:szCs w:val="24"/>
          <w:u w:val="single"/>
        </w:rPr>
        <w:t>2</w:t>
      </w:r>
      <w:r w:rsidRPr="0099288C">
        <w:rPr>
          <w:rFonts w:ascii="Arial" w:hAnsi="Arial" w:cs="Arial"/>
          <w:sz w:val="24"/>
          <w:szCs w:val="24"/>
          <w:u w:val="single"/>
        </w:rPr>
        <w:t xml:space="preserve"> The </w:t>
      </w:r>
      <w:r>
        <w:rPr>
          <w:rFonts w:ascii="Arial" w:hAnsi="Arial" w:cs="Arial"/>
          <w:sz w:val="24"/>
          <w:szCs w:val="24"/>
          <w:u w:val="single"/>
        </w:rPr>
        <w:t>net income</w:t>
      </w:r>
      <w:r w:rsidRPr="0099288C">
        <w:rPr>
          <w:rFonts w:ascii="Arial" w:hAnsi="Arial" w:cs="Arial"/>
          <w:sz w:val="24"/>
          <w:szCs w:val="24"/>
          <w:u w:val="single"/>
        </w:rPr>
        <w:t xml:space="preserve"> trend from 2016 - 2018</w:t>
      </w:r>
    </w:p>
    <w:p w14:paraId="650AB549"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drawing>
          <wp:inline distT="0" distB="0" distL="0" distR="0" wp14:anchorId="63F20093" wp14:editId="560CF9AB">
            <wp:extent cx="6012099" cy="2743200"/>
            <wp:effectExtent l="19050" t="0" r="26751"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C28926" w14:textId="6D04A97E" w:rsidR="00FD0845" w:rsidRDefault="00132A2C" w:rsidP="00892561">
      <w:pPr>
        <w:spacing w:line="480" w:lineRule="auto"/>
        <w:rPr>
          <w:rFonts w:ascii="Arial" w:hAnsi="Arial" w:cs="Arial"/>
          <w:sz w:val="24"/>
          <w:szCs w:val="24"/>
        </w:rPr>
      </w:pPr>
      <w:r w:rsidRPr="00892561">
        <w:rPr>
          <w:rFonts w:ascii="Arial" w:hAnsi="Arial" w:cs="Arial"/>
          <w:sz w:val="24"/>
          <w:szCs w:val="24"/>
        </w:rPr>
        <w:t xml:space="preserve">Firstly, the trend about the revenue recognition has been selected. From the </w:t>
      </w:r>
      <w:r w:rsidR="006630EE" w:rsidRPr="00892561">
        <w:rPr>
          <w:rFonts w:ascii="Arial" w:hAnsi="Arial" w:cs="Arial"/>
          <w:sz w:val="24"/>
          <w:szCs w:val="24"/>
        </w:rPr>
        <w:t>revenue-based</w:t>
      </w:r>
      <w:r w:rsidRPr="00892561">
        <w:rPr>
          <w:rFonts w:ascii="Arial" w:hAnsi="Arial" w:cs="Arial"/>
          <w:sz w:val="24"/>
          <w:szCs w:val="24"/>
        </w:rPr>
        <w:t xml:space="preserve"> graph, it is found that the revenue of all the selected companies increased positively with each of the passing year.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managed to generate revenue of U</w:t>
      </w:r>
      <w:r w:rsidR="00FD0845">
        <w:rPr>
          <w:rFonts w:ascii="Arial" w:hAnsi="Arial" w:cs="Arial"/>
          <w:sz w:val="24"/>
          <w:szCs w:val="24"/>
        </w:rPr>
        <w:t>S</w:t>
      </w:r>
      <w:r w:rsidRPr="00892561">
        <w:rPr>
          <w:rFonts w:ascii="Arial" w:hAnsi="Arial" w:cs="Arial"/>
          <w:sz w:val="24"/>
          <w:szCs w:val="24"/>
        </w:rPr>
        <w:t>$ 48.69 Million in the fiscal year 2016</w:t>
      </w:r>
      <w:r w:rsidR="007D5ABC">
        <w:rPr>
          <w:rFonts w:ascii="Arial" w:hAnsi="Arial" w:cs="Arial"/>
          <w:sz w:val="24"/>
          <w:szCs w:val="24"/>
        </w:rPr>
        <w:t xml:space="preserve">, </w:t>
      </w:r>
      <w:r w:rsidR="007D5ABC" w:rsidRPr="007D5ABC">
        <w:rPr>
          <w:rFonts w:ascii="Arial" w:hAnsi="Arial" w:cs="Arial"/>
          <w:sz w:val="24"/>
          <w:szCs w:val="24"/>
        </w:rPr>
        <w:t>US$</w:t>
      </w:r>
      <w:r w:rsidR="007D5ABC">
        <w:rPr>
          <w:rFonts w:ascii="Arial" w:hAnsi="Arial" w:cs="Arial"/>
          <w:sz w:val="24"/>
          <w:szCs w:val="24"/>
        </w:rPr>
        <w:t xml:space="preserve"> </w:t>
      </w:r>
      <w:r w:rsidR="007D5ABC" w:rsidRPr="007D5ABC">
        <w:rPr>
          <w:rFonts w:ascii="Arial" w:hAnsi="Arial" w:cs="Arial"/>
          <w:sz w:val="24"/>
          <w:szCs w:val="24"/>
        </w:rPr>
        <w:t xml:space="preserve">50.35 </w:t>
      </w:r>
      <w:r w:rsidR="007D5ABC">
        <w:rPr>
          <w:rFonts w:ascii="Arial" w:hAnsi="Arial" w:cs="Arial"/>
          <w:sz w:val="24"/>
          <w:szCs w:val="24"/>
        </w:rPr>
        <w:t>M</w:t>
      </w:r>
      <w:r w:rsidR="007D5ABC" w:rsidRPr="007D5ABC">
        <w:rPr>
          <w:rFonts w:ascii="Arial" w:hAnsi="Arial" w:cs="Arial"/>
          <w:sz w:val="24"/>
          <w:szCs w:val="24"/>
        </w:rPr>
        <w:t>illion</w:t>
      </w:r>
      <w:r w:rsidR="007D5ABC">
        <w:rPr>
          <w:rFonts w:ascii="Arial" w:hAnsi="Arial" w:cs="Arial"/>
          <w:sz w:val="24"/>
          <w:szCs w:val="24"/>
        </w:rPr>
        <w:t xml:space="preserve"> in the fiscal year 2017 and US$ 57.09 Million in the fiscal year 2018. </w:t>
      </w:r>
      <w:r w:rsidRPr="00892561">
        <w:rPr>
          <w:rFonts w:ascii="Arial" w:hAnsi="Arial" w:cs="Arial"/>
          <w:sz w:val="24"/>
          <w:szCs w:val="24"/>
        </w:rPr>
        <w:t xml:space="preserve">The trend of the revenue has shown an upward trend in the upcoming two years as well. The revenue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increased for two consecutive years. The revenue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increased by 3.42% and </w:t>
      </w:r>
      <w:r w:rsidRPr="00892561">
        <w:rPr>
          <w:rFonts w:ascii="Arial" w:hAnsi="Arial" w:cs="Arial"/>
          <w:sz w:val="24"/>
          <w:szCs w:val="24"/>
        </w:rPr>
        <w:lastRenderedPageBreak/>
        <w:t xml:space="preserve">13.38% for years (FYs) 2017 and 2018 respectively. It is showing that the revenue recognition aspect of the company increased with each of the passing year. It is a positive point from the viewpoint of the entity. The mean revenue growth in the couple of years is 8.40%, which is quite efficient and valuable. It is showing that the revenue of the entity increased with a specific percentage. Xinyi Automobile Glass is the second company that has been embarked in the same section. The ride and increment in the revenue proportion of the company is more or like the same as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w:t>
      </w:r>
      <w:r w:rsidR="00FD0845">
        <w:rPr>
          <w:rFonts w:ascii="Arial" w:hAnsi="Arial" w:cs="Arial"/>
          <w:sz w:val="24"/>
          <w:szCs w:val="24"/>
        </w:rPr>
        <w:t xml:space="preserve">International </w:t>
      </w:r>
      <w:r w:rsidRPr="00892561">
        <w:rPr>
          <w:rFonts w:ascii="Arial" w:hAnsi="Arial" w:cs="Arial"/>
          <w:sz w:val="24"/>
          <w:szCs w:val="24"/>
        </w:rPr>
        <w:t xml:space="preserve">Limited. In the year 2016, the revenue of Xinyi Automobile Glass was US$ 7.72 Million that moved to US$ 16.26 Million and US$ 25.13 Million FYs 2017 and 2018 respectively. On average, the revenue of Xinyi Automobile Glass increased by 82.62% in the selective the period of 2 years. Last, but not the least there is a company named Johnson Electric Holdings. The company generated net revenue of US$ 2,235.94 Million in the fiscal year 2016. Fortunate for them as well that their revenue also increased likewise other two companies. Their revenue increased by 24.16% and 16.59% for years 2017 and 2018 respectively. In short, </w:t>
      </w:r>
    </w:p>
    <w:p w14:paraId="66D99A44" w14:textId="1BDE3F95" w:rsidR="00132A2C" w:rsidRPr="00892561" w:rsidRDefault="00FD0845" w:rsidP="00892561">
      <w:pPr>
        <w:spacing w:line="480" w:lineRule="auto"/>
        <w:rPr>
          <w:rFonts w:ascii="Arial" w:hAnsi="Arial" w:cs="Arial"/>
          <w:sz w:val="24"/>
          <w:szCs w:val="24"/>
        </w:rPr>
      </w:pPr>
      <w:proofErr w:type="spellStart"/>
      <w:r>
        <w:rPr>
          <w:rFonts w:ascii="Arial" w:hAnsi="Arial" w:cs="Arial"/>
          <w:sz w:val="24"/>
          <w:szCs w:val="24"/>
        </w:rPr>
        <w:t>Gemilang</w:t>
      </w:r>
      <w:proofErr w:type="spellEnd"/>
      <w:r>
        <w:rPr>
          <w:rFonts w:ascii="Arial" w:hAnsi="Arial" w:cs="Arial"/>
          <w:sz w:val="24"/>
          <w:szCs w:val="24"/>
        </w:rPr>
        <w:t xml:space="preserve"> International Limited has less momentum than its competitors, however i</w:t>
      </w:r>
      <w:r w:rsidR="00132A2C" w:rsidRPr="00892561">
        <w:rPr>
          <w:rFonts w:ascii="Arial" w:hAnsi="Arial" w:cs="Arial"/>
          <w:sz w:val="24"/>
          <w:szCs w:val="24"/>
        </w:rPr>
        <w:t xml:space="preserve">t can be said that the trend of the revenue of </w:t>
      </w:r>
      <w:r>
        <w:rPr>
          <w:rFonts w:ascii="Arial" w:hAnsi="Arial" w:cs="Arial"/>
          <w:sz w:val="24"/>
          <w:szCs w:val="24"/>
        </w:rPr>
        <w:t>all the</w:t>
      </w:r>
      <w:r w:rsidR="00132A2C" w:rsidRPr="00892561">
        <w:rPr>
          <w:rFonts w:ascii="Arial" w:hAnsi="Arial" w:cs="Arial"/>
          <w:sz w:val="24"/>
          <w:szCs w:val="24"/>
        </w:rPr>
        <w:t xml:space="preserve"> companies were </w:t>
      </w:r>
      <w:r>
        <w:rPr>
          <w:rFonts w:ascii="Arial" w:hAnsi="Arial" w:cs="Arial"/>
          <w:sz w:val="24"/>
          <w:szCs w:val="24"/>
        </w:rPr>
        <w:t xml:space="preserve">in </w:t>
      </w:r>
      <w:r w:rsidR="00132A2C" w:rsidRPr="00892561">
        <w:rPr>
          <w:rFonts w:ascii="Arial" w:hAnsi="Arial" w:cs="Arial"/>
          <w:sz w:val="24"/>
          <w:szCs w:val="24"/>
        </w:rPr>
        <w:t>upward and increasing.</w:t>
      </w:r>
      <w:r>
        <w:rPr>
          <w:rFonts w:ascii="Arial" w:hAnsi="Arial" w:cs="Arial"/>
          <w:sz w:val="24"/>
          <w:szCs w:val="24"/>
        </w:rPr>
        <w:t xml:space="preserve"> </w:t>
      </w:r>
    </w:p>
    <w:p w14:paraId="4500205C" w14:textId="4321D310"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Moving on to the 2</w:t>
      </w:r>
      <w:r w:rsidRPr="00892561">
        <w:rPr>
          <w:rFonts w:ascii="Arial" w:hAnsi="Arial" w:cs="Arial"/>
          <w:sz w:val="24"/>
          <w:szCs w:val="24"/>
          <w:vertAlign w:val="superscript"/>
        </w:rPr>
        <w:t>nd</w:t>
      </w:r>
      <w:r w:rsidRPr="00892561">
        <w:rPr>
          <w:rFonts w:ascii="Arial" w:hAnsi="Arial" w:cs="Arial"/>
          <w:sz w:val="24"/>
          <w:szCs w:val="24"/>
        </w:rPr>
        <w:t xml:space="preserve"> trend of the report, this is about the net income</w:t>
      </w:r>
      <w:r w:rsidR="00FD0845">
        <w:rPr>
          <w:rFonts w:ascii="Arial" w:hAnsi="Arial" w:cs="Arial"/>
          <w:sz w:val="24"/>
          <w:szCs w:val="24"/>
        </w:rPr>
        <w:t xml:space="preserve"> comparison</w:t>
      </w:r>
      <w:r w:rsidRPr="00892561">
        <w:rPr>
          <w:rFonts w:ascii="Arial" w:hAnsi="Arial" w:cs="Arial"/>
          <w:sz w:val="24"/>
          <w:szCs w:val="24"/>
        </w:rPr>
        <w:t xml:space="preserve">. From the </w:t>
      </w:r>
      <w:r w:rsidR="00FD0845" w:rsidRPr="00892561">
        <w:rPr>
          <w:rFonts w:ascii="Arial" w:hAnsi="Arial" w:cs="Arial"/>
          <w:sz w:val="24"/>
          <w:szCs w:val="24"/>
        </w:rPr>
        <w:t>income-based</w:t>
      </w:r>
      <w:r w:rsidRPr="00892561">
        <w:rPr>
          <w:rFonts w:ascii="Arial" w:hAnsi="Arial" w:cs="Arial"/>
          <w:sz w:val="24"/>
          <w:szCs w:val="24"/>
        </w:rPr>
        <w:t xml:space="preserve"> graph, it is found that the net income has a mixed </w:t>
      </w:r>
      <w:r w:rsidR="00FD0845" w:rsidRPr="00892561">
        <w:rPr>
          <w:rFonts w:ascii="Arial" w:hAnsi="Arial" w:cs="Arial"/>
          <w:sz w:val="24"/>
          <w:szCs w:val="24"/>
        </w:rPr>
        <w:t>behaviour</w:t>
      </w:r>
      <w:r w:rsidRPr="00892561">
        <w:rPr>
          <w:rFonts w:ascii="Arial" w:hAnsi="Arial" w:cs="Arial"/>
          <w:sz w:val="24"/>
          <w:szCs w:val="24"/>
        </w:rPr>
        <w:t xml:space="preserve"> in each of selected organizations.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managed to generate net income of U</w:t>
      </w:r>
      <w:r w:rsidR="00FD0845">
        <w:rPr>
          <w:rFonts w:ascii="Arial" w:hAnsi="Arial" w:cs="Arial"/>
          <w:sz w:val="24"/>
          <w:szCs w:val="24"/>
        </w:rPr>
        <w:t>S</w:t>
      </w:r>
      <w:r w:rsidRPr="00892561">
        <w:rPr>
          <w:rFonts w:ascii="Arial" w:hAnsi="Arial" w:cs="Arial"/>
          <w:sz w:val="24"/>
          <w:szCs w:val="24"/>
        </w:rPr>
        <w:t xml:space="preserve">$ 2.116 Million in the fiscal year 2016. The trend of the revenue has shown a downward trend in the upcoming two years as well. The net income of the entity decreased for two consecutive years. The net income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decreased by 44% and 222% for years (FYs) 2017 </w:t>
      </w:r>
      <w:r w:rsidRPr="00892561">
        <w:rPr>
          <w:rFonts w:ascii="Arial" w:hAnsi="Arial" w:cs="Arial"/>
          <w:sz w:val="24"/>
          <w:szCs w:val="24"/>
        </w:rPr>
        <w:lastRenderedPageBreak/>
        <w:t xml:space="preserve">and 2018 respectively. It is showing that the net income provision of the company decreased with each of the passing year, which is not an attractive situation for the potential investors of the entity. Xinyi Automobile Glass is the second company that has been </w:t>
      </w:r>
      <w:r w:rsidR="00484354" w:rsidRPr="00892561">
        <w:rPr>
          <w:rFonts w:ascii="Arial" w:hAnsi="Arial" w:cs="Arial"/>
          <w:sz w:val="24"/>
          <w:szCs w:val="24"/>
        </w:rPr>
        <w:t>analysed</w:t>
      </w:r>
      <w:r w:rsidRPr="00892561">
        <w:rPr>
          <w:rFonts w:ascii="Arial" w:hAnsi="Arial" w:cs="Arial"/>
          <w:sz w:val="24"/>
          <w:szCs w:val="24"/>
        </w:rPr>
        <w:t xml:space="preserve"> here. Unlikely,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the net income of Xinyi Automobile Glass increased proficiently in the upcoming two years. The net income generated by the corporation in the fiscal period of 2016 was US$ 0.0092 Million that increased by 14.79% and 529.77% respective for the years 2017 and 2018 respectively. On average, the net income of Xinyi Automobile Glass increased by more than 100% in the selective the period of 2 years, which is showing an effective management of the revenue and finding new avenues for the income generation. Lastly, Johnson Electric Holdings Company has been </w:t>
      </w:r>
      <w:r w:rsidR="00484354" w:rsidRPr="00892561">
        <w:rPr>
          <w:rFonts w:ascii="Arial" w:hAnsi="Arial" w:cs="Arial"/>
          <w:sz w:val="24"/>
          <w:szCs w:val="24"/>
        </w:rPr>
        <w:t>analysed</w:t>
      </w:r>
      <w:r w:rsidRPr="00892561">
        <w:rPr>
          <w:rFonts w:ascii="Arial" w:hAnsi="Arial" w:cs="Arial"/>
          <w:sz w:val="24"/>
          <w:szCs w:val="24"/>
        </w:rPr>
        <w:t xml:space="preserve"> here. The company generated net income of US$ 182.74 Million in the fiscal year 2016. Likewise, Xinyi Automobile</w:t>
      </w:r>
      <w:r w:rsidR="00484354">
        <w:rPr>
          <w:rFonts w:ascii="Arial" w:hAnsi="Arial" w:cs="Arial"/>
          <w:sz w:val="24"/>
          <w:szCs w:val="24"/>
        </w:rPr>
        <w:t xml:space="preserve"> Glass</w:t>
      </w:r>
      <w:r w:rsidRPr="00892561">
        <w:rPr>
          <w:rFonts w:ascii="Arial" w:hAnsi="Arial" w:cs="Arial"/>
          <w:sz w:val="24"/>
          <w:szCs w:val="24"/>
        </w:rPr>
        <w:t xml:space="preserve">, the net income of the company increased also in the upcoming years by 12.53% and 23.44% respectively. In short, it can be said that the trend of net income was upward for Xinyi Automobile and Johnson Electric, but it had a downward trend in the case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w:t>
      </w:r>
    </w:p>
    <w:p w14:paraId="30E6345A" w14:textId="77777777" w:rsidR="00132A2C" w:rsidRPr="00892561" w:rsidRDefault="00132A2C" w:rsidP="00892561">
      <w:pPr>
        <w:pStyle w:val="Heading2"/>
        <w:spacing w:line="480" w:lineRule="auto"/>
        <w:rPr>
          <w:rFonts w:ascii="Arial" w:hAnsi="Arial" w:cs="Arial"/>
          <w:sz w:val="24"/>
          <w:szCs w:val="24"/>
        </w:rPr>
      </w:pPr>
      <w:bookmarkStart w:id="4" w:name="_Toc15819808"/>
      <w:r w:rsidRPr="00892561">
        <w:rPr>
          <w:rFonts w:ascii="Arial" w:hAnsi="Arial" w:cs="Arial"/>
          <w:sz w:val="24"/>
          <w:szCs w:val="24"/>
        </w:rPr>
        <w:t>Horizontal Analysis</w:t>
      </w:r>
      <w:bookmarkEnd w:id="4"/>
    </w:p>
    <w:p w14:paraId="0A732CC0" w14:textId="25CB3983"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 xml:space="preserve">Horizontal analysis is another important part of the financial analysis that </w:t>
      </w:r>
      <w:proofErr w:type="spellStart"/>
      <w:r w:rsidRPr="00892561">
        <w:rPr>
          <w:rFonts w:ascii="Arial" w:hAnsi="Arial" w:cs="Arial"/>
          <w:sz w:val="24"/>
          <w:szCs w:val="24"/>
        </w:rPr>
        <w:t>analyzes</w:t>
      </w:r>
      <w:proofErr w:type="spellEnd"/>
      <w:r w:rsidRPr="00892561">
        <w:rPr>
          <w:rFonts w:ascii="Arial" w:hAnsi="Arial" w:cs="Arial"/>
          <w:sz w:val="24"/>
          <w:szCs w:val="24"/>
        </w:rPr>
        <w:t xml:space="preserve"> the financial performance and positioning of the company. This tool </w:t>
      </w:r>
      <w:proofErr w:type="spellStart"/>
      <w:r w:rsidRPr="00892561">
        <w:rPr>
          <w:rFonts w:ascii="Arial" w:hAnsi="Arial" w:cs="Arial"/>
          <w:sz w:val="24"/>
          <w:szCs w:val="24"/>
        </w:rPr>
        <w:t>analyzes</w:t>
      </w:r>
      <w:proofErr w:type="spellEnd"/>
      <w:r w:rsidRPr="00892561">
        <w:rPr>
          <w:rFonts w:ascii="Arial" w:hAnsi="Arial" w:cs="Arial"/>
          <w:sz w:val="24"/>
          <w:szCs w:val="24"/>
        </w:rPr>
        <w:t xml:space="preserve"> the element of the income statement and balance sheet in connection with the years (</w:t>
      </w:r>
      <w:proofErr w:type="spellStart"/>
      <w:r w:rsidRPr="00892561">
        <w:rPr>
          <w:rFonts w:ascii="Arial" w:hAnsi="Arial" w:cs="Arial"/>
          <w:color w:val="222222"/>
          <w:sz w:val="24"/>
          <w:szCs w:val="24"/>
          <w:shd w:val="clear" w:color="auto" w:fill="FFFFFF"/>
        </w:rPr>
        <w:t>Moutinho</w:t>
      </w:r>
      <w:proofErr w:type="spellEnd"/>
      <w:r w:rsidRPr="00892561">
        <w:rPr>
          <w:rFonts w:ascii="Arial" w:hAnsi="Arial" w:cs="Arial"/>
          <w:color w:val="222222"/>
          <w:sz w:val="24"/>
          <w:szCs w:val="24"/>
          <w:shd w:val="clear" w:color="auto" w:fill="FFFFFF"/>
        </w:rPr>
        <w:t xml:space="preserve"> and Vargas-Sanchez, 2018)</w:t>
      </w:r>
      <w:r w:rsidRPr="00892561">
        <w:rPr>
          <w:rFonts w:ascii="Arial" w:hAnsi="Arial" w:cs="Arial"/>
          <w:sz w:val="24"/>
          <w:szCs w:val="24"/>
        </w:rPr>
        <w:t xml:space="preserve">.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worked extremely well to increase its revenue with each of the passing year. It is indeed a positive aspect from the viewpoint of the company, as the higher the revenue, the valuable would be outcome in the long run. The Gross Profit of the company increased in the year 2017 to reach on a level of US$ 12.932 Million that was on a position of US$ 12.628 Million a year </w:t>
      </w:r>
      <w:r w:rsidRPr="00892561">
        <w:rPr>
          <w:rFonts w:ascii="Arial" w:hAnsi="Arial" w:cs="Arial"/>
          <w:sz w:val="24"/>
          <w:szCs w:val="24"/>
        </w:rPr>
        <w:lastRenderedPageBreak/>
        <w:t xml:space="preserve">earlier. However, the gross profit of the company decreased in the year 2018 and locked as US$ 12.132 Million compared to US$ 12.932 Million of Gross Profit. The main reason behind the decreasing gross profit was the increased cost of sales of the company in the same financial year. Apart from gross and net profit, the net assets provision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Limited decreased in the fiscal year 2018 compared to 2017. In the year 2017, the amount of the net assets was US$ 19.165 Million that moved to US$ 17.088 Million a year later. When compared the horizontal analysis with their competitors, then it is found that the position of its competitors </w:t>
      </w:r>
      <w:proofErr w:type="gramStart"/>
      <w:r w:rsidRPr="00892561">
        <w:rPr>
          <w:rFonts w:ascii="Arial" w:hAnsi="Arial" w:cs="Arial"/>
          <w:sz w:val="24"/>
          <w:szCs w:val="24"/>
        </w:rPr>
        <w:t>were</w:t>
      </w:r>
      <w:proofErr w:type="gramEnd"/>
      <w:r w:rsidRPr="00892561">
        <w:rPr>
          <w:rFonts w:ascii="Arial" w:hAnsi="Arial" w:cs="Arial"/>
          <w:sz w:val="24"/>
          <w:szCs w:val="24"/>
        </w:rPr>
        <w:t xml:space="preserve"> more convincing in the years 2017 and 2018. The gross profit of Xinyi Automobile increased consecutively for three years without having any break like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Total Assets of Xinyi Automobiles also increased positively in the selected financial years. Similar aspects have been found in Johnson Holdings Company in which their gross profit has been increasing with </w:t>
      </w:r>
      <w:proofErr w:type="gramStart"/>
      <w:r w:rsidRPr="00892561">
        <w:rPr>
          <w:rFonts w:ascii="Arial" w:hAnsi="Arial" w:cs="Arial"/>
          <w:sz w:val="24"/>
          <w:szCs w:val="24"/>
        </w:rPr>
        <w:t>positivity, and</w:t>
      </w:r>
      <w:proofErr w:type="gramEnd"/>
      <w:r w:rsidRPr="00892561">
        <w:rPr>
          <w:rFonts w:ascii="Arial" w:hAnsi="Arial" w:cs="Arial"/>
          <w:sz w:val="24"/>
          <w:szCs w:val="24"/>
        </w:rPr>
        <w:t xml:space="preserve"> has a great chance to attract many of the investors. </w:t>
      </w:r>
    </w:p>
    <w:p w14:paraId="7F88833C" w14:textId="77777777" w:rsidR="00132A2C" w:rsidRPr="00892561" w:rsidRDefault="00132A2C" w:rsidP="00892561">
      <w:pPr>
        <w:pStyle w:val="Heading2"/>
        <w:spacing w:line="480" w:lineRule="auto"/>
        <w:rPr>
          <w:rFonts w:ascii="Arial" w:hAnsi="Arial" w:cs="Arial"/>
          <w:sz w:val="24"/>
          <w:szCs w:val="24"/>
        </w:rPr>
      </w:pPr>
      <w:bookmarkStart w:id="5" w:name="_Toc15819809"/>
      <w:r w:rsidRPr="00892561">
        <w:rPr>
          <w:rFonts w:ascii="Arial" w:hAnsi="Arial" w:cs="Arial"/>
          <w:sz w:val="24"/>
          <w:szCs w:val="24"/>
        </w:rPr>
        <w:t>Vertical Analysis</w:t>
      </w:r>
      <w:bookmarkEnd w:id="5"/>
    </w:p>
    <w:p w14:paraId="331F8B8F" w14:textId="006A202C"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 xml:space="preserve">Apart from the horizontal analysis, there is a vertical analysis as well that goes well with financial and investment analysis. Vertical Analysis is a tool in which the connection of different elements of income statement has been </w:t>
      </w:r>
      <w:proofErr w:type="spellStart"/>
      <w:r w:rsidRPr="00892561">
        <w:rPr>
          <w:rFonts w:ascii="Arial" w:hAnsi="Arial" w:cs="Arial"/>
          <w:sz w:val="24"/>
          <w:szCs w:val="24"/>
        </w:rPr>
        <w:t>analyzed</w:t>
      </w:r>
      <w:proofErr w:type="spellEnd"/>
      <w:r w:rsidRPr="00892561">
        <w:rPr>
          <w:rFonts w:ascii="Arial" w:hAnsi="Arial" w:cs="Arial"/>
          <w:sz w:val="24"/>
          <w:szCs w:val="24"/>
        </w:rPr>
        <w:t xml:space="preserve"> with the revenue of the company (</w:t>
      </w:r>
      <w:proofErr w:type="spellStart"/>
      <w:r w:rsidRPr="00892561">
        <w:rPr>
          <w:rFonts w:ascii="Arial" w:hAnsi="Arial" w:cs="Arial"/>
          <w:color w:val="222222"/>
          <w:sz w:val="24"/>
          <w:szCs w:val="24"/>
          <w:shd w:val="clear" w:color="auto" w:fill="FFFFFF"/>
        </w:rPr>
        <w:t>Linnenluecke</w:t>
      </w:r>
      <w:proofErr w:type="spellEnd"/>
      <w:r w:rsidRPr="00892561">
        <w:rPr>
          <w:rFonts w:ascii="Arial" w:hAnsi="Arial" w:cs="Arial"/>
          <w:color w:val="222222"/>
          <w:sz w:val="24"/>
          <w:szCs w:val="24"/>
          <w:shd w:val="clear" w:color="auto" w:fill="FFFFFF"/>
        </w:rPr>
        <w:t>, 2017)</w:t>
      </w:r>
      <w:r w:rsidRPr="00892561">
        <w:rPr>
          <w:rFonts w:ascii="Arial" w:hAnsi="Arial" w:cs="Arial"/>
          <w:sz w:val="24"/>
          <w:szCs w:val="24"/>
        </w:rPr>
        <w:t xml:space="preserve">. From the vertical analysis, it is clearly found that the cost to sales ratio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is effective, as it remains in a reasonable jurisdiction throughout the selective financial years. In the year 2016, the cost to sales ratio of the entity was 74.06% in the year 2016. It remained somewhat similar in the other two financial years. The cost to sales ratio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Company remained 74% and 79% respectively for the years 2017 and 2018. It means that the gross profit of the company remained in a </w:t>
      </w:r>
      <w:r w:rsidRPr="00892561">
        <w:rPr>
          <w:rFonts w:ascii="Arial" w:hAnsi="Arial" w:cs="Arial"/>
          <w:sz w:val="24"/>
          <w:szCs w:val="24"/>
        </w:rPr>
        <w:lastRenderedPageBreak/>
        <w:t xml:space="preserve">reasonable position. The direct cost and gross profit connection of other two companies (Xinyi Automobile and Johnson Holding Company) are showing somewhat similar stories like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The current assets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have the highest proportion with the total assets of the entity, which is again a positive outcome from their standpoint as far as attracting the potential investors are concerned. </w:t>
      </w:r>
    </w:p>
    <w:p w14:paraId="5C39C30A" w14:textId="77777777" w:rsidR="00132A2C" w:rsidRPr="00892561" w:rsidRDefault="00132A2C" w:rsidP="00892561">
      <w:pPr>
        <w:pStyle w:val="Heading2"/>
        <w:spacing w:line="480" w:lineRule="auto"/>
        <w:rPr>
          <w:rFonts w:ascii="Arial" w:hAnsi="Arial" w:cs="Arial"/>
          <w:sz w:val="24"/>
          <w:szCs w:val="24"/>
        </w:rPr>
      </w:pPr>
      <w:bookmarkStart w:id="6" w:name="_Toc15819810"/>
      <w:r w:rsidRPr="00892561">
        <w:rPr>
          <w:rFonts w:ascii="Arial" w:hAnsi="Arial" w:cs="Arial"/>
          <w:sz w:val="24"/>
          <w:szCs w:val="24"/>
        </w:rPr>
        <w:t>Financial Ratio Analysis</w:t>
      </w:r>
      <w:bookmarkEnd w:id="6"/>
    </w:p>
    <w:p w14:paraId="2EFC4B86" w14:textId="0260F9B3"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Financial Ratio is an important tool that uses to assess the financial performance and positioning of an entity. This part is specifically dedicated to the financial ratio analysis in which different ratios have been considered for the analysis (</w:t>
      </w:r>
      <w:r w:rsidRPr="00892561">
        <w:rPr>
          <w:rFonts w:ascii="Arial" w:hAnsi="Arial" w:cs="Arial"/>
          <w:color w:val="222222"/>
          <w:sz w:val="24"/>
          <w:szCs w:val="24"/>
          <w:shd w:val="clear" w:color="auto" w:fill="FFFFFF"/>
        </w:rPr>
        <w:t>Mien and Thao, 2015)</w:t>
      </w:r>
      <w:r w:rsidRPr="00892561">
        <w:rPr>
          <w:rFonts w:ascii="Arial" w:hAnsi="Arial" w:cs="Arial"/>
          <w:sz w:val="24"/>
          <w:szCs w:val="24"/>
        </w:rPr>
        <w:t xml:space="preserve">. </w:t>
      </w:r>
    </w:p>
    <w:p w14:paraId="1FEA14F2" w14:textId="77777777" w:rsidR="00132A2C" w:rsidRPr="00892561" w:rsidRDefault="00132A2C" w:rsidP="00892561">
      <w:pPr>
        <w:spacing w:line="480" w:lineRule="auto"/>
        <w:rPr>
          <w:rFonts w:ascii="Arial" w:hAnsi="Arial" w:cs="Arial"/>
          <w:b/>
          <w:i/>
          <w:sz w:val="24"/>
          <w:szCs w:val="24"/>
        </w:rPr>
      </w:pPr>
    </w:p>
    <w:p w14:paraId="72324368" w14:textId="77777777" w:rsidR="00132A2C" w:rsidRPr="00892561" w:rsidRDefault="00132A2C" w:rsidP="00892561">
      <w:pPr>
        <w:spacing w:line="480" w:lineRule="auto"/>
        <w:rPr>
          <w:rFonts w:ascii="Arial" w:hAnsi="Arial" w:cs="Arial"/>
          <w:b/>
          <w:i/>
          <w:sz w:val="24"/>
          <w:szCs w:val="24"/>
        </w:rPr>
      </w:pPr>
      <w:r w:rsidRPr="00892561">
        <w:rPr>
          <w:rFonts w:ascii="Arial" w:hAnsi="Arial" w:cs="Arial"/>
          <w:b/>
          <w:i/>
          <w:sz w:val="24"/>
          <w:szCs w:val="24"/>
        </w:rPr>
        <w:t>Profitability</w:t>
      </w:r>
    </w:p>
    <w:p w14:paraId="0D50CF2A" w14:textId="5D5806F8"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 xml:space="preserve">Profitability is the most significant element from the viewpoint of an entity. The ratio that strides under the same umbrella is Net Profit Margin (NPM). It is a ratio that </w:t>
      </w:r>
      <w:proofErr w:type="spellStart"/>
      <w:r w:rsidRPr="00892561">
        <w:rPr>
          <w:rFonts w:ascii="Arial" w:hAnsi="Arial" w:cs="Arial"/>
          <w:sz w:val="24"/>
          <w:szCs w:val="24"/>
        </w:rPr>
        <w:t>analyzes</w:t>
      </w:r>
      <w:proofErr w:type="spellEnd"/>
      <w:r w:rsidRPr="00892561">
        <w:rPr>
          <w:rFonts w:ascii="Arial" w:hAnsi="Arial" w:cs="Arial"/>
          <w:sz w:val="24"/>
          <w:szCs w:val="24"/>
        </w:rPr>
        <w:t xml:space="preserve"> the ability of a company in generating net income from its turnover (</w:t>
      </w:r>
      <w:r w:rsidRPr="00892561">
        <w:rPr>
          <w:rFonts w:ascii="Arial" w:hAnsi="Arial" w:cs="Arial"/>
          <w:color w:val="222222"/>
          <w:sz w:val="24"/>
          <w:szCs w:val="24"/>
          <w:shd w:val="clear" w:color="auto" w:fill="FFFFFF"/>
        </w:rPr>
        <w:t>Jenkins and Williamson, 2015)</w:t>
      </w:r>
      <w:r w:rsidRPr="00892561">
        <w:rPr>
          <w:rFonts w:ascii="Arial" w:hAnsi="Arial" w:cs="Arial"/>
          <w:sz w:val="24"/>
          <w:szCs w:val="24"/>
        </w:rPr>
        <w:t xml:space="preserve">. The NPM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and its selected competitors are as follows</w:t>
      </w:r>
    </w:p>
    <w:p w14:paraId="702844C3" w14:textId="77777777" w:rsidR="00132A2C" w:rsidRPr="000F53F3" w:rsidRDefault="00132A2C" w:rsidP="00132A2C">
      <w:pPr>
        <w:spacing w:line="360" w:lineRule="auto"/>
        <w:rPr>
          <w:rFonts w:ascii="Times New Roman" w:hAnsi="Times New Roman" w:cs="Times New Roman"/>
          <w:b/>
          <w:i/>
          <w:sz w:val="24"/>
          <w:szCs w:val="24"/>
        </w:rPr>
      </w:pPr>
      <w:r w:rsidRPr="000F53F3">
        <w:rPr>
          <w:rFonts w:ascii="Times New Roman" w:hAnsi="Times New Roman" w:cs="Times New Roman"/>
          <w:b/>
          <w:i/>
          <w:noProof/>
          <w:sz w:val="24"/>
          <w:szCs w:val="24"/>
        </w:rPr>
        <w:lastRenderedPageBreak/>
        <w:drawing>
          <wp:inline distT="0" distB="0" distL="0" distR="0" wp14:anchorId="4AD2EF09" wp14:editId="192904EA">
            <wp:extent cx="5856456" cy="2743200"/>
            <wp:effectExtent l="19050" t="0" r="10944"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E2EA1E" w14:textId="15102D40"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From the comparative analysis via NPM, it is clearly found that the capability of generating net income through sales is better than other companies. The NPM of the primary company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went in the negative node in the fiscal year 2018. The average NPM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in these three years of period is 1.39% which is quite low. It is manifesting that the company </w:t>
      </w:r>
      <w:proofErr w:type="gramStart"/>
      <w:r w:rsidRPr="00892561">
        <w:rPr>
          <w:rFonts w:ascii="Arial" w:hAnsi="Arial" w:cs="Arial"/>
          <w:sz w:val="24"/>
          <w:szCs w:val="24"/>
        </w:rPr>
        <w:t>is able to</w:t>
      </w:r>
      <w:proofErr w:type="gramEnd"/>
      <w:r w:rsidRPr="00892561">
        <w:rPr>
          <w:rFonts w:ascii="Arial" w:hAnsi="Arial" w:cs="Arial"/>
          <w:sz w:val="24"/>
          <w:szCs w:val="24"/>
        </w:rPr>
        <w:t xml:space="preserve"> generate only $ 1.39 of net income from its revenue amounted to $100. On the other hand, Xinyi Automobile </w:t>
      </w:r>
      <w:proofErr w:type="gramStart"/>
      <w:r w:rsidRPr="00892561">
        <w:rPr>
          <w:rFonts w:ascii="Arial" w:hAnsi="Arial" w:cs="Arial"/>
          <w:sz w:val="24"/>
          <w:szCs w:val="24"/>
        </w:rPr>
        <w:t>is able to</w:t>
      </w:r>
      <w:proofErr w:type="gramEnd"/>
      <w:r w:rsidRPr="00892561">
        <w:rPr>
          <w:rFonts w:ascii="Arial" w:hAnsi="Arial" w:cs="Arial"/>
          <w:sz w:val="24"/>
          <w:szCs w:val="24"/>
        </w:rPr>
        <w:t xml:space="preserve"> generate $14.43 of net income from the sales of 100 bucks. Finally, a sort of consistence is found in Johnson Electric because of the NPM of the company remained stagnant in all the three years. The average NPM of the company is 8.52%. Hence, the performance of Xinyi Automobiles in terms of generate profit is comparatively effective and better than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and Johnson Electric Holdings. </w:t>
      </w:r>
    </w:p>
    <w:p w14:paraId="263D3CE9" w14:textId="77777777" w:rsidR="00132A2C" w:rsidRPr="00892561" w:rsidRDefault="00132A2C" w:rsidP="00892561">
      <w:pPr>
        <w:spacing w:line="480" w:lineRule="auto"/>
        <w:rPr>
          <w:rFonts w:ascii="Arial" w:hAnsi="Arial" w:cs="Arial"/>
          <w:b/>
          <w:i/>
          <w:sz w:val="24"/>
          <w:szCs w:val="24"/>
        </w:rPr>
      </w:pPr>
      <w:r w:rsidRPr="00892561">
        <w:rPr>
          <w:rFonts w:ascii="Arial" w:hAnsi="Arial" w:cs="Arial"/>
          <w:b/>
          <w:i/>
          <w:sz w:val="24"/>
          <w:szCs w:val="24"/>
        </w:rPr>
        <w:t>Liquidity and Efficiency</w:t>
      </w:r>
    </w:p>
    <w:p w14:paraId="1656724B" w14:textId="28A4B09D"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 xml:space="preserve">In Finance, anything that trends to change into hard cash, particularly the current assets </w:t>
      </w:r>
      <w:proofErr w:type="gramStart"/>
      <w:r w:rsidRPr="00892561">
        <w:rPr>
          <w:rFonts w:ascii="Arial" w:hAnsi="Arial" w:cs="Arial"/>
          <w:sz w:val="24"/>
          <w:szCs w:val="24"/>
        </w:rPr>
        <w:t>is</w:t>
      </w:r>
      <w:proofErr w:type="gramEnd"/>
      <w:r w:rsidRPr="00892561">
        <w:rPr>
          <w:rFonts w:ascii="Arial" w:hAnsi="Arial" w:cs="Arial"/>
          <w:sz w:val="24"/>
          <w:szCs w:val="24"/>
        </w:rPr>
        <w:t xml:space="preserve"> known as Liquidity. High liquid companies are more valuable and efficient from the stance of the investors. The ratio that could be worthwhile in the same </w:t>
      </w:r>
      <w:r w:rsidRPr="00892561">
        <w:rPr>
          <w:rFonts w:ascii="Arial" w:hAnsi="Arial" w:cs="Arial"/>
          <w:sz w:val="24"/>
          <w:szCs w:val="24"/>
        </w:rPr>
        <w:lastRenderedPageBreak/>
        <w:t>context is Current Ratio (</w:t>
      </w:r>
      <w:proofErr w:type="spellStart"/>
      <w:r w:rsidRPr="00892561">
        <w:rPr>
          <w:rFonts w:ascii="Arial" w:hAnsi="Arial" w:cs="Arial"/>
          <w:color w:val="222222"/>
          <w:sz w:val="24"/>
          <w:szCs w:val="24"/>
          <w:shd w:val="clear" w:color="auto" w:fill="FFFFFF"/>
        </w:rPr>
        <w:t>Rosemann</w:t>
      </w:r>
      <w:proofErr w:type="spellEnd"/>
      <w:r w:rsidRPr="00892561">
        <w:rPr>
          <w:rFonts w:ascii="Arial" w:hAnsi="Arial" w:cs="Arial"/>
          <w:color w:val="222222"/>
          <w:sz w:val="24"/>
          <w:szCs w:val="24"/>
          <w:shd w:val="clear" w:color="auto" w:fill="FFFFFF"/>
        </w:rPr>
        <w:t xml:space="preserve"> and </w:t>
      </w:r>
      <w:proofErr w:type="spellStart"/>
      <w:r w:rsidRPr="00892561">
        <w:rPr>
          <w:rFonts w:ascii="Arial" w:hAnsi="Arial" w:cs="Arial"/>
          <w:color w:val="222222"/>
          <w:sz w:val="24"/>
          <w:szCs w:val="24"/>
          <w:shd w:val="clear" w:color="auto" w:fill="FFFFFF"/>
        </w:rPr>
        <w:t>vom</w:t>
      </w:r>
      <w:proofErr w:type="spellEnd"/>
      <w:r w:rsidRPr="00892561">
        <w:rPr>
          <w:rFonts w:ascii="Arial" w:hAnsi="Arial" w:cs="Arial"/>
          <w:color w:val="222222"/>
          <w:sz w:val="24"/>
          <w:szCs w:val="24"/>
          <w:shd w:val="clear" w:color="auto" w:fill="FFFFFF"/>
        </w:rPr>
        <w:t xml:space="preserve"> </w:t>
      </w:r>
      <w:proofErr w:type="spellStart"/>
      <w:r w:rsidRPr="00892561">
        <w:rPr>
          <w:rFonts w:ascii="Arial" w:hAnsi="Arial" w:cs="Arial"/>
          <w:color w:val="222222"/>
          <w:sz w:val="24"/>
          <w:szCs w:val="24"/>
          <w:shd w:val="clear" w:color="auto" w:fill="FFFFFF"/>
        </w:rPr>
        <w:t>Brocke</w:t>
      </w:r>
      <w:proofErr w:type="spellEnd"/>
      <w:r w:rsidRPr="00892561">
        <w:rPr>
          <w:rFonts w:ascii="Arial" w:hAnsi="Arial" w:cs="Arial"/>
          <w:color w:val="222222"/>
          <w:sz w:val="24"/>
          <w:szCs w:val="24"/>
          <w:shd w:val="clear" w:color="auto" w:fill="FFFFFF"/>
        </w:rPr>
        <w:t>, 2015)</w:t>
      </w:r>
      <w:r w:rsidRPr="00892561">
        <w:rPr>
          <w:rFonts w:ascii="Arial" w:hAnsi="Arial" w:cs="Arial"/>
          <w:sz w:val="24"/>
          <w:szCs w:val="24"/>
        </w:rPr>
        <w:t xml:space="preserve">. It is a ratio that assesses the ability of an entity in meeting with its </w:t>
      </w:r>
      <w:proofErr w:type="gramStart"/>
      <w:r w:rsidRPr="00892561">
        <w:rPr>
          <w:rFonts w:ascii="Arial" w:hAnsi="Arial" w:cs="Arial"/>
          <w:sz w:val="24"/>
          <w:szCs w:val="24"/>
        </w:rPr>
        <w:t>short term</w:t>
      </w:r>
      <w:proofErr w:type="gramEnd"/>
      <w:r w:rsidRPr="00892561">
        <w:rPr>
          <w:rFonts w:ascii="Arial" w:hAnsi="Arial" w:cs="Arial"/>
          <w:sz w:val="24"/>
          <w:szCs w:val="24"/>
        </w:rPr>
        <w:t xml:space="preserve"> financial obligations. The computed current ratios of the companies are as follows</w:t>
      </w:r>
    </w:p>
    <w:p w14:paraId="0D6B5658"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drawing>
          <wp:inline distT="0" distB="0" distL="0" distR="0" wp14:anchorId="55AE33E9" wp14:editId="170A669C">
            <wp:extent cx="6158014" cy="2743200"/>
            <wp:effectExtent l="19050" t="0" r="14186"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B13563" w14:textId="62813FF9"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t xml:space="preserve">Based on the above-mentioned chart, it is found that each of these companies is in the suitable range of liquidity. For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Limited, the CR remained in a higher node, which is higher than 1:1, which means that the amount of current assets is comparatively higher than current liabilities. It is showing that the company is effective as far as meeting with its </w:t>
      </w:r>
      <w:proofErr w:type="gramStart"/>
      <w:r w:rsidRPr="00892561">
        <w:rPr>
          <w:rFonts w:ascii="Arial" w:hAnsi="Arial" w:cs="Arial"/>
          <w:sz w:val="24"/>
          <w:szCs w:val="24"/>
        </w:rPr>
        <w:t>short term</w:t>
      </w:r>
      <w:proofErr w:type="gramEnd"/>
      <w:r w:rsidRPr="00892561">
        <w:rPr>
          <w:rFonts w:ascii="Arial" w:hAnsi="Arial" w:cs="Arial"/>
          <w:sz w:val="24"/>
          <w:szCs w:val="24"/>
        </w:rPr>
        <w:t xml:space="preserve"> financial promises. The mean Current Ratio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is 1:22, which means that the company is efficient as far as meeting with its </w:t>
      </w:r>
      <w:proofErr w:type="gramStart"/>
      <w:r w:rsidRPr="00892561">
        <w:rPr>
          <w:rFonts w:ascii="Arial" w:hAnsi="Arial" w:cs="Arial"/>
          <w:sz w:val="24"/>
          <w:szCs w:val="24"/>
        </w:rPr>
        <w:t>short term</w:t>
      </w:r>
      <w:proofErr w:type="gramEnd"/>
      <w:r w:rsidRPr="00892561">
        <w:rPr>
          <w:rFonts w:ascii="Arial" w:hAnsi="Arial" w:cs="Arial"/>
          <w:sz w:val="24"/>
          <w:szCs w:val="24"/>
        </w:rPr>
        <w:t xml:space="preserve"> financial promises is concerned. Comparing the current ratio of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with Xinyi Automobile and Johnson Electric Holdings, it can be said that </w:t>
      </w:r>
      <w:proofErr w:type="gramStart"/>
      <w:r w:rsidRPr="00892561">
        <w:rPr>
          <w:rFonts w:ascii="Arial" w:hAnsi="Arial" w:cs="Arial"/>
          <w:sz w:val="24"/>
          <w:szCs w:val="24"/>
        </w:rPr>
        <w:t>both of these</w:t>
      </w:r>
      <w:proofErr w:type="gramEnd"/>
      <w:r w:rsidRPr="00892561">
        <w:rPr>
          <w:rFonts w:ascii="Arial" w:hAnsi="Arial" w:cs="Arial"/>
          <w:sz w:val="24"/>
          <w:szCs w:val="24"/>
        </w:rPr>
        <w:t xml:space="preserve"> companies are more liquid than </w:t>
      </w:r>
      <w:proofErr w:type="spellStart"/>
      <w:r w:rsidRPr="00892561">
        <w:rPr>
          <w:rFonts w:ascii="Arial" w:hAnsi="Arial" w:cs="Arial"/>
          <w:sz w:val="24"/>
          <w:szCs w:val="24"/>
        </w:rPr>
        <w:t>Gemilang</w:t>
      </w:r>
      <w:proofErr w:type="spellEnd"/>
      <w:r w:rsidRPr="00892561">
        <w:rPr>
          <w:rFonts w:ascii="Arial" w:hAnsi="Arial" w:cs="Arial"/>
          <w:sz w:val="24"/>
          <w:szCs w:val="24"/>
        </w:rPr>
        <w:t xml:space="preserve"> International. The average CR of </w:t>
      </w:r>
      <w:proofErr w:type="gramStart"/>
      <w:r w:rsidRPr="00892561">
        <w:rPr>
          <w:rFonts w:ascii="Arial" w:hAnsi="Arial" w:cs="Arial"/>
          <w:sz w:val="24"/>
          <w:szCs w:val="24"/>
        </w:rPr>
        <w:t>both of these</w:t>
      </w:r>
      <w:proofErr w:type="gramEnd"/>
      <w:r w:rsidRPr="00892561">
        <w:rPr>
          <w:rFonts w:ascii="Arial" w:hAnsi="Arial" w:cs="Arial"/>
          <w:sz w:val="24"/>
          <w:szCs w:val="24"/>
        </w:rPr>
        <w:t xml:space="preserve"> companies is way higher than 1:1 which is enough to attract more customers.</w:t>
      </w:r>
    </w:p>
    <w:p w14:paraId="4E5A0795" w14:textId="77777777" w:rsidR="00132A2C" w:rsidRPr="00892561" w:rsidRDefault="00132A2C" w:rsidP="00892561">
      <w:pPr>
        <w:spacing w:line="480" w:lineRule="auto"/>
        <w:rPr>
          <w:rFonts w:ascii="Arial" w:hAnsi="Arial" w:cs="Arial"/>
          <w:b/>
          <w:i/>
          <w:sz w:val="24"/>
          <w:szCs w:val="24"/>
        </w:rPr>
      </w:pPr>
      <w:r w:rsidRPr="00892561">
        <w:rPr>
          <w:rFonts w:ascii="Arial" w:hAnsi="Arial" w:cs="Arial"/>
          <w:b/>
          <w:i/>
          <w:sz w:val="24"/>
          <w:szCs w:val="24"/>
        </w:rPr>
        <w:t>Solvency</w:t>
      </w:r>
    </w:p>
    <w:p w14:paraId="6EE1B931" w14:textId="13803071" w:rsidR="00132A2C" w:rsidRPr="00892561" w:rsidRDefault="00132A2C" w:rsidP="00892561">
      <w:pPr>
        <w:spacing w:line="480" w:lineRule="auto"/>
        <w:rPr>
          <w:rFonts w:ascii="Arial" w:hAnsi="Arial" w:cs="Arial"/>
          <w:sz w:val="24"/>
          <w:szCs w:val="24"/>
        </w:rPr>
      </w:pPr>
      <w:r w:rsidRPr="00892561">
        <w:rPr>
          <w:rFonts w:ascii="Arial" w:hAnsi="Arial" w:cs="Arial"/>
          <w:sz w:val="24"/>
          <w:szCs w:val="24"/>
        </w:rPr>
        <w:lastRenderedPageBreak/>
        <w:t xml:space="preserve">Likewise, liquidity, there is another important ratio In Finance that </w:t>
      </w:r>
      <w:proofErr w:type="spellStart"/>
      <w:r w:rsidRPr="00892561">
        <w:rPr>
          <w:rFonts w:ascii="Arial" w:hAnsi="Arial" w:cs="Arial"/>
          <w:sz w:val="24"/>
          <w:szCs w:val="24"/>
        </w:rPr>
        <w:t>analyzes</w:t>
      </w:r>
      <w:proofErr w:type="spellEnd"/>
      <w:r w:rsidRPr="00892561">
        <w:rPr>
          <w:rFonts w:ascii="Arial" w:hAnsi="Arial" w:cs="Arial"/>
          <w:sz w:val="24"/>
          <w:szCs w:val="24"/>
        </w:rPr>
        <w:t xml:space="preserve"> the ability of an entity to </w:t>
      </w:r>
      <w:proofErr w:type="spellStart"/>
      <w:r w:rsidRPr="00892561">
        <w:rPr>
          <w:rFonts w:ascii="Arial" w:hAnsi="Arial" w:cs="Arial"/>
          <w:sz w:val="24"/>
          <w:szCs w:val="24"/>
        </w:rPr>
        <w:t>analyze</w:t>
      </w:r>
      <w:proofErr w:type="spellEnd"/>
      <w:r w:rsidRPr="00892561">
        <w:rPr>
          <w:rFonts w:ascii="Arial" w:hAnsi="Arial" w:cs="Arial"/>
          <w:sz w:val="24"/>
          <w:szCs w:val="24"/>
        </w:rPr>
        <w:t xml:space="preserve"> its long run financial </w:t>
      </w:r>
      <w:proofErr w:type="gramStart"/>
      <w:r w:rsidRPr="00892561">
        <w:rPr>
          <w:rFonts w:ascii="Arial" w:hAnsi="Arial" w:cs="Arial"/>
          <w:sz w:val="24"/>
          <w:szCs w:val="24"/>
        </w:rPr>
        <w:t>obligations in particular</w:t>
      </w:r>
      <w:proofErr w:type="gramEnd"/>
      <w:r w:rsidRPr="00892561">
        <w:rPr>
          <w:rFonts w:ascii="Arial" w:hAnsi="Arial" w:cs="Arial"/>
          <w:sz w:val="24"/>
          <w:szCs w:val="24"/>
        </w:rPr>
        <w:t>. High solvent companies are more valuable, productive and efficient from the stance of the investors (</w:t>
      </w:r>
      <w:proofErr w:type="spellStart"/>
      <w:r w:rsidRPr="00892561">
        <w:rPr>
          <w:rFonts w:ascii="Arial" w:hAnsi="Arial" w:cs="Arial"/>
          <w:color w:val="222222"/>
          <w:sz w:val="24"/>
          <w:szCs w:val="24"/>
          <w:shd w:val="clear" w:color="auto" w:fill="FFFFFF"/>
        </w:rPr>
        <w:t>Gelsomino</w:t>
      </w:r>
      <w:proofErr w:type="spellEnd"/>
      <w:r w:rsidRPr="00892561">
        <w:rPr>
          <w:rFonts w:ascii="Arial" w:hAnsi="Arial" w:cs="Arial"/>
          <w:color w:val="222222"/>
          <w:sz w:val="24"/>
          <w:szCs w:val="24"/>
          <w:shd w:val="clear" w:color="auto" w:fill="FFFFFF"/>
        </w:rPr>
        <w:t xml:space="preserve"> et al., 2016)</w:t>
      </w:r>
      <w:r w:rsidRPr="00892561">
        <w:rPr>
          <w:rFonts w:ascii="Arial" w:hAnsi="Arial" w:cs="Arial"/>
          <w:sz w:val="24"/>
          <w:szCs w:val="24"/>
        </w:rPr>
        <w:t>. The ratio that can be used here is Debt to Equity (D/E). It is a ratio that assesses the ability of an entity in idealizing its capital structure. It is basically the combination of debt and equity of a company. The computed D/E of the companies is as follows</w:t>
      </w:r>
    </w:p>
    <w:p w14:paraId="648A7360"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 xml:space="preserve">                       </w:t>
      </w:r>
      <w:r w:rsidRPr="000F53F3">
        <w:rPr>
          <w:rFonts w:ascii="Times New Roman" w:hAnsi="Times New Roman" w:cs="Times New Roman"/>
          <w:noProof/>
          <w:sz w:val="24"/>
          <w:szCs w:val="24"/>
        </w:rPr>
        <w:drawing>
          <wp:inline distT="0" distB="0" distL="0" distR="0" wp14:anchorId="050F36E8" wp14:editId="33BA19A8">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76768EB" w14:textId="0C0C46B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Based on the above-mentioned chart, it is found that each of these companies is in the suitable range of solvency (</w:t>
      </w:r>
      <w:proofErr w:type="spellStart"/>
      <w:r w:rsidRPr="0007172A">
        <w:rPr>
          <w:rFonts w:ascii="Arial" w:hAnsi="Arial" w:cs="Arial"/>
          <w:color w:val="222222"/>
          <w:sz w:val="24"/>
          <w:szCs w:val="24"/>
          <w:shd w:val="clear" w:color="auto" w:fill="FFFFFF"/>
        </w:rPr>
        <w:t>Zietlow</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Hankin</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Seidner</w:t>
      </w:r>
      <w:proofErr w:type="spellEnd"/>
      <w:r w:rsidRPr="0007172A">
        <w:rPr>
          <w:rFonts w:ascii="Arial" w:hAnsi="Arial" w:cs="Arial"/>
          <w:color w:val="222222"/>
          <w:sz w:val="24"/>
          <w:szCs w:val="24"/>
          <w:shd w:val="clear" w:color="auto" w:fill="FFFFFF"/>
        </w:rPr>
        <w:t xml:space="preserve"> and O'Brien, 2018)</w:t>
      </w:r>
      <w:r w:rsidRPr="0007172A">
        <w:rPr>
          <w:rFonts w:ascii="Arial" w:hAnsi="Arial" w:cs="Arial"/>
          <w:sz w:val="24"/>
          <w:szCs w:val="24"/>
        </w:rPr>
        <w:t xml:space="preserve">. For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Limited, the D/E remained in a reasonable range that shows the intensity of debt is not higher. It is showing that the company is effective as far as meeting with its </w:t>
      </w:r>
      <w:proofErr w:type="gramStart"/>
      <w:r w:rsidRPr="0007172A">
        <w:rPr>
          <w:rFonts w:ascii="Arial" w:hAnsi="Arial" w:cs="Arial"/>
          <w:sz w:val="24"/>
          <w:szCs w:val="24"/>
        </w:rPr>
        <w:t>long term</w:t>
      </w:r>
      <w:proofErr w:type="gramEnd"/>
      <w:r w:rsidRPr="0007172A">
        <w:rPr>
          <w:rFonts w:ascii="Arial" w:hAnsi="Arial" w:cs="Arial"/>
          <w:sz w:val="24"/>
          <w:szCs w:val="24"/>
        </w:rPr>
        <w:t xml:space="preserve"> financial promises as well. The mean D/E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is 1:02, which means that the debt to equity ratio is 51:49 which is </w:t>
      </w:r>
      <w:proofErr w:type="gramStart"/>
      <w:r w:rsidRPr="0007172A">
        <w:rPr>
          <w:rFonts w:ascii="Arial" w:hAnsi="Arial" w:cs="Arial"/>
          <w:sz w:val="24"/>
          <w:szCs w:val="24"/>
        </w:rPr>
        <w:t>absolutely fine</w:t>
      </w:r>
      <w:proofErr w:type="gramEnd"/>
      <w:r w:rsidRPr="0007172A">
        <w:rPr>
          <w:rFonts w:ascii="Arial" w:hAnsi="Arial" w:cs="Arial"/>
          <w:sz w:val="24"/>
          <w:szCs w:val="24"/>
        </w:rPr>
        <w:t xml:space="preserve"> in the current economic times. Comparing the D/E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with Xinyi Automobile and Johnson Electric Holdings, it can be said that </w:t>
      </w:r>
      <w:proofErr w:type="gramStart"/>
      <w:r w:rsidRPr="0007172A">
        <w:rPr>
          <w:rFonts w:ascii="Arial" w:hAnsi="Arial" w:cs="Arial"/>
          <w:sz w:val="24"/>
          <w:szCs w:val="24"/>
        </w:rPr>
        <w:t>both of these</w:t>
      </w:r>
      <w:proofErr w:type="gramEnd"/>
      <w:r w:rsidRPr="0007172A">
        <w:rPr>
          <w:rFonts w:ascii="Arial" w:hAnsi="Arial" w:cs="Arial"/>
          <w:sz w:val="24"/>
          <w:szCs w:val="24"/>
        </w:rPr>
        <w:t xml:space="preserve"> companies are more solvent than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The </w:t>
      </w:r>
      <w:r w:rsidRPr="0007172A">
        <w:rPr>
          <w:rFonts w:ascii="Arial" w:hAnsi="Arial" w:cs="Arial"/>
          <w:sz w:val="24"/>
          <w:szCs w:val="24"/>
        </w:rPr>
        <w:lastRenderedPageBreak/>
        <w:t xml:space="preserve">averages D/E of </w:t>
      </w:r>
      <w:proofErr w:type="gramStart"/>
      <w:r w:rsidRPr="0007172A">
        <w:rPr>
          <w:rFonts w:ascii="Arial" w:hAnsi="Arial" w:cs="Arial"/>
          <w:sz w:val="24"/>
          <w:szCs w:val="24"/>
        </w:rPr>
        <w:t>both of these</w:t>
      </w:r>
      <w:proofErr w:type="gramEnd"/>
      <w:r w:rsidRPr="0007172A">
        <w:rPr>
          <w:rFonts w:ascii="Arial" w:hAnsi="Arial" w:cs="Arial"/>
          <w:sz w:val="24"/>
          <w:szCs w:val="24"/>
        </w:rPr>
        <w:t xml:space="preserve"> companies are 0.36 and 0.32, showing more intensity of equity than debt.</w:t>
      </w:r>
    </w:p>
    <w:p w14:paraId="5531092A" w14:textId="77777777" w:rsidR="00132A2C" w:rsidRPr="0007172A" w:rsidRDefault="00132A2C" w:rsidP="0007172A">
      <w:pPr>
        <w:spacing w:line="480" w:lineRule="auto"/>
        <w:rPr>
          <w:rFonts w:ascii="Arial" w:hAnsi="Arial" w:cs="Arial"/>
          <w:b/>
          <w:i/>
          <w:sz w:val="24"/>
          <w:szCs w:val="24"/>
        </w:rPr>
      </w:pPr>
      <w:r w:rsidRPr="0007172A">
        <w:rPr>
          <w:rFonts w:ascii="Arial" w:hAnsi="Arial" w:cs="Arial"/>
          <w:b/>
          <w:i/>
          <w:sz w:val="24"/>
          <w:szCs w:val="24"/>
        </w:rPr>
        <w:t>Stock Market Prospects</w:t>
      </w:r>
    </w:p>
    <w:p w14:paraId="55396B98" w14:textId="4E01A45C"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Stock Market is a place in which public listed companies (PLCs) float their shares to gain extra amount of financing. It is an important element from the viewpoint of a company. The ratio that can be used here is Earnings per Share (EPS) (</w:t>
      </w:r>
      <w:proofErr w:type="spellStart"/>
      <w:r w:rsidRPr="0007172A">
        <w:rPr>
          <w:rFonts w:ascii="Arial" w:hAnsi="Arial" w:cs="Arial"/>
          <w:color w:val="222222"/>
          <w:sz w:val="24"/>
          <w:szCs w:val="24"/>
          <w:shd w:val="clear" w:color="auto" w:fill="FFFFFF"/>
        </w:rPr>
        <w:t>Zietlow</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Hankin</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Seidner</w:t>
      </w:r>
      <w:proofErr w:type="spellEnd"/>
      <w:r w:rsidRPr="0007172A">
        <w:rPr>
          <w:rFonts w:ascii="Arial" w:hAnsi="Arial" w:cs="Arial"/>
          <w:color w:val="222222"/>
          <w:sz w:val="24"/>
          <w:szCs w:val="24"/>
          <w:shd w:val="clear" w:color="auto" w:fill="FFFFFF"/>
        </w:rPr>
        <w:t xml:space="preserve"> and O'Brien, 2018)</w:t>
      </w:r>
      <w:r w:rsidRPr="0007172A">
        <w:rPr>
          <w:rFonts w:ascii="Arial" w:hAnsi="Arial" w:cs="Arial"/>
          <w:sz w:val="24"/>
          <w:szCs w:val="24"/>
        </w:rPr>
        <w:t xml:space="preserve">. EPS is a tool that </w:t>
      </w:r>
      <w:proofErr w:type="spellStart"/>
      <w:r w:rsidRPr="0007172A">
        <w:rPr>
          <w:rFonts w:ascii="Arial" w:hAnsi="Arial" w:cs="Arial"/>
          <w:sz w:val="24"/>
          <w:szCs w:val="24"/>
        </w:rPr>
        <w:t>analyze</w:t>
      </w:r>
      <w:proofErr w:type="spellEnd"/>
      <w:r w:rsidRPr="0007172A">
        <w:rPr>
          <w:rFonts w:ascii="Arial" w:hAnsi="Arial" w:cs="Arial"/>
          <w:sz w:val="24"/>
          <w:szCs w:val="24"/>
        </w:rPr>
        <w:t xml:space="preserve"> that how much earnings the company has earned on their floated shares. The EPS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along with its major competitors is as follows</w:t>
      </w:r>
      <w:r w:rsidR="0007172A">
        <w:rPr>
          <w:rFonts w:ascii="Arial" w:hAnsi="Arial" w:cs="Arial"/>
          <w:sz w:val="24"/>
          <w:szCs w:val="24"/>
        </w:rPr>
        <w:t>.</w:t>
      </w:r>
    </w:p>
    <w:p w14:paraId="16E1902C"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drawing>
          <wp:inline distT="0" distB="0" distL="0" distR="0" wp14:anchorId="0576FE6D" wp14:editId="410B5E82">
            <wp:extent cx="5982916" cy="2743200"/>
            <wp:effectExtent l="19050" t="0" r="17834"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6649550" w14:textId="300B3B02"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The above-mentioned graph is showing that the current financial situation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is not effective, when it compares to other companies found in the same jurisdiction. In the year 2016 and 2017, the EPS of the company was $1.13 and $0.48 respectively, which was in the positive node. However, due to the negative net income, the EPS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have reached in the negative zone in the year 2018. Comparatively, the EPS of its competitors such as </w:t>
      </w:r>
      <w:r w:rsidRPr="0007172A">
        <w:rPr>
          <w:rFonts w:ascii="Arial" w:hAnsi="Arial" w:cs="Arial"/>
          <w:sz w:val="24"/>
          <w:szCs w:val="24"/>
        </w:rPr>
        <w:lastRenderedPageBreak/>
        <w:t xml:space="preserve">Xinyi Automobiles and Johnson Electric Holdings are more efficient than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w:t>
      </w:r>
    </w:p>
    <w:p w14:paraId="3BC11A25" w14:textId="77777777" w:rsidR="00132A2C" w:rsidRPr="0007172A" w:rsidRDefault="00132A2C" w:rsidP="0007172A">
      <w:pPr>
        <w:spacing w:line="480" w:lineRule="auto"/>
        <w:rPr>
          <w:rFonts w:ascii="Arial" w:hAnsi="Arial" w:cs="Arial"/>
          <w:b/>
          <w:i/>
          <w:sz w:val="24"/>
          <w:szCs w:val="24"/>
        </w:rPr>
      </w:pPr>
      <w:r w:rsidRPr="0007172A">
        <w:rPr>
          <w:rFonts w:ascii="Arial" w:hAnsi="Arial" w:cs="Arial"/>
          <w:b/>
          <w:i/>
          <w:sz w:val="24"/>
          <w:szCs w:val="24"/>
        </w:rPr>
        <w:t>Bankruptcy Index</w:t>
      </w:r>
    </w:p>
    <w:p w14:paraId="7A14CF7C" w14:textId="6A2D1603"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The index that predicts the economic hardship and bankruptcy of a company is referred as Altman Z-Score (</w:t>
      </w:r>
      <w:proofErr w:type="spellStart"/>
      <w:r w:rsidRPr="0007172A">
        <w:rPr>
          <w:rFonts w:ascii="Arial" w:hAnsi="Arial" w:cs="Arial"/>
          <w:color w:val="222222"/>
          <w:sz w:val="24"/>
          <w:szCs w:val="24"/>
          <w:shd w:val="clear" w:color="auto" w:fill="FFFFFF"/>
        </w:rPr>
        <w:t>Zietlow</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Hankin</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Seidner</w:t>
      </w:r>
      <w:proofErr w:type="spellEnd"/>
      <w:r w:rsidRPr="0007172A">
        <w:rPr>
          <w:rFonts w:ascii="Arial" w:hAnsi="Arial" w:cs="Arial"/>
          <w:color w:val="222222"/>
          <w:sz w:val="24"/>
          <w:szCs w:val="24"/>
          <w:shd w:val="clear" w:color="auto" w:fill="FFFFFF"/>
        </w:rPr>
        <w:t xml:space="preserve"> and O'Brien, 2018)</w:t>
      </w:r>
      <w:r w:rsidRPr="0007172A">
        <w:rPr>
          <w:rFonts w:ascii="Arial" w:hAnsi="Arial" w:cs="Arial"/>
          <w:sz w:val="24"/>
          <w:szCs w:val="24"/>
        </w:rPr>
        <w:t>. It is referred as an important tool that uses to get an idea about the bankruptcy of an entity from different perspective. The scores of Altman Z-Score of each of the companies is as follows</w:t>
      </w:r>
      <w:r w:rsidR="0007172A" w:rsidRPr="0007172A">
        <w:rPr>
          <w:rFonts w:ascii="Arial" w:hAnsi="Arial" w:cs="Arial"/>
          <w:sz w:val="24"/>
          <w:szCs w:val="24"/>
        </w:rPr>
        <w:t>.</w:t>
      </w:r>
    </w:p>
    <w:p w14:paraId="0B68C448"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 xml:space="preserve">                </w:t>
      </w:r>
      <w:r w:rsidRPr="000F53F3">
        <w:rPr>
          <w:rFonts w:ascii="Times New Roman" w:hAnsi="Times New Roman" w:cs="Times New Roman"/>
          <w:noProof/>
          <w:sz w:val="24"/>
          <w:szCs w:val="24"/>
        </w:rPr>
        <w:drawing>
          <wp:inline distT="0" distB="0" distL="0" distR="0" wp14:anchorId="6C3582EE" wp14:editId="5BECDF44">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D3EB7ED" w14:textId="4679290F"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The value that is above the level of 1.8 means that the company is safe and has the tendency to maintain its attentiveness in the long run, and it is in the satisfactory range for all the companies. The Z-Score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is 2.02, which is in a satisfactory range. However, it is comparatively lower than the Z-Score of Xinyi and Johnson, which means that these companies have more worth than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w:t>
      </w:r>
    </w:p>
    <w:p w14:paraId="7A22DAA8" w14:textId="77777777" w:rsidR="00132A2C" w:rsidRPr="000F53F3" w:rsidRDefault="00132A2C" w:rsidP="00132A2C">
      <w:pPr>
        <w:spacing w:line="360" w:lineRule="auto"/>
        <w:rPr>
          <w:rFonts w:ascii="Times New Roman" w:hAnsi="Times New Roman" w:cs="Times New Roman"/>
          <w:sz w:val="24"/>
          <w:szCs w:val="24"/>
        </w:rPr>
      </w:pPr>
    </w:p>
    <w:p w14:paraId="262B5DE3"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br w:type="page"/>
      </w:r>
    </w:p>
    <w:p w14:paraId="68BD94DF" w14:textId="31B1246B" w:rsidR="00132A2C" w:rsidRPr="0007172A" w:rsidRDefault="00132A2C" w:rsidP="0007172A">
      <w:pPr>
        <w:pStyle w:val="Heading1"/>
        <w:numPr>
          <w:ilvl w:val="0"/>
          <w:numId w:val="2"/>
        </w:numPr>
        <w:spacing w:line="480" w:lineRule="auto"/>
        <w:jc w:val="left"/>
        <w:rPr>
          <w:rFonts w:ascii="Arial" w:hAnsi="Arial" w:cs="Arial"/>
          <w:sz w:val="24"/>
          <w:szCs w:val="24"/>
        </w:rPr>
      </w:pPr>
      <w:bookmarkStart w:id="7" w:name="_Toc15819811"/>
      <w:r w:rsidRPr="0007172A">
        <w:rPr>
          <w:rFonts w:ascii="Arial" w:hAnsi="Arial" w:cs="Arial"/>
          <w:sz w:val="24"/>
          <w:szCs w:val="24"/>
        </w:rPr>
        <w:lastRenderedPageBreak/>
        <w:t>Corporate Governance</w:t>
      </w:r>
      <w:bookmarkEnd w:id="7"/>
    </w:p>
    <w:p w14:paraId="4C050CD2" w14:textId="73CEF103"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Corporate Governance is the set of principles that </w:t>
      </w:r>
      <w:proofErr w:type="gramStart"/>
      <w:r w:rsidRPr="0007172A">
        <w:rPr>
          <w:rFonts w:ascii="Arial" w:hAnsi="Arial" w:cs="Arial"/>
          <w:sz w:val="24"/>
          <w:szCs w:val="24"/>
        </w:rPr>
        <w:t>have to</w:t>
      </w:r>
      <w:proofErr w:type="gramEnd"/>
      <w:r w:rsidRPr="0007172A">
        <w:rPr>
          <w:rFonts w:ascii="Arial" w:hAnsi="Arial" w:cs="Arial"/>
          <w:sz w:val="24"/>
          <w:szCs w:val="24"/>
        </w:rPr>
        <w:t xml:space="preserve"> undertake by an organization in order to sustain their position in the market. Corporate Governance encompasses the rules that </w:t>
      </w:r>
      <w:proofErr w:type="gramStart"/>
      <w:r w:rsidRPr="0007172A">
        <w:rPr>
          <w:rFonts w:ascii="Arial" w:hAnsi="Arial" w:cs="Arial"/>
          <w:sz w:val="24"/>
          <w:szCs w:val="24"/>
        </w:rPr>
        <w:t>have to</w:t>
      </w:r>
      <w:proofErr w:type="gramEnd"/>
      <w:r w:rsidRPr="0007172A">
        <w:rPr>
          <w:rFonts w:ascii="Arial" w:hAnsi="Arial" w:cs="Arial"/>
          <w:sz w:val="24"/>
          <w:szCs w:val="24"/>
        </w:rPr>
        <w:t xml:space="preserve"> be admitted and complies by the corporation’s (</w:t>
      </w:r>
      <w:proofErr w:type="spellStart"/>
      <w:r w:rsidRPr="0007172A">
        <w:rPr>
          <w:rFonts w:ascii="Arial" w:hAnsi="Arial" w:cs="Arial"/>
          <w:color w:val="222222"/>
          <w:sz w:val="24"/>
          <w:szCs w:val="24"/>
          <w:shd w:val="clear" w:color="auto" w:fill="FFFFFF"/>
        </w:rPr>
        <w:t>Zietlow</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Hankin</w:t>
      </w:r>
      <w:proofErr w:type="spellEnd"/>
      <w:r w:rsidRPr="0007172A">
        <w:rPr>
          <w:rFonts w:ascii="Arial" w:hAnsi="Arial" w:cs="Arial"/>
          <w:color w:val="222222"/>
          <w:sz w:val="24"/>
          <w:szCs w:val="24"/>
          <w:shd w:val="clear" w:color="auto" w:fill="FFFFFF"/>
        </w:rPr>
        <w:t xml:space="preserve">, </w:t>
      </w:r>
      <w:proofErr w:type="spellStart"/>
      <w:r w:rsidRPr="0007172A">
        <w:rPr>
          <w:rFonts w:ascii="Arial" w:hAnsi="Arial" w:cs="Arial"/>
          <w:color w:val="222222"/>
          <w:sz w:val="24"/>
          <w:szCs w:val="24"/>
          <w:shd w:val="clear" w:color="auto" w:fill="FFFFFF"/>
        </w:rPr>
        <w:t>Seidner</w:t>
      </w:r>
      <w:proofErr w:type="spellEnd"/>
      <w:r w:rsidRPr="0007172A">
        <w:rPr>
          <w:rFonts w:ascii="Arial" w:hAnsi="Arial" w:cs="Arial"/>
          <w:color w:val="222222"/>
          <w:sz w:val="24"/>
          <w:szCs w:val="24"/>
          <w:shd w:val="clear" w:color="auto" w:fill="FFFFFF"/>
        </w:rPr>
        <w:t xml:space="preserve"> and O'Brien, 2018)</w:t>
      </w:r>
      <w:r w:rsidRPr="0007172A">
        <w:rPr>
          <w:rFonts w:ascii="Arial" w:hAnsi="Arial" w:cs="Arial"/>
          <w:sz w:val="24"/>
          <w:szCs w:val="24"/>
        </w:rPr>
        <w:t xml:space="preserve">. It is mandatory for an entity to comply with the rules and regulations of corporate governance in order to strengthen their position in the market.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is one of the </w:t>
      </w:r>
      <w:proofErr w:type="gramStart"/>
      <w:r w:rsidRPr="0007172A">
        <w:rPr>
          <w:rFonts w:ascii="Arial" w:hAnsi="Arial" w:cs="Arial"/>
          <w:sz w:val="24"/>
          <w:szCs w:val="24"/>
        </w:rPr>
        <w:t>top notch</w:t>
      </w:r>
      <w:proofErr w:type="gramEnd"/>
      <w:r w:rsidRPr="0007172A">
        <w:rPr>
          <w:rFonts w:ascii="Arial" w:hAnsi="Arial" w:cs="Arial"/>
          <w:sz w:val="24"/>
          <w:szCs w:val="24"/>
        </w:rPr>
        <w:t xml:space="preserve"> companies that have a strong connection with the principles of Corporate Governance. The internal mechanism of accounts and risk management of the company are subtle that allows them to manage the operations of the company in a reasonable manner (</w:t>
      </w:r>
      <w:r w:rsidRPr="0007172A">
        <w:rPr>
          <w:rFonts w:ascii="Arial" w:hAnsi="Arial" w:cs="Arial"/>
          <w:color w:val="222222"/>
          <w:sz w:val="24"/>
          <w:szCs w:val="24"/>
          <w:shd w:val="clear" w:color="auto" w:fill="FFFFFF"/>
        </w:rPr>
        <w:t xml:space="preserve">Fang, Huang and </w:t>
      </w:r>
      <w:proofErr w:type="spellStart"/>
      <w:r w:rsidRPr="0007172A">
        <w:rPr>
          <w:rFonts w:ascii="Arial" w:hAnsi="Arial" w:cs="Arial"/>
          <w:color w:val="222222"/>
          <w:sz w:val="24"/>
          <w:szCs w:val="24"/>
          <w:shd w:val="clear" w:color="auto" w:fill="FFFFFF"/>
        </w:rPr>
        <w:t>Karpoff</w:t>
      </w:r>
      <w:proofErr w:type="spellEnd"/>
      <w:r w:rsidRPr="0007172A">
        <w:rPr>
          <w:rFonts w:ascii="Arial" w:hAnsi="Arial" w:cs="Arial"/>
          <w:color w:val="222222"/>
          <w:sz w:val="24"/>
          <w:szCs w:val="24"/>
          <w:shd w:val="clear" w:color="auto" w:fill="FFFFFF"/>
        </w:rPr>
        <w:t>, 2016)</w:t>
      </w:r>
      <w:r w:rsidRPr="0007172A">
        <w:rPr>
          <w:rFonts w:ascii="Arial" w:hAnsi="Arial" w:cs="Arial"/>
          <w:sz w:val="24"/>
          <w:szCs w:val="24"/>
        </w:rPr>
        <w:t xml:space="preserve">. Another rule of the Corporate Governance (CG) is relating to the financial reporting. It means that the financial reports are likely to be made on the principles devise and presented by the International Financial Reporting Standard (IFRS). The same principle is applicable on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After reading the Management Discussion &amp; Analysis (MD&amp;A) section of the annual report of the company, it is found that the accounts have been made and presented in accordance with the requirements of IFRS (</w:t>
      </w:r>
      <w:r w:rsidRPr="0007172A">
        <w:rPr>
          <w:rFonts w:ascii="Arial" w:hAnsi="Arial" w:cs="Arial"/>
          <w:color w:val="222222"/>
          <w:sz w:val="24"/>
          <w:szCs w:val="24"/>
          <w:shd w:val="clear" w:color="auto" w:fill="FFFFFF"/>
        </w:rPr>
        <w:t>Farrell and Gallagher, 2015)</w:t>
      </w:r>
      <w:r w:rsidRPr="0007172A">
        <w:rPr>
          <w:rFonts w:ascii="Arial" w:hAnsi="Arial" w:cs="Arial"/>
          <w:sz w:val="24"/>
          <w:szCs w:val="24"/>
        </w:rPr>
        <w:t xml:space="preserve">. </w:t>
      </w:r>
    </w:p>
    <w:p w14:paraId="78C9BE02" w14:textId="2497F5FE"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The principles of CG urge the companies to provide Proxy Rights to their shareholders. According to </w:t>
      </w:r>
      <w:r w:rsidRPr="0007172A">
        <w:rPr>
          <w:rFonts w:ascii="Arial" w:hAnsi="Arial" w:cs="Arial"/>
          <w:color w:val="222222"/>
          <w:sz w:val="24"/>
          <w:szCs w:val="24"/>
          <w:shd w:val="clear" w:color="auto" w:fill="FFFFFF"/>
        </w:rPr>
        <w:t xml:space="preserve">Chaffey, Hemphill and Edmundson-Bird </w:t>
      </w:r>
      <w:r w:rsidRPr="0007172A">
        <w:rPr>
          <w:rFonts w:ascii="Arial" w:hAnsi="Arial" w:cs="Arial"/>
          <w:sz w:val="24"/>
          <w:szCs w:val="24"/>
        </w:rPr>
        <w:t>(</w:t>
      </w:r>
      <w:r w:rsidRPr="0007172A">
        <w:rPr>
          <w:rFonts w:ascii="Arial" w:hAnsi="Arial" w:cs="Arial"/>
          <w:color w:val="222222"/>
          <w:sz w:val="24"/>
          <w:szCs w:val="24"/>
          <w:shd w:val="clear" w:color="auto" w:fill="FFFFFF"/>
        </w:rPr>
        <w:t>2015</w:t>
      </w:r>
      <w:r w:rsidRPr="0007172A">
        <w:rPr>
          <w:rFonts w:ascii="Arial" w:hAnsi="Arial" w:cs="Arial"/>
          <w:sz w:val="24"/>
          <w:szCs w:val="24"/>
        </w:rPr>
        <w:t xml:space="preserve">), proxy rights enable the shareholders to become an integral part of the decision making of the company.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is one of those companies who arrange Annual general Meetings (AGMs) every year in order to entertain their shareholders. However, the focus of the entity is not </w:t>
      </w:r>
      <w:proofErr w:type="gramStart"/>
      <w:r w:rsidRPr="0007172A">
        <w:rPr>
          <w:rFonts w:ascii="Arial" w:hAnsi="Arial" w:cs="Arial"/>
          <w:sz w:val="24"/>
          <w:szCs w:val="24"/>
        </w:rPr>
        <w:t>sufficient</w:t>
      </w:r>
      <w:proofErr w:type="gramEnd"/>
      <w:r w:rsidRPr="0007172A">
        <w:rPr>
          <w:rFonts w:ascii="Arial" w:hAnsi="Arial" w:cs="Arial"/>
          <w:sz w:val="24"/>
          <w:szCs w:val="24"/>
        </w:rPr>
        <w:t xml:space="preserve"> in terms of Extra Ordinary General meetings (EGMs). EGMs are more satisfactory for the shareholders as it allows them to give their input even in the critical situation of the company. On the contrary, Xinyi </w:t>
      </w:r>
      <w:r w:rsidRPr="0007172A">
        <w:rPr>
          <w:rFonts w:ascii="Arial" w:hAnsi="Arial" w:cs="Arial"/>
          <w:sz w:val="24"/>
          <w:szCs w:val="24"/>
        </w:rPr>
        <w:lastRenderedPageBreak/>
        <w:t xml:space="preserve">Automobiles and Johnson Electric Holdings are more lenient towards their </w:t>
      </w:r>
      <w:proofErr w:type="gramStart"/>
      <w:r w:rsidRPr="0007172A">
        <w:rPr>
          <w:rFonts w:ascii="Arial" w:hAnsi="Arial" w:cs="Arial"/>
          <w:sz w:val="24"/>
          <w:szCs w:val="24"/>
        </w:rPr>
        <w:t>shareholders, and</w:t>
      </w:r>
      <w:proofErr w:type="gramEnd"/>
      <w:r w:rsidRPr="0007172A">
        <w:rPr>
          <w:rFonts w:ascii="Arial" w:hAnsi="Arial" w:cs="Arial"/>
          <w:sz w:val="24"/>
          <w:szCs w:val="24"/>
        </w:rPr>
        <w:t xml:space="preserve"> provide the liberty to them to enforce their decision. This is the main thing why the proportion of capital flights from the stocks of Xinyi and Johnson is lower than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has to become a little more lenient in terms of </w:t>
      </w:r>
      <w:proofErr w:type="gramStart"/>
      <w:r w:rsidRPr="0007172A">
        <w:rPr>
          <w:rFonts w:ascii="Arial" w:hAnsi="Arial" w:cs="Arial"/>
          <w:sz w:val="24"/>
          <w:szCs w:val="24"/>
        </w:rPr>
        <w:t>shareholders, and</w:t>
      </w:r>
      <w:proofErr w:type="gramEnd"/>
      <w:r w:rsidRPr="0007172A">
        <w:rPr>
          <w:rFonts w:ascii="Arial" w:hAnsi="Arial" w:cs="Arial"/>
          <w:sz w:val="24"/>
          <w:szCs w:val="24"/>
        </w:rPr>
        <w:t xml:space="preserve"> should engage them in their critical decision factors. Apart from the shareholders, CG also emphasizes the entities to provide everything to their employees in order to assess their values professionally (</w:t>
      </w:r>
      <w:proofErr w:type="spellStart"/>
      <w:r w:rsidRPr="0007172A">
        <w:rPr>
          <w:rFonts w:ascii="Arial" w:hAnsi="Arial" w:cs="Arial"/>
          <w:color w:val="222222"/>
          <w:sz w:val="24"/>
          <w:szCs w:val="24"/>
          <w:shd w:val="clear" w:color="auto" w:fill="FFFFFF"/>
        </w:rPr>
        <w:t>Adekola</w:t>
      </w:r>
      <w:proofErr w:type="spellEnd"/>
      <w:r w:rsidRPr="0007172A">
        <w:rPr>
          <w:rFonts w:ascii="Arial" w:hAnsi="Arial" w:cs="Arial"/>
          <w:color w:val="222222"/>
          <w:sz w:val="24"/>
          <w:szCs w:val="24"/>
          <w:shd w:val="clear" w:color="auto" w:fill="FFFFFF"/>
        </w:rPr>
        <w:t xml:space="preserve"> and </w:t>
      </w:r>
      <w:proofErr w:type="spellStart"/>
      <w:r w:rsidRPr="0007172A">
        <w:rPr>
          <w:rFonts w:ascii="Arial" w:hAnsi="Arial" w:cs="Arial"/>
          <w:color w:val="222222"/>
          <w:sz w:val="24"/>
          <w:szCs w:val="24"/>
          <w:shd w:val="clear" w:color="auto" w:fill="FFFFFF"/>
        </w:rPr>
        <w:t>Sergi</w:t>
      </w:r>
      <w:proofErr w:type="spellEnd"/>
      <w:r w:rsidRPr="0007172A">
        <w:rPr>
          <w:rFonts w:ascii="Arial" w:hAnsi="Arial" w:cs="Arial"/>
          <w:color w:val="222222"/>
          <w:sz w:val="24"/>
          <w:szCs w:val="24"/>
          <w:shd w:val="clear" w:color="auto" w:fill="FFFFFF"/>
        </w:rPr>
        <w:t>, 2016)</w:t>
      </w:r>
      <w:r w:rsidRPr="0007172A">
        <w:rPr>
          <w:rFonts w:ascii="Arial" w:hAnsi="Arial" w:cs="Arial"/>
          <w:sz w:val="24"/>
          <w:szCs w:val="24"/>
        </w:rPr>
        <w:t xml:space="preserve">. CG urges the companies to have a democratic scenario within their premise. Democratic Scenario provides an opportunity to every single employee to give their important input about the current situation and future aspect of the entity. This </w:t>
      </w:r>
      <w:proofErr w:type="gramStart"/>
      <w:r w:rsidRPr="0007172A">
        <w:rPr>
          <w:rFonts w:ascii="Arial" w:hAnsi="Arial" w:cs="Arial"/>
          <w:sz w:val="24"/>
          <w:szCs w:val="24"/>
        </w:rPr>
        <w:t>particular factor</w:t>
      </w:r>
      <w:proofErr w:type="gramEnd"/>
      <w:r w:rsidRPr="0007172A">
        <w:rPr>
          <w:rFonts w:ascii="Arial" w:hAnsi="Arial" w:cs="Arial"/>
          <w:sz w:val="24"/>
          <w:szCs w:val="24"/>
        </w:rPr>
        <w:t xml:space="preserve"> has the ability to encourage the employees to participate in the productive decision making of the entity.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is complying with this principle of CG, as most of their employees are productive and satisfied with their job. The entity </w:t>
      </w:r>
      <w:proofErr w:type="gramStart"/>
      <w:r w:rsidRPr="0007172A">
        <w:rPr>
          <w:rFonts w:ascii="Arial" w:hAnsi="Arial" w:cs="Arial"/>
          <w:sz w:val="24"/>
          <w:szCs w:val="24"/>
        </w:rPr>
        <w:t>has to</w:t>
      </w:r>
      <w:proofErr w:type="gramEnd"/>
      <w:r w:rsidRPr="0007172A">
        <w:rPr>
          <w:rFonts w:ascii="Arial" w:hAnsi="Arial" w:cs="Arial"/>
          <w:sz w:val="24"/>
          <w:szCs w:val="24"/>
        </w:rPr>
        <w:t xml:space="preserve"> maintain this factor in order to further grow in the future.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w:t>
      </w:r>
      <w:proofErr w:type="gramStart"/>
      <w:r w:rsidRPr="0007172A">
        <w:rPr>
          <w:rFonts w:ascii="Arial" w:hAnsi="Arial" w:cs="Arial"/>
          <w:sz w:val="24"/>
          <w:szCs w:val="24"/>
        </w:rPr>
        <w:t>has to</w:t>
      </w:r>
      <w:proofErr w:type="gramEnd"/>
      <w:r w:rsidRPr="0007172A">
        <w:rPr>
          <w:rFonts w:ascii="Arial" w:hAnsi="Arial" w:cs="Arial"/>
          <w:sz w:val="24"/>
          <w:szCs w:val="24"/>
        </w:rPr>
        <w:t xml:space="preserve"> decentralize their operation so that every department has the power to take the decision, like Xinyi Automobiles and Johnson Electric Holdings.</w:t>
      </w:r>
    </w:p>
    <w:p w14:paraId="6E8B5E3E" w14:textId="7777777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br w:type="page"/>
      </w:r>
    </w:p>
    <w:p w14:paraId="73AB52C0" w14:textId="5E2768EF" w:rsidR="00132A2C" w:rsidRPr="0007172A" w:rsidRDefault="00132A2C" w:rsidP="0007172A">
      <w:pPr>
        <w:pStyle w:val="Heading1"/>
        <w:numPr>
          <w:ilvl w:val="0"/>
          <w:numId w:val="2"/>
        </w:numPr>
        <w:spacing w:line="480" w:lineRule="auto"/>
        <w:jc w:val="left"/>
        <w:rPr>
          <w:rFonts w:ascii="Arial" w:hAnsi="Arial" w:cs="Arial"/>
          <w:sz w:val="24"/>
          <w:szCs w:val="24"/>
        </w:rPr>
      </w:pPr>
      <w:bookmarkStart w:id="8" w:name="_Toc15819812"/>
      <w:r w:rsidRPr="0007172A">
        <w:rPr>
          <w:rFonts w:ascii="Arial" w:hAnsi="Arial" w:cs="Arial"/>
          <w:sz w:val="24"/>
          <w:szCs w:val="24"/>
        </w:rPr>
        <w:lastRenderedPageBreak/>
        <w:t>Investment Appraisals</w:t>
      </w:r>
      <w:bookmarkEnd w:id="8"/>
    </w:p>
    <w:p w14:paraId="0E92950D" w14:textId="74C4E783"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Investment Appraisal or Capital Budgeting is a tool that uses by the entities for the purpose of rationalizing their investment. The element of investment appraisal deems highly efficient and significant for the sake of a company (</w:t>
      </w:r>
      <w:proofErr w:type="spellStart"/>
      <w:r w:rsidRPr="0007172A">
        <w:rPr>
          <w:rFonts w:ascii="Arial" w:hAnsi="Arial" w:cs="Arial"/>
          <w:color w:val="222222"/>
          <w:sz w:val="24"/>
          <w:szCs w:val="24"/>
          <w:shd w:val="clear" w:color="auto" w:fill="FFFFFF"/>
        </w:rPr>
        <w:t>Adekola</w:t>
      </w:r>
      <w:proofErr w:type="spellEnd"/>
      <w:r w:rsidRPr="0007172A">
        <w:rPr>
          <w:rFonts w:ascii="Arial" w:hAnsi="Arial" w:cs="Arial"/>
          <w:color w:val="222222"/>
          <w:sz w:val="24"/>
          <w:szCs w:val="24"/>
          <w:shd w:val="clear" w:color="auto" w:fill="FFFFFF"/>
        </w:rPr>
        <w:t xml:space="preserve"> and </w:t>
      </w:r>
      <w:proofErr w:type="spellStart"/>
      <w:r w:rsidRPr="0007172A">
        <w:rPr>
          <w:rFonts w:ascii="Arial" w:hAnsi="Arial" w:cs="Arial"/>
          <w:color w:val="222222"/>
          <w:sz w:val="24"/>
          <w:szCs w:val="24"/>
          <w:shd w:val="clear" w:color="auto" w:fill="FFFFFF"/>
        </w:rPr>
        <w:t>Sergi</w:t>
      </w:r>
      <w:proofErr w:type="spellEnd"/>
      <w:r w:rsidRPr="0007172A">
        <w:rPr>
          <w:rFonts w:ascii="Arial" w:hAnsi="Arial" w:cs="Arial"/>
          <w:color w:val="222222"/>
          <w:sz w:val="24"/>
          <w:szCs w:val="24"/>
          <w:shd w:val="clear" w:color="auto" w:fill="FFFFFF"/>
        </w:rPr>
        <w:t>, 2016)</w:t>
      </w:r>
      <w:r w:rsidRPr="0007172A">
        <w:rPr>
          <w:rFonts w:ascii="Arial" w:hAnsi="Arial" w:cs="Arial"/>
          <w:sz w:val="24"/>
          <w:szCs w:val="24"/>
        </w:rPr>
        <w:t>. There are several tools that uses for the investment appraisal purpose. However, only two tools have been applied here such as Net Present Value (NPV) and Internal Rate of Return (IRR) (</w:t>
      </w:r>
      <w:proofErr w:type="spellStart"/>
      <w:r w:rsidRPr="0007172A">
        <w:rPr>
          <w:rFonts w:ascii="Arial" w:hAnsi="Arial" w:cs="Arial"/>
          <w:color w:val="222222"/>
          <w:sz w:val="24"/>
          <w:szCs w:val="24"/>
          <w:shd w:val="clear" w:color="auto" w:fill="FFFFFF"/>
        </w:rPr>
        <w:t>Adekola</w:t>
      </w:r>
      <w:proofErr w:type="spellEnd"/>
      <w:r w:rsidRPr="0007172A">
        <w:rPr>
          <w:rFonts w:ascii="Arial" w:hAnsi="Arial" w:cs="Arial"/>
          <w:color w:val="222222"/>
          <w:sz w:val="24"/>
          <w:szCs w:val="24"/>
          <w:shd w:val="clear" w:color="auto" w:fill="FFFFFF"/>
        </w:rPr>
        <w:t xml:space="preserve"> and </w:t>
      </w:r>
      <w:proofErr w:type="spellStart"/>
      <w:r w:rsidRPr="0007172A">
        <w:rPr>
          <w:rFonts w:ascii="Arial" w:hAnsi="Arial" w:cs="Arial"/>
          <w:color w:val="222222"/>
          <w:sz w:val="24"/>
          <w:szCs w:val="24"/>
          <w:shd w:val="clear" w:color="auto" w:fill="FFFFFF"/>
        </w:rPr>
        <w:t>Sergi</w:t>
      </w:r>
      <w:proofErr w:type="spellEnd"/>
      <w:r w:rsidRPr="0007172A">
        <w:rPr>
          <w:rFonts w:ascii="Arial" w:hAnsi="Arial" w:cs="Arial"/>
          <w:color w:val="222222"/>
          <w:sz w:val="24"/>
          <w:szCs w:val="24"/>
          <w:shd w:val="clear" w:color="auto" w:fill="FFFFFF"/>
        </w:rPr>
        <w:t>, 2016)</w:t>
      </w:r>
      <w:r w:rsidRPr="0007172A">
        <w:rPr>
          <w:rFonts w:ascii="Arial" w:hAnsi="Arial" w:cs="Arial"/>
          <w:sz w:val="24"/>
          <w:szCs w:val="24"/>
        </w:rPr>
        <w:t xml:space="preserve">. It is </w:t>
      </w:r>
      <w:proofErr w:type="gramStart"/>
      <w:r w:rsidRPr="0007172A">
        <w:rPr>
          <w:rFonts w:ascii="Arial" w:hAnsi="Arial" w:cs="Arial"/>
          <w:sz w:val="24"/>
          <w:szCs w:val="24"/>
        </w:rPr>
        <w:t>assume</w:t>
      </w:r>
      <w:proofErr w:type="gramEnd"/>
      <w:r w:rsidRPr="0007172A">
        <w:rPr>
          <w:rFonts w:ascii="Arial" w:hAnsi="Arial" w:cs="Arial"/>
          <w:sz w:val="24"/>
          <w:szCs w:val="24"/>
        </w:rPr>
        <w:t xml:space="preserve"> that the initial outlay of the investment is 5% of the sales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FY 2018. Therefore, the initial outlay would be $ 2,854,550 or $ 2.85 Million. The cash flow that associated with the same scenario is assumed to be like this</w:t>
      </w:r>
    </w:p>
    <w:p w14:paraId="286CCC98" w14:textId="7777777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Year – 1 = $ 0.55 Million</w:t>
      </w:r>
    </w:p>
    <w:p w14:paraId="70F1B7E3" w14:textId="7777777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Year – 2 = $ 0.85 Million</w:t>
      </w:r>
    </w:p>
    <w:p w14:paraId="0428630C" w14:textId="7777777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Year – 3 = $ 1.12 Million</w:t>
      </w:r>
    </w:p>
    <w:p w14:paraId="1C6C8646" w14:textId="7777777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Year – 4 = $ 1.15 Million</w:t>
      </w:r>
    </w:p>
    <w:p w14:paraId="0A67E6C7" w14:textId="7777777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Year – 5 = $ 2.11 Million</w:t>
      </w:r>
    </w:p>
    <w:p w14:paraId="4F0D0E60" w14:textId="40F28F6A"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The Discount Rate is assumed that 10%, and the same has been considered while </w:t>
      </w:r>
      <w:proofErr w:type="spellStart"/>
      <w:r w:rsidRPr="0007172A">
        <w:rPr>
          <w:rFonts w:ascii="Arial" w:hAnsi="Arial" w:cs="Arial"/>
          <w:sz w:val="24"/>
          <w:szCs w:val="24"/>
        </w:rPr>
        <w:t>analyzing</w:t>
      </w:r>
      <w:proofErr w:type="spellEnd"/>
      <w:r w:rsidRPr="0007172A">
        <w:rPr>
          <w:rFonts w:ascii="Arial" w:hAnsi="Arial" w:cs="Arial"/>
          <w:sz w:val="24"/>
          <w:szCs w:val="24"/>
        </w:rPr>
        <w:t xml:space="preserve"> the results professionally. </w:t>
      </w:r>
      <w:proofErr w:type="gramStart"/>
      <w:r w:rsidRPr="0007172A">
        <w:rPr>
          <w:rFonts w:ascii="Arial" w:hAnsi="Arial" w:cs="Arial"/>
          <w:sz w:val="24"/>
          <w:szCs w:val="24"/>
        </w:rPr>
        <w:t>Both of the tools</w:t>
      </w:r>
      <w:proofErr w:type="gramEnd"/>
      <w:r w:rsidRPr="0007172A">
        <w:rPr>
          <w:rFonts w:ascii="Arial" w:hAnsi="Arial" w:cs="Arial"/>
          <w:sz w:val="24"/>
          <w:szCs w:val="24"/>
        </w:rPr>
        <w:t xml:space="preserve"> have been applied to </w:t>
      </w:r>
      <w:proofErr w:type="spellStart"/>
      <w:r w:rsidRPr="0007172A">
        <w:rPr>
          <w:rFonts w:ascii="Arial" w:hAnsi="Arial" w:cs="Arial"/>
          <w:sz w:val="24"/>
          <w:szCs w:val="24"/>
        </w:rPr>
        <w:t>analyze</w:t>
      </w:r>
      <w:proofErr w:type="spellEnd"/>
      <w:r w:rsidRPr="0007172A">
        <w:rPr>
          <w:rFonts w:ascii="Arial" w:hAnsi="Arial" w:cs="Arial"/>
          <w:sz w:val="24"/>
          <w:szCs w:val="24"/>
        </w:rPr>
        <w:t xml:space="preserve"> the claim associated with the analysis.</w:t>
      </w:r>
    </w:p>
    <w:p w14:paraId="42ED478D" w14:textId="77777777" w:rsidR="00132A2C" w:rsidRPr="0007172A" w:rsidRDefault="00132A2C" w:rsidP="0007172A">
      <w:pPr>
        <w:pStyle w:val="Heading2"/>
        <w:spacing w:line="480" w:lineRule="auto"/>
        <w:rPr>
          <w:rFonts w:ascii="Arial" w:hAnsi="Arial" w:cs="Arial"/>
          <w:sz w:val="24"/>
          <w:szCs w:val="24"/>
        </w:rPr>
      </w:pPr>
      <w:bookmarkStart w:id="9" w:name="_Toc15819813"/>
      <w:r w:rsidRPr="0007172A">
        <w:rPr>
          <w:rFonts w:ascii="Arial" w:hAnsi="Arial" w:cs="Arial"/>
          <w:sz w:val="24"/>
          <w:szCs w:val="24"/>
        </w:rPr>
        <w:t>Net Present Value (NPV) Analysis</w:t>
      </w:r>
      <w:bookmarkEnd w:id="9"/>
    </w:p>
    <w:p w14:paraId="23DEBB6D" w14:textId="3474B50B"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Net Present Value (NPV) is an investment appraisal tool that considers the Time Value of Money (TVM). It is a tool that discounted the future cash flow in the current terms and evaluates its implication. It is one of the most important and widely used investment appraisal tools that uses by the companies to reach on a verdict about </w:t>
      </w:r>
      <w:r w:rsidRPr="0007172A">
        <w:rPr>
          <w:rFonts w:ascii="Arial" w:hAnsi="Arial" w:cs="Arial"/>
          <w:sz w:val="24"/>
          <w:szCs w:val="24"/>
        </w:rPr>
        <w:lastRenderedPageBreak/>
        <w:t>accepting or rejecting an investment proposal (</w:t>
      </w:r>
      <w:r w:rsidRPr="0007172A">
        <w:rPr>
          <w:rFonts w:ascii="Arial" w:hAnsi="Arial" w:cs="Arial"/>
          <w:color w:val="222222"/>
          <w:sz w:val="24"/>
          <w:szCs w:val="24"/>
          <w:shd w:val="clear" w:color="auto" w:fill="FFFFFF"/>
        </w:rPr>
        <w:t>Chaffey, Hemphill and Edmundson-Bird, 2015)</w:t>
      </w:r>
      <w:r w:rsidRPr="0007172A">
        <w:rPr>
          <w:rFonts w:ascii="Arial" w:hAnsi="Arial" w:cs="Arial"/>
          <w:sz w:val="24"/>
          <w:szCs w:val="24"/>
        </w:rPr>
        <w:t>. The NPV based on the above-mentioned cash inflows is as follows</w:t>
      </w:r>
    </w:p>
    <w:tbl>
      <w:tblPr>
        <w:tblW w:w="9671" w:type="dxa"/>
        <w:tblInd w:w="93" w:type="dxa"/>
        <w:tblLook w:val="04A0" w:firstRow="1" w:lastRow="0" w:firstColumn="1" w:lastColumn="0" w:noHBand="0" w:noVBand="1"/>
      </w:tblPr>
      <w:tblGrid>
        <w:gridCol w:w="1905"/>
        <w:gridCol w:w="1905"/>
        <w:gridCol w:w="3383"/>
        <w:gridCol w:w="2478"/>
      </w:tblGrid>
      <w:tr w:rsidR="00132A2C" w:rsidRPr="00DF377D" w14:paraId="3233F51B" w14:textId="77777777" w:rsidTr="00C02BC7">
        <w:trPr>
          <w:trHeight w:val="141"/>
        </w:trPr>
        <w:tc>
          <w:tcPr>
            <w:tcW w:w="19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8F7DA"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Year</w:t>
            </w:r>
          </w:p>
        </w:tc>
        <w:tc>
          <w:tcPr>
            <w:tcW w:w="1905" w:type="dxa"/>
            <w:tcBorders>
              <w:top w:val="single" w:sz="4" w:space="0" w:color="auto"/>
              <w:left w:val="nil"/>
              <w:bottom w:val="single" w:sz="4" w:space="0" w:color="auto"/>
              <w:right w:val="single" w:sz="4" w:space="0" w:color="auto"/>
            </w:tcBorders>
            <w:shd w:val="clear" w:color="auto" w:fill="auto"/>
            <w:noWrap/>
            <w:vAlign w:val="bottom"/>
            <w:hideMark/>
          </w:tcPr>
          <w:p w14:paraId="62D922F6"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Cash Flow in Million $</w:t>
            </w:r>
          </w:p>
        </w:tc>
        <w:tc>
          <w:tcPr>
            <w:tcW w:w="3383" w:type="dxa"/>
            <w:tcBorders>
              <w:top w:val="single" w:sz="4" w:space="0" w:color="auto"/>
              <w:left w:val="nil"/>
              <w:bottom w:val="single" w:sz="4" w:space="0" w:color="auto"/>
              <w:right w:val="single" w:sz="4" w:space="0" w:color="auto"/>
            </w:tcBorders>
            <w:shd w:val="clear" w:color="auto" w:fill="auto"/>
            <w:noWrap/>
            <w:vAlign w:val="bottom"/>
            <w:hideMark/>
          </w:tcPr>
          <w:p w14:paraId="3F1F1D1F"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Discounting Factor 10%</w:t>
            </w:r>
          </w:p>
        </w:tc>
        <w:tc>
          <w:tcPr>
            <w:tcW w:w="2478" w:type="dxa"/>
            <w:tcBorders>
              <w:top w:val="single" w:sz="4" w:space="0" w:color="auto"/>
              <w:left w:val="nil"/>
              <w:bottom w:val="single" w:sz="4" w:space="0" w:color="auto"/>
              <w:right w:val="single" w:sz="4" w:space="0" w:color="auto"/>
            </w:tcBorders>
            <w:shd w:val="clear" w:color="auto" w:fill="auto"/>
            <w:noWrap/>
            <w:vAlign w:val="bottom"/>
            <w:hideMark/>
          </w:tcPr>
          <w:p w14:paraId="27ACFB5D"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Discounted Cash Flow in Million $</w:t>
            </w:r>
          </w:p>
        </w:tc>
      </w:tr>
      <w:tr w:rsidR="00132A2C" w:rsidRPr="00DF377D" w14:paraId="540B3866"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0E4EC9E1"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0</w:t>
            </w:r>
          </w:p>
        </w:tc>
        <w:tc>
          <w:tcPr>
            <w:tcW w:w="1905" w:type="dxa"/>
            <w:tcBorders>
              <w:top w:val="nil"/>
              <w:left w:val="nil"/>
              <w:bottom w:val="single" w:sz="4" w:space="0" w:color="auto"/>
              <w:right w:val="single" w:sz="4" w:space="0" w:color="auto"/>
            </w:tcBorders>
            <w:shd w:val="clear" w:color="auto" w:fill="auto"/>
            <w:noWrap/>
            <w:vAlign w:val="bottom"/>
            <w:hideMark/>
          </w:tcPr>
          <w:p w14:paraId="7FA371A2"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(2.850)</w:t>
            </w:r>
          </w:p>
        </w:tc>
        <w:tc>
          <w:tcPr>
            <w:tcW w:w="3383" w:type="dxa"/>
            <w:tcBorders>
              <w:top w:val="nil"/>
              <w:left w:val="nil"/>
              <w:bottom w:val="single" w:sz="4" w:space="0" w:color="auto"/>
              <w:right w:val="single" w:sz="4" w:space="0" w:color="auto"/>
            </w:tcBorders>
            <w:shd w:val="clear" w:color="auto" w:fill="auto"/>
            <w:noWrap/>
            <w:vAlign w:val="bottom"/>
            <w:hideMark/>
          </w:tcPr>
          <w:p w14:paraId="3C4B5D32"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2478" w:type="dxa"/>
            <w:tcBorders>
              <w:top w:val="nil"/>
              <w:left w:val="nil"/>
              <w:bottom w:val="single" w:sz="4" w:space="0" w:color="auto"/>
              <w:right w:val="single" w:sz="4" w:space="0" w:color="auto"/>
            </w:tcBorders>
            <w:shd w:val="clear" w:color="auto" w:fill="auto"/>
            <w:noWrap/>
            <w:vAlign w:val="bottom"/>
            <w:hideMark/>
          </w:tcPr>
          <w:p w14:paraId="32431F0E"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r>
      <w:tr w:rsidR="00132A2C" w:rsidRPr="00DF377D" w14:paraId="109B8D55"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4D7F7280"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1</w:t>
            </w:r>
          </w:p>
        </w:tc>
        <w:tc>
          <w:tcPr>
            <w:tcW w:w="1905" w:type="dxa"/>
            <w:tcBorders>
              <w:top w:val="nil"/>
              <w:left w:val="nil"/>
              <w:bottom w:val="single" w:sz="4" w:space="0" w:color="auto"/>
              <w:right w:val="single" w:sz="4" w:space="0" w:color="auto"/>
            </w:tcBorders>
            <w:shd w:val="clear" w:color="auto" w:fill="auto"/>
            <w:noWrap/>
            <w:vAlign w:val="bottom"/>
            <w:hideMark/>
          </w:tcPr>
          <w:p w14:paraId="2D588359"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0.550 </w:t>
            </w:r>
          </w:p>
        </w:tc>
        <w:tc>
          <w:tcPr>
            <w:tcW w:w="3383" w:type="dxa"/>
            <w:tcBorders>
              <w:top w:val="nil"/>
              <w:left w:val="nil"/>
              <w:bottom w:val="single" w:sz="4" w:space="0" w:color="auto"/>
              <w:right w:val="single" w:sz="4" w:space="0" w:color="auto"/>
            </w:tcBorders>
            <w:shd w:val="clear" w:color="auto" w:fill="auto"/>
            <w:noWrap/>
            <w:vAlign w:val="bottom"/>
            <w:hideMark/>
          </w:tcPr>
          <w:p w14:paraId="37B3C7EC"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0.909 </w:t>
            </w:r>
          </w:p>
        </w:tc>
        <w:tc>
          <w:tcPr>
            <w:tcW w:w="2478" w:type="dxa"/>
            <w:tcBorders>
              <w:top w:val="nil"/>
              <w:left w:val="nil"/>
              <w:bottom w:val="single" w:sz="4" w:space="0" w:color="auto"/>
              <w:right w:val="single" w:sz="4" w:space="0" w:color="auto"/>
            </w:tcBorders>
            <w:shd w:val="clear" w:color="auto" w:fill="auto"/>
            <w:noWrap/>
            <w:vAlign w:val="bottom"/>
            <w:hideMark/>
          </w:tcPr>
          <w:p w14:paraId="0709735E"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0.500 </w:t>
            </w:r>
          </w:p>
        </w:tc>
      </w:tr>
      <w:tr w:rsidR="00132A2C" w:rsidRPr="00DF377D" w14:paraId="76C2D93E"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3A89A17D"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2</w:t>
            </w:r>
          </w:p>
        </w:tc>
        <w:tc>
          <w:tcPr>
            <w:tcW w:w="1905" w:type="dxa"/>
            <w:tcBorders>
              <w:top w:val="nil"/>
              <w:left w:val="nil"/>
              <w:bottom w:val="single" w:sz="4" w:space="0" w:color="auto"/>
              <w:right w:val="single" w:sz="4" w:space="0" w:color="auto"/>
            </w:tcBorders>
            <w:shd w:val="clear" w:color="auto" w:fill="auto"/>
            <w:noWrap/>
            <w:vAlign w:val="bottom"/>
            <w:hideMark/>
          </w:tcPr>
          <w:p w14:paraId="4D05074F"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0.850 </w:t>
            </w:r>
          </w:p>
        </w:tc>
        <w:tc>
          <w:tcPr>
            <w:tcW w:w="3383" w:type="dxa"/>
            <w:tcBorders>
              <w:top w:val="nil"/>
              <w:left w:val="nil"/>
              <w:bottom w:val="single" w:sz="4" w:space="0" w:color="auto"/>
              <w:right w:val="single" w:sz="4" w:space="0" w:color="auto"/>
            </w:tcBorders>
            <w:shd w:val="clear" w:color="auto" w:fill="auto"/>
            <w:noWrap/>
            <w:vAlign w:val="bottom"/>
            <w:hideMark/>
          </w:tcPr>
          <w:p w14:paraId="54F645CD"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0.826 </w:t>
            </w:r>
          </w:p>
        </w:tc>
        <w:tc>
          <w:tcPr>
            <w:tcW w:w="2478" w:type="dxa"/>
            <w:tcBorders>
              <w:top w:val="nil"/>
              <w:left w:val="nil"/>
              <w:bottom w:val="single" w:sz="4" w:space="0" w:color="auto"/>
              <w:right w:val="single" w:sz="4" w:space="0" w:color="auto"/>
            </w:tcBorders>
            <w:shd w:val="clear" w:color="auto" w:fill="auto"/>
            <w:noWrap/>
            <w:vAlign w:val="bottom"/>
            <w:hideMark/>
          </w:tcPr>
          <w:p w14:paraId="06E0BD17"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0.702 </w:t>
            </w:r>
          </w:p>
        </w:tc>
      </w:tr>
      <w:tr w:rsidR="00132A2C" w:rsidRPr="00DF377D" w14:paraId="5C328065"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2C15211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3</w:t>
            </w:r>
          </w:p>
        </w:tc>
        <w:tc>
          <w:tcPr>
            <w:tcW w:w="1905" w:type="dxa"/>
            <w:tcBorders>
              <w:top w:val="nil"/>
              <w:left w:val="nil"/>
              <w:bottom w:val="single" w:sz="4" w:space="0" w:color="auto"/>
              <w:right w:val="single" w:sz="4" w:space="0" w:color="auto"/>
            </w:tcBorders>
            <w:shd w:val="clear" w:color="auto" w:fill="auto"/>
            <w:noWrap/>
            <w:vAlign w:val="bottom"/>
            <w:hideMark/>
          </w:tcPr>
          <w:p w14:paraId="41A2B1FD"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1.120 </w:t>
            </w:r>
          </w:p>
        </w:tc>
        <w:tc>
          <w:tcPr>
            <w:tcW w:w="3383" w:type="dxa"/>
            <w:tcBorders>
              <w:top w:val="nil"/>
              <w:left w:val="nil"/>
              <w:bottom w:val="single" w:sz="4" w:space="0" w:color="auto"/>
              <w:right w:val="single" w:sz="4" w:space="0" w:color="auto"/>
            </w:tcBorders>
            <w:shd w:val="clear" w:color="auto" w:fill="auto"/>
            <w:noWrap/>
            <w:vAlign w:val="bottom"/>
            <w:hideMark/>
          </w:tcPr>
          <w:p w14:paraId="199319D1"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0.751 </w:t>
            </w:r>
          </w:p>
        </w:tc>
        <w:tc>
          <w:tcPr>
            <w:tcW w:w="2478" w:type="dxa"/>
            <w:tcBorders>
              <w:top w:val="nil"/>
              <w:left w:val="nil"/>
              <w:bottom w:val="single" w:sz="4" w:space="0" w:color="auto"/>
              <w:right w:val="single" w:sz="4" w:space="0" w:color="auto"/>
            </w:tcBorders>
            <w:shd w:val="clear" w:color="auto" w:fill="auto"/>
            <w:noWrap/>
            <w:vAlign w:val="bottom"/>
            <w:hideMark/>
          </w:tcPr>
          <w:p w14:paraId="3B5237C6"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0.841 </w:t>
            </w:r>
          </w:p>
        </w:tc>
      </w:tr>
      <w:tr w:rsidR="00132A2C" w:rsidRPr="00DF377D" w14:paraId="6F9488D9"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187477E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4</w:t>
            </w:r>
          </w:p>
        </w:tc>
        <w:tc>
          <w:tcPr>
            <w:tcW w:w="1905" w:type="dxa"/>
            <w:tcBorders>
              <w:top w:val="nil"/>
              <w:left w:val="nil"/>
              <w:bottom w:val="single" w:sz="4" w:space="0" w:color="auto"/>
              <w:right w:val="single" w:sz="4" w:space="0" w:color="auto"/>
            </w:tcBorders>
            <w:shd w:val="clear" w:color="auto" w:fill="auto"/>
            <w:noWrap/>
            <w:vAlign w:val="bottom"/>
            <w:hideMark/>
          </w:tcPr>
          <w:p w14:paraId="47280719"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1.150 </w:t>
            </w:r>
          </w:p>
        </w:tc>
        <w:tc>
          <w:tcPr>
            <w:tcW w:w="3383" w:type="dxa"/>
            <w:tcBorders>
              <w:top w:val="nil"/>
              <w:left w:val="nil"/>
              <w:bottom w:val="single" w:sz="4" w:space="0" w:color="auto"/>
              <w:right w:val="single" w:sz="4" w:space="0" w:color="auto"/>
            </w:tcBorders>
            <w:shd w:val="clear" w:color="auto" w:fill="auto"/>
            <w:noWrap/>
            <w:vAlign w:val="bottom"/>
            <w:hideMark/>
          </w:tcPr>
          <w:p w14:paraId="65A5166F"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0.683 </w:t>
            </w:r>
          </w:p>
        </w:tc>
        <w:tc>
          <w:tcPr>
            <w:tcW w:w="2478" w:type="dxa"/>
            <w:tcBorders>
              <w:top w:val="nil"/>
              <w:left w:val="nil"/>
              <w:bottom w:val="single" w:sz="4" w:space="0" w:color="auto"/>
              <w:right w:val="single" w:sz="4" w:space="0" w:color="auto"/>
            </w:tcBorders>
            <w:shd w:val="clear" w:color="auto" w:fill="auto"/>
            <w:noWrap/>
            <w:vAlign w:val="bottom"/>
            <w:hideMark/>
          </w:tcPr>
          <w:p w14:paraId="095A7DB0"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0.785 </w:t>
            </w:r>
          </w:p>
        </w:tc>
      </w:tr>
      <w:tr w:rsidR="00132A2C" w:rsidRPr="00DF377D" w14:paraId="21921D5A"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3052EAB6"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5</w:t>
            </w:r>
          </w:p>
        </w:tc>
        <w:tc>
          <w:tcPr>
            <w:tcW w:w="1905" w:type="dxa"/>
            <w:tcBorders>
              <w:top w:val="nil"/>
              <w:left w:val="nil"/>
              <w:bottom w:val="single" w:sz="4" w:space="0" w:color="auto"/>
              <w:right w:val="single" w:sz="4" w:space="0" w:color="auto"/>
            </w:tcBorders>
            <w:shd w:val="clear" w:color="auto" w:fill="auto"/>
            <w:noWrap/>
            <w:vAlign w:val="bottom"/>
            <w:hideMark/>
          </w:tcPr>
          <w:p w14:paraId="780327F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2.110 </w:t>
            </w:r>
          </w:p>
        </w:tc>
        <w:tc>
          <w:tcPr>
            <w:tcW w:w="3383" w:type="dxa"/>
            <w:tcBorders>
              <w:top w:val="nil"/>
              <w:left w:val="nil"/>
              <w:bottom w:val="single" w:sz="4" w:space="0" w:color="auto"/>
              <w:right w:val="single" w:sz="4" w:space="0" w:color="auto"/>
            </w:tcBorders>
            <w:shd w:val="clear" w:color="auto" w:fill="auto"/>
            <w:noWrap/>
            <w:vAlign w:val="bottom"/>
            <w:hideMark/>
          </w:tcPr>
          <w:p w14:paraId="2C207B55"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0.621 </w:t>
            </w:r>
          </w:p>
        </w:tc>
        <w:tc>
          <w:tcPr>
            <w:tcW w:w="2478" w:type="dxa"/>
            <w:tcBorders>
              <w:top w:val="nil"/>
              <w:left w:val="nil"/>
              <w:bottom w:val="single" w:sz="4" w:space="0" w:color="auto"/>
              <w:right w:val="single" w:sz="4" w:space="0" w:color="auto"/>
            </w:tcBorders>
            <w:shd w:val="clear" w:color="auto" w:fill="auto"/>
            <w:noWrap/>
            <w:vAlign w:val="bottom"/>
            <w:hideMark/>
          </w:tcPr>
          <w:p w14:paraId="75282EA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1.310 </w:t>
            </w:r>
          </w:p>
        </w:tc>
      </w:tr>
      <w:tr w:rsidR="00132A2C" w:rsidRPr="00DF377D" w14:paraId="02D6AA2A"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7D7CBC2A"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1905" w:type="dxa"/>
            <w:tcBorders>
              <w:top w:val="nil"/>
              <w:left w:val="nil"/>
              <w:bottom w:val="single" w:sz="4" w:space="0" w:color="auto"/>
              <w:right w:val="single" w:sz="4" w:space="0" w:color="auto"/>
            </w:tcBorders>
            <w:shd w:val="clear" w:color="auto" w:fill="auto"/>
            <w:noWrap/>
            <w:vAlign w:val="bottom"/>
            <w:hideMark/>
          </w:tcPr>
          <w:p w14:paraId="354B997C"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3383" w:type="dxa"/>
            <w:tcBorders>
              <w:top w:val="nil"/>
              <w:left w:val="nil"/>
              <w:bottom w:val="single" w:sz="4" w:space="0" w:color="auto"/>
              <w:right w:val="single" w:sz="4" w:space="0" w:color="auto"/>
            </w:tcBorders>
            <w:shd w:val="clear" w:color="auto" w:fill="auto"/>
            <w:noWrap/>
            <w:vAlign w:val="bottom"/>
            <w:hideMark/>
          </w:tcPr>
          <w:p w14:paraId="304BF83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Total Cash Flow </w:t>
            </w:r>
          </w:p>
        </w:tc>
        <w:tc>
          <w:tcPr>
            <w:tcW w:w="2478" w:type="dxa"/>
            <w:tcBorders>
              <w:top w:val="nil"/>
              <w:left w:val="nil"/>
              <w:bottom w:val="single" w:sz="4" w:space="0" w:color="auto"/>
              <w:right w:val="single" w:sz="4" w:space="0" w:color="auto"/>
            </w:tcBorders>
            <w:shd w:val="clear" w:color="auto" w:fill="auto"/>
            <w:noWrap/>
            <w:vAlign w:val="bottom"/>
            <w:hideMark/>
          </w:tcPr>
          <w:p w14:paraId="6D7D814F"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4.140 </w:t>
            </w:r>
          </w:p>
        </w:tc>
      </w:tr>
      <w:tr w:rsidR="00132A2C" w:rsidRPr="00DF377D" w14:paraId="11347E1B"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004AC77B"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1905" w:type="dxa"/>
            <w:tcBorders>
              <w:top w:val="nil"/>
              <w:left w:val="nil"/>
              <w:bottom w:val="single" w:sz="4" w:space="0" w:color="auto"/>
              <w:right w:val="single" w:sz="4" w:space="0" w:color="auto"/>
            </w:tcBorders>
            <w:shd w:val="clear" w:color="auto" w:fill="auto"/>
            <w:noWrap/>
            <w:vAlign w:val="bottom"/>
            <w:hideMark/>
          </w:tcPr>
          <w:p w14:paraId="4FD37255"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3383" w:type="dxa"/>
            <w:tcBorders>
              <w:top w:val="nil"/>
              <w:left w:val="nil"/>
              <w:bottom w:val="single" w:sz="4" w:space="0" w:color="auto"/>
              <w:right w:val="single" w:sz="4" w:space="0" w:color="auto"/>
            </w:tcBorders>
            <w:shd w:val="clear" w:color="auto" w:fill="auto"/>
            <w:noWrap/>
            <w:vAlign w:val="bottom"/>
            <w:hideMark/>
          </w:tcPr>
          <w:p w14:paraId="7DD5FDA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Less: Initial Outlay </w:t>
            </w:r>
          </w:p>
        </w:tc>
        <w:tc>
          <w:tcPr>
            <w:tcW w:w="2478" w:type="dxa"/>
            <w:tcBorders>
              <w:top w:val="nil"/>
              <w:left w:val="nil"/>
              <w:bottom w:val="single" w:sz="4" w:space="0" w:color="auto"/>
              <w:right w:val="single" w:sz="4" w:space="0" w:color="auto"/>
            </w:tcBorders>
            <w:shd w:val="clear" w:color="auto" w:fill="auto"/>
            <w:noWrap/>
            <w:vAlign w:val="bottom"/>
            <w:hideMark/>
          </w:tcPr>
          <w:p w14:paraId="1570533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(2.850)</w:t>
            </w:r>
          </w:p>
        </w:tc>
      </w:tr>
      <w:tr w:rsidR="00132A2C" w:rsidRPr="00DF377D" w14:paraId="071D220F"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25D69C97"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1905" w:type="dxa"/>
            <w:tcBorders>
              <w:top w:val="nil"/>
              <w:left w:val="nil"/>
              <w:bottom w:val="single" w:sz="4" w:space="0" w:color="auto"/>
              <w:right w:val="single" w:sz="4" w:space="0" w:color="auto"/>
            </w:tcBorders>
            <w:shd w:val="clear" w:color="auto" w:fill="auto"/>
            <w:noWrap/>
            <w:vAlign w:val="bottom"/>
            <w:hideMark/>
          </w:tcPr>
          <w:p w14:paraId="35420AF9"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3383" w:type="dxa"/>
            <w:tcBorders>
              <w:top w:val="nil"/>
              <w:left w:val="nil"/>
              <w:bottom w:val="single" w:sz="4" w:space="0" w:color="auto"/>
              <w:right w:val="single" w:sz="4" w:space="0" w:color="auto"/>
            </w:tcBorders>
            <w:shd w:val="clear" w:color="auto" w:fill="auto"/>
            <w:noWrap/>
            <w:vAlign w:val="bottom"/>
            <w:hideMark/>
          </w:tcPr>
          <w:p w14:paraId="41ABBC30"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 xml:space="preserve"> NPV in Million $ </w:t>
            </w:r>
          </w:p>
        </w:tc>
        <w:tc>
          <w:tcPr>
            <w:tcW w:w="2478" w:type="dxa"/>
            <w:tcBorders>
              <w:top w:val="nil"/>
              <w:left w:val="nil"/>
              <w:bottom w:val="single" w:sz="4" w:space="0" w:color="auto"/>
              <w:right w:val="single" w:sz="4" w:space="0" w:color="auto"/>
            </w:tcBorders>
            <w:shd w:val="clear" w:color="auto" w:fill="auto"/>
            <w:noWrap/>
            <w:vAlign w:val="bottom"/>
            <w:hideMark/>
          </w:tcPr>
          <w:p w14:paraId="745F4D15"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 xml:space="preserve">        1.290 </w:t>
            </w:r>
          </w:p>
        </w:tc>
      </w:tr>
    </w:tbl>
    <w:p w14:paraId="03B03DA5" w14:textId="77777777" w:rsidR="00132A2C" w:rsidRPr="000F53F3" w:rsidRDefault="00132A2C" w:rsidP="00132A2C">
      <w:pPr>
        <w:spacing w:line="360" w:lineRule="auto"/>
        <w:rPr>
          <w:rFonts w:ascii="Times New Roman" w:hAnsi="Times New Roman" w:cs="Times New Roman"/>
          <w:sz w:val="24"/>
          <w:szCs w:val="24"/>
        </w:rPr>
      </w:pPr>
    </w:p>
    <w:p w14:paraId="1B398C28" w14:textId="69B3846F"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The above-mentioned NPV analysis is showing a </w:t>
      </w:r>
      <w:proofErr w:type="spellStart"/>
      <w:r w:rsidRPr="0007172A">
        <w:rPr>
          <w:rFonts w:ascii="Arial" w:hAnsi="Arial" w:cs="Arial"/>
          <w:sz w:val="24"/>
          <w:szCs w:val="24"/>
        </w:rPr>
        <w:t>favorable</w:t>
      </w:r>
      <w:proofErr w:type="spellEnd"/>
      <w:r w:rsidRPr="0007172A">
        <w:rPr>
          <w:rFonts w:ascii="Arial" w:hAnsi="Arial" w:cs="Arial"/>
          <w:sz w:val="24"/>
          <w:szCs w:val="24"/>
        </w:rPr>
        <w:t xml:space="preserve"> outcome for the management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The cash flow of the company is expected to increase positively, and with each of the financial years. The discounting factor of 10% has been applied on the same scenario in order to discount the cash flow accordingly. The total cash flow that associated with the same implication is $ 4.140 Million. Initial outlay of $2.85 Million has been subtracted to reach on the NPV. The computed NPV along with all the assumptions heading above is $ 1.290 Million. It means that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will have an added advantage by accepting this proposal, as it will increase its financial outcome and competitiveness. It is suggested to the company to accept this proposal as it will bring positive and effective results for them </w:t>
      </w:r>
      <w:proofErr w:type="gramStart"/>
      <w:r w:rsidRPr="0007172A">
        <w:rPr>
          <w:rFonts w:ascii="Arial" w:hAnsi="Arial" w:cs="Arial"/>
          <w:sz w:val="24"/>
          <w:szCs w:val="24"/>
        </w:rPr>
        <w:t>in the near future</w:t>
      </w:r>
      <w:proofErr w:type="gramEnd"/>
      <w:r w:rsidRPr="0007172A">
        <w:rPr>
          <w:rFonts w:ascii="Arial" w:hAnsi="Arial" w:cs="Arial"/>
          <w:sz w:val="24"/>
          <w:szCs w:val="24"/>
        </w:rPr>
        <w:t xml:space="preserve">. </w:t>
      </w:r>
    </w:p>
    <w:p w14:paraId="09C28A44" w14:textId="77777777" w:rsidR="00132A2C" w:rsidRPr="0007172A" w:rsidRDefault="00132A2C" w:rsidP="0007172A">
      <w:pPr>
        <w:pStyle w:val="Heading2"/>
        <w:spacing w:line="480" w:lineRule="auto"/>
        <w:rPr>
          <w:rFonts w:ascii="Arial" w:hAnsi="Arial" w:cs="Arial"/>
          <w:sz w:val="24"/>
          <w:szCs w:val="24"/>
        </w:rPr>
      </w:pPr>
      <w:bookmarkStart w:id="10" w:name="_Toc15819814"/>
      <w:r w:rsidRPr="0007172A">
        <w:rPr>
          <w:rFonts w:ascii="Arial" w:hAnsi="Arial" w:cs="Arial"/>
          <w:sz w:val="24"/>
          <w:szCs w:val="24"/>
        </w:rPr>
        <w:lastRenderedPageBreak/>
        <w:t>Internal Rate of Return (IRR) Analysis</w:t>
      </w:r>
      <w:bookmarkEnd w:id="10"/>
    </w:p>
    <w:p w14:paraId="073EFADE" w14:textId="26EC764F"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Internal Rate of Return (IRR) is another valuable tool that connects with the analysis of investment appraisal. It is the point at which the NPV of the company becomes Zero (</w:t>
      </w:r>
      <w:r w:rsidRPr="0007172A">
        <w:rPr>
          <w:rFonts w:ascii="Arial" w:hAnsi="Arial" w:cs="Arial"/>
          <w:color w:val="222222"/>
          <w:sz w:val="24"/>
          <w:szCs w:val="24"/>
          <w:shd w:val="clear" w:color="auto" w:fill="FFFFFF"/>
        </w:rPr>
        <w:t>Chaffey, Hemphill and Edmundson-Bird, 2015)</w:t>
      </w:r>
      <w:r w:rsidRPr="0007172A">
        <w:rPr>
          <w:rFonts w:ascii="Arial" w:hAnsi="Arial" w:cs="Arial"/>
          <w:sz w:val="24"/>
          <w:szCs w:val="24"/>
        </w:rPr>
        <w:t>. It is one of the most important and widely used investment appraisal tools that uses by the companies to reach on a verdict about accepting or rejecting an investment proposal. The IRR based on the above-mentioned cash inflows is as follows</w:t>
      </w:r>
    </w:p>
    <w:tbl>
      <w:tblPr>
        <w:tblW w:w="9288" w:type="dxa"/>
        <w:tblInd w:w="93" w:type="dxa"/>
        <w:tblLook w:val="04A0" w:firstRow="1" w:lastRow="0" w:firstColumn="1" w:lastColumn="0" w:noHBand="0" w:noVBand="1"/>
      </w:tblPr>
      <w:tblGrid>
        <w:gridCol w:w="4644"/>
        <w:gridCol w:w="4644"/>
      </w:tblGrid>
      <w:tr w:rsidR="00132A2C" w:rsidRPr="001D5325" w14:paraId="0522FBE2" w14:textId="77777777" w:rsidTr="00C02BC7">
        <w:trPr>
          <w:trHeight w:val="134"/>
        </w:trPr>
        <w:tc>
          <w:tcPr>
            <w:tcW w:w="4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2AD7EA" w14:textId="77777777" w:rsidR="00132A2C" w:rsidRPr="001D5325" w:rsidRDefault="00132A2C" w:rsidP="00C02BC7">
            <w:pPr>
              <w:spacing w:after="0" w:line="360" w:lineRule="auto"/>
              <w:jc w:val="center"/>
              <w:rPr>
                <w:rFonts w:ascii="Times New Roman" w:eastAsia="Times New Roman" w:hAnsi="Times New Roman" w:cs="Times New Roman"/>
                <w:b/>
                <w:bCs/>
                <w:color w:val="000000"/>
                <w:sz w:val="24"/>
                <w:szCs w:val="24"/>
              </w:rPr>
            </w:pPr>
            <w:r w:rsidRPr="001D5325">
              <w:rPr>
                <w:rFonts w:ascii="Times New Roman" w:eastAsia="Times New Roman" w:hAnsi="Times New Roman" w:cs="Times New Roman"/>
                <w:b/>
                <w:bCs/>
                <w:color w:val="000000"/>
                <w:sz w:val="24"/>
                <w:szCs w:val="24"/>
              </w:rPr>
              <w:t>Year</w:t>
            </w:r>
          </w:p>
        </w:tc>
        <w:tc>
          <w:tcPr>
            <w:tcW w:w="4644" w:type="dxa"/>
            <w:tcBorders>
              <w:top w:val="single" w:sz="4" w:space="0" w:color="auto"/>
              <w:left w:val="nil"/>
              <w:bottom w:val="single" w:sz="4" w:space="0" w:color="auto"/>
              <w:right w:val="single" w:sz="4" w:space="0" w:color="auto"/>
            </w:tcBorders>
            <w:shd w:val="clear" w:color="auto" w:fill="auto"/>
            <w:noWrap/>
            <w:vAlign w:val="bottom"/>
            <w:hideMark/>
          </w:tcPr>
          <w:p w14:paraId="04A9E781" w14:textId="77777777" w:rsidR="00132A2C" w:rsidRPr="001D5325" w:rsidRDefault="00132A2C" w:rsidP="00C02BC7">
            <w:pPr>
              <w:spacing w:after="0" w:line="360" w:lineRule="auto"/>
              <w:jc w:val="center"/>
              <w:rPr>
                <w:rFonts w:ascii="Times New Roman" w:eastAsia="Times New Roman" w:hAnsi="Times New Roman" w:cs="Times New Roman"/>
                <w:b/>
                <w:bCs/>
                <w:color w:val="000000"/>
                <w:sz w:val="24"/>
                <w:szCs w:val="24"/>
              </w:rPr>
            </w:pPr>
            <w:r w:rsidRPr="001D5325">
              <w:rPr>
                <w:rFonts w:ascii="Times New Roman" w:eastAsia="Times New Roman" w:hAnsi="Times New Roman" w:cs="Times New Roman"/>
                <w:b/>
                <w:bCs/>
                <w:color w:val="000000"/>
                <w:sz w:val="24"/>
                <w:szCs w:val="24"/>
              </w:rPr>
              <w:t>Cash Flow in Million $</w:t>
            </w:r>
          </w:p>
        </w:tc>
      </w:tr>
      <w:tr w:rsidR="00132A2C" w:rsidRPr="001D5325" w14:paraId="5AA8AB6A"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2A25D38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0</w:t>
            </w:r>
          </w:p>
        </w:tc>
        <w:tc>
          <w:tcPr>
            <w:tcW w:w="4644" w:type="dxa"/>
            <w:tcBorders>
              <w:top w:val="nil"/>
              <w:left w:val="nil"/>
              <w:bottom w:val="single" w:sz="4" w:space="0" w:color="auto"/>
              <w:right w:val="single" w:sz="4" w:space="0" w:color="auto"/>
            </w:tcBorders>
            <w:shd w:val="clear" w:color="auto" w:fill="auto"/>
            <w:noWrap/>
            <w:vAlign w:val="bottom"/>
            <w:hideMark/>
          </w:tcPr>
          <w:p w14:paraId="0830FEB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(2.850)</w:t>
            </w:r>
          </w:p>
        </w:tc>
      </w:tr>
      <w:tr w:rsidR="00132A2C" w:rsidRPr="001D5325" w14:paraId="21640D5A"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13C4E1CB"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1</w:t>
            </w:r>
          </w:p>
        </w:tc>
        <w:tc>
          <w:tcPr>
            <w:tcW w:w="4644" w:type="dxa"/>
            <w:tcBorders>
              <w:top w:val="nil"/>
              <w:left w:val="nil"/>
              <w:bottom w:val="single" w:sz="4" w:space="0" w:color="auto"/>
              <w:right w:val="single" w:sz="4" w:space="0" w:color="auto"/>
            </w:tcBorders>
            <w:shd w:val="clear" w:color="auto" w:fill="auto"/>
            <w:noWrap/>
            <w:vAlign w:val="bottom"/>
            <w:hideMark/>
          </w:tcPr>
          <w:p w14:paraId="0316EBE3"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0.550 </w:t>
            </w:r>
          </w:p>
        </w:tc>
      </w:tr>
      <w:tr w:rsidR="00132A2C" w:rsidRPr="001D5325" w14:paraId="40FB54A6"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1660FDC8"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2</w:t>
            </w:r>
          </w:p>
        </w:tc>
        <w:tc>
          <w:tcPr>
            <w:tcW w:w="4644" w:type="dxa"/>
            <w:tcBorders>
              <w:top w:val="nil"/>
              <w:left w:val="nil"/>
              <w:bottom w:val="single" w:sz="4" w:space="0" w:color="auto"/>
              <w:right w:val="single" w:sz="4" w:space="0" w:color="auto"/>
            </w:tcBorders>
            <w:shd w:val="clear" w:color="auto" w:fill="auto"/>
            <w:noWrap/>
            <w:vAlign w:val="bottom"/>
            <w:hideMark/>
          </w:tcPr>
          <w:p w14:paraId="21F4A21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0.850 </w:t>
            </w:r>
          </w:p>
        </w:tc>
      </w:tr>
      <w:tr w:rsidR="00132A2C" w:rsidRPr="001D5325" w14:paraId="20F4484B"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04EB4DA8"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3</w:t>
            </w:r>
          </w:p>
        </w:tc>
        <w:tc>
          <w:tcPr>
            <w:tcW w:w="4644" w:type="dxa"/>
            <w:tcBorders>
              <w:top w:val="nil"/>
              <w:left w:val="nil"/>
              <w:bottom w:val="single" w:sz="4" w:space="0" w:color="auto"/>
              <w:right w:val="single" w:sz="4" w:space="0" w:color="auto"/>
            </w:tcBorders>
            <w:shd w:val="clear" w:color="auto" w:fill="auto"/>
            <w:noWrap/>
            <w:vAlign w:val="bottom"/>
            <w:hideMark/>
          </w:tcPr>
          <w:p w14:paraId="520EE858"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1.120 </w:t>
            </w:r>
          </w:p>
        </w:tc>
      </w:tr>
      <w:tr w:rsidR="00132A2C" w:rsidRPr="001D5325" w14:paraId="599DC2E4"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5686344B"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4</w:t>
            </w:r>
          </w:p>
        </w:tc>
        <w:tc>
          <w:tcPr>
            <w:tcW w:w="4644" w:type="dxa"/>
            <w:tcBorders>
              <w:top w:val="nil"/>
              <w:left w:val="nil"/>
              <w:bottom w:val="single" w:sz="4" w:space="0" w:color="auto"/>
              <w:right w:val="single" w:sz="4" w:space="0" w:color="auto"/>
            </w:tcBorders>
            <w:shd w:val="clear" w:color="auto" w:fill="auto"/>
            <w:noWrap/>
            <w:vAlign w:val="bottom"/>
            <w:hideMark/>
          </w:tcPr>
          <w:p w14:paraId="7591134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1.150 </w:t>
            </w:r>
          </w:p>
        </w:tc>
      </w:tr>
      <w:tr w:rsidR="00132A2C" w:rsidRPr="001D5325" w14:paraId="39AD4BBC"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144A89E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5</w:t>
            </w:r>
          </w:p>
        </w:tc>
        <w:tc>
          <w:tcPr>
            <w:tcW w:w="4644" w:type="dxa"/>
            <w:tcBorders>
              <w:top w:val="nil"/>
              <w:left w:val="nil"/>
              <w:bottom w:val="single" w:sz="4" w:space="0" w:color="auto"/>
              <w:right w:val="single" w:sz="4" w:space="0" w:color="auto"/>
            </w:tcBorders>
            <w:shd w:val="clear" w:color="auto" w:fill="auto"/>
            <w:noWrap/>
            <w:vAlign w:val="bottom"/>
            <w:hideMark/>
          </w:tcPr>
          <w:p w14:paraId="0A996466"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2.110 </w:t>
            </w:r>
          </w:p>
        </w:tc>
      </w:tr>
      <w:tr w:rsidR="00132A2C" w:rsidRPr="001D5325" w14:paraId="4A7E0147"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483F4B5B"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w:t>
            </w:r>
          </w:p>
        </w:tc>
        <w:tc>
          <w:tcPr>
            <w:tcW w:w="4644" w:type="dxa"/>
            <w:tcBorders>
              <w:top w:val="nil"/>
              <w:left w:val="nil"/>
              <w:bottom w:val="single" w:sz="4" w:space="0" w:color="auto"/>
              <w:right w:val="single" w:sz="4" w:space="0" w:color="auto"/>
            </w:tcBorders>
            <w:shd w:val="clear" w:color="auto" w:fill="auto"/>
            <w:noWrap/>
            <w:vAlign w:val="bottom"/>
            <w:hideMark/>
          </w:tcPr>
          <w:p w14:paraId="3F3AB6A7"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0.232 </w:t>
            </w:r>
          </w:p>
        </w:tc>
      </w:tr>
      <w:tr w:rsidR="00132A2C" w:rsidRPr="001D5325" w14:paraId="10A65BA5"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5F03EE1D"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IRR</w:t>
            </w:r>
            <w:r w:rsidRPr="000F53F3">
              <w:rPr>
                <w:rFonts w:ascii="Times New Roman" w:eastAsia="Times New Roman" w:hAnsi="Times New Roman" w:cs="Times New Roman"/>
                <w:color w:val="000000"/>
                <w:sz w:val="24"/>
                <w:szCs w:val="24"/>
              </w:rPr>
              <w:t xml:space="preserve"> %</w:t>
            </w:r>
          </w:p>
        </w:tc>
        <w:tc>
          <w:tcPr>
            <w:tcW w:w="4644" w:type="dxa"/>
            <w:tcBorders>
              <w:top w:val="nil"/>
              <w:left w:val="nil"/>
              <w:bottom w:val="single" w:sz="4" w:space="0" w:color="auto"/>
              <w:right w:val="single" w:sz="4" w:space="0" w:color="auto"/>
            </w:tcBorders>
            <w:shd w:val="clear" w:color="auto" w:fill="auto"/>
            <w:noWrap/>
            <w:vAlign w:val="bottom"/>
            <w:hideMark/>
          </w:tcPr>
          <w:p w14:paraId="34D2A8E6"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23.172 </w:t>
            </w:r>
          </w:p>
        </w:tc>
      </w:tr>
    </w:tbl>
    <w:p w14:paraId="5916857B" w14:textId="77777777" w:rsidR="00132A2C" w:rsidRPr="000F53F3" w:rsidRDefault="00132A2C" w:rsidP="00132A2C">
      <w:pPr>
        <w:spacing w:line="360" w:lineRule="auto"/>
        <w:rPr>
          <w:rFonts w:ascii="Times New Roman" w:hAnsi="Times New Roman" w:cs="Times New Roman"/>
          <w:sz w:val="24"/>
          <w:szCs w:val="24"/>
        </w:rPr>
      </w:pPr>
    </w:p>
    <w:p w14:paraId="500BB6E5" w14:textId="58838253"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The above-mentioned IRR analysis is showing a </w:t>
      </w:r>
      <w:proofErr w:type="spellStart"/>
      <w:r w:rsidRPr="0007172A">
        <w:rPr>
          <w:rFonts w:ascii="Arial" w:hAnsi="Arial" w:cs="Arial"/>
          <w:sz w:val="24"/>
          <w:szCs w:val="24"/>
        </w:rPr>
        <w:t>favorable</w:t>
      </w:r>
      <w:proofErr w:type="spellEnd"/>
      <w:r w:rsidRPr="0007172A">
        <w:rPr>
          <w:rFonts w:ascii="Arial" w:hAnsi="Arial" w:cs="Arial"/>
          <w:sz w:val="24"/>
          <w:szCs w:val="24"/>
        </w:rPr>
        <w:t xml:space="preserve"> outcome for the management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The cash flow of the company is expected to increase positively, and with each of the financial years. IRR should be compared with the current discount rate of the project in order to reach on a final verdict about accepting or rejecting the proposal. From the analysis, it is clearly found that the computed IRR is 23.17%, which is way higher than the original discount rate of 10%. It means that the project has the guts to increase its financial outcome in a positive manner. It means that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will have an added advantage by accepting this proposal, as it will increase its financial outcome and competitiveness. </w:t>
      </w:r>
      <w:r w:rsidRPr="0007172A">
        <w:rPr>
          <w:rFonts w:ascii="Arial" w:hAnsi="Arial" w:cs="Arial"/>
          <w:sz w:val="24"/>
          <w:szCs w:val="24"/>
        </w:rPr>
        <w:lastRenderedPageBreak/>
        <w:t xml:space="preserve">It is suggested to the company to accept this proposal as it will bring positive and effective results for them </w:t>
      </w:r>
      <w:proofErr w:type="gramStart"/>
      <w:r w:rsidRPr="0007172A">
        <w:rPr>
          <w:rFonts w:ascii="Arial" w:hAnsi="Arial" w:cs="Arial"/>
          <w:sz w:val="24"/>
          <w:szCs w:val="24"/>
        </w:rPr>
        <w:t>in the near future</w:t>
      </w:r>
      <w:proofErr w:type="gramEnd"/>
      <w:r w:rsidRPr="0007172A">
        <w:rPr>
          <w:rFonts w:ascii="Arial" w:hAnsi="Arial" w:cs="Arial"/>
          <w:sz w:val="24"/>
          <w:szCs w:val="24"/>
        </w:rPr>
        <w:t xml:space="preserve"> of the company.</w:t>
      </w:r>
    </w:p>
    <w:p w14:paraId="6C7448A7" w14:textId="77777777"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br w:type="page"/>
      </w:r>
    </w:p>
    <w:p w14:paraId="44142A3A" w14:textId="1D4DD894" w:rsidR="00132A2C" w:rsidRPr="0007172A" w:rsidRDefault="00132A2C" w:rsidP="0007172A">
      <w:pPr>
        <w:pStyle w:val="Heading1"/>
        <w:numPr>
          <w:ilvl w:val="0"/>
          <w:numId w:val="2"/>
        </w:numPr>
        <w:spacing w:line="480" w:lineRule="auto"/>
        <w:jc w:val="left"/>
        <w:rPr>
          <w:rFonts w:ascii="Arial" w:hAnsi="Arial" w:cs="Arial"/>
          <w:sz w:val="24"/>
          <w:szCs w:val="24"/>
        </w:rPr>
      </w:pPr>
      <w:bookmarkStart w:id="11" w:name="_Toc15819815"/>
      <w:r w:rsidRPr="0007172A">
        <w:rPr>
          <w:rFonts w:ascii="Arial" w:hAnsi="Arial" w:cs="Arial"/>
          <w:sz w:val="24"/>
          <w:szCs w:val="24"/>
        </w:rPr>
        <w:lastRenderedPageBreak/>
        <w:t>Financing-Fund Rising</w:t>
      </w:r>
      <w:bookmarkEnd w:id="11"/>
      <w:r w:rsidRPr="0007172A">
        <w:rPr>
          <w:rFonts w:ascii="Arial" w:hAnsi="Arial" w:cs="Arial"/>
          <w:sz w:val="24"/>
          <w:szCs w:val="24"/>
        </w:rPr>
        <w:t xml:space="preserve"> </w:t>
      </w:r>
    </w:p>
    <w:p w14:paraId="54A4BAC7" w14:textId="25DFC24A"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Financing is yet another significant element from the viewpoint of an entity. It is mandatory for an organization to have necessary amount of financing for their competitiveness. It is assumed that the company </w:t>
      </w:r>
      <w:proofErr w:type="gramStart"/>
      <w:r w:rsidRPr="0007172A">
        <w:rPr>
          <w:rFonts w:ascii="Arial" w:hAnsi="Arial" w:cs="Arial"/>
          <w:sz w:val="24"/>
          <w:szCs w:val="24"/>
        </w:rPr>
        <w:t>is in need of</w:t>
      </w:r>
      <w:proofErr w:type="gramEnd"/>
      <w:r w:rsidRPr="0007172A">
        <w:rPr>
          <w:rFonts w:ascii="Arial" w:hAnsi="Arial" w:cs="Arial"/>
          <w:sz w:val="24"/>
          <w:szCs w:val="24"/>
        </w:rPr>
        <w:t xml:space="preserve"> financing based on 3% of the total assets for the year 2018. As per the estimation, the total amount required by the company is </w:t>
      </w:r>
      <w:r w:rsidR="008E7994">
        <w:rPr>
          <w:rFonts w:ascii="Arial" w:hAnsi="Arial" w:cs="Arial"/>
          <w:sz w:val="24"/>
          <w:szCs w:val="24"/>
        </w:rPr>
        <w:t>US</w:t>
      </w:r>
      <w:r w:rsidRPr="0007172A">
        <w:rPr>
          <w:rFonts w:ascii="Arial" w:hAnsi="Arial" w:cs="Arial"/>
          <w:sz w:val="24"/>
          <w:szCs w:val="24"/>
        </w:rPr>
        <w:t xml:space="preserve">$506,097. It is 3% of the total assets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for the year 2018. There can be several ways through which the management of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can have the necessary amount of financing. </w:t>
      </w:r>
    </w:p>
    <w:p w14:paraId="4E9E379D" w14:textId="559FC933"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One option is taking the bank loan considering the amount which has been computed. It is one of the most common ways of acquiring the finance for an entity, and most of the corporations from all over the world use this option for their financing purpose. The main advantage of getting the finance from this source is the time. It means that this option is fast and accurate, and the company can avail the necessary amount of financing instantly. However, the biggest disadvantage that associated with the same implication is high cost initialization. Prevailing interest rate will be applied on the principle amount that certainly increases the cost of the financing.</w:t>
      </w:r>
    </w:p>
    <w:p w14:paraId="26C85B47" w14:textId="6DF68CF4" w:rsidR="00132A2C" w:rsidRPr="0007172A" w:rsidRDefault="00132A2C" w:rsidP="0007172A">
      <w:pPr>
        <w:spacing w:line="480" w:lineRule="auto"/>
        <w:rPr>
          <w:rFonts w:ascii="Arial" w:hAnsi="Arial" w:cs="Arial"/>
          <w:sz w:val="24"/>
          <w:szCs w:val="24"/>
        </w:rPr>
      </w:pPr>
      <w:r w:rsidRPr="0007172A">
        <w:rPr>
          <w:rFonts w:ascii="Arial" w:hAnsi="Arial" w:cs="Arial"/>
          <w:sz w:val="24"/>
          <w:szCs w:val="24"/>
        </w:rPr>
        <w:t xml:space="preserve">The second option that could be use by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is to float some bonds or right shares for their bond and shareholders. It is the most common way of acquiring the finance. The main advantage of acquiring the necessary financing from this medium is easiness. It means that certain amount of finance can be avail without having problem. However, the biggest disadvantage of this option is relating to their compensation. It means that </w:t>
      </w:r>
      <w:proofErr w:type="spellStart"/>
      <w:r w:rsidRPr="0007172A">
        <w:rPr>
          <w:rFonts w:ascii="Arial" w:hAnsi="Arial" w:cs="Arial"/>
          <w:sz w:val="24"/>
          <w:szCs w:val="24"/>
        </w:rPr>
        <w:t>Gemilang</w:t>
      </w:r>
      <w:proofErr w:type="spellEnd"/>
      <w:r w:rsidRPr="0007172A">
        <w:rPr>
          <w:rFonts w:ascii="Arial" w:hAnsi="Arial" w:cs="Arial"/>
          <w:sz w:val="24"/>
          <w:szCs w:val="24"/>
        </w:rPr>
        <w:t xml:space="preserve"> International </w:t>
      </w:r>
      <w:proofErr w:type="gramStart"/>
      <w:r w:rsidRPr="0007172A">
        <w:rPr>
          <w:rFonts w:ascii="Arial" w:hAnsi="Arial" w:cs="Arial"/>
          <w:sz w:val="24"/>
          <w:szCs w:val="24"/>
        </w:rPr>
        <w:t>has to</w:t>
      </w:r>
      <w:proofErr w:type="gramEnd"/>
      <w:r w:rsidRPr="0007172A">
        <w:rPr>
          <w:rFonts w:ascii="Arial" w:hAnsi="Arial" w:cs="Arial"/>
          <w:sz w:val="24"/>
          <w:szCs w:val="24"/>
        </w:rPr>
        <w:t xml:space="preserve"> compensate their shareholders, even if they are not earning profit on their investment. Based on the current financial analysis of the company, it is recommended to them to avail Bank </w:t>
      </w:r>
      <w:r w:rsidRPr="0007172A">
        <w:rPr>
          <w:rFonts w:ascii="Arial" w:hAnsi="Arial" w:cs="Arial"/>
          <w:sz w:val="24"/>
          <w:szCs w:val="24"/>
        </w:rPr>
        <w:lastRenderedPageBreak/>
        <w:t xml:space="preserve">Loan facility for the fund </w:t>
      </w:r>
      <w:proofErr w:type="spellStart"/>
      <w:r w:rsidRPr="0007172A">
        <w:rPr>
          <w:rFonts w:ascii="Arial" w:hAnsi="Arial" w:cs="Arial"/>
          <w:sz w:val="24"/>
          <w:szCs w:val="24"/>
        </w:rPr>
        <w:t>rising</w:t>
      </w:r>
      <w:proofErr w:type="spellEnd"/>
      <w:r w:rsidRPr="0007172A">
        <w:rPr>
          <w:rFonts w:ascii="Arial" w:hAnsi="Arial" w:cs="Arial"/>
          <w:sz w:val="24"/>
          <w:szCs w:val="24"/>
        </w:rPr>
        <w:t xml:space="preserve">. The main rationale behind accepting this option is the net income of the company for the year 2018 that were in the negative zone. Shareholders might not attract with the offers of Bond and Right shares due to the current financial performance of the company.  </w:t>
      </w:r>
    </w:p>
    <w:p w14:paraId="6F627314" w14:textId="4E34868E" w:rsidR="00132A2C" w:rsidRPr="0007172A" w:rsidRDefault="00132A2C" w:rsidP="0007172A">
      <w:pPr>
        <w:pStyle w:val="Heading1"/>
        <w:numPr>
          <w:ilvl w:val="0"/>
          <w:numId w:val="2"/>
        </w:numPr>
        <w:spacing w:line="480" w:lineRule="auto"/>
        <w:jc w:val="left"/>
        <w:rPr>
          <w:rFonts w:ascii="Arial" w:hAnsi="Arial" w:cs="Arial"/>
          <w:sz w:val="24"/>
          <w:szCs w:val="24"/>
        </w:rPr>
      </w:pPr>
      <w:bookmarkStart w:id="12" w:name="_Toc15819816"/>
      <w:r w:rsidRPr="0007172A">
        <w:rPr>
          <w:rFonts w:ascii="Arial" w:hAnsi="Arial" w:cs="Arial"/>
          <w:sz w:val="24"/>
          <w:szCs w:val="24"/>
        </w:rPr>
        <w:t>Audit Plan</w:t>
      </w:r>
      <w:bookmarkEnd w:id="12"/>
    </w:p>
    <w:p w14:paraId="78975900" w14:textId="3367320E" w:rsidR="00132A2C" w:rsidRPr="007C6BB7" w:rsidRDefault="00132A2C" w:rsidP="007C6BB7">
      <w:pPr>
        <w:spacing w:line="480" w:lineRule="auto"/>
        <w:rPr>
          <w:rFonts w:ascii="Arial" w:hAnsi="Arial" w:cs="Arial"/>
          <w:sz w:val="24"/>
          <w:szCs w:val="24"/>
        </w:rPr>
      </w:pPr>
      <w:r w:rsidRPr="0007172A">
        <w:rPr>
          <w:rFonts w:ascii="Arial" w:hAnsi="Arial" w:cs="Arial"/>
          <w:sz w:val="24"/>
          <w:szCs w:val="24"/>
        </w:rPr>
        <w:t xml:space="preserve">Based on the current problems highlighted in the above-mentioned sections, an audit plan is required that could overcome these issues professionally. The audit plan for the coming 12 months </w:t>
      </w:r>
      <w:r w:rsidR="00372C4D" w:rsidRPr="0007172A">
        <w:rPr>
          <w:rFonts w:ascii="Arial" w:hAnsi="Arial" w:cs="Arial"/>
          <w:sz w:val="24"/>
          <w:szCs w:val="24"/>
        </w:rPr>
        <w:t>has</w:t>
      </w:r>
      <w:r w:rsidRPr="0007172A">
        <w:rPr>
          <w:rFonts w:ascii="Arial" w:hAnsi="Arial" w:cs="Arial"/>
          <w:sz w:val="24"/>
          <w:szCs w:val="24"/>
        </w:rPr>
        <w:t xml:space="preserve"> been summarized </w:t>
      </w:r>
      <w:r w:rsidR="00372C4D">
        <w:rPr>
          <w:rFonts w:ascii="Arial" w:hAnsi="Arial" w:cs="Arial"/>
          <w:sz w:val="24"/>
          <w:szCs w:val="24"/>
        </w:rPr>
        <w:t>in different attributes</w:t>
      </w:r>
      <w:r w:rsidR="007C6BB7">
        <w:rPr>
          <w:rFonts w:ascii="Arial" w:hAnsi="Arial" w:cs="Arial"/>
          <w:sz w:val="24"/>
          <w:szCs w:val="24"/>
        </w:rPr>
        <w:t>, 1) f</w:t>
      </w:r>
      <w:r w:rsidR="008E7994">
        <w:rPr>
          <w:rFonts w:ascii="Arial" w:hAnsi="Arial" w:cs="Arial"/>
          <w:sz w:val="24"/>
          <w:szCs w:val="24"/>
        </w:rPr>
        <w:t xml:space="preserve">or revenue, </w:t>
      </w:r>
      <w:r w:rsidR="008E7994">
        <w:rPr>
          <w:rFonts w:ascii="Times New Roman" w:eastAsia="Times New Roman" w:hAnsi="Times New Roman" w:cs="Times New Roman"/>
          <w:color w:val="000000"/>
          <w:sz w:val="24"/>
          <w:szCs w:val="24"/>
        </w:rPr>
        <w:t>i</w:t>
      </w:r>
      <w:r w:rsidR="008E7994" w:rsidRPr="00392372">
        <w:rPr>
          <w:rFonts w:ascii="Times New Roman" w:eastAsia="Times New Roman" w:hAnsi="Times New Roman" w:cs="Times New Roman"/>
          <w:color w:val="000000"/>
          <w:sz w:val="24"/>
          <w:szCs w:val="24"/>
        </w:rPr>
        <w:t xml:space="preserve">t is essential for the management of </w:t>
      </w:r>
      <w:proofErr w:type="spellStart"/>
      <w:r w:rsidR="008E7994" w:rsidRPr="00392372">
        <w:rPr>
          <w:rFonts w:ascii="Times New Roman" w:eastAsia="Times New Roman" w:hAnsi="Times New Roman" w:cs="Times New Roman"/>
          <w:color w:val="000000"/>
          <w:sz w:val="24"/>
          <w:szCs w:val="24"/>
        </w:rPr>
        <w:t>Gemilang</w:t>
      </w:r>
      <w:proofErr w:type="spellEnd"/>
      <w:r w:rsidR="008E7994" w:rsidRPr="00392372">
        <w:rPr>
          <w:rFonts w:ascii="Times New Roman" w:eastAsia="Times New Roman" w:hAnsi="Times New Roman" w:cs="Times New Roman"/>
          <w:color w:val="000000"/>
          <w:sz w:val="24"/>
          <w:szCs w:val="24"/>
        </w:rPr>
        <w:t xml:space="preserve"> International to increase its revenue on a regular basis. It can be achieved by exploring more avenues for them in the future</w:t>
      </w:r>
      <w:r w:rsidR="008E7994">
        <w:rPr>
          <w:rFonts w:ascii="Times New Roman" w:eastAsia="Times New Roman" w:hAnsi="Times New Roman" w:cs="Times New Roman"/>
          <w:color w:val="000000"/>
          <w:sz w:val="24"/>
          <w:szCs w:val="24"/>
        </w:rPr>
        <w:t xml:space="preserve">. </w:t>
      </w:r>
      <w:r w:rsidR="007C6BB7">
        <w:rPr>
          <w:rFonts w:ascii="Times New Roman" w:eastAsia="Times New Roman" w:hAnsi="Times New Roman" w:cs="Times New Roman"/>
          <w:color w:val="000000"/>
          <w:sz w:val="24"/>
          <w:szCs w:val="24"/>
        </w:rPr>
        <w:t xml:space="preserve">The </w:t>
      </w:r>
      <w:r w:rsidR="008E7994">
        <w:rPr>
          <w:rFonts w:ascii="Times New Roman" w:eastAsia="Times New Roman" w:hAnsi="Times New Roman" w:cs="Times New Roman"/>
          <w:color w:val="000000"/>
          <w:sz w:val="24"/>
          <w:szCs w:val="24"/>
        </w:rPr>
        <w:t>financial impact</w:t>
      </w:r>
      <w:r w:rsidR="007C6BB7">
        <w:rPr>
          <w:rFonts w:ascii="Times New Roman" w:eastAsia="Times New Roman" w:hAnsi="Times New Roman" w:cs="Times New Roman"/>
          <w:color w:val="000000"/>
          <w:sz w:val="24"/>
          <w:szCs w:val="24"/>
        </w:rPr>
        <w:t xml:space="preserve"> is high; 2) f</w:t>
      </w:r>
      <w:r w:rsidR="008E7994">
        <w:rPr>
          <w:rFonts w:ascii="Times New Roman" w:eastAsia="Times New Roman" w:hAnsi="Times New Roman" w:cs="Times New Roman"/>
          <w:color w:val="000000"/>
          <w:sz w:val="24"/>
          <w:szCs w:val="24"/>
        </w:rPr>
        <w:t>or managing of cost, p</w:t>
      </w:r>
      <w:r w:rsidR="008E7994" w:rsidRPr="00392372">
        <w:rPr>
          <w:rFonts w:ascii="Times New Roman" w:eastAsia="Times New Roman" w:hAnsi="Times New Roman" w:cs="Times New Roman"/>
          <w:color w:val="000000"/>
          <w:sz w:val="24"/>
          <w:szCs w:val="24"/>
        </w:rPr>
        <w:t xml:space="preserve">roper management of cost is essential for the company, and the impact is equally effective for </w:t>
      </w:r>
      <w:proofErr w:type="spellStart"/>
      <w:r w:rsidR="008E7994" w:rsidRPr="00392372">
        <w:rPr>
          <w:rFonts w:ascii="Times New Roman" w:eastAsia="Times New Roman" w:hAnsi="Times New Roman" w:cs="Times New Roman"/>
          <w:color w:val="000000"/>
          <w:sz w:val="24"/>
          <w:szCs w:val="24"/>
        </w:rPr>
        <w:t>Gemilang</w:t>
      </w:r>
      <w:proofErr w:type="spellEnd"/>
      <w:r w:rsidR="008E7994" w:rsidRPr="00392372">
        <w:rPr>
          <w:rFonts w:ascii="Times New Roman" w:eastAsia="Times New Roman" w:hAnsi="Times New Roman" w:cs="Times New Roman"/>
          <w:color w:val="000000"/>
          <w:sz w:val="24"/>
          <w:szCs w:val="24"/>
        </w:rPr>
        <w:t xml:space="preserve"> as well. The management </w:t>
      </w:r>
      <w:r w:rsidR="008E7994" w:rsidRPr="00392372">
        <w:rPr>
          <w:rFonts w:ascii="Times New Roman" w:eastAsia="Times New Roman" w:hAnsi="Times New Roman" w:cs="Times New Roman"/>
          <w:color w:val="000000"/>
          <w:sz w:val="24"/>
          <w:szCs w:val="24"/>
        </w:rPr>
        <w:t>must</w:t>
      </w:r>
      <w:r w:rsidR="008E7994" w:rsidRPr="00392372">
        <w:rPr>
          <w:rFonts w:ascii="Times New Roman" w:eastAsia="Times New Roman" w:hAnsi="Times New Roman" w:cs="Times New Roman"/>
          <w:color w:val="000000"/>
          <w:sz w:val="24"/>
          <w:szCs w:val="24"/>
        </w:rPr>
        <w:t xml:space="preserve"> apply relevant techniques to overcome its direct and indirect cost</w:t>
      </w:r>
      <w:r w:rsidR="008E7994">
        <w:rPr>
          <w:rFonts w:ascii="Times New Roman" w:eastAsia="Times New Roman" w:hAnsi="Times New Roman" w:cs="Times New Roman"/>
          <w:color w:val="000000"/>
          <w:sz w:val="24"/>
          <w:szCs w:val="24"/>
        </w:rPr>
        <w:t xml:space="preserve"> and to reduce </w:t>
      </w:r>
      <w:r w:rsidR="007C6BB7">
        <w:rPr>
          <w:rFonts w:ascii="Times New Roman" w:eastAsia="Times New Roman" w:hAnsi="Times New Roman" w:cs="Times New Roman"/>
          <w:color w:val="000000"/>
          <w:sz w:val="24"/>
          <w:szCs w:val="24"/>
        </w:rPr>
        <w:t xml:space="preserve">them. The </w:t>
      </w:r>
      <w:r w:rsidR="007C6BB7">
        <w:rPr>
          <w:rFonts w:ascii="Times New Roman" w:eastAsia="Times New Roman" w:hAnsi="Times New Roman" w:cs="Times New Roman"/>
          <w:color w:val="000000"/>
          <w:sz w:val="24"/>
          <w:szCs w:val="24"/>
        </w:rPr>
        <w:t>financial impact</w:t>
      </w:r>
      <w:r w:rsidR="007C6BB7">
        <w:rPr>
          <w:rFonts w:ascii="Times New Roman" w:eastAsia="Times New Roman" w:hAnsi="Times New Roman" w:cs="Times New Roman"/>
          <w:color w:val="000000"/>
          <w:sz w:val="24"/>
          <w:szCs w:val="24"/>
        </w:rPr>
        <w:t xml:space="preserve"> is medium; 3) for s</w:t>
      </w:r>
      <w:r w:rsidR="007C6BB7" w:rsidRPr="00392372">
        <w:rPr>
          <w:rFonts w:ascii="Times New Roman" w:eastAsia="Times New Roman" w:hAnsi="Times New Roman" w:cs="Times New Roman"/>
          <w:color w:val="000000"/>
          <w:sz w:val="24"/>
          <w:szCs w:val="24"/>
        </w:rPr>
        <w:t>emi-</w:t>
      </w:r>
      <w:r w:rsidR="007C6BB7">
        <w:rPr>
          <w:rFonts w:ascii="Times New Roman" w:eastAsia="Times New Roman" w:hAnsi="Times New Roman" w:cs="Times New Roman"/>
          <w:color w:val="000000"/>
          <w:sz w:val="24"/>
          <w:szCs w:val="24"/>
        </w:rPr>
        <w:t>a</w:t>
      </w:r>
      <w:r w:rsidR="007C6BB7" w:rsidRPr="00392372">
        <w:rPr>
          <w:rFonts w:ascii="Times New Roman" w:eastAsia="Times New Roman" w:hAnsi="Times New Roman" w:cs="Times New Roman"/>
          <w:color w:val="000000"/>
          <w:sz w:val="24"/>
          <w:szCs w:val="24"/>
        </w:rPr>
        <w:t xml:space="preserve">nnual </w:t>
      </w:r>
      <w:r w:rsidR="007C6BB7">
        <w:rPr>
          <w:rFonts w:ascii="Times New Roman" w:eastAsia="Times New Roman" w:hAnsi="Times New Roman" w:cs="Times New Roman"/>
          <w:color w:val="000000"/>
          <w:sz w:val="24"/>
          <w:szCs w:val="24"/>
        </w:rPr>
        <w:t>m</w:t>
      </w:r>
      <w:r w:rsidR="007C6BB7" w:rsidRPr="00392372">
        <w:rPr>
          <w:rFonts w:ascii="Times New Roman" w:eastAsia="Times New Roman" w:hAnsi="Times New Roman" w:cs="Times New Roman"/>
          <w:color w:val="000000"/>
          <w:sz w:val="24"/>
          <w:szCs w:val="24"/>
        </w:rPr>
        <w:t>eetings</w:t>
      </w:r>
      <w:r w:rsidR="007C6BB7">
        <w:rPr>
          <w:rFonts w:ascii="Times New Roman" w:eastAsia="Times New Roman" w:hAnsi="Times New Roman" w:cs="Times New Roman"/>
          <w:color w:val="000000"/>
          <w:sz w:val="24"/>
          <w:szCs w:val="24"/>
        </w:rPr>
        <w:t xml:space="preserve">, a meeting with </w:t>
      </w:r>
      <w:r w:rsidR="007C6BB7" w:rsidRPr="00392372">
        <w:rPr>
          <w:rFonts w:ascii="Times New Roman" w:eastAsia="Times New Roman" w:hAnsi="Times New Roman" w:cs="Times New Roman"/>
          <w:color w:val="000000"/>
          <w:sz w:val="24"/>
          <w:szCs w:val="24"/>
        </w:rPr>
        <w:t xml:space="preserve">the shareholders and employees is mandatory here to overcome the </w:t>
      </w:r>
      <w:proofErr w:type="gramStart"/>
      <w:r w:rsidR="007C6BB7" w:rsidRPr="00392372">
        <w:rPr>
          <w:rFonts w:ascii="Times New Roman" w:eastAsia="Times New Roman" w:hAnsi="Times New Roman" w:cs="Times New Roman"/>
          <w:color w:val="000000"/>
          <w:sz w:val="24"/>
          <w:szCs w:val="24"/>
        </w:rPr>
        <w:t>challenges, and</w:t>
      </w:r>
      <w:proofErr w:type="gramEnd"/>
      <w:r w:rsidR="007C6BB7" w:rsidRPr="00392372">
        <w:rPr>
          <w:rFonts w:ascii="Times New Roman" w:eastAsia="Times New Roman" w:hAnsi="Times New Roman" w:cs="Times New Roman"/>
          <w:color w:val="000000"/>
          <w:sz w:val="24"/>
          <w:szCs w:val="24"/>
        </w:rPr>
        <w:t xml:space="preserve"> </w:t>
      </w:r>
      <w:r w:rsidR="007C6BB7" w:rsidRPr="000F53F3">
        <w:rPr>
          <w:rFonts w:ascii="Times New Roman" w:eastAsia="Times New Roman" w:hAnsi="Times New Roman" w:cs="Times New Roman"/>
          <w:color w:val="000000"/>
          <w:sz w:val="24"/>
          <w:szCs w:val="24"/>
        </w:rPr>
        <w:t>maximizing</w:t>
      </w:r>
      <w:r w:rsidR="007C6BB7" w:rsidRPr="00392372">
        <w:rPr>
          <w:rFonts w:ascii="Times New Roman" w:eastAsia="Times New Roman" w:hAnsi="Times New Roman" w:cs="Times New Roman"/>
          <w:color w:val="000000"/>
          <w:sz w:val="24"/>
          <w:szCs w:val="24"/>
        </w:rPr>
        <w:t xml:space="preserve"> the financial outcome of the </w:t>
      </w:r>
      <w:r w:rsidR="007C6BB7" w:rsidRPr="000F53F3">
        <w:rPr>
          <w:rFonts w:ascii="Times New Roman" w:eastAsia="Times New Roman" w:hAnsi="Times New Roman" w:cs="Times New Roman"/>
          <w:color w:val="000000"/>
          <w:sz w:val="24"/>
          <w:szCs w:val="24"/>
        </w:rPr>
        <w:t>company</w:t>
      </w:r>
      <w:r w:rsidR="007C6BB7">
        <w:rPr>
          <w:rFonts w:ascii="Times New Roman" w:eastAsia="Times New Roman" w:hAnsi="Times New Roman" w:cs="Times New Roman"/>
          <w:color w:val="000000"/>
          <w:sz w:val="24"/>
          <w:szCs w:val="24"/>
        </w:rPr>
        <w:t xml:space="preserve">. </w:t>
      </w:r>
      <w:r w:rsidR="007C6BB7">
        <w:rPr>
          <w:rFonts w:ascii="Times New Roman" w:eastAsia="Times New Roman" w:hAnsi="Times New Roman" w:cs="Times New Roman"/>
          <w:color w:val="000000"/>
          <w:sz w:val="24"/>
          <w:szCs w:val="24"/>
        </w:rPr>
        <w:t>The financial impact is medium;</w:t>
      </w:r>
      <w:r w:rsidR="007C6BB7">
        <w:rPr>
          <w:rFonts w:ascii="Times New Roman" w:eastAsia="Times New Roman" w:hAnsi="Times New Roman" w:cs="Times New Roman"/>
          <w:color w:val="000000"/>
          <w:sz w:val="24"/>
          <w:szCs w:val="24"/>
        </w:rPr>
        <w:t xml:space="preserve"> 4) for m</w:t>
      </w:r>
      <w:r w:rsidR="007C6BB7" w:rsidRPr="00392372">
        <w:rPr>
          <w:rFonts w:ascii="Times New Roman" w:eastAsia="Times New Roman" w:hAnsi="Times New Roman" w:cs="Times New Roman"/>
          <w:color w:val="000000"/>
          <w:sz w:val="24"/>
          <w:szCs w:val="24"/>
        </w:rPr>
        <w:t>anag</w:t>
      </w:r>
      <w:r w:rsidR="007C6BB7">
        <w:rPr>
          <w:rFonts w:ascii="Times New Roman" w:eastAsia="Times New Roman" w:hAnsi="Times New Roman" w:cs="Times New Roman"/>
          <w:color w:val="000000"/>
          <w:sz w:val="24"/>
          <w:szCs w:val="24"/>
        </w:rPr>
        <w:t>ing</w:t>
      </w:r>
      <w:r w:rsidR="007C6BB7" w:rsidRPr="00392372">
        <w:rPr>
          <w:rFonts w:ascii="Times New Roman" w:eastAsia="Times New Roman" w:hAnsi="Times New Roman" w:cs="Times New Roman"/>
          <w:color w:val="000000"/>
          <w:sz w:val="24"/>
          <w:szCs w:val="24"/>
        </w:rPr>
        <w:t xml:space="preserve"> of </w:t>
      </w:r>
      <w:r w:rsidR="007C6BB7">
        <w:rPr>
          <w:rFonts w:ascii="Times New Roman" w:eastAsia="Times New Roman" w:hAnsi="Times New Roman" w:cs="Times New Roman"/>
          <w:color w:val="000000"/>
          <w:sz w:val="24"/>
          <w:szCs w:val="24"/>
        </w:rPr>
        <w:t>o</w:t>
      </w:r>
      <w:r w:rsidR="007C6BB7" w:rsidRPr="00392372">
        <w:rPr>
          <w:rFonts w:ascii="Times New Roman" w:eastAsia="Times New Roman" w:hAnsi="Times New Roman" w:cs="Times New Roman"/>
          <w:color w:val="000000"/>
          <w:sz w:val="24"/>
          <w:szCs w:val="24"/>
        </w:rPr>
        <w:t xml:space="preserve">perational </w:t>
      </w:r>
      <w:r w:rsidR="007C6BB7">
        <w:rPr>
          <w:rFonts w:ascii="Times New Roman" w:eastAsia="Times New Roman" w:hAnsi="Times New Roman" w:cs="Times New Roman"/>
          <w:color w:val="000000"/>
          <w:sz w:val="24"/>
          <w:szCs w:val="24"/>
        </w:rPr>
        <w:t>e</w:t>
      </w:r>
      <w:r w:rsidR="007C6BB7" w:rsidRPr="00392372">
        <w:rPr>
          <w:rFonts w:ascii="Times New Roman" w:eastAsia="Times New Roman" w:hAnsi="Times New Roman" w:cs="Times New Roman"/>
          <w:color w:val="000000"/>
          <w:sz w:val="24"/>
          <w:szCs w:val="24"/>
        </w:rPr>
        <w:t>xpenses</w:t>
      </w:r>
      <w:r w:rsidR="007C6BB7">
        <w:rPr>
          <w:rFonts w:ascii="Times New Roman" w:eastAsia="Times New Roman" w:hAnsi="Times New Roman" w:cs="Times New Roman"/>
          <w:color w:val="000000"/>
          <w:sz w:val="24"/>
          <w:szCs w:val="24"/>
        </w:rPr>
        <w:t xml:space="preserve">, it is </w:t>
      </w:r>
      <w:r w:rsidR="007C6BB7" w:rsidRPr="00392372">
        <w:rPr>
          <w:rFonts w:ascii="Times New Roman" w:eastAsia="Times New Roman" w:hAnsi="Times New Roman" w:cs="Times New Roman"/>
          <w:color w:val="000000"/>
          <w:sz w:val="24"/>
          <w:szCs w:val="24"/>
        </w:rPr>
        <w:t>strong check and balance needs to be applied on the current operational expenses of the company in order to manage them with perfection</w:t>
      </w:r>
      <w:r w:rsidR="007C6BB7">
        <w:rPr>
          <w:rFonts w:ascii="Times New Roman" w:eastAsia="Times New Roman" w:hAnsi="Times New Roman" w:cs="Times New Roman"/>
          <w:color w:val="000000"/>
          <w:sz w:val="24"/>
          <w:szCs w:val="24"/>
        </w:rPr>
        <w:t xml:space="preserve">. </w:t>
      </w:r>
      <w:r w:rsidR="007C6BB7">
        <w:rPr>
          <w:rFonts w:ascii="Times New Roman" w:eastAsia="Times New Roman" w:hAnsi="Times New Roman" w:cs="Times New Roman"/>
          <w:color w:val="000000"/>
          <w:sz w:val="24"/>
          <w:szCs w:val="24"/>
        </w:rPr>
        <w:t xml:space="preserve">The financial impact </w:t>
      </w:r>
      <w:r w:rsidR="007C6BB7">
        <w:rPr>
          <w:rFonts w:ascii="Times New Roman" w:eastAsia="Times New Roman" w:hAnsi="Times New Roman" w:cs="Times New Roman"/>
          <w:color w:val="000000"/>
          <w:sz w:val="24"/>
          <w:szCs w:val="24"/>
        </w:rPr>
        <w:t xml:space="preserve">of it </w:t>
      </w:r>
      <w:r w:rsidR="007C6BB7">
        <w:rPr>
          <w:rFonts w:ascii="Times New Roman" w:eastAsia="Times New Roman" w:hAnsi="Times New Roman" w:cs="Times New Roman"/>
          <w:color w:val="000000"/>
          <w:sz w:val="24"/>
          <w:szCs w:val="24"/>
        </w:rPr>
        <w:t>is high;</w:t>
      </w:r>
      <w:r w:rsidR="007C6BB7">
        <w:rPr>
          <w:rFonts w:ascii="Times New Roman" w:eastAsia="Times New Roman" w:hAnsi="Times New Roman" w:cs="Times New Roman"/>
          <w:color w:val="000000"/>
          <w:sz w:val="24"/>
          <w:szCs w:val="24"/>
        </w:rPr>
        <w:t xml:space="preserve"> 5) for i</w:t>
      </w:r>
      <w:r w:rsidR="007C6BB7" w:rsidRPr="00392372">
        <w:rPr>
          <w:rFonts w:ascii="Times New Roman" w:eastAsia="Times New Roman" w:hAnsi="Times New Roman" w:cs="Times New Roman"/>
          <w:color w:val="000000"/>
          <w:sz w:val="24"/>
          <w:szCs w:val="24"/>
        </w:rPr>
        <w:t xml:space="preserve">nvestment in </w:t>
      </w:r>
      <w:r w:rsidR="007C6BB7">
        <w:rPr>
          <w:rFonts w:ascii="Times New Roman" w:eastAsia="Times New Roman" w:hAnsi="Times New Roman" w:cs="Times New Roman"/>
          <w:color w:val="000000"/>
          <w:sz w:val="24"/>
          <w:szCs w:val="24"/>
        </w:rPr>
        <w:t>r</w:t>
      </w:r>
      <w:r w:rsidR="007C6BB7" w:rsidRPr="00392372">
        <w:rPr>
          <w:rFonts w:ascii="Times New Roman" w:eastAsia="Times New Roman" w:hAnsi="Times New Roman" w:cs="Times New Roman"/>
          <w:color w:val="000000"/>
          <w:sz w:val="24"/>
          <w:szCs w:val="24"/>
        </w:rPr>
        <w:t xml:space="preserve">esearch and </w:t>
      </w:r>
      <w:r w:rsidR="007C6BB7">
        <w:rPr>
          <w:rFonts w:ascii="Times New Roman" w:eastAsia="Times New Roman" w:hAnsi="Times New Roman" w:cs="Times New Roman"/>
          <w:color w:val="000000"/>
          <w:sz w:val="24"/>
          <w:szCs w:val="24"/>
        </w:rPr>
        <w:t>d</w:t>
      </w:r>
      <w:r w:rsidR="007C6BB7" w:rsidRPr="00392372">
        <w:rPr>
          <w:rFonts w:ascii="Times New Roman" w:eastAsia="Times New Roman" w:hAnsi="Times New Roman" w:cs="Times New Roman"/>
          <w:color w:val="000000"/>
          <w:sz w:val="24"/>
          <w:szCs w:val="24"/>
        </w:rPr>
        <w:t>evelopment</w:t>
      </w:r>
      <w:r w:rsidR="007C6BB7">
        <w:rPr>
          <w:rFonts w:ascii="Times New Roman" w:eastAsia="Times New Roman" w:hAnsi="Times New Roman" w:cs="Times New Roman"/>
          <w:color w:val="000000"/>
          <w:sz w:val="24"/>
          <w:szCs w:val="24"/>
        </w:rPr>
        <w:t>, i</w:t>
      </w:r>
      <w:r w:rsidR="007C6BB7" w:rsidRPr="00392372">
        <w:rPr>
          <w:rFonts w:ascii="Times New Roman" w:eastAsia="Times New Roman" w:hAnsi="Times New Roman" w:cs="Times New Roman"/>
          <w:color w:val="000000"/>
          <w:sz w:val="24"/>
          <w:szCs w:val="24"/>
        </w:rPr>
        <w:t>nvestment requires to be applied in a reasonable manner, so that proper actions could have been taken by them for their development and efficiency</w:t>
      </w:r>
      <w:r w:rsidR="007C6BB7">
        <w:rPr>
          <w:rFonts w:ascii="Times New Roman" w:eastAsia="Times New Roman" w:hAnsi="Times New Roman" w:cs="Times New Roman"/>
          <w:color w:val="000000"/>
          <w:sz w:val="24"/>
          <w:szCs w:val="24"/>
        </w:rPr>
        <w:t xml:space="preserve">. </w:t>
      </w:r>
      <w:r w:rsidR="007C6BB7">
        <w:rPr>
          <w:rFonts w:ascii="Times New Roman" w:eastAsia="Times New Roman" w:hAnsi="Times New Roman" w:cs="Times New Roman"/>
          <w:color w:val="000000"/>
          <w:sz w:val="24"/>
          <w:szCs w:val="24"/>
        </w:rPr>
        <w:t>The financial impact is high</w:t>
      </w:r>
      <w:r w:rsidR="007C6BB7">
        <w:rPr>
          <w:rFonts w:ascii="Times New Roman" w:eastAsia="Times New Roman" w:hAnsi="Times New Roman" w:cs="Times New Roman"/>
          <w:color w:val="000000"/>
          <w:sz w:val="24"/>
          <w:szCs w:val="24"/>
        </w:rPr>
        <w:t xml:space="preserve">. </w:t>
      </w:r>
    </w:p>
    <w:p w14:paraId="613E5F64"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 xml:space="preserve"> </w:t>
      </w:r>
    </w:p>
    <w:p w14:paraId="30DE6C0D"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br w:type="page"/>
      </w:r>
    </w:p>
    <w:p w14:paraId="5FE3F7B4" w14:textId="77777777" w:rsidR="00132A2C" w:rsidRPr="000F53F3" w:rsidRDefault="00132A2C" w:rsidP="00372C4D">
      <w:pPr>
        <w:pStyle w:val="Heading1"/>
        <w:jc w:val="left"/>
      </w:pPr>
      <w:bookmarkStart w:id="13" w:name="_Toc15819817"/>
      <w:r w:rsidRPr="000F53F3">
        <w:lastRenderedPageBreak/>
        <w:t>References</w:t>
      </w:r>
      <w:bookmarkEnd w:id="13"/>
    </w:p>
    <w:p w14:paraId="47A28B15"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proofErr w:type="spellStart"/>
      <w:r w:rsidRPr="000F53F3">
        <w:rPr>
          <w:rFonts w:ascii="Times New Roman" w:hAnsi="Times New Roman" w:cs="Times New Roman"/>
          <w:color w:val="222222"/>
          <w:sz w:val="24"/>
          <w:szCs w:val="24"/>
          <w:shd w:val="clear" w:color="auto" w:fill="FFFFFF"/>
        </w:rPr>
        <w:t>Adekola</w:t>
      </w:r>
      <w:proofErr w:type="spellEnd"/>
      <w:r w:rsidRPr="000F53F3">
        <w:rPr>
          <w:rFonts w:ascii="Times New Roman" w:hAnsi="Times New Roman" w:cs="Times New Roman"/>
          <w:color w:val="222222"/>
          <w:sz w:val="24"/>
          <w:szCs w:val="24"/>
          <w:shd w:val="clear" w:color="auto" w:fill="FFFFFF"/>
        </w:rPr>
        <w:t xml:space="preserve">, A. and </w:t>
      </w:r>
      <w:proofErr w:type="spellStart"/>
      <w:r w:rsidRPr="000F53F3">
        <w:rPr>
          <w:rFonts w:ascii="Times New Roman" w:hAnsi="Times New Roman" w:cs="Times New Roman"/>
          <w:color w:val="222222"/>
          <w:sz w:val="24"/>
          <w:szCs w:val="24"/>
          <w:shd w:val="clear" w:color="auto" w:fill="FFFFFF"/>
        </w:rPr>
        <w:t>Sergi</w:t>
      </w:r>
      <w:proofErr w:type="spellEnd"/>
      <w:r w:rsidRPr="000F53F3">
        <w:rPr>
          <w:rFonts w:ascii="Times New Roman" w:hAnsi="Times New Roman" w:cs="Times New Roman"/>
          <w:color w:val="222222"/>
          <w:sz w:val="24"/>
          <w:szCs w:val="24"/>
          <w:shd w:val="clear" w:color="auto" w:fill="FFFFFF"/>
        </w:rPr>
        <w:t>, B.S., 2016. </w:t>
      </w:r>
      <w:r w:rsidRPr="000F53F3">
        <w:rPr>
          <w:rFonts w:ascii="Times New Roman" w:hAnsi="Times New Roman" w:cs="Times New Roman"/>
          <w:i/>
          <w:iCs/>
          <w:color w:val="222222"/>
          <w:sz w:val="24"/>
          <w:szCs w:val="24"/>
          <w:shd w:val="clear" w:color="auto" w:fill="FFFFFF"/>
        </w:rPr>
        <w:t>Global business management: A cross-cultural perspective</w:t>
      </w:r>
      <w:r w:rsidRPr="000F53F3">
        <w:rPr>
          <w:rFonts w:ascii="Times New Roman" w:hAnsi="Times New Roman" w:cs="Times New Roman"/>
          <w:color w:val="222222"/>
          <w:sz w:val="24"/>
          <w:szCs w:val="24"/>
          <w:shd w:val="clear" w:color="auto" w:fill="FFFFFF"/>
        </w:rPr>
        <w:t>. Routledge.</w:t>
      </w:r>
    </w:p>
    <w:p w14:paraId="41BE848A" w14:textId="77777777" w:rsidR="00132A2C" w:rsidRPr="000F53F3" w:rsidRDefault="00132A2C" w:rsidP="00132A2C">
      <w:pPr>
        <w:spacing w:line="360" w:lineRule="auto"/>
        <w:ind w:left="720" w:hanging="720"/>
        <w:rPr>
          <w:rFonts w:ascii="Times New Roman" w:hAnsi="Times New Roman" w:cs="Times New Roman"/>
          <w:sz w:val="24"/>
          <w:szCs w:val="24"/>
        </w:rPr>
      </w:pPr>
      <w:r w:rsidRPr="000F53F3">
        <w:rPr>
          <w:rFonts w:ascii="Times New Roman" w:hAnsi="Times New Roman" w:cs="Times New Roman"/>
          <w:color w:val="222222"/>
          <w:sz w:val="24"/>
          <w:szCs w:val="24"/>
          <w:shd w:val="clear" w:color="auto" w:fill="FFFFFF"/>
        </w:rPr>
        <w:t>Chaffey, D., Hemphill, T. and Edmundson-Bird, D., 2015. </w:t>
      </w:r>
      <w:r w:rsidRPr="000F53F3">
        <w:rPr>
          <w:rFonts w:ascii="Times New Roman" w:hAnsi="Times New Roman" w:cs="Times New Roman"/>
          <w:i/>
          <w:iCs/>
          <w:color w:val="222222"/>
          <w:sz w:val="24"/>
          <w:szCs w:val="24"/>
          <w:shd w:val="clear" w:color="auto" w:fill="FFFFFF"/>
        </w:rPr>
        <w:t>Digital business and e-commerce management</w:t>
      </w:r>
      <w:r w:rsidRPr="000F53F3">
        <w:rPr>
          <w:rFonts w:ascii="Times New Roman" w:hAnsi="Times New Roman" w:cs="Times New Roman"/>
          <w:color w:val="222222"/>
          <w:sz w:val="24"/>
          <w:szCs w:val="24"/>
          <w:shd w:val="clear" w:color="auto" w:fill="FFFFFF"/>
        </w:rPr>
        <w:t>. Pearson UK.</w:t>
      </w:r>
    </w:p>
    <w:p w14:paraId="44EF68CA"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proofErr w:type="spellStart"/>
      <w:r w:rsidRPr="000F53F3">
        <w:rPr>
          <w:rFonts w:ascii="Times New Roman" w:hAnsi="Times New Roman" w:cs="Times New Roman"/>
          <w:color w:val="222222"/>
          <w:sz w:val="24"/>
          <w:szCs w:val="24"/>
          <w:shd w:val="clear" w:color="auto" w:fill="FFFFFF"/>
        </w:rPr>
        <w:t>Dyllick</w:t>
      </w:r>
      <w:proofErr w:type="spellEnd"/>
      <w:r w:rsidRPr="000F53F3">
        <w:rPr>
          <w:rFonts w:ascii="Times New Roman" w:hAnsi="Times New Roman" w:cs="Times New Roman"/>
          <w:color w:val="222222"/>
          <w:sz w:val="24"/>
          <w:szCs w:val="24"/>
          <w:shd w:val="clear" w:color="auto" w:fill="FFFFFF"/>
        </w:rPr>
        <w:t>, T. and Muff, K., 2016. Clarifying the meaning of sustainable business: Introducing a typology from business-as-usual to true business sustainability. </w:t>
      </w:r>
      <w:r w:rsidRPr="000F53F3">
        <w:rPr>
          <w:rFonts w:ascii="Times New Roman" w:hAnsi="Times New Roman" w:cs="Times New Roman"/>
          <w:i/>
          <w:iCs/>
          <w:color w:val="222222"/>
          <w:sz w:val="24"/>
          <w:szCs w:val="24"/>
          <w:shd w:val="clear" w:color="auto" w:fill="FFFFFF"/>
        </w:rPr>
        <w:t>Organization &amp; Environment</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29</w:t>
      </w:r>
      <w:r w:rsidRPr="000F53F3">
        <w:rPr>
          <w:rFonts w:ascii="Times New Roman" w:hAnsi="Times New Roman" w:cs="Times New Roman"/>
          <w:color w:val="222222"/>
          <w:sz w:val="24"/>
          <w:szCs w:val="24"/>
          <w:shd w:val="clear" w:color="auto" w:fill="FFFFFF"/>
        </w:rPr>
        <w:t>(2), pp.156-174.</w:t>
      </w:r>
    </w:p>
    <w:p w14:paraId="2F93F23D"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 xml:space="preserve">Fang, V.W., Huang, A.H. and </w:t>
      </w:r>
      <w:proofErr w:type="spellStart"/>
      <w:r w:rsidRPr="000F53F3">
        <w:rPr>
          <w:rFonts w:ascii="Times New Roman" w:hAnsi="Times New Roman" w:cs="Times New Roman"/>
          <w:color w:val="222222"/>
          <w:sz w:val="24"/>
          <w:szCs w:val="24"/>
          <w:shd w:val="clear" w:color="auto" w:fill="FFFFFF"/>
        </w:rPr>
        <w:t>Karpoff</w:t>
      </w:r>
      <w:proofErr w:type="spellEnd"/>
      <w:r w:rsidRPr="000F53F3">
        <w:rPr>
          <w:rFonts w:ascii="Times New Roman" w:hAnsi="Times New Roman" w:cs="Times New Roman"/>
          <w:color w:val="222222"/>
          <w:sz w:val="24"/>
          <w:szCs w:val="24"/>
          <w:shd w:val="clear" w:color="auto" w:fill="FFFFFF"/>
        </w:rPr>
        <w:t>, J.M., 2016. Short selling and earnings management: A controlled experiment. </w:t>
      </w:r>
      <w:r w:rsidRPr="000F53F3">
        <w:rPr>
          <w:rFonts w:ascii="Times New Roman" w:hAnsi="Times New Roman" w:cs="Times New Roman"/>
          <w:i/>
          <w:iCs/>
          <w:color w:val="222222"/>
          <w:sz w:val="24"/>
          <w:szCs w:val="24"/>
          <w:shd w:val="clear" w:color="auto" w:fill="FFFFFF"/>
        </w:rPr>
        <w:t>The Journal of Finance</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71</w:t>
      </w:r>
      <w:r w:rsidRPr="000F53F3">
        <w:rPr>
          <w:rFonts w:ascii="Times New Roman" w:hAnsi="Times New Roman" w:cs="Times New Roman"/>
          <w:color w:val="222222"/>
          <w:sz w:val="24"/>
          <w:szCs w:val="24"/>
          <w:shd w:val="clear" w:color="auto" w:fill="FFFFFF"/>
        </w:rPr>
        <w:t>(3), pp.1251-1294.</w:t>
      </w:r>
    </w:p>
    <w:p w14:paraId="59C0D45E"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Farrell, M. and Gallagher, R., 2015. The valuation implications of enterprise risk management maturity. </w:t>
      </w:r>
      <w:r w:rsidRPr="000F53F3">
        <w:rPr>
          <w:rFonts w:ascii="Times New Roman" w:hAnsi="Times New Roman" w:cs="Times New Roman"/>
          <w:i/>
          <w:iCs/>
          <w:color w:val="222222"/>
          <w:sz w:val="24"/>
          <w:szCs w:val="24"/>
          <w:shd w:val="clear" w:color="auto" w:fill="FFFFFF"/>
        </w:rPr>
        <w:t>Journal of Risk and Insurance</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82</w:t>
      </w:r>
      <w:r w:rsidRPr="000F53F3">
        <w:rPr>
          <w:rFonts w:ascii="Times New Roman" w:hAnsi="Times New Roman" w:cs="Times New Roman"/>
          <w:color w:val="222222"/>
          <w:sz w:val="24"/>
          <w:szCs w:val="24"/>
          <w:shd w:val="clear" w:color="auto" w:fill="FFFFFF"/>
        </w:rPr>
        <w:t>(3), pp.625-657.</w:t>
      </w:r>
    </w:p>
    <w:p w14:paraId="559FFB8E"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proofErr w:type="spellStart"/>
      <w:r w:rsidRPr="000F53F3">
        <w:rPr>
          <w:rFonts w:ascii="Times New Roman" w:hAnsi="Times New Roman" w:cs="Times New Roman"/>
          <w:color w:val="222222"/>
          <w:sz w:val="24"/>
          <w:szCs w:val="24"/>
          <w:shd w:val="clear" w:color="auto" w:fill="FFFFFF"/>
        </w:rPr>
        <w:t>Gelsomino</w:t>
      </w:r>
      <w:proofErr w:type="spellEnd"/>
      <w:r w:rsidRPr="000F53F3">
        <w:rPr>
          <w:rFonts w:ascii="Times New Roman" w:hAnsi="Times New Roman" w:cs="Times New Roman"/>
          <w:color w:val="222222"/>
          <w:sz w:val="24"/>
          <w:szCs w:val="24"/>
          <w:shd w:val="clear" w:color="auto" w:fill="FFFFFF"/>
        </w:rPr>
        <w:t xml:space="preserve">, L.M., </w:t>
      </w:r>
      <w:proofErr w:type="spellStart"/>
      <w:r w:rsidRPr="000F53F3">
        <w:rPr>
          <w:rFonts w:ascii="Times New Roman" w:hAnsi="Times New Roman" w:cs="Times New Roman"/>
          <w:color w:val="222222"/>
          <w:sz w:val="24"/>
          <w:szCs w:val="24"/>
          <w:shd w:val="clear" w:color="auto" w:fill="FFFFFF"/>
        </w:rPr>
        <w:t>Mangiaracina</w:t>
      </w:r>
      <w:proofErr w:type="spellEnd"/>
      <w:r w:rsidRPr="000F53F3">
        <w:rPr>
          <w:rFonts w:ascii="Times New Roman" w:hAnsi="Times New Roman" w:cs="Times New Roman"/>
          <w:color w:val="222222"/>
          <w:sz w:val="24"/>
          <w:szCs w:val="24"/>
          <w:shd w:val="clear" w:color="auto" w:fill="FFFFFF"/>
        </w:rPr>
        <w:t xml:space="preserve">, R., </w:t>
      </w:r>
      <w:proofErr w:type="spellStart"/>
      <w:r w:rsidRPr="000F53F3">
        <w:rPr>
          <w:rFonts w:ascii="Times New Roman" w:hAnsi="Times New Roman" w:cs="Times New Roman"/>
          <w:color w:val="222222"/>
          <w:sz w:val="24"/>
          <w:szCs w:val="24"/>
          <w:shd w:val="clear" w:color="auto" w:fill="FFFFFF"/>
        </w:rPr>
        <w:t>Perego</w:t>
      </w:r>
      <w:proofErr w:type="spellEnd"/>
      <w:r w:rsidRPr="000F53F3">
        <w:rPr>
          <w:rFonts w:ascii="Times New Roman" w:hAnsi="Times New Roman" w:cs="Times New Roman"/>
          <w:color w:val="222222"/>
          <w:sz w:val="24"/>
          <w:szCs w:val="24"/>
          <w:shd w:val="clear" w:color="auto" w:fill="FFFFFF"/>
        </w:rPr>
        <w:t xml:space="preserve">, A. and </w:t>
      </w:r>
      <w:proofErr w:type="spellStart"/>
      <w:r w:rsidRPr="000F53F3">
        <w:rPr>
          <w:rFonts w:ascii="Times New Roman" w:hAnsi="Times New Roman" w:cs="Times New Roman"/>
          <w:color w:val="222222"/>
          <w:sz w:val="24"/>
          <w:szCs w:val="24"/>
          <w:shd w:val="clear" w:color="auto" w:fill="FFFFFF"/>
        </w:rPr>
        <w:t>Tumino</w:t>
      </w:r>
      <w:proofErr w:type="spellEnd"/>
      <w:r w:rsidRPr="000F53F3">
        <w:rPr>
          <w:rFonts w:ascii="Times New Roman" w:hAnsi="Times New Roman" w:cs="Times New Roman"/>
          <w:color w:val="222222"/>
          <w:sz w:val="24"/>
          <w:szCs w:val="24"/>
          <w:shd w:val="clear" w:color="auto" w:fill="FFFFFF"/>
        </w:rPr>
        <w:t>, A., 2016. Supply chain finance: a literature review. </w:t>
      </w:r>
      <w:r w:rsidRPr="000F53F3">
        <w:rPr>
          <w:rFonts w:ascii="Times New Roman" w:hAnsi="Times New Roman" w:cs="Times New Roman"/>
          <w:i/>
          <w:iCs/>
          <w:color w:val="222222"/>
          <w:sz w:val="24"/>
          <w:szCs w:val="24"/>
          <w:shd w:val="clear" w:color="auto" w:fill="FFFFFF"/>
        </w:rPr>
        <w:t>International Journal of Physical Distribution &amp; Logistics Management</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46</w:t>
      </w:r>
      <w:r w:rsidRPr="000F53F3">
        <w:rPr>
          <w:rFonts w:ascii="Times New Roman" w:hAnsi="Times New Roman" w:cs="Times New Roman"/>
          <w:color w:val="222222"/>
          <w:sz w:val="24"/>
          <w:szCs w:val="24"/>
          <w:shd w:val="clear" w:color="auto" w:fill="FFFFFF"/>
        </w:rPr>
        <w:t>(4), pp.348-366.</w:t>
      </w:r>
    </w:p>
    <w:p w14:paraId="75825584"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Jenkins, W. and Williamson, D., 2015. </w:t>
      </w:r>
      <w:r w:rsidRPr="000F53F3">
        <w:rPr>
          <w:rFonts w:ascii="Times New Roman" w:hAnsi="Times New Roman" w:cs="Times New Roman"/>
          <w:i/>
          <w:iCs/>
          <w:color w:val="222222"/>
          <w:sz w:val="24"/>
          <w:szCs w:val="24"/>
          <w:shd w:val="clear" w:color="auto" w:fill="FFFFFF"/>
        </w:rPr>
        <w:t>Strategic management and business analysis</w:t>
      </w:r>
      <w:r w:rsidRPr="000F53F3">
        <w:rPr>
          <w:rFonts w:ascii="Times New Roman" w:hAnsi="Times New Roman" w:cs="Times New Roman"/>
          <w:color w:val="222222"/>
          <w:sz w:val="24"/>
          <w:szCs w:val="24"/>
          <w:shd w:val="clear" w:color="auto" w:fill="FFFFFF"/>
        </w:rPr>
        <w:t>. Routledge.</w:t>
      </w:r>
    </w:p>
    <w:p w14:paraId="2417AE7A"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Kaplan, A., 2017. European management and European business schools: Insights from the history of business schools. In </w:t>
      </w:r>
      <w:r w:rsidRPr="000F53F3">
        <w:rPr>
          <w:rFonts w:ascii="Times New Roman" w:hAnsi="Times New Roman" w:cs="Times New Roman"/>
          <w:i/>
          <w:iCs/>
          <w:color w:val="222222"/>
          <w:sz w:val="24"/>
          <w:szCs w:val="24"/>
          <w:shd w:val="clear" w:color="auto" w:fill="FFFFFF"/>
        </w:rPr>
        <w:t>Management Research</w:t>
      </w:r>
      <w:r w:rsidRPr="000F53F3">
        <w:rPr>
          <w:rFonts w:ascii="Times New Roman" w:hAnsi="Times New Roman" w:cs="Times New Roman"/>
          <w:color w:val="222222"/>
          <w:sz w:val="24"/>
          <w:szCs w:val="24"/>
          <w:shd w:val="clear" w:color="auto" w:fill="FFFFFF"/>
        </w:rPr>
        <w:t> (pp. 211-225). Routledge.</w:t>
      </w:r>
    </w:p>
    <w:p w14:paraId="3B8D4C2C"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Kaplan, R.S. and Atkinson, A.A., 2015. </w:t>
      </w:r>
      <w:r w:rsidRPr="000F53F3">
        <w:rPr>
          <w:rFonts w:ascii="Times New Roman" w:hAnsi="Times New Roman" w:cs="Times New Roman"/>
          <w:i/>
          <w:iCs/>
          <w:color w:val="222222"/>
          <w:sz w:val="24"/>
          <w:szCs w:val="24"/>
          <w:shd w:val="clear" w:color="auto" w:fill="FFFFFF"/>
        </w:rPr>
        <w:t>Advanced management accounting</w:t>
      </w:r>
      <w:r w:rsidRPr="000F53F3">
        <w:rPr>
          <w:rFonts w:ascii="Times New Roman" w:hAnsi="Times New Roman" w:cs="Times New Roman"/>
          <w:color w:val="222222"/>
          <w:sz w:val="24"/>
          <w:szCs w:val="24"/>
          <w:shd w:val="clear" w:color="auto" w:fill="FFFFFF"/>
        </w:rPr>
        <w:t>. PHI Learning.</w:t>
      </w:r>
    </w:p>
    <w:p w14:paraId="36B00342"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proofErr w:type="spellStart"/>
      <w:r w:rsidRPr="000F53F3">
        <w:rPr>
          <w:rFonts w:ascii="Times New Roman" w:hAnsi="Times New Roman" w:cs="Times New Roman"/>
          <w:color w:val="222222"/>
          <w:sz w:val="24"/>
          <w:szCs w:val="24"/>
          <w:shd w:val="clear" w:color="auto" w:fill="FFFFFF"/>
        </w:rPr>
        <w:t>Linnenluecke</w:t>
      </w:r>
      <w:proofErr w:type="spellEnd"/>
      <w:r w:rsidRPr="000F53F3">
        <w:rPr>
          <w:rFonts w:ascii="Times New Roman" w:hAnsi="Times New Roman" w:cs="Times New Roman"/>
          <w:color w:val="222222"/>
          <w:sz w:val="24"/>
          <w:szCs w:val="24"/>
          <w:shd w:val="clear" w:color="auto" w:fill="FFFFFF"/>
        </w:rPr>
        <w:t>, M.K., 2017. Resilience in business and management research: A review of influential publications and a research agenda. </w:t>
      </w:r>
      <w:r w:rsidRPr="000F53F3">
        <w:rPr>
          <w:rFonts w:ascii="Times New Roman" w:hAnsi="Times New Roman" w:cs="Times New Roman"/>
          <w:i/>
          <w:iCs/>
          <w:color w:val="222222"/>
          <w:sz w:val="24"/>
          <w:szCs w:val="24"/>
          <w:shd w:val="clear" w:color="auto" w:fill="FFFFFF"/>
        </w:rPr>
        <w:t>International Journal of Management Reviews</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19</w:t>
      </w:r>
      <w:r w:rsidRPr="000F53F3">
        <w:rPr>
          <w:rFonts w:ascii="Times New Roman" w:hAnsi="Times New Roman" w:cs="Times New Roman"/>
          <w:color w:val="222222"/>
          <w:sz w:val="24"/>
          <w:szCs w:val="24"/>
          <w:shd w:val="clear" w:color="auto" w:fill="FFFFFF"/>
        </w:rPr>
        <w:t>(1), pp.4-30.</w:t>
      </w:r>
    </w:p>
    <w:p w14:paraId="1979DB90"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 xml:space="preserve">Maylor, H., Blackmon, K. and </w:t>
      </w:r>
      <w:proofErr w:type="spellStart"/>
      <w:r w:rsidRPr="000F53F3">
        <w:rPr>
          <w:rFonts w:ascii="Times New Roman" w:hAnsi="Times New Roman" w:cs="Times New Roman"/>
          <w:color w:val="222222"/>
          <w:sz w:val="24"/>
          <w:szCs w:val="24"/>
          <w:shd w:val="clear" w:color="auto" w:fill="FFFFFF"/>
        </w:rPr>
        <w:t>Huemann</w:t>
      </w:r>
      <w:proofErr w:type="spellEnd"/>
      <w:r w:rsidRPr="000F53F3">
        <w:rPr>
          <w:rFonts w:ascii="Times New Roman" w:hAnsi="Times New Roman" w:cs="Times New Roman"/>
          <w:color w:val="222222"/>
          <w:sz w:val="24"/>
          <w:szCs w:val="24"/>
          <w:shd w:val="clear" w:color="auto" w:fill="FFFFFF"/>
        </w:rPr>
        <w:t>, M., 2016. </w:t>
      </w:r>
      <w:r w:rsidRPr="000F53F3">
        <w:rPr>
          <w:rFonts w:ascii="Times New Roman" w:hAnsi="Times New Roman" w:cs="Times New Roman"/>
          <w:i/>
          <w:iCs/>
          <w:color w:val="222222"/>
          <w:sz w:val="24"/>
          <w:szCs w:val="24"/>
          <w:shd w:val="clear" w:color="auto" w:fill="FFFFFF"/>
        </w:rPr>
        <w:t>Researching business and management</w:t>
      </w:r>
      <w:r w:rsidRPr="000F53F3">
        <w:rPr>
          <w:rFonts w:ascii="Times New Roman" w:hAnsi="Times New Roman" w:cs="Times New Roman"/>
          <w:color w:val="222222"/>
          <w:sz w:val="24"/>
          <w:szCs w:val="24"/>
          <w:shd w:val="clear" w:color="auto" w:fill="FFFFFF"/>
        </w:rPr>
        <w:t>. Macmillan International Higher Education.</w:t>
      </w:r>
    </w:p>
    <w:p w14:paraId="72E8DBF5"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 xml:space="preserve">Mien, N.T.N. and Thao, T.P., 2015. Factors affecting personal financial management </w:t>
      </w:r>
      <w:proofErr w:type="spellStart"/>
      <w:r w:rsidRPr="000F53F3">
        <w:rPr>
          <w:rFonts w:ascii="Times New Roman" w:hAnsi="Times New Roman" w:cs="Times New Roman"/>
          <w:color w:val="222222"/>
          <w:sz w:val="24"/>
          <w:szCs w:val="24"/>
          <w:shd w:val="clear" w:color="auto" w:fill="FFFFFF"/>
        </w:rPr>
        <w:t>behaviors</w:t>
      </w:r>
      <w:proofErr w:type="spellEnd"/>
      <w:r w:rsidRPr="000F53F3">
        <w:rPr>
          <w:rFonts w:ascii="Times New Roman" w:hAnsi="Times New Roman" w:cs="Times New Roman"/>
          <w:color w:val="222222"/>
          <w:sz w:val="24"/>
          <w:szCs w:val="24"/>
          <w:shd w:val="clear" w:color="auto" w:fill="FFFFFF"/>
        </w:rPr>
        <w:t xml:space="preserve">: evidence from </w:t>
      </w:r>
      <w:proofErr w:type="spellStart"/>
      <w:r w:rsidRPr="000F53F3">
        <w:rPr>
          <w:rFonts w:ascii="Times New Roman" w:hAnsi="Times New Roman" w:cs="Times New Roman"/>
          <w:color w:val="222222"/>
          <w:sz w:val="24"/>
          <w:szCs w:val="24"/>
          <w:shd w:val="clear" w:color="auto" w:fill="FFFFFF"/>
        </w:rPr>
        <w:t>vietnam</w:t>
      </w:r>
      <w:proofErr w:type="spellEnd"/>
      <w:r w:rsidRPr="000F53F3">
        <w:rPr>
          <w:rFonts w:ascii="Times New Roman" w:hAnsi="Times New Roman" w:cs="Times New Roman"/>
          <w:color w:val="222222"/>
          <w:sz w:val="24"/>
          <w:szCs w:val="24"/>
          <w:shd w:val="clear" w:color="auto" w:fill="FFFFFF"/>
        </w:rPr>
        <w:t>. In </w:t>
      </w:r>
      <w:r w:rsidRPr="000F53F3">
        <w:rPr>
          <w:rFonts w:ascii="Times New Roman" w:hAnsi="Times New Roman" w:cs="Times New Roman"/>
          <w:i/>
          <w:iCs/>
          <w:color w:val="222222"/>
          <w:sz w:val="24"/>
          <w:szCs w:val="24"/>
          <w:shd w:val="clear" w:color="auto" w:fill="FFFFFF"/>
        </w:rPr>
        <w:t>Proceedings of the Second Asia-Pacific Conference on Global Business, Economics, Finance and Social Sciences (AP15Vietnam Conference), 10-12/07/2015</w:t>
      </w:r>
      <w:r w:rsidRPr="000F53F3">
        <w:rPr>
          <w:rFonts w:ascii="Times New Roman" w:hAnsi="Times New Roman" w:cs="Times New Roman"/>
          <w:color w:val="222222"/>
          <w:sz w:val="24"/>
          <w:szCs w:val="24"/>
          <w:shd w:val="clear" w:color="auto" w:fill="FFFFFF"/>
        </w:rPr>
        <w:t>.</w:t>
      </w:r>
    </w:p>
    <w:p w14:paraId="6A4B2C21"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proofErr w:type="spellStart"/>
      <w:r w:rsidRPr="000F53F3">
        <w:rPr>
          <w:rFonts w:ascii="Times New Roman" w:hAnsi="Times New Roman" w:cs="Times New Roman"/>
          <w:color w:val="222222"/>
          <w:sz w:val="24"/>
          <w:szCs w:val="24"/>
          <w:shd w:val="clear" w:color="auto" w:fill="FFFFFF"/>
        </w:rPr>
        <w:lastRenderedPageBreak/>
        <w:t>Moutinho</w:t>
      </w:r>
      <w:proofErr w:type="spellEnd"/>
      <w:r w:rsidRPr="000F53F3">
        <w:rPr>
          <w:rFonts w:ascii="Times New Roman" w:hAnsi="Times New Roman" w:cs="Times New Roman"/>
          <w:color w:val="222222"/>
          <w:sz w:val="24"/>
          <w:szCs w:val="24"/>
          <w:shd w:val="clear" w:color="auto" w:fill="FFFFFF"/>
        </w:rPr>
        <w:t>, L. and Vargas-Sanchez, A. eds., 2018. </w:t>
      </w:r>
      <w:r w:rsidRPr="000F53F3">
        <w:rPr>
          <w:rFonts w:ascii="Times New Roman" w:hAnsi="Times New Roman" w:cs="Times New Roman"/>
          <w:i/>
          <w:iCs/>
          <w:color w:val="222222"/>
          <w:sz w:val="24"/>
          <w:szCs w:val="24"/>
          <w:shd w:val="clear" w:color="auto" w:fill="FFFFFF"/>
        </w:rPr>
        <w:t>Strategic Management in Tourism, CABI Tourism Texts</w:t>
      </w:r>
      <w:r w:rsidRPr="000F53F3">
        <w:rPr>
          <w:rFonts w:ascii="Times New Roman" w:hAnsi="Times New Roman" w:cs="Times New Roman"/>
          <w:color w:val="222222"/>
          <w:sz w:val="24"/>
          <w:szCs w:val="24"/>
          <w:shd w:val="clear" w:color="auto" w:fill="FFFFFF"/>
        </w:rPr>
        <w:t xml:space="preserve">. </w:t>
      </w:r>
      <w:proofErr w:type="spellStart"/>
      <w:r w:rsidRPr="000F53F3">
        <w:rPr>
          <w:rFonts w:ascii="Times New Roman" w:hAnsi="Times New Roman" w:cs="Times New Roman"/>
          <w:color w:val="222222"/>
          <w:sz w:val="24"/>
          <w:szCs w:val="24"/>
          <w:shd w:val="clear" w:color="auto" w:fill="FFFFFF"/>
        </w:rPr>
        <w:t>Cabi</w:t>
      </w:r>
      <w:proofErr w:type="spellEnd"/>
      <w:r w:rsidRPr="000F53F3">
        <w:rPr>
          <w:rFonts w:ascii="Times New Roman" w:hAnsi="Times New Roman" w:cs="Times New Roman"/>
          <w:color w:val="222222"/>
          <w:sz w:val="24"/>
          <w:szCs w:val="24"/>
          <w:shd w:val="clear" w:color="auto" w:fill="FFFFFF"/>
        </w:rPr>
        <w:t>.</w:t>
      </w:r>
    </w:p>
    <w:p w14:paraId="60E8DE01"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proofErr w:type="spellStart"/>
      <w:r w:rsidRPr="000F53F3">
        <w:rPr>
          <w:rFonts w:ascii="Times New Roman" w:hAnsi="Times New Roman" w:cs="Times New Roman"/>
          <w:color w:val="222222"/>
          <w:sz w:val="24"/>
          <w:szCs w:val="24"/>
          <w:shd w:val="clear" w:color="auto" w:fill="FFFFFF"/>
        </w:rPr>
        <w:t>Rosemann</w:t>
      </w:r>
      <w:proofErr w:type="spellEnd"/>
      <w:r w:rsidRPr="000F53F3">
        <w:rPr>
          <w:rFonts w:ascii="Times New Roman" w:hAnsi="Times New Roman" w:cs="Times New Roman"/>
          <w:color w:val="222222"/>
          <w:sz w:val="24"/>
          <w:szCs w:val="24"/>
          <w:shd w:val="clear" w:color="auto" w:fill="FFFFFF"/>
        </w:rPr>
        <w:t xml:space="preserve">, M. and </w:t>
      </w:r>
      <w:proofErr w:type="spellStart"/>
      <w:r w:rsidRPr="000F53F3">
        <w:rPr>
          <w:rFonts w:ascii="Times New Roman" w:hAnsi="Times New Roman" w:cs="Times New Roman"/>
          <w:color w:val="222222"/>
          <w:sz w:val="24"/>
          <w:szCs w:val="24"/>
          <w:shd w:val="clear" w:color="auto" w:fill="FFFFFF"/>
        </w:rPr>
        <w:t>vom</w:t>
      </w:r>
      <w:proofErr w:type="spellEnd"/>
      <w:r w:rsidRPr="000F53F3">
        <w:rPr>
          <w:rFonts w:ascii="Times New Roman" w:hAnsi="Times New Roman" w:cs="Times New Roman"/>
          <w:color w:val="222222"/>
          <w:sz w:val="24"/>
          <w:szCs w:val="24"/>
          <w:shd w:val="clear" w:color="auto" w:fill="FFFFFF"/>
        </w:rPr>
        <w:t xml:space="preserve"> </w:t>
      </w:r>
      <w:proofErr w:type="spellStart"/>
      <w:r w:rsidRPr="000F53F3">
        <w:rPr>
          <w:rFonts w:ascii="Times New Roman" w:hAnsi="Times New Roman" w:cs="Times New Roman"/>
          <w:color w:val="222222"/>
          <w:sz w:val="24"/>
          <w:szCs w:val="24"/>
          <w:shd w:val="clear" w:color="auto" w:fill="FFFFFF"/>
        </w:rPr>
        <w:t>Brocke</w:t>
      </w:r>
      <w:proofErr w:type="spellEnd"/>
      <w:r w:rsidRPr="000F53F3">
        <w:rPr>
          <w:rFonts w:ascii="Times New Roman" w:hAnsi="Times New Roman" w:cs="Times New Roman"/>
          <w:color w:val="222222"/>
          <w:sz w:val="24"/>
          <w:szCs w:val="24"/>
          <w:shd w:val="clear" w:color="auto" w:fill="FFFFFF"/>
        </w:rPr>
        <w:t>, J., 2015. The six core elements of business process management. In </w:t>
      </w:r>
      <w:r w:rsidRPr="000F53F3">
        <w:rPr>
          <w:rFonts w:ascii="Times New Roman" w:hAnsi="Times New Roman" w:cs="Times New Roman"/>
          <w:i/>
          <w:iCs/>
          <w:color w:val="222222"/>
          <w:sz w:val="24"/>
          <w:szCs w:val="24"/>
          <w:shd w:val="clear" w:color="auto" w:fill="FFFFFF"/>
        </w:rPr>
        <w:t>Handbook on business process management 1</w:t>
      </w:r>
      <w:r w:rsidRPr="000F53F3">
        <w:rPr>
          <w:rFonts w:ascii="Times New Roman" w:hAnsi="Times New Roman" w:cs="Times New Roman"/>
          <w:color w:val="222222"/>
          <w:sz w:val="24"/>
          <w:szCs w:val="24"/>
          <w:shd w:val="clear" w:color="auto" w:fill="FFFFFF"/>
        </w:rPr>
        <w:t> (pp. 105-122). Springer, Berlin, Heidelberg.</w:t>
      </w:r>
    </w:p>
    <w:p w14:paraId="6099BB68"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proofErr w:type="spellStart"/>
      <w:r w:rsidRPr="000F53F3">
        <w:rPr>
          <w:rFonts w:ascii="Times New Roman" w:hAnsi="Times New Roman" w:cs="Times New Roman"/>
          <w:color w:val="222222"/>
          <w:sz w:val="24"/>
          <w:szCs w:val="24"/>
          <w:shd w:val="clear" w:color="auto" w:fill="FFFFFF"/>
        </w:rPr>
        <w:t>Zietlow</w:t>
      </w:r>
      <w:proofErr w:type="spellEnd"/>
      <w:r w:rsidRPr="000F53F3">
        <w:rPr>
          <w:rFonts w:ascii="Times New Roman" w:hAnsi="Times New Roman" w:cs="Times New Roman"/>
          <w:color w:val="222222"/>
          <w:sz w:val="24"/>
          <w:szCs w:val="24"/>
          <w:shd w:val="clear" w:color="auto" w:fill="FFFFFF"/>
        </w:rPr>
        <w:t xml:space="preserve">, J., </w:t>
      </w:r>
      <w:proofErr w:type="spellStart"/>
      <w:r w:rsidRPr="000F53F3">
        <w:rPr>
          <w:rFonts w:ascii="Times New Roman" w:hAnsi="Times New Roman" w:cs="Times New Roman"/>
          <w:color w:val="222222"/>
          <w:sz w:val="24"/>
          <w:szCs w:val="24"/>
          <w:shd w:val="clear" w:color="auto" w:fill="FFFFFF"/>
        </w:rPr>
        <w:t>Hankin</w:t>
      </w:r>
      <w:proofErr w:type="spellEnd"/>
      <w:r w:rsidRPr="000F53F3">
        <w:rPr>
          <w:rFonts w:ascii="Times New Roman" w:hAnsi="Times New Roman" w:cs="Times New Roman"/>
          <w:color w:val="222222"/>
          <w:sz w:val="24"/>
          <w:szCs w:val="24"/>
          <w:shd w:val="clear" w:color="auto" w:fill="FFFFFF"/>
        </w:rPr>
        <w:t xml:space="preserve">, J.A., </w:t>
      </w:r>
      <w:proofErr w:type="spellStart"/>
      <w:r w:rsidRPr="000F53F3">
        <w:rPr>
          <w:rFonts w:ascii="Times New Roman" w:hAnsi="Times New Roman" w:cs="Times New Roman"/>
          <w:color w:val="222222"/>
          <w:sz w:val="24"/>
          <w:szCs w:val="24"/>
          <w:shd w:val="clear" w:color="auto" w:fill="FFFFFF"/>
        </w:rPr>
        <w:t>Seidner</w:t>
      </w:r>
      <w:proofErr w:type="spellEnd"/>
      <w:r w:rsidRPr="000F53F3">
        <w:rPr>
          <w:rFonts w:ascii="Times New Roman" w:hAnsi="Times New Roman" w:cs="Times New Roman"/>
          <w:color w:val="222222"/>
          <w:sz w:val="24"/>
          <w:szCs w:val="24"/>
          <w:shd w:val="clear" w:color="auto" w:fill="FFFFFF"/>
        </w:rPr>
        <w:t>, A. and O'Brien, T., 2018. </w:t>
      </w:r>
      <w:r w:rsidRPr="000F53F3">
        <w:rPr>
          <w:rFonts w:ascii="Times New Roman" w:hAnsi="Times New Roman" w:cs="Times New Roman"/>
          <w:i/>
          <w:iCs/>
          <w:color w:val="222222"/>
          <w:sz w:val="24"/>
          <w:szCs w:val="24"/>
          <w:shd w:val="clear" w:color="auto" w:fill="FFFFFF"/>
        </w:rPr>
        <w:t xml:space="preserve">Financial management for </w:t>
      </w:r>
      <w:proofErr w:type="spellStart"/>
      <w:r w:rsidRPr="000F53F3">
        <w:rPr>
          <w:rFonts w:ascii="Times New Roman" w:hAnsi="Times New Roman" w:cs="Times New Roman"/>
          <w:i/>
          <w:iCs/>
          <w:color w:val="222222"/>
          <w:sz w:val="24"/>
          <w:szCs w:val="24"/>
          <w:shd w:val="clear" w:color="auto" w:fill="FFFFFF"/>
        </w:rPr>
        <w:t>nonprofit</w:t>
      </w:r>
      <w:proofErr w:type="spellEnd"/>
      <w:r w:rsidRPr="000F53F3">
        <w:rPr>
          <w:rFonts w:ascii="Times New Roman" w:hAnsi="Times New Roman" w:cs="Times New Roman"/>
          <w:i/>
          <w:iCs/>
          <w:color w:val="222222"/>
          <w:sz w:val="24"/>
          <w:szCs w:val="24"/>
          <w:shd w:val="clear" w:color="auto" w:fill="FFFFFF"/>
        </w:rPr>
        <w:t xml:space="preserve"> organizations: policies and practices</w:t>
      </w:r>
      <w:r w:rsidRPr="000F53F3">
        <w:rPr>
          <w:rFonts w:ascii="Times New Roman" w:hAnsi="Times New Roman" w:cs="Times New Roman"/>
          <w:color w:val="222222"/>
          <w:sz w:val="24"/>
          <w:szCs w:val="24"/>
          <w:shd w:val="clear" w:color="auto" w:fill="FFFFFF"/>
        </w:rPr>
        <w:t>. John Wiley &amp; Sons.</w:t>
      </w:r>
    </w:p>
    <w:p w14:paraId="04B765F8" w14:textId="77777777" w:rsidR="00132A2C" w:rsidRPr="000F53F3" w:rsidRDefault="00132A2C" w:rsidP="00132A2C">
      <w:pPr>
        <w:spacing w:line="360" w:lineRule="auto"/>
        <w:rPr>
          <w:rFonts w:ascii="Times New Roman" w:hAnsi="Times New Roman" w:cs="Times New Roman"/>
          <w:sz w:val="24"/>
          <w:szCs w:val="24"/>
        </w:rPr>
      </w:pPr>
    </w:p>
    <w:p w14:paraId="5BAF0CF7" w14:textId="77777777" w:rsidR="00132A2C" w:rsidRDefault="00132A2C"/>
    <w:sectPr w:rsidR="00132A2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0DCEF" w14:textId="77777777" w:rsidR="0003299D" w:rsidRDefault="0003299D" w:rsidP="006655D3">
      <w:pPr>
        <w:spacing w:after="0" w:line="240" w:lineRule="auto"/>
      </w:pPr>
      <w:r>
        <w:separator/>
      </w:r>
    </w:p>
  </w:endnote>
  <w:endnote w:type="continuationSeparator" w:id="0">
    <w:p w14:paraId="0E695AB1" w14:textId="77777777" w:rsidR="0003299D" w:rsidRDefault="0003299D" w:rsidP="00665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4989282"/>
      <w:docPartObj>
        <w:docPartGallery w:val="Page Numbers (Bottom of Page)"/>
        <w:docPartUnique/>
      </w:docPartObj>
    </w:sdtPr>
    <w:sdtEndPr>
      <w:rPr>
        <w:color w:val="7F7F7F" w:themeColor="background1" w:themeShade="7F"/>
        <w:spacing w:val="60"/>
      </w:rPr>
    </w:sdtEndPr>
    <w:sdtContent>
      <w:p w14:paraId="43296AB0" w14:textId="77777777" w:rsidR="00874BD7" w:rsidRDefault="00874BD7">
        <w:pPr>
          <w:pStyle w:val="Footer"/>
          <w:pBdr>
            <w:top w:val="single" w:sz="4" w:space="1" w:color="D9D9D9" w:themeColor="background1" w:themeShade="D9"/>
          </w:pBdr>
        </w:pPr>
      </w:p>
      <w:p w14:paraId="609F7C15" w14:textId="2DCA40EC" w:rsidR="00874BD7" w:rsidRDefault="00874BD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B69770" w14:textId="77777777" w:rsidR="00874BD7" w:rsidRDefault="00874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140BA" w14:textId="77777777" w:rsidR="0003299D" w:rsidRDefault="0003299D" w:rsidP="006655D3">
      <w:pPr>
        <w:spacing w:after="0" w:line="240" w:lineRule="auto"/>
      </w:pPr>
      <w:r>
        <w:separator/>
      </w:r>
    </w:p>
  </w:footnote>
  <w:footnote w:type="continuationSeparator" w:id="0">
    <w:p w14:paraId="3B825ADF" w14:textId="77777777" w:rsidR="0003299D" w:rsidRDefault="0003299D" w:rsidP="00665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5A761929"/>
    <w:multiLevelType w:val="hybridMultilevel"/>
    <w:tmpl w:val="53B01B8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A2C"/>
    <w:rsid w:val="0003299D"/>
    <w:rsid w:val="0007172A"/>
    <w:rsid w:val="000D5107"/>
    <w:rsid w:val="00132A2C"/>
    <w:rsid w:val="003103D3"/>
    <w:rsid w:val="00372C4D"/>
    <w:rsid w:val="003778BA"/>
    <w:rsid w:val="00484354"/>
    <w:rsid w:val="006630EE"/>
    <w:rsid w:val="006655D3"/>
    <w:rsid w:val="00741D4C"/>
    <w:rsid w:val="007C6BB7"/>
    <w:rsid w:val="007D5ABC"/>
    <w:rsid w:val="007E0AD6"/>
    <w:rsid w:val="00874BD7"/>
    <w:rsid w:val="00892561"/>
    <w:rsid w:val="008E7994"/>
    <w:rsid w:val="0099288C"/>
    <w:rsid w:val="00A57AF3"/>
    <w:rsid w:val="00AD7133"/>
    <w:rsid w:val="00B90B1F"/>
    <w:rsid w:val="00B93364"/>
    <w:rsid w:val="00BB34D0"/>
    <w:rsid w:val="00CD5C86"/>
    <w:rsid w:val="00DE309E"/>
    <w:rsid w:val="00F03489"/>
    <w:rsid w:val="00F54ADE"/>
    <w:rsid w:val="00FB62F8"/>
    <w:rsid w:val="00FD084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9582A1"/>
  <w15:chartTrackingRefBased/>
  <w15:docId w15:val="{99E46EF1-9DCB-4C5C-AFAD-C1BE3360D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A2C"/>
    <w:pPr>
      <w:keepNext/>
      <w:keepLines/>
      <w:spacing w:before="480" w:after="0"/>
      <w:jc w:val="center"/>
      <w:outlineLvl w:val="0"/>
    </w:pPr>
    <w:rPr>
      <w:rFonts w:ascii="Times New Roman" w:eastAsiaTheme="majorEastAsia" w:hAnsi="Times New Roman" w:cstheme="majorBidi"/>
      <w:b/>
      <w:bCs/>
      <w:sz w:val="32"/>
      <w:szCs w:val="28"/>
      <w:lang w:val="en-US" w:eastAsia="en-US"/>
    </w:rPr>
  </w:style>
  <w:style w:type="paragraph" w:styleId="Heading2">
    <w:name w:val="heading 2"/>
    <w:basedOn w:val="Normal"/>
    <w:next w:val="Normal"/>
    <w:link w:val="Heading2Char"/>
    <w:uiPriority w:val="9"/>
    <w:unhideWhenUsed/>
    <w:qFormat/>
    <w:rsid w:val="00132A2C"/>
    <w:pPr>
      <w:keepNext/>
      <w:keepLines/>
      <w:spacing w:before="200" w:after="0"/>
      <w:outlineLvl w:val="1"/>
    </w:pPr>
    <w:rPr>
      <w:rFonts w:ascii="Times New Roman" w:eastAsiaTheme="majorEastAsia" w:hAnsi="Times New Roman" w:cstheme="majorBidi"/>
      <w:b/>
      <w:bCs/>
      <w:sz w:val="28"/>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A2C"/>
    <w:rPr>
      <w:rFonts w:ascii="Times New Roman" w:eastAsiaTheme="majorEastAsia" w:hAnsi="Times New Roman" w:cstheme="majorBidi"/>
      <w:b/>
      <w:bCs/>
      <w:sz w:val="32"/>
      <w:szCs w:val="28"/>
      <w:lang w:val="en-US" w:eastAsia="en-US"/>
    </w:rPr>
  </w:style>
  <w:style w:type="character" w:customStyle="1" w:styleId="Heading2Char">
    <w:name w:val="Heading 2 Char"/>
    <w:basedOn w:val="DefaultParagraphFont"/>
    <w:link w:val="Heading2"/>
    <w:uiPriority w:val="9"/>
    <w:rsid w:val="00132A2C"/>
    <w:rPr>
      <w:rFonts w:ascii="Times New Roman" w:eastAsiaTheme="majorEastAsia" w:hAnsi="Times New Roman" w:cstheme="majorBidi"/>
      <w:b/>
      <w:bCs/>
      <w:sz w:val="28"/>
      <w:szCs w:val="26"/>
      <w:lang w:val="en-US" w:eastAsia="en-US"/>
    </w:rPr>
  </w:style>
  <w:style w:type="character" w:styleId="Hyperlink">
    <w:name w:val="Hyperlink"/>
    <w:basedOn w:val="DefaultParagraphFont"/>
    <w:uiPriority w:val="99"/>
    <w:unhideWhenUsed/>
    <w:rsid w:val="00132A2C"/>
    <w:rPr>
      <w:color w:val="0000FF"/>
      <w:u w:val="single"/>
    </w:rPr>
  </w:style>
  <w:style w:type="paragraph" w:styleId="TOCHeading">
    <w:name w:val="TOC Heading"/>
    <w:basedOn w:val="Heading1"/>
    <w:next w:val="Normal"/>
    <w:uiPriority w:val="39"/>
    <w:semiHidden/>
    <w:unhideWhenUsed/>
    <w:qFormat/>
    <w:rsid w:val="00132A2C"/>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132A2C"/>
    <w:pPr>
      <w:spacing w:after="100"/>
    </w:pPr>
    <w:rPr>
      <w:rFonts w:eastAsiaTheme="minorHAnsi"/>
      <w:lang w:val="en-US" w:eastAsia="en-US"/>
    </w:rPr>
  </w:style>
  <w:style w:type="paragraph" w:styleId="TOC2">
    <w:name w:val="toc 2"/>
    <w:basedOn w:val="Normal"/>
    <w:next w:val="Normal"/>
    <w:autoRedefine/>
    <w:uiPriority w:val="39"/>
    <w:unhideWhenUsed/>
    <w:rsid w:val="00132A2C"/>
    <w:pPr>
      <w:spacing w:after="100"/>
      <w:ind w:left="220"/>
    </w:pPr>
    <w:rPr>
      <w:rFonts w:eastAsiaTheme="minorHAnsi"/>
      <w:lang w:val="en-US" w:eastAsia="en-US"/>
    </w:rPr>
  </w:style>
  <w:style w:type="paragraph" w:styleId="Header">
    <w:name w:val="header"/>
    <w:basedOn w:val="Normal"/>
    <w:link w:val="HeaderChar"/>
    <w:uiPriority w:val="99"/>
    <w:unhideWhenUsed/>
    <w:rsid w:val="00665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5D3"/>
  </w:style>
  <w:style w:type="paragraph" w:styleId="Footer">
    <w:name w:val="footer"/>
    <w:basedOn w:val="Normal"/>
    <w:link w:val="FooterChar"/>
    <w:uiPriority w:val="99"/>
    <w:unhideWhenUsed/>
    <w:rsid w:val="00665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5D3"/>
  </w:style>
  <w:style w:type="character" w:customStyle="1" w:styleId="colorlink61">
    <w:name w:val="colorlink61"/>
    <w:basedOn w:val="DefaultParagraphFont"/>
    <w:rsid w:val="00A57AF3"/>
    <w:rPr>
      <w:rFonts w:ascii="Verdana" w:hAnsi="Verdana" w:hint="default"/>
      <w:color w:val="CC3333"/>
    </w:rPr>
  </w:style>
  <w:style w:type="character" w:customStyle="1" w:styleId="colorlink21">
    <w:name w:val="colorlink21"/>
    <w:basedOn w:val="DefaultParagraphFont"/>
    <w:rsid w:val="00A57AF3"/>
    <w:rPr>
      <w:rFonts w:ascii="Verdana" w:hAnsi="Verdana" w:hint="default"/>
      <w:color w:val="99999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'Trend and Ratio Analysis'!$C$1:$C$2</c:f>
              <c:strCache>
                <c:ptCount val="1"/>
                <c:pt idx="0">
                  <c:v>2016 Revenue in Million US$</c:v>
                </c:pt>
              </c:strCache>
            </c:strRef>
          </c:tx>
          <c:cat>
            <c:strRef>
              <c:f>'Trend and Ratio Analysis'!$B$3:$B$5</c:f>
              <c:strCache>
                <c:ptCount val="3"/>
                <c:pt idx="0">
                  <c:v>Gemilang International Limited</c:v>
                </c:pt>
                <c:pt idx="1">
                  <c:v>Xinyi Automobile Glass</c:v>
                </c:pt>
                <c:pt idx="2">
                  <c:v>Johnson Electric Holdings</c:v>
                </c:pt>
              </c:strCache>
            </c:strRef>
          </c:cat>
          <c:val>
            <c:numRef>
              <c:f>'Trend and Ratio Analysis'!$C$3:$C$5</c:f>
              <c:numCache>
                <c:formatCode>General</c:formatCode>
                <c:ptCount val="3"/>
                <c:pt idx="0">
                  <c:v>48.690000000000012</c:v>
                </c:pt>
                <c:pt idx="1">
                  <c:v>7.72</c:v>
                </c:pt>
                <c:pt idx="2">
                  <c:v>2235.9450000000002</c:v>
                </c:pt>
              </c:numCache>
            </c:numRef>
          </c:val>
          <c:smooth val="0"/>
          <c:extLst>
            <c:ext xmlns:c16="http://schemas.microsoft.com/office/drawing/2014/chart" uri="{C3380CC4-5D6E-409C-BE32-E72D297353CC}">
              <c16:uniqueId val="{00000000-A96E-49DB-BE19-1CD906B86A4E}"/>
            </c:ext>
          </c:extLst>
        </c:ser>
        <c:ser>
          <c:idx val="1"/>
          <c:order val="1"/>
          <c:tx>
            <c:strRef>
              <c:f>'Trend and Ratio Analysis'!$D$1:$D$2</c:f>
              <c:strCache>
                <c:ptCount val="1"/>
                <c:pt idx="0">
                  <c:v>2017 Revenue in Million US$</c:v>
                </c:pt>
              </c:strCache>
            </c:strRef>
          </c:tx>
          <c:cat>
            <c:strRef>
              <c:f>'Trend and Ratio Analysis'!$B$3:$B$5</c:f>
              <c:strCache>
                <c:ptCount val="3"/>
                <c:pt idx="0">
                  <c:v>Gemilang International Limited</c:v>
                </c:pt>
                <c:pt idx="1">
                  <c:v>Xinyi Automobile Glass</c:v>
                </c:pt>
                <c:pt idx="2">
                  <c:v>Johnson Electric Holdings</c:v>
                </c:pt>
              </c:strCache>
            </c:strRef>
          </c:cat>
          <c:val>
            <c:numRef>
              <c:f>'Trend and Ratio Analysis'!$D$3:$D$5</c:f>
              <c:numCache>
                <c:formatCode>General</c:formatCode>
                <c:ptCount val="3"/>
                <c:pt idx="0">
                  <c:v>50.353999999999999</c:v>
                </c:pt>
                <c:pt idx="1">
                  <c:v>16.268999999999981</c:v>
                </c:pt>
                <c:pt idx="2">
                  <c:v>2776.1010000000001</c:v>
                </c:pt>
              </c:numCache>
            </c:numRef>
          </c:val>
          <c:smooth val="0"/>
          <c:extLst>
            <c:ext xmlns:c16="http://schemas.microsoft.com/office/drawing/2014/chart" uri="{C3380CC4-5D6E-409C-BE32-E72D297353CC}">
              <c16:uniqueId val="{00000001-A96E-49DB-BE19-1CD906B86A4E}"/>
            </c:ext>
          </c:extLst>
        </c:ser>
        <c:ser>
          <c:idx val="2"/>
          <c:order val="2"/>
          <c:tx>
            <c:strRef>
              <c:f>'Trend and Ratio Analysis'!$E$1:$E$2</c:f>
              <c:strCache>
                <c:ptCount val="1"/>
                <c:pt idx="0">
                  <c:v>2018 Revenue in Million US$</c:v>
                </c:pt>
              </c:strCache>
            </c:strRef>
          </c:tx>
          <c:cat>
            <c:strRef>
              <c:f>'Trend and Ratio Analysis'!$B$3:$B$5</c:f>
              <c:strCache>
                <c:ptCount val="3"/>
                <c:pt idx="0">
                  <c:v>Gemilang International Limited</c:v>
                </c:pt>
                <c:pt idx="1">
                  <c:v>Xinyi Automobile Glass</c:v>
                </c:pt>
                <c:pt idx="2">
                  <c:v>Johnson Electric Holdings</c:v>
                </c:pt>
              </c:strCache>
            </c:strRef>
          </c:cat>
          <c:val>
            <c:numRef>
              <c:f>'Trend and Ratio Analysis'!$E$3:$E$5</c:f>
              <c:numCache>
                <c:formatCode>General</c:formatCode>
                <c:ptCount val="3"/>
                <c:pt idx="0">
                  <c:v>57.091000000000001</c:v>
                </c:pt>
                <c:pt idx="1">
                  <c:v>25.135999999999999</c:v>
                </c:pt>
                <c:pt idx="2">
                  <c:v>3236.56</c:v>
                </c:pt>
              </c:numCache>
            </c:numRef>
          </c:val>
          <c:smooth val="0"/>
          <c:extLst>
            <c:ext xmlns:c16="http://schemas.microsoft.com/office/drawing/2014/chart" uri="{C3380CC4-5D6E-409C-BE32-E72D297353CC}">
              <c16:uniqueId val="{00000002-A96E-49DB-BE19-1CD906B86A4E}"/>
            </c:ext>
          </c:extLst>
        </c:ser>
        <c:dLbls>
          <c:showLegendKey val="0"/>
          <c:showVal val="0"/>
          <c:showCatName val="0"/>
          <c:showSerName val="0"/>
          <c:showPercent val="0"/>
          <c:showBubbleSize val="0"/>
        </c:dLbls>
        <c:marker val="1"/>
        <c:smooth val="0"/>
        <c:axId val="108613632"/>
        <c:axId val="108615168"/>
      </c:lineChart>
      <c:catAx>
        <c:axId val="108613632"/>
        <c:scaling>
          <c:orientation val="minMax"/>
        </c:scaling>
        <c:delete val="0"/>
        <c:axPos val="b"/>
        <c:numFmt formatCode="General" sourceLinked="0"/>
        <c:majorTickMark val="out"/>
        <c:minorTickMark val="none"/>
        <c:tickLblPos val="nextTo"/>
        <c:crossAx val="108615168"/>
        <c:crosses val="autoZero"/>
        <c:auto val="1"/>
        <c:lblAlgn val="ctr"/>
        <c:lblOffset val="100"/>
        <c:noMultiLvlLbl val="0"/>
      </c:catAx>
      <c:valAx>
        <c:axId val="108615168"/>
        <c:scaling>
          <c:orientation val="minMax"/>
        </c:scaling>
        <c:delete val="0"/>
        <c:axPos val="l"/>
        <c:majorGridlines/>
        <c:numFmt formatCode="General" sourceLinked="1"/>
        <c:majorTickMark val="out"/>
        <c:minorTickMark val="none"/>
        <c:tickLblPos val="nextTo"/>
        <c:crossAx val="10861363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'Trend and Ratio Analysis'!$C$16:$C$17</c:f>
              <c:strCache>
                <c:ptCount val="1"/>
                <c:pt idx="0">
                  <c:v>2016 Net Income in Million US$</c:v>
                </c:pt>
              </c:strCache>
            </c:strRef>
          </c:tx>
          <c:invertIfNegative val="0"/>
          <c:cat>
            <c:strRef>
              <c:f>'Trend and Ratio Analysis'!$B$18:$B$20</c:f>
              <c:strCache>
                <c:ptCount val="3"/>
                <c:pt idx="0">
                  <c:v>Gemilang International Limited</c:v>
                </c:pt>
                <c:pt idx="1">
                  <c:v>Xinyi Automobile Glass</c:v>
                </c:pt>
                <c:pt idx="2">
                  <c:v>Johnson Electric Holdings</c:v>
                </c:pt>
              </c:strCache>
            </c:strRef>
          </c:cat>
          <c:val>
            <c:numRef>
              <c:f>'Trend and Ratio Analysis'!$C$18:$C$20</c:f>
              <c:numCache>
                <c:formatCode>General</c:formatCode>
                <c:ptCount val="3"/>
                <c:pt idx="0">
                  <c:v>2.1159999999999997</c:v>
                </c:pt>
                <c:pt idx="1">
                  <c:v>9.2900000000000066E-3</c:v>
                </c:pt>
                <c:pt idx="2">
                  <c:v>182.74699999999999</c:v>
                </c:pt>
              </c:numCache>
            </c:numRef>
          </c:val>
          <c:extLst>
            <c:ext xmlns:c16="http://schemas.microsoft.com/office/drawing/2014/chart" uri="{C3380CC4-5D6E-409C-BE32-E72D297353CC}">
              <c16:uniqueId val="{00000000-6615-4716-A178-46E0D704B197}"/>
            </c:ext>
          </c:extLst>
        </c:ser>
        <c:ser>
          <c:idx val="1"/>
          <c:order val="1"/>
          <c:tx>
            <c:strRef>
              <c:f>'Trend and Ratio Analysis'!$D$16:$D$17</c:f>
              <c:strCache>
                <c:ptCount val="1"/>
                <c:pt idx="0">
                  <c:v>2017 Net Income in Million US$</c:v>
                </c:pt>
              </c:strCache>
            </c:strRef>
          </c:tx>
          <c:invertIfNegative val="0"/>
          <c:cat>
            <c:strRef>
              <c:f>'Trend and Ratio Analysis'!$B$18:$B$20</c:f>
              <c:strCache>
                <c:ptCount val="3"/>
                <c:pt idx="0">
                  <c:v>Gemilang International Limited</c:v>
                </c:pt>
                <c:pt idx="1">
                  <c:v>Xinyi Automobile Glass</c:v>
                </c:pt>
                <c:pt idx="2">
                  <c:v>Johnson Electric Holdings</c:v>
                </c:pt>
              </c:strCache>
            </c:strRef>
          </c:cat>
          <c:val>
            <c:numRef>
              <c:f>'Trend and Ratio Analysis'!$D$18:$D$20</c:f>
              <c:numCache>
                <c:formatCode>General</c:formatCode>
                <c:ptCount val="3"/>
                <c:pt idx="0">
                  <c:v>1.1850000000000001</c:v>
                </c:pt>
                <c:pt idx="1">
                  <c:v>1.3839999999999992</c:v>
                </c:pt>
                <c:pt idx="2">
                  <c:v>245.506</c:v>
                </c:pt>
              </c:numCache>
            </c:numRef>
          </c:val>
          <c:extLst>
            <c:ext xmlns:c16="http://schemas.microsoft.com/office/drawing/2014/chart" uri="{C3380CC4-5D6E-409C-BE32-E72D297353CC}">
              <c16:uniqueId val="{00000001-6615-4716-A178-46E0D704B197}"/>
            </c:ext>
          </c:extLst>
        </c:ser>
        <c:ser>
          <c:idx val="2"/>
          <c:order val="2"/>
          <c:tx>
            <c:strRef>
              <c:f>'Trend and Ratio Analysis'!$E$16:$E$17</c:f>
              <c:strCache>
                <c:ptCount val="1"/>
                <c:pt idx="0">
                  <c:v>2018 Net Income in Million US$</c:v>
                </c:pt>
              </c:strCache>
            </c:strRef>
          </c:tx>
          <c:invertIfNegative val="0"/>
          <c:cat>
            <c:strRef>
              <c:f>'Trend and Ratio Analysis'!$B$18:$B$20</c:f>
              <c:strCache>
                <c:ptCount val="3"/>
                <c:pt idx="0">
                  <c:v>Gemilang International Limited</c:v>
                </c:pt>
                <c:pt idx="1">
                  <c:v>Xinyi Automobile Glass</c:v>
                </c:pt>
                <c:pt idx="2">
                  <c:v>Johnson Electric Holdings</c:v>
                </c:pt>
              </c:strCache>
            </c:strRef>
          </c:cat>
          <c:val>
            <c:numRef>
              <c:f>'Trend and Ratio Analysis'!$E$18:$E$20</c:f>
              <c:numCache>
                <c:formatCode>General</c:formatCode>
                <c:ptCount val="3"/>
                <c:pt idx="0">
                  <c:v>-1.446</c:v>
                </c:pt>
                <c:pt idx="1">
                  <c:v>8.7160000000000011</c:v>
                </c:pt>
                <c:pt idx="2">
                  <c:v>276.26599999999985</c:v>
                </c:pt>
              </c:numCache>
            </c:numRef>
          </c:val>
          <c:extLst>
            <c:ext xmlns:c16="http://schemas.microsoft.com/office/drawing/2014/chart" uri="{C3380CC4-5D6E-409C-BE32-E72D297353CC}">
              <c16:uniqueId val="{00000002-6615-4716-A178-46E0D704B197}"/>
            </c:ext>
          </c:extLst>
        </c:ser>
        <c:dLbls>
          <c:showLegendKey val="0"/>
          <c:showVal val="0"/>
          <c:showCatName val="0"/>
          <c:showSerName val="0"/>
          <c:showPercent val="0"/>
          <c:showBubbleSize val="0"/>
        </c:dLbls>
        <c:gapWidth val="150"/>
        <c:axId val="108649856"/>
        <c:axId val="108860544"/>
      </c:barChart>
      <c:catAx>
        <c:axId val="108649856"/>
        <c:scaling>
          <c:orientation val="minMax"/>
        </c:scaling>
        <c:delete val="0"/>
        <c:axPos val="b"/>
        <c:numFmt formatCode="General" sourceLinked="0"/>
        <c:majorTickMark val="out"/>
        <c:minorTickMark val="none"/>
        <c:tickLblPos val="nextTo"/>
        <c:txPr>
          <a:bodyPr/>
          <a:lstStyle/>
          <a:p>
            <a:pPr>
              <a:defRPr b="1"/>
            </a:pPr>
            <a:endParaRPr lang="en-US"/>
          </a:p>
        </c:txPr>
        <c:crossAx val="108860544"/>
        <c:crosses val="autoZero"/>
        <c:auto val="1"/>
        <c:lblAlgn val="ctr"/>
        <c:lblOffset val="100"/>
        <c:noMultiLvlLbl val="0"/>
      </c:catAx>
      <c:valAx>
        <c:axId val="108860544"/>
        <c:scaling>
          <c:orientation val="minMax"/>
        </c:scaling>
        <c:delete val="0"/>
        <c:axPos val="l"/>
        <c:majorGridlines/>
        <c:numFmt formatCode="General" sourceLinked="1"/>
        <c:majorTickMark val="out"/>
        <c:minorTickMark val="none"/>
        <c:tickLblPos val="nextTo"/>
        <c:crossAx val="108649856"/>
        <c:crosses val="autoZero"/>
        <c:crossBetween val="between"/>
      </c:valAx>
    </c:plotArea>
    <c:legend>
      <c:legendPos val="r"/>
      <c:overlay val="0"/>
      <c:txPr>
        <a:bodyPr/>
        <a:lstStyle/>
        <a:p>
          <a:pPr>
            <a:defRPr b="1"/>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'Trend and Ratio Analysis'!$C$30:$C$31</c:f>
              <c:strCache>
                <c:ptCount val="1"/>
                <c:pt idx="0">
                  <c:v>2016 NPM %</c:v>
                </c:pt>
              </c:strCache>
            </c:strRef>
          </c:tx>
          <c:invertIfNegative val="0"/>
          <c:cat>
            <c:strRef>
              <c:f>'Trend and Ratio Analysis'!$B$32:$B$34</c:f>
              <c:strCache>
                <c:ptCount val="3"/>
                <c:pt idx="0">
                  <c:v>Gemilang International Limited</c:v>
                </c:pt>
                <c:pt idx="1">
                  <c:v>Xinyi Automobile Glass</c:v>
                </c:pt>
                <c:pt idx="2">
                  <c:v>Johnson Electric Holdings</c:v>
                </c:pt>
              </c:strCache>
            </c:strRef>
          </c:cat>
          <c:val>
            <c:numRef>
              <c:f>'Trend and Ratio Analysis'!$C$32:$C$34</c:f>
              <c:numCache>
                <c:formatCode>_(* #,##0.00_);_(* \(#,##0.00\);_(* "-"??_);_(@_)</c:formatCode>
                <c:ptCount val="3"/>
                <c:pt idx="0">
                  <c:v>4.3458615732183201</c:v>
                </c:pt>
                <c:pt idx="1">
                  <c:v>0.12033678756476686</c:v>
                </c:pt>
                <c:pt idx="2">
                  <c:v>8.1731437937874141</c:v>
                </c:pt>
              </c:numCache>
            </c:numRef>
          </c:val>
          <c:extLst>
            <c:ext xmlns:c16="http://schemas.microsoft.com/office/drawing/2014/chart" uri="{C3380CC4-5D6E-409C-BE32-E72D297353CC}">
              <c16:uniqueId val="{00000000-0FC8-4F50-8E0C-ECC6A42DB9C8}"/>
            </c:ext>
          </c:extLst>
        </c:ser>
        <c:ser>
          <c:idx val="1"/>
          <c:order val="1"/>
          <c:tx>
            <c:strRef>
              <c:f>'Trend and Ratio Analysis'!$D$30:$D$31</c:f>
              <c:strCache>
                <c:ptCount val="1"/>
                <c:pt idx="0">
                  <c:v>2017 NPM %</c:v>
                </c:pt>
              </c:strCache>
            </c:strRef>
          </c:tx>
          <c:invertIfNegative val="0"/>
          <c:cat>
            <c:strRef>
              <c:f>'Trend and Ratio Analysis'!$B$32:$B$34</c:f>
              <c:strCache>
                <c:ptCount val="3"/>
                <c:pt idx="0">
                  <c:v>Gemilang International Limited</c:v>
                </c:pt>
                <c:pt idx="1">
                  <c:v>Xinyi Automobile Glass</c:v>
                </c:pt>
                <c:pt idx="2">
                  <c:v>Johnson Electric Holdings</c:v>
                </c:pt>
              </c:strCache>
            </c:strRef>
          </c:cat>
          <c:val>
            <c:numRef>
              <c:f>'Trend and Ratio Analysis'!$D$32:$D$34</c:f>
              <c:numCache>
                <c:formatCode>_(* #,##0.00_);_(* \(#,##0.00\);_(* "-"??_);_(@_)</c:formatCode>
                <c:ptCount val="3"/>
                <c:pt idx="0">
                  <c:v>2.3533383643801877</c:v>
                </c:pt>
                <c:pt idx="1">
                  <c:v>8.5069764582949166</c:v>
                </c:pt>
                <c:pt idx="2">
                  <c:v>8.8435543231316167</c:v>
                </c:pt>
              </c:numCache>
            </c:numRef>
          </c:val>
          <c:extLst>
            <c:ext xmlns:c16="http://schemas.microsoft.com/office/drawing/2014/chart" uri="{C3380CC4-5D6E-409C-BE32-E72D297353CC}">
              <c16:uniqueId val="{00000001-0FC8-4F50-8E0C-ECC6A42DB9C8}"/>
            </c:ext>
          </c:extLst>
        </c:ser>
        <c:ser>
          <c:idx val="2"/>
          <c:order val="2"/>
          <c:tx>
            <c:strRef>
              <c:f>'Trend and Ratio Analysis'!$E$30:$E$31</c:f>
              <c:strCache>
                <c:ptCount val="1"/>
                <c:pt idx="0">
                  <c:v>2018 NPM %</c:v>
                </c:pt>
              </c:strCache>
            </c:strRef>
          </c:tx>
          <c:invertIfNegative val="0"/>
          <c:cat>
            <c:strRef>
              <c:f>'Trend and Ratio Analysis'!$B$32:$B$34</c:f>
              <c:strCache>
                <c:ptCount val="3"/>
                <c:pt idx="0">
                  <c:v>Gemilang International Limited</c:v>
                </c:pt>
                <c:pt idx="1">
                  <c:v>Xinyi Automobile Glass</c:v>
                </c:pt>
                <c:pt idx="2">
                  <c:v>Johnson Electric Holdings</c:v>
                </c:pt>
              </c:strCache>
            </c:strRef>
          </c:cat>
          <c:val>
            <c:numRef>
              <c:f>'Trend and Ratio Analysis'!$E$32:$E$34</c:f>
              <c:numCache>
                <c:formatCode>_(* #,##0.00_);_(* \(#,##0.00\);_(* "-"??_);_(@_)</c:formatCode>
                <c:ptCount val="3"/>
                <c:pt idx="0">
                  <c:v>-2.5327985146520469</c:v>
                </c:pt>
                <c:pt idx="1">
                  <c:v>34.675366008911517</c:v>
                </c:pt>
                <c:pt idx="2">
                  <c:v>8.5357910868329352</c:v>
                </c:pt>
              </c:numCache>
            </c:numRef>
          </c:val>
          <c:extLst>
            <c:ext xmlns:c16="http://schemas.microsoft.com/office/drawing/2014/chart" uri="{C3380CC4-5D6E-409C-BE32-E72D297353CC}">
              <c16:uniqueId val="{00000002-0FC8-4F50-8E0C-ECC6A42DB9C8}"/>
            </c:ext>
          </c:extLst>
        </c:ser>
        <c:dLbls>
          <c:showLegendKey val="0"/>
          <c:showVal val="0"/>
          <c:showCatName val="0"/>
          <c:showSerName val="0"/>
          <c:showPercent val="0"/>
          <c:showBubbleSize val="0"/>
        </c:dLbls>
        <c:gapWidth val="150"/>
        <c:shape val="cylinder"/>
        <c:axId val="108876928"/>
        <c:axId val="108878464"/>
        <c:axId val="0"/>
      </c:bar3DChart>
      <c:catAx>
        <c:axId val="108876928"/>
        <c:scaling>
          <c:orientation val="minMax"/>
        </c:scaling>
        <c:delete val="0"/>
        <c:axPos val="b"/>
        <c:numFmt formatCode="General" sourceLinked="0"/>
        <c:majorTickMark val="out"/>
        <c:minorTickMark val="none"/>
        <c:tickLblPos val="nextTo"/>
        <c:crossAx val="108878464"/>
        <c:crosses val="autoZero"/>
        <c:auto val="1"/>
        <c:lblAlgn val="ctr"/>
        <c:lblOffset val="100"/>
        <c:noMultiLvlLbl val="0"/>
      </c:catAx>
      <c:valAx>
        <c:axId val="108878464"/>
        <c:scaling>
          <c:orientation val="minMax"/>
        </c:scaling>
        <c:delete val="0"/>
        <c:axPos val="l"/>
        <c:majorGridlines/>
        <c:numFmt formatCode="_(* #,##0.00_);_(* \(#,##0.00\);_(* &quot;-&quot;??_);_(@_)" sourceLinked="1"/>
        <c:majorTickMark val="out"/>
        <c:minorTickMark val="none"/>
        <c:tickLblPos val="nextTo"/>
        <c:crossAx val="10887692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'Trend and Ratio Analysis'!$C$39:$C$40</c:f>
              <c:strCache>
                <c:ptCount val="1"/>
                <c:pt idx="0">
                  <c:v>2016 CR</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'Trend and Ratio Analysis'!$B$41:$B$43</c:f>
              <c:strCache>
                <c:ptCount val="3"/>
                <c:pt idx="0">
                  <c:v>Gemilang International Limited</c:v>
                </c:pt>
                <c:pt idx="1">
                  <c:v>Xinyi Automobile Glass</c:v>
                </c:pt>
                <c:pt idx="2">
                  <c:v>Johnson Electric Holdings</c:v>
                </c:pt>
              </c:strCache>
            </c:strRef>
          </c:cat>
          <c:val>
            <c:numRef>
              <c:f>'Trend and Ratio Analysis'!$C$41:$C$43</c:f>
              <c:numCache>
                <c:formatCode>_(* #,##0.00_);_(* \(#,##0.00\);_(* "-"??_);_(@_)</c:formatCode>
                <c:ptCount val="3"/>
                <c:pt idx="0">
                  <c:v>0.99755896525488208</c:v>
                </c:pt>
                <c:pt idx="1">
                  <c:v>1.5696518630955301</c:v>
                </c:pt>
                <c:pt idx="2">
                  <c:v>1.5802968597287641</c:v>
                </c:pt>
              </c:numCache>
            </c:numRef>
          </c:val>
          <c:smooth val="0"/>
          <c:extLst>
            <c:ext xmlns:c16="http://schemas.microsoft.com/office/drawing/2014/chart" uri="{C3380CC4-5D6E-409C-BE32-E72D297353CC}">
              <c16:uniqueId val="{00000000-9FBA-44A8-9F49-C0253671A504}"/>
            </c:ext>
          </c:extLst>
        </c:ser>
        <c:ser>
          <c:idx val="1"/>
          <c:order val="1"/>
          <c:tx>
            <c:strRef>
              <c:f>'Trend and Ratio Analysis'!$D$39:$D$40</c:f>
              <c:strCache>
                <c:ptCount val="1"/>
                <c:pt idx="0">
                  <c:v>2017 CR</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'Trend and Ratio Analysis'!$B$41:$B$43</c:f>
              <c:strCache>
                <c:ptCount val="3"/>
                <c:pt idx="0">
                  <c:v>Gemilang International Limited</c:v>
                </c:pt>
                <c:pt idx="1">
                  <c:v>Xinyi Automobile Glass</c:v>
                </c:pt>
                <c:pt idx="2">
                  <c:v>Johnson Electric Holdings</c:v>
                </c:pt>
              </c:strCache>
            </c:strRef>
          </c:cat>
          <c:val>
            <c:numRef>
              <c:f>'Trend and Ratio Analysis'!$D$41:$D$43</c:f>
              <c:numCache>
                <c:formatCode>_(* #,##0.00_);_(* \(#,##0.00\);_(* "-"??_);_(@_)</c:formatCode>
                <c:ptCount val="3"/>
                <c:pt idx="0">
                  <c:v>1.4014327096218586</c:v>
                </c:pt>
                <c:pt idx="1">
                  <c:v>1.0882059953624257</c:v>
                </c:pt>
                <c:pt idx="2">
                  <c:v>1.604387388773312</c:v>
                </c:pt>
              </c:numCache>
            </c:numRef>
          </c:val>
          <c:smooth val="0"/>
          <c:extLst>
            <c:ext xmlns:c16="http://schemas.microsoft.com/office/drawing/2014/chart" uri="{C3380CC4-5D6E-409C-BE32-E72D297353CC}">
              <c16:uniqueId val="{00000001-9FBA-44A8-9F49-C0253671A504}"/>
            </c:ext>
          </c:extLst>
        </c:ser>
        <c:ser>
          <c:idx val="2"/>
          <c:order val="2"/>
          <c:tx>
            <c:strRef>
              <c:f>'Trend and Ratio Analysis'!$E$39:$E$40</c:f>
              <c:strCache>
                <c:ptCount val="1"/>
                <c:pt idx="0">
                  <c:v>2018 CR</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'Trend and Ratio Analysis'!$B$41:$B$43</c:f>
              <c:strCache>
                <c:ptCount val="3"/>
                <c:pt idx="0">
                  <c:v>Gemilang International Limited</c:v>
                </c:pt>
                <c:pt idx="1">
                  <c:v>Xinyi Automobile Glass</c:v>
                </c:pt>
                <c:pt idx="2">
                  <c:v>Johnson Electric Holdings</c:v>
                </c:pt>
              </c:strCache>
            </c:strRef>
          </c:cat>
          <c:val>
            <c:numRef>
              <c:f>'Trend and Ratio Analysis'!$E$41:$E$43</c:f>
              <c:numCache>
                <c:formatCode>_(* #,##0.00_);_(* \(#,##0.00\);_(* "-"??_);_(@_)</c:formatCode>
                <c:ptCount val="3"/>
                <c:pt idx="0">
                  <c:v>1.2719726889350018</c:v>
                </c:pt>
                <c:pt idx="1">
                  <c:v>4.6271896420411265</c:v>
                </c:pt>
                <c:pt idx="2">
                  <c:v>1.5152093992385478</c:v>
                </c:pt>
              </c:numCache>
            </c:numRef>
          </c:val>
          <c:smooth val="0"/>
          <c:extLst>
            <c:ext xmlns:c16="http://schemas.microsoft.com/office/drawing/2014/chart" uri="{C3380CC4-5D6E-409C-BE32-E72D297353CC}">
              <c16:uniqueId val="{00000002-9FBA-44A8-9F49-C0253671A504}"/>
            </c:ext>
          </c:extLst>
        </c:ser>
        <c:dLbls>
          <c:showLegendKey val="0"/>
          <c:showVal val="0"/>
          <c:showCatName val="0"/>
          <c:showSerName val="0"/>
          <c:showPercent val="0"/>
          <c:showBubbleSize val="0"/>
        </c:dLbls>
        <c:marker val="1"/>
        <c:smooth val="0"/>
        <c:axId val="108914560"/>
        <c:axId val="108916096"/>
      </c:lineChart>
      <c:catAx>
        <c:axId val="108914560"/>
        <c:scaling>
          <c:orientation val="minMax"/>
        </c:scaling>
        <c:delete val="0"/>
        <c:axPos val="b"/>
        <c:numFmt formatCode="General" sourceLinked="0"/>
        <c:majorTickMark val="out"/>
        <c:minorTickMark val="none"/>
        <c:tickLblPos val="nextTo"/>
        <c:txPr>
          <a:bodyPr/>
          <a:lstStyle/>
          <a:p>
            <a:pPr>
              <a:defRPr b="1"/>
            </a:pPr>
            <a:endParaRPr lang="en-US"/>
          </a:p>
        </c:txPr>
        <c:crossAx val="108916096"/>
        <c:crosses val="autoZero"/>
        <c:auto val="1"/>
        <c:lblAlgn val="ctr"/>
        <c:lblOffset val="100"/>
        <c:noMultiLvlLbl val="0"/>
      </c:catAx>
      <c:valAx>
        <c:axId val="108916096"/>
        <c:scaling>
          <c:orientation val="minMax"/>
        </c:scaling>
        <c:delete val="0"/>
        <c:axPos val="l"/>
        <c:majorGridlines/>
        <c:numFmt formatCode="_(* #,##0.00_);_(* \(#,##0.00\);_(* &quot;-&quot;??_);_(@_)" sourceLinked="1"/>
        <c:majorTickMark val="out"/>
        <c:minorTickMark val="none"/>
        <c:tickLblPos val="nextTo"/>
        <c:crossAx val="108914560"/>
        <c:crosses val="autoZero"/>
        <c:crossBetween val="between"/>
      </c:valAx>
    </c:plotArea>
    <c:legend>
      <c:legendPos val="r"/>
      <c:overlay val="0"/>
      <c:txPr>
        <a:bodyPr/>
        <a:lstStyle/>
        <a:p>
          <a:pPr>
            <a:defRPr b="1"/>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'Trend and Ratio Analysis'!$C$51:$C$52</c:f>
              <c:strCache>
                <c:ptCount val="1"/>
                <c:pt idx="0">
                  <c:v>2016 D/E</c:v>
                </c:pt>
              </c:strCache>
            </c:strRef>
          </c:tx>
          <c:cat>
            <c:strRef>
              <c:f>'Trend and Ratio Analysis'!$B$53:$B$55</c:f>
              <c:strCache>
                <c:ptCount val="3"/>
                <c:pt idx="0">
                  <c:v>Gemilang International Limited</c:v>
                </c:pt>
                <c:pt idx="1">
                  <c:v>Xinyi Automobile Glass</c:v>
                </c:pt>
                <c:pt idx="2">
                  <c:v>Johnson Electric Holdings</c:v>
                </c:pt>
              </c:strCache>
            </c:strRef>
          </c:cat>
          <c:val>
            <c:numRef>
              <c:f>'Trend and Ratio Analysis'!$C$53:$C$55</c:f>
              <c:numCache>
                <c:formatCode>_(* #,##0.00_);_(* \(#,##0.00\);_(* "-"??_);_(@_)</c:formatCode>
                <c:ptCount val="3"/>
                <c:pt idx="0">
                  <c:v>1.0329296502925556</c:v>
                </c:pt>
                <c:pt idx="1">
                  <c:v>0.40081691682301457</c:v>
                </c:pt>
                <c:pt idx="2">
                  <c:v>0.32374857400880747</c:v>
                </c:pt>
              </c:numCache>
            </c:numRef>
          </c:val>
          <c:smooth val="0"/>
          <c:extLst>
            <c:ext xmlns:c16="http://schemas.microsoft.com/office/drawing/2014/chart" uri="{C3380CC4-5D6E-409C-BE32-E72D297353CC}">
              <c16:uniqueId val="{00000000-B511-4FA8-87CE-35D0798B88DE}"/>
            </c:ext>
          </c:extLst>
        </c:ser>
        <c:ser>
          <c:idx val="1"/>
          <c:order val="1"/>
          <c:tx>
            <c:strRef>
              <c:f>'Trend and Ratio Analysis'!$D$51:$D$52</c:f>
              <c:strCache>
                <c:ptCount val="1"/>
                <c:pt idx="0">
                  <c:v>2017 D/E</c:v>
                </c:pt>
              </c:strCache>
            </c:strRef>
          </c:tx>
          <c:cat>
            <c:strRef>
              <c:f>'Trend and Ratio Analysis'!$B$53:$B$55</c:f>
              <c:strCache>
                <c:ptCount val="3"/>
                <c:pt idx="0">
                  <c:v>Gemilang International Limited</c:v>
                </c:pt>
                <c:pt idx="1">
                  <c:v>Xinyi Automobile Glass</c:v>
                </c:pt>
                <c:pt idx="2">
                  <c:v>Johnson Electric Holdings</c:v>
                </c:pt>
              </c:strCache>
            </c:strRef>
          </c:cat>
          <c:val>
            <c:numRef>
              <c:f>'Trend and Ratio Analysis'!$D$53:$D$55</c:f>
              <c:numCache>
                <c:formatCode>_(* #,##0.00_);_(* \(#,##0.00\);_(* "-"??_);_(@_)</c:formatCode>
                <c:ptCount val="3"/>
                <c:pt idx="0">
                  <c:v>1.0175199956472059</c:v>
                </c:pt>
                <c:pt idx="1">
                  <c:v>0.48867880533272279</c:v>
                </c:pt>
                <c:pt idx="2">
                  <c:v>0.31831702799431805</c:v>
                </c:pt>
              </c:numCache>
            </c:numRef>
          </c:val>
          <c:smooth val="0"/>
          <c:extLst>
            <c:ext xmlns:c16="http://schemas.microsoft.com/office/drawing/2014/chart" uri="{C3380CC4-5D6E-409C-BE32-E72D297353CC}">
              <c16:uniqueId val="{00000001-B511-4FA8-87CE-35D0798B88DE}"/>
            </c:ext>
          </c:extLst>
        </c:ser>
        <c:ser>
          <c:idx val="2"/>
          <c:order val="2"/>
          <c:tx>
            <c:strRef>
              <c:f>'Trend and Ratio Analysis'!$E$51:$E$52</c:f>
              <c:strCache>
                <c:ptCount val="1"/>
                <c:pt idx="0">
                  <c:v>2018 D/E</c:v>
                </c:pt>
              </c:strCache>
            </c:strRef>
          </c:tx>
          <c:cat>
            <c:strRef>
              <c:f>'Trend and Ratio Analysis'!$B$53:$B$55</c:f>
              <c:strCache>
                <c:ptCount val="3"/>
                <c:pt idx="0">
                  <c:v>Gemilang International Limited</c:v>
                </c:pt>
                <c:pt idx="1">
                  <c:v>Xinyi Automobile Glass</c:v>
                </c:pt>
                <c:pt idx="2">
                  <c:v>Johnson Electric Holdings</c:v>
                </c:pt>
              </c:strCache>
            </c:strRef>
          </c:cat>
          <c:val>
            <c:numRef>
              <c:f>'Trend and Ratio Analysis'!$E$53:$E$55</c:f>
              <c:numCache>
                <c:formatCode>_(* #,##0.00_);_(* \(#,##0.00\);_(* "-"??_);_(@_)</c:formatCode>
                <c:ptCount val="3"/>
                <c:pt idx="0">
                  <c:v>1.0195475113122179</c:v>
                </c:pt>
                <c:pt idx="1">
                  <c:v>0.18243490918363561</c:v>
                </c:pt>
                <c:pt idx="2">
                  <c:v>0.31316985476273967</c:v>
                </c:pt>
              </c:numCache>
            </c:numRef>
          </c:val>
          <c:smooth val="0"/>
          <c:extLst>
            <c:ext xmlns:c16="http://schemas.microsoft.com/office/drawing/2014/chart" uri="{C3380CC4-5D6E-409C-BE32-E72D297353CC}">
              <c16:uniqueId val="{00000002-B511-4FA8-87CE-35D0798B88DE}"/>
            </c:ext>
          </c:extLst>
        </c:ser>
        <c:dLbls>
          <c:showLegendKey val="0"/>
          <c:showVal val="0"/>
          <c:showCatName val="0"/>
          <c:showSerName val="0"/>
          <c:showPercent val="0"/>
          <c:showBubbleSize val="0"/>
        </c:dLbls>
        <c:marker val="1"/>
        <c:smooth val="0"/>
        <c:axId val="110398464"/>
        <c:axId val="110408448"/>
      </c:lineChart>
      <c:catAx>
        <c:axId val="110398464"/>
        <c:scaling>
          <c:orientation val="minMax"/>
        </c:scaling>
        <c:delete val="0"/>
        <c:axPos val="b"/>
        <c:numFmt formatCode="General" sourceLinked="0"/>
        <c:majorTickMark val="out"/>
        <c:minorTickMark val="none"/>
        <c:tickLblPos val="nextTo"/>
        <c:crossAx val="110408448"/>
        <c:crosses val="autoZero"/>
        <c:auto val="1"/>
        <c:lblAlgn val="ctr"/>
        <c:lblOffset val="100"/>
        <c:noMultiLvlLbl val="0"/>
      </c:catAx>
      <c:valAx>
        <c:axId val="110408448"/>
        <c:scaling>
          <c:orientation val="minMax"/>
        </c:scaling>
        <c:delete val="0"/>
        <c:axPos val="l"/>
        <c:majorGridlines/>
        <c:numFmt formatCode="_(* #,##0.00_);_(* \(#,##0.00\);_(* &quot;-&quot;??_);_(@_)" sourceLinked="1"/>
        <c:majorTickMark val="out"/>
        <c:minorTickMark val="none"/>
        <c:tickLblPos val="nextTo"/>
        <c:crossAx val="110398464"/>
        <c:crosses val="autoZero"/>
        <c:crossBetween val="between"/>
      </c:valAx>
    </c:plotArea>
    <c:legend>
      <c:legendPos val="r"/>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tx>
            <c:strRef>
              <c:f>'Trend and Ratio Analysis'!$C$58:$C$59</c:f>
              <c:strCache>
                <c:ptCount val="1"/>
                <c:pt idx="0">
                  <c:v>2016 EPS</c:v>
                </c:pt>
              </c:strCache>
            </c:strRef>
          </c:tx>
          <c:invertIfNegative val="0"/>
          <c:cat>
            <c:strRef>
              <c:f>'Trend and Ratio Analysis'!$B$60:$B$62</c:f>
              <c:strCache>
                <c:ptCount val="3"/>
                <c:pt idx="0">
                  <c:v>Gemilang International Limited</c:v>
                </c:pt>
                <c:pt idx="1">
                  <c:v>Xinyi Automobile Glass</c:v>
                </c:pt>
                <c:pt idx="2">
                  <c:v>Johnson Electric Holdings</c:v>
                </c:pt>
              </c:strCache>
            </c:strRef>
          </c:cat>
          <c:val>
            <c:numRef>
              <c:f>'Trend and Ratio Analysis'!$C$60:$C$62</c:f>
              <c:numCache>
                <c:formatCode>_(* #,##0.00_);_(* \(#,##0.00\);_(* "-"??_);_(@_)</c:formatCode>
                <c:ptCount val="3"/>
                <c:pt idx="0">
                  <c:v>1.1299999999999992</c:v>
                </c:pt>
                <c:pt idx="1">
                  <c:v>1.0000000000000005E-2</c:v>
                </c:pt>
                <c:pt idx="2">
                  <c:v>20.09</c:v>
                </c:pt>
              </c:numCache>
            </c:numRef>
          </c:val>
          <c:extLst>
            <c:ext xmlns:c16="http://schemas.microsoft.com/office/drawing/2014/chart" uri="{C3380CC4-5D6E-409C-BE32-E72D297353CC}">
              <c16:uniqueId val="{00000000-82C5-428B-B740-A72A5151449E}"/>
            </c:ext>
          </c:extLst>
        </c:ser>
        <c:ser>
          <c:idx val="1"/>
          <c:order val="1"/>
          <c:tx>
            <c:strRef>
              <c:f>'Trend and Ratio Analysis'!$D$58:$D$59</c:f>
              <c:strCache>
                <c:ptCount val="1"/>
                <c:pt idx="0">
                  <c:v>2017 EPS</c:v>
                </c:pt>
              </c:strCache>
            </c:strRef>
          </c:tx>
          <c:invertIfNegative val="0"/>
          <c:cat>
            <c:strRef>
              <c:f>'Trend and Ratio Analysis'!$B$60:$B$62</c:f>
              <c:strCache>
                <c:ptCount val="3"/>
                <c:pt idx="0">
                  <c:v>Gemilang International Limited</c:v>
                </c:pt>
                <c:pt idx="1">
                  <c:v>Xinyi Automobile Glass</c:v>
                </c:pt>
                <c:pt idx="2">
                  <c:v>Johnson Electric Holdings</c:v>
                </c:pt>
              </c:strCache>
            </c:strRef>
          </c:cat>
          <c:val>
            <c:numRef>
              <c:f>'Trend and Ratio Analysis'!$D$60:$D$62</c:f>
              <c:numCache>
                <c:formatCode>_(* #,##0.00_);_(* \(#,##0.00\);_(* "-"??_);_(@_)</c:formatCode>
                <c:ptCount val="3"/>
                <c:pt idx="0">
                  <c:v>0.48000000000000015</c:v>
                </c:pt>
                <c:pt idx="1">
                  <c:v>1.74</c:v>
                </c:pt>
                <c:pt idx="2">
                  <c:v>27.71</c:v>
                </c:pt>
              </c:numCache>
            </c:numRef>
          </c:val>
          <c:extLst>
            <c:ext xmlns:c16="http://schemas.microsoft.com/office/drawing/2014/chart" uri="{C3380CC4-5D6E-409C-BE32-E72D297353CC}">
              <c16:uniqueId val="{00000001-82C5-428B-B740-A72A5151449E}"/>
            </c:ext>
          </c:extLst>
        </c:ser>
        <c:ser>
          <c:idx val="2"/>
          <c:order val="2"/>
          <c:tx>
            <c:strRef>
              <c:f>'Trend and Ratio Analysis'!$E$58:$E$59</c:f>
              <c:strCache>
                <c:ptCount val="1"/>
                <c:pt idx="0">
                  <c:v>2018 EPS</c:v>
                </c:pt>
              </c:strCache>
            </c:strRef>
          </c:tx>
          <c:invertIfNegative val="0"/>
          <c:cat>
            <c:strRef>
              <c:f>'Trend and Ratio Analysis'!$B$60:$B$62</c:f>
              <c:strCache>
                <c:ptCount val="3"/>
                <c:pt idx="0">
                  <c:v>Gemilang International Limited</c:v>
                </c:pt>
                <c:pt idx="1">
                  <c:v>Xinyi Automobile Glass</c:v>
                </c:pt>
                <c:pt idx="2">
                  <c:v>Johnson Electric Holdings</c:v>
                </c:pt>
              </c:strCache>
            </c:strRef>
          </c:cat>
          <c:val>
            <c:numRef>
              <c:f>'Trend and Ratio Analysis'!$E$60:$E$62</c:f>
              <c:numCache>
                <c:formatCode>_(* #,##0.00_);_(* \(#,##0.00\);_(* "-"??_);_(@_)</c:formatCode>
                <c:ptCount val="3"/>
                <c:pt idx="0">
                  <c:v>-0.58000000000000007</c:v>
                </c:pt>
                <c:pt idx="1">
                  <c:v>1.42</c:v>
                </c:pt>
                <c:pt idx="2">
                  <c:v>29.650000000000009</c:v>
                </c:pt>
              </c:numCache>
            </c:numRef>
          </c:val>
          <c:extLst>
            <c:ext xmlns:c16="http://schemas.microsoft.com/office/drawing/2014/chart" uri="{C3380CC4-5D6E-409C-BE32-E72D297353CC}">
              <c16:uniqueId val="{00000002-82C5-428B-B740-A72A5151449E}"/>
            </c:ext>
          </c:extLst>
        </c:ser>
        <c:dLbls>
          <c:showLegendKey val="0"/>
          <c:showVal val="0"/>
          <c:showCatName val="0"/>
          <c:showSerName val="0"/>
          <c:showPercent val="0"/>
          <c:showBubbleSize val="0"/>
        </c:dLbls>
        <c:gapWidth val="150"/>
        <c:axId val="110441984"/>
        <c:axId val="110443520"/>
      </c:barChart>
      <c:catAx>
        <c:axId val="110441984"/>
        <c:scaling>
          <c:orientation val="minMax"/>
        </c:scaling>
        <c:delete val="0"/>
        <c:axPos val="l"/>
        <c:numFmt formatCode="General" sourceLinked="0"/>
        <c:majorTickMark val="out"/>
        <c:minorTickMark val="none"/>
        <c:tickLblPos val="nextTo"/>
        <c:crossAx val="110443520"/>
        <c:crosses val="autoZero"/>
        <c:auto val="1"/>
        <c:lblAlgn val="ctr"/>
        <c:lblOffset val="100"/>
        <c:noMultiLvlLbl val="0"/>
      </c:catAx>
      <c:valAx>
        <c:axId val="110443520"/>
        <c:scaling>
          <c:orientation val="minMax"/>
        </c:scaling>
        <c:delete val="0"/>
        <c:axPos val="b"/>
        <c:majorGridlines/>
        <c:numFmt formatCode="_(* #,##0.00_);_(* \(#,##0.00\);_(* &quot;-&quot;??_);_(@_)" sourceLinked="1"/>
        <c:majorTickMark val="out"/>
        <c:minorTickMark val="none"/>
        <c:tickLblPos val="nextTo"/>
        <c:crossAx val="110441984"/>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'Trend and Ratio Analysis'!$C$67</c:f>
              <c:strCache>
                <c:ptCount val="1"/>
                <c:pt idx="0">
                  <c:v>Bankruptcy Indicator</c:v>
                </c:pt>
              </c:strCache>
            </c:strRef>
          </c:tx>
          <c:invertIfNegative val="0"/>
          <c:cat>
            <c:strRef>
              <c:f>'Trend and Ratio Analysis'!$B$68:$B$70</c:f>
              <c:strCache>
                <c:ptCount val="3"/>
                <c:pt idx="0">
                  <c:v>Gemilang International Limited</c:v>
                </c:pt>
                <c:pt idx="1">
                  <c:v>Xinyi Automobile Glass</c:v>
                </c:pt>
                <c:pt idx="2">
                  <c:v>Johnson Electric Holdings</c:v>
                </c:pt>
              </c:strCache>
            </c:strRef>
          </c:cat>
          <c:val>
            <c:numRef>
              <c:f>'Trend and Ratio Analysis'!$C$68:$C$70</c:f>
              <c:numCache>
                <c:formatCode>General</c:formatCode>
                <c:ptCount val="3"/>
                <c:pt idx="0">
                  <c:v>2.02</c:v>
                </c:pt>
                <c:pt idx="1">
                  <c:v>3.11</c:v>
                </c:pt>
                <c:pt idx="2">
                  <c:v>4.1499999999999995</c:v>
                </c:pt>
              </c:numCache>
            </c:numRef>
          </c:val>
          <c:extLst>
            <c:ext xmlns:c16="http://schemas.microsoft.com/office/drawing/2014/chart" uri="{C3380CC4-5D6E-409C-BE32-E72D297353CC}">
              <c16:uniqueId val="{00000000-3E05-4058-9468-D3B6A4B797CC}"/>
            </c:ext>
          </c:extLst>
        </c:ser>
        <c:dLbls>
          <c:showLegendKey val="0"/>
          <c:showVal val="0"/>
          <c:showCatName val="0"/>
          <c:showSerName val="0"/>
          <c:showPercent val="0"/>
          <c:showBubbleSize val="0"/>
        </c:dLbls>
        <c:gapWidth val="150"/>
        <c:shape val="box"/>
        <c:axId val="110455424"/>
        <c:axId val="110461312"/>
        <c:axId val="0"/>
      </c:bar3DChart>
      <c:catAx>
        <c:axId val="110455424"/>
        <c:scaling>
          <c:orientation val="minMax"/>
        </c:scaling>
        <c:delete val="0"/>
        <c:axPos val="b"/>
        <c:numFmt formatCode="General" sourceLinked="0"/>
        <c:majorTickMark val="out"/>
        <c:minorTickMark val="none"/>
        <c:tickLblPos val="nextTo"/>
        <c:crossAx val="110461312"/>
        <c:crosses val="autoZero"/>
        <c:auto val="1"/>
        <c:lblAlgn val="ctr"/>
        <c:lblOffset val="100"/>
        <c:noMultiLvlLbl val="0"/>
      </c:catAx>
      <c:valAx>
        <c:axId val="110461312"/>
        <c:scaling>
          <c:orientation val="minMax"/>
        </c:scaling>
        <c:delete val="0"/>
        <c:axPos val="l"/>
        <c:majorGridlines/>
        <c:numFmt formatCode="General" sourceLinked="1"/>
        <c:majorTickMark val="out"/>
        <c:minorTickMark val="none"/>
        <c:tickLblPos val="nextTo"/>
        <c:crossAx val="11045542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BC8D5-6C2B-4D37-9180-2F0CCAFE0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Pages>
  <Words>4838</Words>
  <Characters>27580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Winnie Lau</dc:creator>
  <cp:keywords/>
  <dc:description/>
  <cp:lastModifiedBy>Winnie Lau</cp:lastModifiedBy>
  <cp:revision>11</cp:revision>
  <dcterms:created xsi:type="dcterms:W3CDTF">2019-08-17T06:28:00Z</dcterms:created>
  <dcterms:modified xsi:type="dcterms:W3CDTF">2019-08-19T01:37:00Z</dcterms:modified>
</cp:coreProperties>
</file>