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EBD34D"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DF09B4B" wp14:editId="62824D82">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07823A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9F2DF2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DF09B4B"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14:paraId="507823A5"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14:paraId="09F2DF24"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BE45615" wp14:editId="41C74603">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FC6E63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C79A39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BE45615"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1FC6E63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C79A39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3160929"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4D5A787" wp14:editId="63888FA0">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8656588" w14:textId="77777777" w:rsidR="00530E16" w:rsidRDefault="004468F8">
                            <w:pPr>
                              <w:spacing w:after="0" w:line="240" w:lineRule="auto"/>
                              <w:textDirection w:val="btLr"/>
                            </w:pPr>
                            <w:r>
                              <w:rPr>
                                <w:rFonts w:ascii="Play" w:eastAsia="Play" w:hAnsi="Play" w:cs="Play"/>
                                <w:color w:val="262626"/>
                                <w:sz w:val="72"/>
                              </w:rPr>
                              <w:t>Individual Report</w:t>
                            </w:r>
                          </w:p>
                          <w:p w14:paraId="24F4EDF8" w14:textId="77777777" w:rsidR="00530E16" w:rsidRDefault="004468F8">
                            <w:pPr>
                              <w:spacing w:before="120" w:line="277" w:lineRule="auto"/>
                              <w:textDirection w:val="btLr"/>
                            </w:pPr>
                            <w:r>
                              <w:rPr>
                                <w:color w:val="404040"/>
                                <w:sz w:val="36"/>
                              </w:rPr>
                              <w:t>Module Name: Digital Skills and Research Methods</w:t>
                            </w:r>
                          </w:p>
                          <w:p w14:paraId="635A1B95" w14:textId="77777777" w:rsidR="00530E16" w:rsidRDefault="004468F8">
                            <w:pPr>
                              <w:spacing w:before="120" w:line="277" w:lineRule="auto"/>
                              <w:textDirection w:val="btLr"/>
                            </w:pPr>
                            <w:r>
                              <w:rPr>
                                <w:color w:val="404040"/>
                                <w:sz w:val="36"/>
                              </w:rPr>
                              <w:t>Module Code: LCHS 4007</w:t>
                            </w:r>
                          </w:p>
                          <w:p w14:paraId="12E110D4" w14:textId="6A32C805" w:rsidR="00530E16" w:rsidRDefault="004468F8">
                            <w:pPr>
                              <w:spacing w:before="120" w:line="277" w:lineRule="auto"/>
                              <w:textDirection w:val="btLr"/>
                            </w:pPr>
                            <w:r>
                              <w:rPr>
                                <w:color w:val="404040"/>
                                <w:sz w:val="36"/>
                              </w:rPr>
                              <w:t xml:space="preserve">Student name: </w:t>
                            </w:r>
                            <w:r w:rsidR="00587E20">
                              <w:rPr>
                                <w:color w:val="404040"/>
                                <w:sz w:val="36"/>
                              </w:rPr>
                              <w:t xml:space="preserve">Khrystyna </w:t>
                            </w:r>
                            <w:proofErr w:type="spellStart"/>
                            <w:r w:rsidR="00587E20">
                              <w:rPr>
                                <w:color w:val="404040"/>
                                <w:sz w:val="36"/>
                              </w:rPr>
                              <w:t>Yastremska</w:t>
                            </w:r>
                            <w:proofErr w:type="spellEnd"/>
                          </w:p>
                          <w:p w14:paraId="5F4F457E" w14:textId="7E69056B" w:rsidR="00530E16" w:rsidRDefault="004468F8">
                            <w:pPr>
                              <w:spacing w:before="120" w:line="277" w:lineRule="auto"/>
                              <w:textDirection w:val="btLr"/>
                            </w:pPr>
                            <w:r>
                              <w:rPr>
                                <w:color w:val="404040"/>
                                <w:sz w:val="36"/>
                              </w:rPr>
                              <w:t>Student ID:</w:t>
                            </w:r>
                            <w:r w:rsidR="00587E20">
                              <w:rPr>
                                <w:color w:val="404040"/>
                                <w:sz w:val="36"/>
                              </w:rPr>
                              <w:t>2509328</w:t>
                            </w:r>
                          </w:p>
                          <w:p w14:paraId="7F29E09D" w14:textId="5DBCA5E8" w:rsidR="00530E16" w:rsidRDefault="004468F8">
                            <w:pPr>
                              <w:spacing w:before="120" w:line="277" w:lineRule="auto"/>
                              <w:textDirection w:val="btLr"/>
                            </w:pPr>
                            <w:r>
                              <w:rPr>
                                <w:color w:val="404040"/>
                                <w:sz w:val="36"/>
                              </w:rPr>
                              <w:t xml:space="preserve">Lecturer’s Name: </w:t>
                            </w:r>
                            <w:r w:rsidR="00587E20">
                              <w:rPr>
                                <w:color w:val="404040"/>
                                <w:sz w:val="36"/>
                              </w:rPr>
                              <w:t>Kwame Assa-Agyei</w:t>
                            </w:r>
                          </w:p>
                        </w:txbxContent>
                      </wps:txbx>
                      <wps:bodyPr spcFirstLastPara="1" wrap="square" lIns="0" tIns="0" rIns="0" bIns="0" anchor="t" anchorCtr="0">
                        <a:noAutofit/>
                      </wps:bodyPr>
                    </wps:wsp>
                  </a:graphicData>
                </a:graphic>
              </wp:anchor>
            </w:drawing>
          </mc:Choice>
          <mc:Fallback>
            <w:pict>
              <v:rect w14:anchorId="14D5A787"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14:paraId="38656588" w14:textId="77777777" w:rsidR="00530E16" w:rsidRDefault="004468F8">
                      <w:pPr>
                        <w:spacing w:after="0" w:line="240" w:lineRule="auto"/>
                        <w:textDirection w:val="btLr"/>
                      </w:pPr>
                      <w:r>
                        <w:rPr>
                          <w:rFonts w:ascii="Play" w:eastAsia="Play" w:hAnsi="Play" w:cs="Play"/>
                          <w:color w:val="262626"/>
                          <w:sz w:val="72"/>
                        </w:rPr>
                        <w:t>Individual Report</w:t>
                      </w:r>
                    </w:p>
                    <w:p w14:paraId="24F4EDF8" w14:textId="77777777" w:rsidR="00530E16" w:rsidRDefault="004468F8">
                      <w:pPr>
                        <w:spacing w:before="120" w:line="277" w:lineRule="auto"/>
                        <w:textDirection w:val="btLr"/>
                      </w:pPr>
                      <w:r>
                        <w:rPr>
                          <w:color w:val="404040"/>
                          <w:sz w:val="36"/>
                        </w:rPr>
                        <w:t>Module Name: Digital Skills and Research Methods</w:t>
                      </w:r>
                    </w:p>
                    <w:p w14:paraId="635A1B95" w14:textId="77777777" w:rsidR="00530E16" w:rsidRDefault="004468F8">
                      <w:pPr>
                        <w:spacing w:before="120" w:line="277" w:lineRule="auto"/>
                        <w:textDirection w:val="btLr"/>
                      </w:pPr>
                      <w:r>
                        <w:rPr>
                          <w:color w:val="404040"/>
                          <w:sz w:val="36"/>
                        </w:rPr>
                        <w:t>Module Code: LCHS 4007</w:t>
                      </w:r>
                    </w:p>
                    <w:p w14:paraId="12E110D4" w14:textId="6A32C805" w:rsidR="00530E16" w:rsidRDefault="004468F8">
                      <w:pPr>
                        <w:spacing w:before="120" w:line="277" w:lineRule="auto"/>
                        <w:textDirection w:val="btLr"/>
                      </w:pPr>
                      <w:r>
                        <w:rPr>
                          <w:color w:val="404040"/>
                          <w:sz w:val="36"/>
                        </w:rPr>
                        <w:t xml:space="preserve">Student name: </w:t>
                      </w:r>
                      <w:r w:rsidR="00587E20">
                        <w:rPr>
                          <w:color w:val="404040"/>
                          <w:sz w:val="36"/>
                        </w:rPr>
                        <w:t>Khrystyna Yastremska</w:t>
                      </w:r>
                    </w:p>
                    <w:p w14:paraId="5F4F457E" w14:textId="7E69056B" w:rsidR="00530E16" w:rsidRDefault="004468F8">
                      <w:pPr>
                        <w:spacing w:before="120" w:line="277" w:lineRule="auto"/>
                        <w:textDirection w:val="btLr"/>
                      </w:pPr>
                      <w:r>
                        <w:rPr>
                          <w:color w:val="404040"/>
                          <w:sz w:val="36"/>
                        </w:rPr>
                        <w:t>Student ID:</w:t>
                      </w:r>
                      <w:r w:rsidR="00587E20">
                        <w:rPr>
                          <w:color w:val="404040"/>
                          <w:sz w:val="36"/>
                        </w:rPr>
                        <w:t>2509328</w:t>
                      </w:r>
                    </w:p>
                    <w:p w14:paraId="7F29E09D" w14:textId="5DBCA5E8" w:rsidR="00530E16" w:rsidRDefault="004468F8">
                      <w:pPr>
                        <w:spacing w:before="120" w:line="277" w:lineRule="auto"/>
                        <w:textDirection w:val="btLr"/>
                      </w:pPr>
                      <w:r>
                        <w:rPr>
                          <w:color w:val="404040"/>
                          <w:sz w:val="36"/>
                        </w:rPr>
                        <w:t xml:space="preserve">Lecturer’s Name: </w:t>
                      </w:r>
                      <w:r w:rsidR="00587E20">
                        <w:rPr>
                          <w:color w:val="404040"/>
                          <w:sz w:val="36"/>
                        </w:rPr>
                        <w:t>Kwame Assa-Agyei</w:t>
                      </w:r>
                    </w:p>
                  </w:txbxContent>
                </v:textbox>
                <w10:wrap anchorx="page" anchory="page"/>
              </v:rect>
            </w:pict>
          </mc:Fallback>
        </mc:AlternateContent>
      </w:r>
      <w:r>
        <w:br w:type="page"/>
      </w:r>
    </w:p>
    <w:p w14:paraId="5F6A6214" w14:textId="77777777" w:rsidR="00530E16" w:rsidRDefault="00530E16">
      <w:pPr>
        <w:rPr>
          <w:rFonts w:ascii="Arial" w:eastAsia="Arial" w:hAnsi="Arial" w:cs="Arial"/>
        </w:rPr>
      </w:pPr>
    </w:p>
    <w:p w14:paraId="0F418098"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5EEF0D33" w14:textId="2E66AA50"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8F15FE">
              <w:rPr>
                <w:rStyle w:val="Hyperlink"/>
                <w:noProof/>
              </w:rPr>
              <w:t>The Impact of Staff Shortages Among Nurses and Care Workers in the UK</w:t>
            </w:r>
            <w:r w:rsidR="00DB181C" w:rsidRPr="005D132F">
              <w:rPr>
                <w:rStyle w:val="Hyperlink"/>
                <w:noProof/>
              </w:rPr>
              <w:t>&gt;</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13DA5065"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394AF7A0"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0C0A932A"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0CBC642A"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325B51B0"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745989C7"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2A07840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7D605681"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73E396E2"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7D205E40"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5DCCAAB8"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0FBE3D39"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103F6829" w14:textId="77777777" w:rsidR="00530E16" w:rsidRPr="00CF650B" w:rsidRDefault="004468F8">
          <w:r>
            <w:fldChar w:fldCharType="end"/>
          </w:r>
        </w:p>
      </w:sdtContent>
    </w:sdt>
    <w:p w14:paraId="6B8BA610" w14:textId="77777777" w:rsidR="00530E16" w:rsidRDefault="00530E16">
      <w:pPr>
        <w:rPr>
          <w:rFonts w:ascii="Arial" w:eastAsia="Arial" w:hAnsi="Arial" w:cs="Arial"/>
        </w:rPr>
      </w:pPr>
    </w:p>
    <w:p w14:paraId="676EA45A" w14:textId="77777777" w:rsidR="00530E16" w:rsidRDefault="00530E16">
      <w:pPr>
        <w:rPr>
          <w:rFonts w:ascii="Arial" w:eastAsia="Arial" w:hAnsi="Arial" w:cs="Arial"/>
        </w:rPr>
      </w:pPr>
    </w:p>
    <w:p w14:paraId="1AA40A28" w14:textId="77777777" w:rsidR="00530E16" w:rsidRDefault="00530E16">
      <w:pPr>
        <w:rPr>
          <w:rFonts w:ascii="Arial" w:eastAsia="Arial" w:hAnsi="Arial" w:cs="Arial"/>
        </w:rPr>
      </w:pPr>
    </w:p>
    <w:p w14:paraId="222664DE" w14:textId="77777777" w:rsidR="00530E16" w:rsidRDefault="00530E16">
      <w:pPr>
        <w:rPr>
          <w:rFonts w:ascii="Arial" w:eastAsia="Arial" w:hAnsi="Arial" w:cs="Arial"/>
        </w:rPr>
      </w:pPr>
    </w:p>
    <w:p w14:paraId="35F8654D" w14:textId="77777777" w:rsidR="00530E16" w:rsidRDefault="00530E16">
      <w:pPr>
        <w:rPr>
          <w:rFonts w:ascii="Arial" w:eastAsia="Arial" w:hAnsi="Arial" w:cs="Arial"/>
        </w:rPr>
      </w:pPr>
    </w:p>
    <w:p w14:paraId="15530DD9" w14:textId="77777777" w:rsidR="00530E16" w:rsidRDefault="00530E16">
      <w:pPr>
        <w:rPr>
          <w:rFonts w:ascii="Arial" w:eastAsia="Arial" w:hAnsi="Arial" w:cs="Arial"/>
        </w:rPr>
      </w:pPr>
    </w:p>
    <w:p w14:paraId="2E46ED43" w14:textId="77777777" w:rsidR="00530E16" w:rsidRDefault="00530E16">
      <w:pPr>
        <w:rPr>
          <w:rFonts w:ascii="Arial" w:eastAsia="Arial" w:hAnsi="Arial" w:cs="Arial"/>
        </w:rPr>
      </w:pPr>
    </w:p>
    <w:p w14:paraId="7208FC5A" w14:textId="77777777" w:rsidR="00530E16" w:rsidRDefault="00530E16">
      <w:pPr>
        <w:rPr>
          <w:rFonts w:ascii="Arial" w:eastAsia="Arial" w:hAnsi="Arial" w:cs="Arial"/>
        </w:rPr>
      </w:pPr>
    </w:p>
    <w:p w14:paraId="5DC600CE" w14:textId="77777777" w:rsidR="00530E16" w:rsidRDefault="00530E16">
      <w:pPr>
        <w:rPr>
          <w:rFonts w:ascii="Arial" w:eastAsia="Arial" w:hAnsi="Arial" w:cs="Arial"/>
        </w:rPr>
      </w:pPr>
    </w:p>
    <w:p w14:paraId="1019BF46" w14:textId="77777777" w:rsidR="00530E16" w:rsidRDefault="00530E16">
      <w:pPr>
        <w:rPr>
          <w:rFonts w:ascii="Arial" w:eastAsia="Arial" w:hAnsi="Arial" w:cs="Arial"/>
        </w:rPr>
      </w:pPr>
    </w:p>
    <w:p w14:paraId="46CB8B24" w14:textId="77777777" w:rsidR="00530E16" w:rsidRDefault="00530E16">
      <w:pPr>
        <w:rPr>
          <w:rFonts w:ascii="Arial" w:eastAsia="Arial" w:hAnsi="Arial" w:cs="Arial"/>
        </w:rPr>
      </w:pPr>
    </w:p>
    <w:p w14:paraId="09A5AC16" w14:textId="77777777" w:rsidR="00530E16" w:rsidRDefault="00530E16">
      <w:pPr>
        <w:rPr>
          <w:rFonts w:ascii="Arial" w:eastAsia="Arial" w:hAnsi="Arial" w:cs="Arial"/>
        </w:rPr>
      </w:pPr>
    </w:p>
    <w:p w14:paraId="33C790D3" w14:textId="77777777" w:rsidR="00530E16" w:rsidRDefault="00530E16">
      <w:pPr>
        <w:rPr>
          <w:rFonts w:ascii="Arial" w:eastAsia="Arial" w:hAnsi="Arial" w:cs="Arial"/>
        </w:rPr>
      </w:pPr>
    </w:p>
    <w:p w14:paraId="0A0BB769" w14:textId="77777777" w:rsidR="00530E16" w:rsidRDefault="00530E16">
      <w:pPr>
        <w:rPr>
          <w:rFonts w:ascii="Arial" w:eastAsia="Arial" w:hAnsi="Arial" w:cs="Arial"/>
        </w:rPr>
      </w:pPr>
    </w:p>
    <w:p w14:paraId="7E87F8EE"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4165AEBC" w14:textId="77777777" w:rsidR="00530E16" w:rsidRDefault="00530E16">
      <w:pPr>
        <w:rPr>
          <w:rFonts w:ascii="Arial" w:eastAsia="Arial" w:hAnsi="Arial" w:cs="Arial"/>
        </w:rPr>
      </w:pPr>
    </w:p>
    <w:p w14:paraId="74ED27E7" w14:textId="61B84523" w:rsidR="00530E16" w:rsidRDefault="004468F8" w:rsidP="00425F31">
      <w:pPr>
        <w:pStyle w:val="Heading1"/>
        <w:jc w:val="center"/>
      </w:pPr>
      <w:bookmarkStart w:id="0" w:name="_Toc213674530"/>
      <w:r>
        <w:t xml:space="preserve">Research Topic: </w:t>
      </w:r>
      <w:bookmarkEnd w:id="0"/>
      <w:r w:rsidR="00192BBD">
        <w:t xml:space="preserve">The Impact of Staff </w:t>
      </w:r>
      <w:r w:rsidR="002512EF">
        <w:t>Shortages Among Nurses and Care Workers</w:t>
      </w:r>
      <w:r w:rsidR="00616353">
        <w:t xml:space="preserve"> in the UK</w:t>
      </w:r>
    </w:p>
    <w:p w14:paraId="3027298A" w14:textId="4E2F2DB8" w:rsidR="004468F8" w:rsidRPr="004B3D2B" w:rsidRDefault="00BA0043" w:rsidP="004B3D2B">
      <w:pPr>
        <w:pStyle w:val="Heading1"/>
        <w:rPr>
          <w:sz w:val="32"/>
          <w:szCs w:val="32"/>
        </w:rPr>
      </w:pPr>
      <w:bookmarkStart w:id="1" w:name="_Toc213674531"/>
      <w:r>
        <w:rPr>
          <w:sz w:val="32"/>
          <w:szCs w:val="32"/>
        </w:rPr>
        <w:t>Introduction</w:t>
      </w:r>
      <w:bookmarkEnd w:id="1"/>
    </w:p>
    <w:p w14:paraId="0804D7EE" w14:textId="77777777" w:rsidR="005161E2" w:rsidRDefault="005161E2" w:rsidP="005161E2">
      <w:pPr>
        <w:pStyle w:val="NormalWeb"/>
        <w:spacing w:line="360" w:lineRule="auto"/>
        <w:jc w:val="both"/>
      </w:pPr>
      <w:r>
        <w:t>Nurses and care workers form the backbone of the United Kingdom’s health and social care system. Their work goes far beyond routine clinical or support tasks—together, they provide a lifeline for individuals who rely on care services for survival, safety, and overall wellbeing. Nurses are responsible for assessing patient needs, delivering person-centred interventions, monitoring changing health conditions, administering medication, coordinating care with multidisciplinary teams, and offering emotional reassurance to service users and their families (Royal College of Nursing, 2023). Care workers, meanwhile, support service users with important daily living activities such as personal hygiene, mobility, nutrition, medication prompting, household tasks, and promoting independence.</w:t>
      </w:r>
    </w:p>
    <w:p w14:paraId="3CDC7C89" w14:textId="77777777" w:rsidR="005161E2" w:rsidRDefault="005161E2" w:rsidP="005161E2">
      <w:pPr>
        <w:pStyle w:val="NormalWeb"/>
        <w:spacing w:line="360" w:lineRule="auto"/>
        <w:jc w:val="both"/>
      </w:pPr>
      <w:r>
        <w:t>Both professions ensure that people across hospitals, care homes, and community-based settings receive safe, effective, compassionate, and high-quality care consistent with UK health and social care standards (NHS England, 2023). These roles demand specialist knowledge, empathy, physical stamina, and emotional resilience. The level of responsibility placed on nurses and care workers highlights why building and maintaining a stable, skilled, and well-supported workforce is essential for the sustainability of the entire health and social care system.</w:t>
      </w:r>
    </w:p>
    <w:p w14:paraId="28EC880A" w14:textId="59C49930" w:rsidR="004468F8" w:rsidRDefault="005161E2" w:rsidP="005161E2">
      <w:pPr>
        <w:pStyle w:val="NormalWeb"/>
        <w:spacing w:line="360" w:lineRule="auto"/>
        <w:jc w:val="both"/>
      </w:pPr>
      <w:r>
        <w:t>This introduction establishes the importance of these professions and provides a foundation for understanding how staff shortages among nurses and care workers can have serious consequences for patient care, workforce wellbeing, and service delivery across the UK.</w:t>
      </w:r>
    </w:p>
    <w:p w14:paraId="63A64E88" w14:textId="289786CA" w:rsidR="00D62A9C" w:rsidRPr="00046955" w:rsidRDefault="004468F8" w:rsidP="00046955">
      <w:pPr>
        <w:pStyle w:val="Heading2"/>
        <w:jc w:val="both"/>
      </w:pPr>
      <w:bookmarkStart w:id="2" w:name="_Toc213674532"/>
      <w:r>
        <w:t>Problem Statemen</w:t>
      </w:r>
      <w:bookmarkEnd w:id="2"/>
    </w:p>
    <w:p w14:paraId="39AB45A5" w14:textId="77777777" w:rsidR="005161E2" w:rsidRDefault="005161E2" w:rsidP="005161E2">
      <w:pPr>
        <w:pStyle w:val="NormalWeb"/>
        <w:spacing w:line="360" w:lineRule="auto"/>
        <w:jc w:val="both"/>
      </w:pPr>
      <w:r>
        <w:t xml:space="preserve">The UK continues to face significant and persistent workforce shortages in both nursing and social care roles. According to the Royal College of Nursing (2023), thousands of nursing posts remain unfilled, placing considerable strain on the existing workforce. Similarly, the social </w:t>
      </w:r>
      <w:r>
        <w:lastRenderedPageBreak/>
        <w:t>care sector faces high vacancy rates, workforce instability, and increased reliance on temporary staff. As staffing levels decrease, remaining nurses and care workers must shoulder heavier caseloads and manage increasingly complex patient needs. This additional burden often results in higher stress levels, emotional exhaustion, and reduced overall wellbeing.</w:t>
      </w:r>
    </w:p>
    <w:p w14:paraId="7A9BA96C" w14:textId="77777777" w:rsidR="005161E2" w:rsidRDefault="005161E2" w:rsidP="005161E2">
      <w:pPr>
        <w:pStyle w:val="NormalWeb"/>
        <w:spacing w:line="360" w:lineRule="auto"/>
        <w:jc w:val="both"/>
      </w:pPr>
      <w:r>
        <w:t>Several factors contribute to the growing demand for healthcare services. The UK has an ageing population with a higher prevalence of chronic illnesses such as dementia, diabetes, heart disease, and mobility-related conditions that require long-term, continuous care (NHS England, 2023). As service users rely more heavily on hospital services, community care, and long-term residential care, the demand for nurses and care workers rises. However, workforce capacity has not kept pace with these growing needs.</w:t>
      </w:r>
    </w:p>
    <w:p w14:paraId="40BF964F" w14:textId="77777777" w:rsidR="005161E2" w:rsidRDefault="005161E2" w:rsidP="005161E2">
      <w:pPr>
        <w:pStyle w:val="NormalWeb"/>
        <w:spacing w:line="360" w:lineRule="auto"/>
        <w:jc w:val="both"/>
      </w:pPr>
      <w:r>
        <w:t>Staff shortages also compromise the quality and continuity of care. NHS England (2023) warns that inadequate staffing can lead to delayed treatments, reduced monitoring, rushed appointments, and unmet care needs across hospitals, care homes, and home-care services. When staffing levels fall below safe thresholds, service users may experience increased risks, including medication errors, longer waiting times, decreased patient satisfaction, and poorer health outcomes.</w:t>
      </w:r>
    </w:p>
    <w:p w14:paraId="1FCB5CAA" w14:textId="0A5A4B1F" w:rsidR="004468F8" w:rsidRPr="004468F8" w:rsidRDefault="005161E2" w:rsidP="005161E2">
      <w:pPr>
        <w:pStyle w:val="NormalWeb"/>
        <w:spacing w:line="360" w:lineRule="auto"/>
        <w:jc w:val="both"/>
      </w:pPr>
      <w:r>
        <w:t>Furthermore, staff shortages place additional pressure on service providers and policymakers to develop sustainable recruitment and retention strategies. The widening gap between workforce capacity and service user needs signals an urgent need for long-term workforce planning, improved working conditions, and better career development opportunities for nurses and care workers. Overall, this problem reflects a critical threat to the stability and safety of the UK’s health and social care system.</w:t>
      </w:r>
    </w:p>
    <w:p w14:paraId="60A3BFAF" w14:textId="15BB63DD" w:rsidR="00D62A9C" w:rsidRPr="005161E2" w:rsidRDefault="004468F8" w:rsidP="005161E2">
      <w:pPr>
        <w:pStyle w:val="Heading2"/>
        <w:jc w:val="both"/>
      </w:pPr>
      <w:bookmarkStart w:id="3" w:name="_Toc213674533"/>
      <w:r>
        <w:t>Justification</w:t>
      </w:r>
      <w:bookmarkEnd w:id="3"/>
    </w:p>
    <w:p w14:paraId="6439124E" w14:textId="77777777" w:rsidR="005161E2" w:rsidRPr="005161E2" w:rsidRDefault="005161E2" w:rsidP="005161E2">
      <w:pPr>
        <w:pStyle w:val="NormalWeb"/>
        <w:spacing w:line="360" w:lineRule="auto"/>
        <w:jc w:val="both"/>
      </w:pPr>
      <w:r w:rsidRPr="005161E2">
        <w:t>Researching the impact of staff shortages among nurses and care workers in the UK is crucial for several key reasons.</w:t>
      </w:r>
    </w:p>
    <w:p w14:paraId="7C801B24" w14:textId="77777777" w:rsidR="005161E2" w:rsidRPr="005161E2" w:rsidRDefault="005161E2" w:rsidP="005161E2">
      <w:pPr>
        <w:pStyle w:val="NormalWeb"/>
        <w:spacing w:line="360" w:lineRule="auto"/>
        <w:jc w:val="both"/>
      </w:pPr>
      <w:r w:rsidRPr="005161E2">
        <w:t xml:space="preserve">Firstly, the issue directly affects the quality of health and social care delivery. When staffing levels are low, service users may receive rushed, inconsistent, or incomplete care, which can undermine safety and lead to preventable health complications. Understanding these impacts </w:t>
      </w:r>
      <w:r w:rsidRPr="005161E2">
        <w:lastRenderedPageBreak/>
        <w:t>enables policymakers and service providers to design interventions that protect service user wellbeing.</w:t>
      </w:r>
    </w:p>
    <w:p w14:paraId="599E27FE" w14:textId="77777777" w:rsidR="005161E2" w:rsidRPr="005161E2" w:rsidRDefault="005161E2" w:rsidP="005161E2">
      <w:pPr>
        <w:pStyle w:val="NormalWeb"/>
        <w:spacing w:line="360" w:lineRule="auto"/>
        <w:jc w:val="both"/>
      </w:pPr>
      <w:r w:rsidRPr="005161E2">
        <w:t>Secondly, staff shortages severely affect workforce health and morale. High caseloads, frequent overtime, and emotional burnout contribute to absenteeism, reduced productivity, and further resignations, creating a negative cycle that weakens the workforce even more (Royal College of Nursing, 2023). Research can help identify the types of support and working conditions that improve job satisfaction and encourage staff retention.</w:t>
      </w:r>
    </w:p>
    <w:p w14:paraId="2371151D" w14:textId="77777777" w:rsidR="005161E2" w:rsidRPr="005161E2" w:rsidRDefault="005161E2" w:rsidP="005161E2">
      <w:pPr>
        <w:pStyle w:val="NormalWeb"/>
        <w:spacing w:line="360" w:lineRule="auto"/>
        <w:jc w:val="both"/>
      </w:pPr>
      <w:r w:rsidRPr="005161E2">
        <w:t>Thirdly, the financial implications of staff shortages are significant. The NHS and social care providers often rely on expensive agency staff to fill gaps, increasing operational costs. Staff shortages may also delay treatment, prolong hospital stays, or increase emergency admissions, all of which place additional financial pressure on the system.</w:t>
      </w:r>
    </w:p>
    <w:p w14:paraId="5045AD56" w14:textId="50F2C2EA" w:rsidR="004468F8" w:rsidRPr="004468F8" w:rsidRDefault="005161E2" w:rsidP="005161E2">
      <w:pPr>
        <w:pStyle w:val="NormalWeb"/>
        <w:spacing w:line="360" w:lineRule="auto"/>
        <w:jc w:val="both"/>
      </w:pPr>
      <w:r w:rsidRPr="005161E2">
        <w:t>Finally, evidence-based research can guide national policies on recruitment, training, funding, and workforce planning. With the growing demand for care services, research-based recommendations are essential for ensuring that future health and social care systems remain safe, efficient, and sustainable.</w:t>
      </w:r>
    </w:p>
    <w:p w14:paraId="1C178D18" w14:textId="77777777" w:rsidR="00530E16" w:rsidRDefault="004468F8">
      <w:pPr>
        <w:pStyle w:val="Heading2"/>
        <w:jc w:val="both"/>
      </w:pPr>
      <w:bookmarkStart w:id="4" w:name="_Toc213674534"/>
      <w:r>
        <w:t>Information Sources and Justification</w:t>
      </w:r>
      <w:bookmarkEnd w:id="4"/>
    </w:p>
    <w:p w14:paraId="3AE34B40" w14:textId="77777777" w:rsidR="005161E2" w:rsidRDefault="005161E2" w:rsidP="005161E2">
      <w:pPr>
        <w:pStyle w:val="NormalWeb"/>
        <w:spacing w:line="360" w:lineRule="auto"/>
      </w:pPr>
      <w:r>
        <w:t>This research draws on several credible and relevant information sources:</w:t>
      </w:r>
    </w:p>
    <w:p w14:paraId="3CCA98A3" w14:textId="77777777" w:rsidR="005161E2" w:rsidRDefault="005161E2" w:rsidP="005161E2">
      <w:pPr>
        <w:pStyle w:val="NormalWeb"/>
        <w:spacing w:line="360" w:lineRule="auto"/>
      </w:pPr>
      <w:r>
        <w:rPr>
          <w:rStyle w:val="Strong"/>
          <w:rFonts w:eastAsiaTheme="majorEastAsia"/>
        </w:rPr>
        <w:t>1. Royal College of Nursing (RCN)</w:t>
      </w:r>
      <w:r>
        <w:br/>
        <w:t>The RCN provides authoritative reports on nursing workforce shortages, working conditions, and professional standards. Their publications offer evidence-based insights into staffing trends and workforce wellbeing.</w:t>
      </w:r>
    </w:p>
    <w:p w14:paraId="434E7C82" w14:textId="77777777" w:rsidR="005161E2" w:rsidRDefault="005161E2" w:rsidP="005161E2">
      <w:pPr>
        <w:pStyle w:val="NormalWeb"/>
        <w:spacing w:line="360" w:lineRule="auto"/>
      </w:pPr>
      <w:r>
        <w:rPr>
          <w:rStyle w:val="Strong"/>
          <w:rFonts w:eastAsiaTheme="majorEastAsia"/>
        </w:rPr>
        <w:t>2. NHS England</w:t>
      </w:r>
      <w:r>
        <w:br/>
        <w:t>NHS England reports highlight the operational impact of staff shortages across hospitals, community care, and primary care. These documents provide reliable statistics, policy updates, and recommended staffing frameworks.</w:t>
      </w:r>
    </w:p>
    <w:p w14:paraId="350B5228" w14:textId="77777777" w:rsidR="005161E2" w:rsidRDefault="005161E2" w:rsidP="005161E2">
      <w:pPr>
        <w:pStyle w:val="NormalWeb"/>
        <w:spacing w:line="360" w:lineRule="auto"/>
      </w:pPr>
      <w:r>
        <w:rPr>
          <w:rStyle w:val="Strong"/>
          <w:rFonts w:eastAsiaTheme="majorEastAsia"/>
        </w:rPr>
        <w:t>3. Academic Journals and Research Studies</w:t>
      </w:r>
      <w:r>
        <w:br/>
        <w:t xml:space="preserve">Peer-reviewed articles discuss issues such as burnout, stress, patient safety, and workforce </w:t>
      </w:r>
      <w:r>
        <w:lastRenderedPageBreak/>
        <w:t>retention within the healthcare sector. Such research strengthens the academic validity of the study by offering theoretical and empirical evidence.</w:t>
      </w:r>
    </w:p>
    <w:p w14:paraId="0E5B9496" w14:textId="77777777" w:rsidR="005161E2" w:rsidRDefault="005161E2" w:rsidP="005161E2">
      <w:pPr>
        <w:pStyle w:val="NormalWeb"/>
        <w:spacing w:line="360" w:lineRule="auto"/>
      </w:pPr>
      <w:r>
        <w:rPr>
          <w:rStyle w:val="Strong"/>
          <w:rFonts w:eastAsiaTheme="majorEastAsia"/>
        </w:rPr>
        <w:t>4. Government Reports on Social Care</w:t>
      </w:r>
      <w:r>
        <w:br/>
        <w:t>Publications from the Department of Health and Social Care and Skills for Care offer national data on vacancy rates, recruitment challenges, and workforce demographics.</w:t>
      </w:r>
    </w:p>
    <w:p w14:paraId="7FD0417B" w14:textId="1F23F71B" w:rsidR="00172AD1" w:rsidRDefault="005161E2" w:rsidP="005161E2">
      <w:pPr>
        <w:pStyle w:val="NormalWeb"/>
        <w:spacing w:line="360" w:lineRule="auto"/>
      </w:pPr>
      <w:r>
        <w:t>These sources are selected because they provide accurate, up-to-date information that enhances the understanding of staffing issues and supports the development of evidence-based recommendations.</w:t>
      </w:r>
    </w:p>
    <w:p w14:paraId="36B35490" w14:textId="4785B365" w:rsidR="004468F8" w:rsidRPr="008F15FE" w:rsidRDefault="004468F8" w:rsidP="008F15FE">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14B97D04" w14:textId="77777777" w:rsidR="005161E2" w:rsidRDefault="005161E2" w:rsidP="005161E2">
      <w:pPr>
        <w:pStyle w:val="NormalWeb"/>
        <w:spacing w:line="360" w:lineRule="auto"/>
        <w:jc w:val="both"/>
      </w:pPr>
      <w:r>
        <w:t>Quantitative research focuses on collecting numerical data that can be measured and analysed statistically. This approach is useful for identifying trends, comparing groups, and measuring the scale of issues such as vacancy rates, staff turnover, or patient waiting times. For example, quantitative studies could measure how many nurses experience burnout or how staff shortages affect hospital performance metrics.</w:t>
      </w:r>
    </w:p>
    <w:p w14:paraId="2AFDC9C9" w14:textId="77777777" w:rsidR="005161E2" w:rsidRDefault="005161E2" w:rsidP="005161E2">
      <w:pPr>
        <w:pStyle w:val="NormalWeb"/>
        <w:spacing w:line="360" w:lineRule="auto"/>
        <w:jc w:val="both"/>
      </w:pPr>
      <w:r>
        <w:t>Qualitative research gathers descriptive, non-numerical data that explores experiences, opinions, and perceptions. Common methods include interviews, focus groups, and written reflections. This approach is especially useful for understanding how staff shortages affect the emotional wellbeing of nurses and care workers, their working relationships, and their ability to provide safe and compassionate care.</w:t>
      </w:r>
    </w:p>
    <w:p w14:paraId="4DFF1340" w14:textId="05D27F50" w:rsidR="004468F8" w:rsidRPr="004468F8" w:rsidRDefault="005161E2" w:rsidP="005161E2">
      <w:pPr>
        <w:pStyle w:val="NormalWeb"/>
        <w:spacing w:line="360" w:lineRule="auto"/>
        <w:jc w:val="both"/>
      </w:pPr>
      <w:r>
        <w:t>Both methods contribute unique insights: quantitative research offers measurable evidence, while qualitative research provides rich, detailed understanding of complex workforce experiences.</w:t>
      </w:r>
    </w:p>
    <w:p w14:paraId="4D92529E" w14:textId="77777777" w:rsidR="004468F8" w:rsidRPr="0070379F" w:rsidRDefault="004468F8" w:rsidP="004468F8">
      <w:pPr>
        <w:pStyle w:val="Heading2"/>
        <w:rPr>
          <w:rFonts w:eastAsia="Aptos"/>
          <w:b/>
          <w:bCs/>
          <w:lang w:eastAsia="en-US"/>
        </w:rPr>
      </w:pPr>
      <w:bookmarkStart w:id="6" w:name="_Toc213674537"/>
      <w:r w:rsidRPr="00A37C5B">
        <w:rPr>
          <w:rFonts w:eastAsia="Aptos"/>
          <w:lang w:eastAsia="en-US"/>
        </w:rPr>
        <w:t>What type of research methodology will you use for your research and why?</w:t>
      </w:r>
      <w:bookmarkEnd w:id="6"/>
    </w:p>
    <w:p w14:paraId="296CFB17" w14:textId="77777777" w:rsidR="005161E2" w:rsidRDefault="005161E2" w:rsidP="005161E2">
      <w:pPr>
        <w:pStyle w:val="NormalWeb"/>
        <w:spacing w:line="360" w:lineRule="auto"/>
        <w:jc w:val="both"/>
      </w:pPr>
      <w:r>
        <w:t xml:space="preserve">For this research topic, a </w:t>
      </w:r>
      <w:r w:rsidRPr="005161E2">
        <w:rPr>
          <w:rStyle w:val="Strong"/>
          <w:rFonts w:eastAsiaTheme="majorEastAsia"/>
          <w:b w:val="0"/>
        </w:rPr>
        <w:t>mixed-methods approach</w:t>
      </w:r>
      <w:r>
        <w:t xml:space="preserve"> is the most appropriate. Staff shortages affect both measurable outcomes and personal experiences. Quantitative data (such as vacancy rates and patient waiting times) helps demonstrate the scale and impact of shortages. </w:t>
      </w:r>
      <w:r>
        <w:lastRenderedPageBreak/>
        <w:t>Qualitative data, meanwhile, helps capture the lived experiences of nurses and care workers, including stress, emotional exhaustion, and job satisfaction.</w:t>
      </w:r>
    </w:p>
    <w:p w14:paraId="417D1D33" w14:textId="339A7A8B" w:rsidR="004468F8" w:rsidRPr="005161E2" w:rsidRDefault="005161E2" w:rsidP="005161E2">
      <w:pPr>
        <w:pStyle w:val="NormalWeb"/>
        <w:spacing w:line="360" w:lineRule="auto"/>
        <w:jc w:val="both"/>
      </w:pPr>
      <w:r>
        <w:t>Using both methods provides a fuller understanding of how staff shortages affect service delivery, workforce wellbeing, and patient safety. This combination also strengthens the evidence base by allowing the researcher to compare numerical data with personal experiences.</w:t>
      </w:r>
    </w:p>
    <w:p w14:paraId="77D616A6" w14:textId="77777777" w:rsidR="00530E16" w:rsidRDefault="004468F8">
      <w:pPr>
        <w:pStyle w:val="Heading1"/>
        <w:jc w:val="both"/>
      </w:pPr>
      <w:bookmarkStart w:id="7" w:name="_Toc213674538"/>
      <w:r>
        <w:t>Task 3: Data Collection</w:t>
      </w:r>
      <w:bookmarkEnd w:id="7"/>
      <w:r>
        <w:t xml:space="preserve"> </w:t>
      </w:r>
    </w:p>
    <w:p w14:paraId="6B2FD86F" w14:textId="77777777" w:rsidR="004468F8" w:rsidRDefault="00BA0043" w:rsidP="004468F8">
      <w:pPr>
        <w:pStyle w:val="Heading2"/>
        <w:rPr>
          <w:rFonts w:eastAsia="Aptos"/>
          <w:lang w:eastAsia="en-US"/>
        </w:rPr>
      </w:pPr>
      <w:bookmarkStart w:id="8" w:name="_Toc213674539"/>
      <w:r>
        <w:rPr>
          <w:rFonts w:eastAsia="Aptos"/>
          <w:lang w:eastAsia="en-US"/>
        </w:rPr>
        <w:t>Overview of primary and secondary data collection</w:t>
      </w:r>
      <w:bookmarkEnd w:id="8"/>
    </w:p>
    <w:p w14:paraId="38F425D0" w14:textId="77777777" w:rsidR="005161E2" w:rsidRDefault="005161E2" w:rsidP="005161E2">
      <w:pPr>
        <w:pStyle w:val="NormalWeb"/>
        <w:spacing w:line="360" w:lineRule="auto"/>
        <w:jc w:val="both"/>
      </w:pPr>
      <w:r>
        <w:t>Primary data refers to information collected directly by the researcher. Examples include surveys, interviews, observations, or questionnaires. Primary data offers current and context-specific insights, but may require ethical approval, time, and resources.</w:t>
      </w:r>
    </w:p>
    <w:p w14:paraId="45F5A396" w14:textId="692B45C4" w:rsidR="004468F8" w:rsidRDefault="005161E2" w:rsidP="005161E2">
      <w:pPr>
        <w:pStyle w:val="NormalWeb"/>
        <w:spacing w:line="360" w:lineRule="auto"/>
        <w:jc w:val="both"/>
      </w:pPr>
      <w:r>
        <w:t>Secondary data consists of information gathered by other researchers or organisations. This includes academic articles, government publications, professional reports, and online resources. Secondary data is widely accessible and allows researchers to analyse established evidence without conducting fieldwork.</w:t>
      </w:r>
    </w:p>
    <w:p w14:paraId="7B9189D4" w14:textId="77777777" w:rsidR="004468F8" w:rsidRPr="004468F8" w:rsidRDefault="004468F8" w:rsidP="004468F8">
      <w:pPr>
        <w:rPr>
          <w:lang w:eastAsia="en-US"/>
        </w:rPr>
      </w:pPr>
    </w:p>
    <w:p w14:paraId="19619024" w14:textId="77777777" w:rsidR="004468F8" w:rsidRDefault="004468F8" w:rsidP="004468F8">
      <w:pPr>
        <w:pStyle w:val="Heading2"/>
        <w:rPr>
          <w:rFonts w:eastAsia="Aptos"/>
          <w:lang w:eastAsia="en-US"/>
        </w:rPr>
      </w:pPr>
      <w:bookmarkStart w:id="9"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9"/>
    </w:p>
    <w:p w14:paraId="646AA920" w14:textId="77777777" w:rsidR="005161E2" w:rsidRDefault="005161E2" w:rsidP="005161E2">
      <w:pPr>
        <w:pStyle w:val="NormalWeb"/>
        <w:spacing w:line="360" w:lineRule="auto"/>
        <w:jc w:val="both"/>
      </w:pPr>
      <w:r>
        <w:t xml:space="preserve">This research will primarily rely on </w:t>
      </w:r>
      <w:r w:rsidRPr="005161E2">
        <w:rPr>
          <w:rStyle w:val="Strong"/>
          <w:rFonts w:eastAsiaTheme="majorEastAsia"/>
          <w:b w:val="0"/>
        </w:rPr>
        <w:t>secondary data</w:t>
      </w:r>
      <w:r w:rsidRPr="005161E2">
        <w:rPr>
          <w:b/>
        </w:rPr>
        <w:t>.</w:t>
      </w:r>
      <w:r>
        <w:t xml:space="preserve"> Workforce shortages are well-documented in academic literature, NHS publications, and professional reports. Using secondary data is practical, cost-effective, and avoids the ethical complexities of collecting data from healthcare staff who may already be under pressure due to workforce shortages. Secondary sources also provide comprehensive, validated information suitable for academic research at this level.</w:t>
      </w:r>
    </w:p>
    <w:p w14:paraId="46352491" w14:textId="77777777" w:rsidR="004468F8" w:rsidRDefault="004468F8" w:rsidP="004468F8"/>
    <w:p w14:paraId="7FC8B074" w14:textId="77777777" w:rsidR="00530E16" w:rsidRDefault="004468F8">
      <w:pPr>
        <w:pStyle w:val="Heading1"/>
        <w:jc w:val="both"/>
      </w:pPr>
      <w:bookmarkStart w:id="10" w:name="_Toc213674541"/>
      <w:r>
        <w:t>Conclusion</w:t>
      </w:r>
      <w:bookmarkEnd w:id="10"/>
    </w:p>
    <w:p w14:paraId="2F2363D5" w14:textId="77777777" w:rsidR="005161E2" w:rsidRPr="005161E2" w:rsidRDefault="005161E2" w:rsidP="005161E2">
      <w:pPr>
        <w:pStyle w:val="NormalWeb"/>
        <w:spacing w:line="360" w:lineRule="auto"/>
        <w:jc w:val="both"/>
        <w:rPr>
          <w:sz w:val="22"/>
          <w:szCs w:val="22"/>
        </w:rPr>
      </w:pPr>
      <w:r w:rsidRPr="005161E2">
        <w:rPr>
          <w:sz w:val="22"/>
          <w:szCs w:val="22"/>
        </w:rPr>
        <w:t xml:space="preserve">Nurses and care workers are essential to the UK’s health and social care system, yet persistent staff shortages pose major risks to service quality, workforce wellbeing, and patient outcomes. Increased </w:t>
      </w:r>
      <w:r w:rsidRPr="005161E2">
        <w:rPr>
          <w:sz w:val="22"/>
          <w:szCs w:val="22"/>
        </w:rPr>
        <w:lastRenderedPageBreak/>
        <w:t>workloads, emotional strain, delayed treatments, and reduced safety are among the consequences of inadequate staffing levels. Research on this topic is vital for developing effective workforce strategies that support recruitment, retention, and improved working conditions.</w:t>
      </w:r>
    </w:p>
    <w:p w14:paraId="7BB9B03A" w14:textId="77777777" w:rsidR="005161E2" w:rsidRPr="005161E2" w:rsidRDefault="005161E2" w:rsidP="005161E2">
      <w:pPr>
        <w:pStyle w:val="NormalWeb"/>
        <w:spacing w:line="360" w:lineRule="auto"/>
        <w:jc w:val="both"/>
        <w:rPr>
          <w:sz w:val="22"/>
          <w:szCs w:val="22"/>
        </w:rPr>
      </w:pPr>
      <w:r w:rsidRPr="005161E2">
        <w:rPr>
          <w:sz w:val="22"/>
          <w:szCs w:val="22"/>
        </w:rPr>
        <w:t xml:space="preserve">By using a </w:t>
      </w:r>
      <w:proofErr w:type="gramStart"/>
      <w:r w:rsidRPr="005161E2">
        <w:rPr>
          <w:sz w:val="22"/>
          <w:szCs w:val="22"/>
        </w:rPr>
        <w:t>mixed-methods</w:t>
      </w:r>
      <w:proofErr w:type="gramEnd"/>
      <w:r w:rsidRPr="005161E2">
        <w:rPr>
          <w:sz w:val="22"/>
          <w:szCs w:val="22"/>
        </w:rPr>
        <w:t xml:space="preserve"> approach and drawing on secondary data, this study provides a detailed understanding of how staff shortages impact both the workforce and service users. Addressing these challenges is crucial to ensuring a sustainable, safe, and compassionate health and social care system for the future.</w:t>
      </w:r>
    </w:p>
    <w:p w14:paraId="683B444C" w14:textId="44B809CD" w:rsidR="004468F8" w:rsidRPr="004468F8" w:rsidRDefault="005161E2" w:rsidP="004468F8">
      <w:r>
        <w:br w:type="page"/>
      </w:r>
    </w:p>
    <w:p w14:paraId="0B24DBAD" w14:textId="77777777" w:rsidR="00530E16" w:rsidRDefault="004468F8">
      <w:pPr>
        <w:pStyle w:val="Heading1"/>
      </w:pPr>
      <w:bookmarkStart w:id="11" w:name="_Toc213674542"/>
      <w:r>
        <w:lastRenderedPageBreak/>
        <w:t>References</w:t>
      </w:r>
      <w:bookmarkEnd w:id="11"/>
    </w:p>
    <w:p w14:paraId="598E329C" w14:textId="2F2F292A" w:rsidR="005161E2" w:rsidRDefault="005161E2" w:rsidP="005161E2">
      <w:pPr>
        <w:pStyle w:val="NormalWeb"/>
      </w:pPr>
      <w:r>
        <w:t xml:space="preserve">NHS England (2023) </w:t>
      </w:r>
      <w:r>
        <w:rPr>
          <w:rStyle w:val="Emphasis"/>
          <w:rFonts w:eastAsiaTheme="majorEastAsia"/>
        </w:rPr>
        <w:t>Workforce and staffing challenges in health and social care</w:t>
      </w:r>
      <w:r>
        <w:t xml:space="preserve">. Available at: </w:t>
      </w:r>
      <w:hyperlink r:id="rId10" w:tgtFrame="_new" w:history="1">
        <w:r>
          <w:rPr>
            <w:rStyle w:val="Hyperlink"/>
            <w:rFonts w:eastAsiaTheme="majorEastAsia"/>
          </w:rPr>
          <w:t>https://www.england.nhs.uk</w:t>
        </w:r>
      </w:hyperlink>
      <w:r>
        <w:t xml:space="preserve"> (Accessed: 20 November 2025).</w:t>
      </w:r>
    </w:p>
    <w:p w14:paraId="3F387E10" w14:textId="007B6AF6" w:rsidR="005161E2" w:rsidRDefault="005161E2" w:rsidP="005161E2">
      <w:pPr>
        <w:pStyle w:val="NormalWeb"/>
      </w:pPr>
      <w:r>
        <w:t xml:space="preserve">Royal College of Nursing (2023) </w:t>
      </w:r>
      <w:r>
        <w:rPr>
          <w:rStyle w:val="Emphasis"/>
          <w:rFonts w:eastAsiaTheme="majorEastAsia"/>
        </w:rPr>
        <w:t>Nursing workforce crisis report</w:t>
      </w:r>
      <w:r>
        <w:t xml:space="preserve">. Available at: </w:t>
      </w:r>
      <w:hyperlink r:id="rId11" w:tgtFrame="_new" w:history="1">
        <w:r>
          <w:rPr>
            <w:rStyle w:val="Hyperlink"/>
            <w:rFonts w:eastAsiaTheme="majorEastAsia"/>
          </w:rPr>
          <w:t>https://www.rcn.org.uk</w:t>
        </w:r>
      </w:hyperlink>
      <w:r>
        <w:t xml:space="preserve"> (Accessed: 20 November 2025).</w:t>
      </w:r>
    </w:p>
    <w:p w14:paraId="7548FB29" w14:textId="09DF4842" w:rsidR="005161E2" w:rsidRDefault="005161E2" w:rsidP="005161E2">
      <w:pPr>
        <w:pStyle w:val="NormalWeb"/>
      </w:pPr>
      <w:r>
        <w:t xml:space="preserve">Skills for Care (2023) </w:t>
      </w:r>
      <w:r>
        <w:rPr>
          <w:rStyle w:val="Emphasis"/>
          <w:rFonts w:eastAsiaTheme="majorEastAsia"/>
        </w:rPr>
        <w:t>The state of the adult social care sector and workforce in England</w:t>
      </w:r>
      <w:r>
        <w:t xml:space="preserve">. Available at: </w:t>
      </w:r>
      <w:hyperlink r:id="rId12" w:tgtFrame="_new" w:history="1">
        <w:r>
          <w:rPr>
            <w:rStyle w:val="Hyperlink"/>
            <w:rFonts w:eastAsiaTheme="majorEastAsia"/>
          </w:rPr>
          <w:t>https://www.skillsforcare.org.uk</w:t>
        </w:r>
      </w:hyperlink>
      <w:r>
        <w:t xml:space="preserve"> (Accessed: 20 November 2025).</w:t>
      </w:r>
    </w:p>
    <w:p w14:paraId="0BD83B73" w14:textId="4C138411" w:rsidR="005161E2" w:rsidRDefault="005161E2" w:rsidP="005161E2">
      <w:pPr>
        <w:pStyle w:val="NormalWeb"/>
      </w:pPr>
      <w:r>
        <w:t xml:space="preserve">Department of Health and Social Care (2023) </w:t>
      </w:r>
      <w:r>
        <w:rPr>
          <w:rStyle w:val="Emphasis"/>
          <w:rFonts w:eastAsiaTheme="majorEastAsia"/>
        </w:rPr>
        <w:t>Health and social care workforce overview</w:t>
      </w:r>
      <w:r>
        <w:t>. Available at: https://www.gov.uk/dhsc (Accessed: 20 November 2025).</w:t>
      </w:r>
    </w:p>
    <w:p w14:paraId="200C2B94" w14:textId="50F1CE0C" w:rsidR="00530E16" w:rsidRPr="007637E9" w:rsidRDefault="00530E16">
      <w:pPr>
        <w:rPr>
          <w:rFonts w:ascii="Arial" w:eastAsia="Arial" w:hAnsi="Arial" w:cs="Arial"/>
          <w:color w:val="FF0000"/>
          <w:sz w:val="22"/>
          <w:szCs w:val="22"/>
        </w:rPr>
      </w:pPr>
    </w:p>
    <w:sectPr w:rsidR="00530E16" w:rsidRPr="007637E9"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DD2FC" w14:textId="77777777" w:rsidR="00646472" w:rsidRDefault="00646472" w:rsidP="002A1842">
      <w:pPr>
        <w:spacing w:after="0" w:line="240" w:lineRule="auto"/>
      </w:pPr>
      <w:r>
        <w:separator/>
      </w:r>
    </w:p>
  </w:endnote>
  <w:endnote w:type="continuationSeparator" w:id="0">
    <w:p w14:paraId="4A8CBA02" w14:textId="77777777" w:rsidR="00646472" w:rsidRDefault="0064647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CE19C93" w14:textId="77777777" w:rsidR="00722EFE" w:rsidRDefault="00722EFE">
        <w:pPr>
          <w:pStyle w:val="Footer"/>
          <w:jc w:val="center"/>
        </w:pPr>
        <w:r>
          <w:fldChar w:fldCharType="begin"/>
        </w:r>
        <w:r>
          <w:instrText xml:space="preserve"> PAGE   \* MERGEFORMAT </w:instrText>
        </w:r>
        <w:r>
          <w:fldChar w:fldCharType="separate"/>
        </w:r>
        <w:r w:rsidR="005161E2">
          <w:rPr>
            <w:noProof/>
          </w:rPr>
          <w:t>8</w:t>
        </w:r>
        <w:r>
          <w:rPr>
            <w:noProof/>
          </w:rPr>
          <w:fldChar w:fldCharType="end"/>
        </w:r>
      </w:p>
    </w:sdtContent>
  </w:sdt>
  <w:p w14:paraId="5640A4B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223B055"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4E307D47"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93F45" w14:textId="77777777" w:rsidR="00646472" w:rsidRDefault="00646472" w:rsidP="002A1842">
      <w:pPr>
        <w:spacing w:after="0" w:line="240" w:lineRule="auto"/>
      </w:pPr>
      <w:r>
        <w:separator/>
      </w:r>
    </w:p>
  </w:footnote>
  <w:footnote w:type="continuationSeparator" w:id="0">
    <w:p w14:paraId="11281A80" w14:textId="77777777" w:rsidR="00646472" w:rsidRDefault="0064647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15550168">
    <w:abstractNumId w:val="5"/>
  </w:num>
  <w:num w:numId="2" w16cid:durableId="1241216733">
    <w:abstractNumId w:val="3"/>
  </w:num>
  <w:num w:numId="3" w16cid:durableId="1958679946">
    <w:abstractNumId w:val="2"/>
  </w:num>
  <w:num w:numId="4" w16cid:durableId="1073354902">
    <w:abstractNumId w:val="1"/>
  </w:num>
  <w:num w:numId="5" w16cid:durableId="1285698894">
    <w:abstractNumId w:val="4"/>
  </w:num>
  <w:num w:numId="6" w16cid:durableId="1623877555">
    <w:abstractNumId w:val="0"/>
  </w:num>
  <w:num w:numId="7" w16cid:durableId="1800565540">
    <w:abstractNumId w:val="7"/>
  </w:num>
  <w:num w:numId="8" w16cid:durableId="15388533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2EB1"/>
    <w:rsid w:val="000445CB"/>
    <w:rsid w:val="00046955"/>
    <w:rsid w:val="00047976"/>
    <w:rsid w:val="00066CEE"/>
    <w:rsid w:val="0007675A"/>
    <w:rsid w:val="000C7DB4"/>
    <w:rsid w:val="000F47CC"/>
    <w:rsid w:val="00100F0B"/>
    <w:rsid w:val="00105270"/>
    <w:rsid w:val="001159F8"/>
    <w:rsid w:val="00120F2B"/>
    <w:rsid w:val="001358F6"/>
    <w:rsid w:val="0014710C"/>
    <w:rsid w:val="001542BA"/>
    <w:rsid w:val="00162C7D"/>
    <w:rsid w:val="00172AD1"/>
    <w:rsid w:val="001813E7"/>
    <w:rsid w:val="00192BBD"/>
    <w:rsid w:val="001A474C"/>
    <w:rsid w:val="001C228A"/>
    <w:rsid w:val="001C7D05"/>
    <w:rsid w:val="001D5BE2"/>
    <w:rsid w:val="001E3CDA"/>
    <w:rsid w:val="001F0B48"/>
    <w:rsid w:val="00200411"/>
    <w:rsid w:val="00214617"/>
    <w:rsid w:val="00221108"/>
    <w:rsid w:val="0023507B"/>
    <w:rsid w:val="00235DE1"/>
    <w:rsid w:val="00240817"/>
    <w:rsid w:val="002512EF"/>
    <w:rsid w:val="00252B2B"/>
    <w:rsid w:val="00260308"/>
    <w:rsid w:val="0026436F"/>
    <w:rsid w:val="002748A4"/>
    <w:rsid w:val="002A1842"/>
    <w:rsid w:val="002B043D"/>
    <w:rsid w:val="002C1735"/>
    <w:rsid w:val="002C7832"/>
    <w:rsid w:val="002F2FB8"/>
    <w:rsid w:val="002F70E9"/>
    <w:rsid w:val="002F7D25"/>
    <w:rsid w:val="00313362"/>
    <w:rsid w:val="00326933"/>
    <w:rsid w:val="00332C9F"/>
    <w:rsid w:val="003348B9"/>
    <w:rsid w:val="003371FF"/>
    <w:rsid w:val="0033730F"/>
    <w:rsid w:val="00337D37"/>
    <w:rsid w:val="0039530E"/>
    <w:rsid w:val="003A682F"/>
    <w:rsid w:val="003A6EAF"/>
    <w:rsid w:val="003E598F"/>
    <w:rsid w:val="003F0204"/>
    <w:rsid w:val="003F4AA3"/>
    <w:rsid w:val="0040243A"/>
    <w:rsid w:val="00411D84"/>
    <w:rsid w:val="00425F31"/>
    <w:rsid w:val="004468F8"/>
    <w:rsid w:val="004479D5"/>
    <w:rsid w:val="0049182E"/>
    <w:rsid w:val="004A6F27"/>
    <w:rsid w:val="004B3D2B"/>
    <w:rsid w:val="004C0FB8"/>
    <w:rsid w:val="004D0F77"/>
    <w:rsid w:val="004D16D4"/>
    <w:rsid w:val="004E4DC8"/>
    <w:rsid w:val="005161E2"/>
    <w:rsid w:val="005205FB"/>
    <w:rsid w:val="005244FB"/>
    <w:rsid w:val="00530E16"/>
    <w:rsid w:val="00542C96"/>
    <w:rsid w:val="005469F9"/>
    <w:rsid w:val="0056377C"/>
    <w:rsid w:val="00564ABA"/>
    <w:rsid w:val="00587E20"/>
    <w:rsid w:val="005B1961"/>
    <w:rsid w:val="005B4D30"/>
    <w:rsid w:val="005C2FCD"/>
    <w:rsid w:val="005E3070"/>
    <w:rsid w:val="005E613E"/>
    <w:rsid w:val="00616353"/>
    <w:rsid w:val="00622665"/>
    <w:rsid w:val="0064166F"/>
    <w:rsid w:val="00644C9E"/>
    <w:rsid w:val="00646472"/>
    <w:rsid w:val="006610EC"/>
    <w:rsid w:val="00693176"/>
    <w:rsid w:val="006F7BB3"/>
    <w:rsid w:val="00722EFE"/>
    <w:rsid w:val="007501F8"/>
    <w:rsid w:val="007506CC"/>
    <w:rsid w:val="00756DE8"/>
    <w:rsid w:val="007637E9"/>
    <w:rsid w:val="00773B93"/>
    <w:rsid w:val="007C5B2A"/>
    <w:rsid w:val="007E20B8"/>
    <w:rsid w:val="0082194A"/>
    <w:rsid w:val="008308F3"/>
    <w:rsid w:val="008B03B1"/>
    <w:rsid w:val="008E1938"/>
    <w:rsid w:val="008E6166"/>
    <w:rsid w:val="008E7834"/>
    <w:rsid w:val="008F15FE"/>
    <w:rsid w:val="008F60E8"/>
    <w:rsid w:val="009104C4"/>
    <w:rsid w:val="009150CB"/>
    <w:rsid w:val="0091752E"/>
    <w:rsid w:val="0091782F"/>
    <w:rsid w:val="00921D87"/>
    <w:rsid w:val="0093581D"/>
    <w:rsid w:val="00947319"/>
    <w:rsid w:val="009503DF"/>
    <w:rsid w:val="00952E07"/>
    <w:rsid w:val="009533BD"/>
    <w:rsid w:val="00956817"/>
    <w:rsid w:val="009734F6"/>
    <w:rsid w:val="009807EC"/>
    <w:rsid w:val="0098104E"/>
    <w:rsid w:val="0099516E"/>
    <w:rsid w:val="009A1982"/>
    <w:rsid w:val="009D7097"/>
    <w:rsid w:val="009E4047"/>
    <w:rsid w:val="009E55C0"/>
    <w:rsid w:val="009F60D1"/>
    <w:rsid w:val="00A20833"/>
    <w:rsid w:val="00A73130"/>
    <w:rsid w:val="00A75B15"/>
    <w:rsid w:val="00AB0B19"/>
    <w:rsid w:val="00AB2061"/>
    <w:rsid w:val="00AB703D"/>
    <w:rsid w:val="00AE06EA"/>
    <w:rsid w:val="00AE5804"/>
    <w:rsid w:val="00B05990"/>
    <w:rsid w:val="00B27ED5"/>
    <w:rsid w:val="00B40DBE"/>
    <w:rsid w:val="00B41DFA"/>
    <w:rsid w:val="00B4241F"/>
    <w:rsid w:val="00B43206"/>
    <w:rsid w:val="00B51028"/>
    <w:rsid w:val="00B549BE"/>
    <w:rsid w:val="00B61997"/>
    <w:rsid w:val="00B62C18"/>
    <w:rsid w:val="00B65ED6"/>
    <w:rsid w:val="00B75829"/>
    <w:rsid w:val="00B9308A"/>
    <w:rsid w:val="00BA0043"/>
    <w:rsid w:val="00BA558F"/>
    <w:rsid w:val="00BB18BF"/>
    <w:rsid w:val="00BB1FE9"/>
    <w:rsid w:val="00BB2F13"/>
    <w:rsid w:val="00BE0233"/>
    <w:rsid w:val="00BE0CAF"/>
    <w:rsid w:val="00BE22D3"/>
    <w:rsid w:val="00BE6A2C"/>
    <w:rsid w:val="00BF3AA9"/>
    <w:rsid w:val="00C0630E"/>
    <w:rsid w:val="00C52F4B"/>
    <w:rsid w:val="00C61D6B"/>
    <w:rsid w:val="00C75644"/>
    <w:rsid w:val="00C81EFC"/>
    <w:rsid w:val="00CA048D"/>
    <w:rsid w:val="00CA0803"/>
    <w:rsid w:val="00CA59C7"/>
    <w:rsid w:val="00CC13C4"/>
    <w:rsid w:val="00CC67C4"/>
    <w:rsid w:val="00CF42D4"/>
    <w:rsid w:val="00CF650B"/>
    <w:rsid w:val="00D01597"/>
    <w:rsid w:val="00D05383"/>
    <w:rsid w:val="00D166A8"/>
    <w:rsid w:val="00D30A86"/>
    <w:rsid w:val="00D41115"/>
    <w:rsid w:val="00D62A9C"/>
    <w:rsid w:val="00D82213"/>
    <w:rsid w:val="00D94A87"/>
    <w:rsid w:val="00DA2B94"/>
    <w:rsid w:val="00DA3252"/>
    <w:rsid w:val="00DB181C"/>
    <w:rsid w:val="00DC73D3"/>
    <w:rsid w:val="00DE6D78"/>
    <w:rsid w:val="00DF6CD2"/>
    <w:rsid w:val="00E12C6F"/>
    <w:rsid w:val="00E470C9"/>
    <w:rsid w:val="00E501DE"/>
    <w:rsid w:val="00E821D6"/>
    <w:rsid w:val="00F00844"/>
    <w:rsid w:val="00F174DB"/>
    <w:rsid w:val="00F50D2B"/>
    <w:rsid w:val="00F618F2"/>
    <w:rsid w:val="00F7444B"/>
    <w:rsid w:val="00F94775"/>
    <w:rsid w:val="00FA33F4"/>
    <w:rsid w:val="00FA4149"/>
    <w:rsid w:val="00FB2662"/>
    <w:rsid w:val="00FD3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E8F4A"/>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5161E2"/>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394970">
      <w:bodyDiv w:val="1"/>
      <w:marLeft w:val="0"/>
      <w:marRight w:val="0"/>
      <w:marTop w:val="0"/>
      <w:marBottom w:val="0"/>
      <w:divBdr>
        <w:top w:val="none" w:sz="0" w:space="0" w:color="auto"/>
        <w:left w:val="none" w:sz="0" w:space="0" w:color="auto"/>
        <w:bottom w:val="none" w:sz="0" w:space="0" w:color="auto"/>
        <w:right w:val="none" w:sz="0" w:space="0" w:color="auto"/>
      </w:divBdr>
    </w:div>
    <w:div w:id="546576418">
      <w:bodyDiv w:val="1"/>
      <w:marLeft w:val="0"/>
      <w:marRight w:val="0"/>
      <w:marTop w:val="0"/>
      <w:marBottom w:val="0"/>
      <w:divBdr>
        <w:top w:val="none" w:sz="0" w:space="0" w:color="auto"/>
        <w:left w:val="none" w:sz="0" w:space="0" w:color="auto"/>
        <w:bottom w:val="none" w:sz="0" w:space="0" w:color="auto"/>
        <w:right w:val="none" w:sz="0" w:space="0" w:color="auto"/>
      </w:divBdr>
    </w:div>
    <w:div w:id="827742903">
      <w:bodyDiv w:val="1"/>
      <w:marLeft w:val="0"/>
      <w:marRight w:val="0"/>
      <w:marTop w:val="0"/>
      <w:marBottom w:val="0"/>
      <w:divBdr>
        <w:top w:val="none" w:sz="0" w:space="0" w:color="auto"/>
        <w:left w:val="none" w:sz="0" w:space="0" w:color="auto"/>
        <w:bottom w:val="none" w:sz="0" w:space="0" w:color="auto"/>
        <w:right w:val="none" w:sz="0" w:space="0" w:color="auto"/>
      </w:divBdr>
    </w:div>
    <w:div w:id="859513391">
      <w:bodyDiv w:val="1"/>
      <w:marLeft w:val="0"/>
      <w:marRight w:val="0"/>
      <w:marTop w:val="0"/>
      <w:marBottom w:val="0"/>
      <w:divBdr>
        <w:top w:val="none" w:sz="0" w:space="0" w:color="auto"/>
        <w:left w:val="none" w:sz="0" w:space="0" w:color="auto"/>
        <w:bottom w:val="none" w:sz="0" w:space="0" w:color="auto"/>
        <w:right w:val="none" w:sz="0" w:space="0" w:color="auto"/>
      </w:divBdr>
    </w:div>
    <w:div w:id="878662210">
      <w:bodyDiv w:val="1"/>
      <w:marLeft w:val="0"/>
      <w:marRight w:val="0"/>
      <w:marTop w:val="0"/>
      <w:marBottom w:val="0"/>
      <w:divBdr>
        <w:top w:val="none" w:sz="0" w:space="0" w:color="auto"/>
        <w:left w:val="none" w:sz="0" w:space="0" w:color="auto"/>
        <w:bottom w:val="none" w:sz="0" w:space="0" w:color="auto"/>
        <w:right w:val="none" w:sz="0" w:space="0" w:color="auto"/>
      </w:divBdr>
    </w:div>
    <w:div w:id="1000234969">
      <w:bodyDiv w:val="1"/>
      <w:marLeft w:val="0"/>
      <w:marRight w:val="0"/>
      <w:marTop w:val="0"/>
      <w:marBottom w:val="0"/>
      <w:divBdr>
        <w:top w:val="none" w:sz="0" w:space="0" w:color="auto"/>
        <w:left w:val="none" w:sz="0" w:space="0" w:color="auto"/>
        <w:bottom w:val="none" w:sz="0" w:space="0" w:color="auto"/>
        <w:right w:val="none" w:sz="0" w:space="0" w:color="auto"/>
      </w:divBdr>
    </w:div>
    <w:div w:id="1430545650">
      <w:bodyDiv w:val="1"/>
      <w:marLeft w:val="0"/>
      <w:marRight w:val="0"/>
      <w:marTop w:val="0"/>
      <w:marBottom w:val="0"/>
      <w:divBdr>
        <w:top w:val="none" w:sz="0" w:space="0" w:color="auto"/>
        <w:left w:val="none" w:sz="0" w:space="0" w:color="auto"/>
        <w:bottom w:val="none" w:sz="0" w:space="0" w:color="auto"/>
        <w:right w:val="none" w:sz="0" w:space="0" w:color="auto"/>
      </w:divBdr>
    </w:div>
    <w:div w:id="1921867745">
      <w:bodyDiv w:val="1"/>
      <w:marLeft w:val="0"/>
      <w:marRight w:val="0"/>
      <w:marTop w:val="0"/>
      <w:marBottom w:val="0"/>
      <w:divBdr>
        <w:top w:val="none" w:sz="0" w:space="0" w:color="auto"/>
        <w:left w:val="none" w:sz="0" w:space="0" w:color="auto"/>
        <w:bottom w:val="none" w:sz="0" w:space="0" w:color="auto"/>
        <w:right w:val="none" w:sz="0" w:space="0" w:color="auto"/>
      </w:divBdr>
    </w:div>
    <w:div w:id="2014336695">
      <w:bodyDiv w:val="1"/>
      <w:marLeft w:val="0"/>
      <w:marRight w:val="0"/>
      <w:marTop w:val="0"/>
      <w:marBottom w:val="0"/>
      <w:divBdr>
        <w:top w:val="none" w:sz="0" w:space="0" w:color="auto"/>
        <w:left w:val="none" w:sz="0" w:space="0" w:color="auto"/>
        <w:bottom w:val="none" w:sz="0" w:space="0" w:color="auto"/>
        <w:right w:val="none" w:sz="0" w:space="0" w:color="auto"/>
      </w:divBdr>
    </w:div>
    <w:div w:id="20244748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killsforcare.org.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cn.org.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england.nhs.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CBAFE3B2-4E92-49AD-B9AD-256CF3347E73}">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1905</Words>
  <Characters>10859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Elizabetta Hadzhula</cp:lastModifiedBy>
  <cp:revision>2</cp:revision>
  <dcterms:created xsi:type="dcterms:W3CDTF">2025-12-03T12:28:00Z</dcterms:created>
  <dcterms:modified xsi:type="dcterms:W3CDTF">2025-12-03T12:28:00Z</dcterms:modified>
</cp:coreProperties>
</file>