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71B9EB9" w:rsidP="4EE597E1" w:rsidRDefault="571B9EB9" w14:paraId="3075E167" w14:textId="683764B1">
      <w:pPr>
        <w:pStyle w:val="Heading2"/>
        <w:spacing w:before="299" w:beforeAutospacing="off" w:after="299" w:afterAutospacing="off"/>
        <w:rPr>
          <w:rFonts w:ascii="Arial" w:hAnsi="Arial" w:eastAsia="Arial" w:cs="Arial"/>
          <w:b w:val="1"/>
          <w:bCs w:val="1"/>
          <w:noProof w:val="0"/>
          <w:color w:val="000000" w:themeColor="text1" w:themeTint="FF" w:themeShade="FF"/>
          <w:sz w:val="22"/>
          <w:szCs w:val="22"/>
          <w:lang w:val="en-GB"/>
        </w:rPr>
      </w:pPr>
      <w:r w:rsidRPr="4EE597E1" w:rsidR="571B9EB9">
        <w:rPr>
          <w:rFonts w:ascii="Arial" w:hAnsi="Arial" w:eastAsia="Arial" w:cs="Arial"/>
          <w:b w:val="1"/>
          <w:bCs w:val="1"/>
          <w:noProof w:val="0"/>
          <w:color w:val="000000" w:themeColor="text1" w:themeTint="FF" w:themeShade="FF"/>
          <w:sz w:val="22"/>
          <w:szCs w:val="22"/>
          <w:lang w:val="en-GB"/>
        </w:rPr>
        <w:t>Title Page</w:t>
      </w:r>
    </w:p>
    <w:p w:rsidR="571B9EB9" w:rsidP="4EE597E1" w:rsidRDefault="571B9EB9" w14:paraId="74D7277B" w14:textId="05DC1690">
      <w:pPr>
        <w:pStyle w:val="Normal"/>
        <w:spacing w:before="240" w:beforeAutospacing="off" w:after="240" w:afterAutospacing="off"/>
        <w:ind w:left="0"/>
        <w:rPr>
          <w:rFonts w:ascii="Arial" w:hAnsi="Arial" w:eastAsia="Arial" w:cs="Arial"/>
          <w:noProof w:val="0"/>
          <w:sz w:val="22"/>
          <w:szCs w:val="22"/>
          <w:lang w:val="en-GB"/>
        </w:rPr>
      </w:pPr>
      <w:r w:rsidRPr="4EE597E1" w:rsidR="571B9EB9">
        <w:rPr>
          <w:rFonts w:ascii="Arial" w:hAnsi="Arial" w:eastAsia="Arial" w:cs="Arial"/>
          <w:noProof w:val="0"/>
          <w:sz w:val="22"/>
          <w:szCs w:val="22"/>
          <w:lang w:val="en-GB"/>
        </w:rPr>
        <w:t xml:space="preserve">Student Name &amp; </w:t>
      </w:r>
      <w:r w:rsidRPr="4EE597E1" w:rsidR="571B9EB9">
        <w:rPr>
          <w:rFonts w:ascii="Arial" w:hAnsi="Arial" w:eastAsia="Arial" w:cs="Arial"/>
          <w:noProof w:val="0"/>
          <w:sz w:val="22"/>
          <w:szCs w:val="22"/>
          <w:lang w:val="en-GB"/>
        </w:rPr>
        <w:t>ID:</w:t>
      </w:r>
      <w:r w:rsidRPr="4EE597E1" w:rsidR="603ED0F0">
        <w:rPr>
          <w:rFonts w:ascii="Arial" w:hAnsi="Arial" w:eastAsia="Arial" w:cs="Arial"/>
          <w:noProof w:val="0"/>
          <w:sz w:val="22"/>
          <w:szCs w:val="22"/>
          <w:lang w:val="en-GB"/>
        </w:rPr>
        <w:t xml:space="preserve"> </w:t>
      </w:r>
      <w:r w:rsidRPr="4EE597E1" w:rsidR="571B9EB9">
        <w:rPr>
          <w:rFonts w:ascii="Arial" w:hAnsi="Arial" w:eastAsia="Arial" w:cs="Arial"/>
          <w:noProof w:val="0"/>
          <w:sz w:val="22"/>
          <w:szCs w:val="22"/>
          <w:lang w:val="en-GB"/>
        </w:rPr>
        <w:t>Nazia</w:t>
      </w:r>
      <w:r w:rsidRPr="4EE597E1" w:rsidR="571B9EB9">
        <w:rPr>
          <w:rFonts w:ascii="Arial" w:hAnsi="Arial" w:eastAsia="Arial" w:cs="Arial"/>
          <w:noProof w:val="0"/>
          <w:sz w:val="22"/>
          <w:szCs w:val="22"/>
          <w:lang w:val="en-GB"/>
        </w:rPr>
        <w:t xml:space="preserve"> Ali 2208450</w:t>
      </w:r>
    </w:p>
    <w:p w:rsidR="571B9EB9" w:rsidP="4EE597E1" w:rsidRDefault="571B9EB9" w14:paraId="5F3DDF8C" w14:textId="791A7D4C">
      <w:pPr>
        <w:pStyle w:val="Normal"/>
        <w:spacing w:before="240" w:beforeAutospacing="off" w:after="240" w:afterAutospacing="off"/>
        <w:ind w:left="0"/>
        <w:rPr>
          <w:rFonts w:ascii="Arial" w:hAnsi="Arial" w:eastAsia="Arial" w:cs="Arial"/>
          <w:noProof w:val="0"/>
          <w:sz w:val="22"/>
          <w:szCs w:val="22"/>
          <w:lang w:val="en-GB"/>
        </w:rPr>
      </w:pPr>
      <w:r w:rsidRPr="4EE597E1" w:rsidR="571B9EB9">
        <w:rPr>
          <w:rFonts w:ascii="Arial" w:hAnsi="Arial" w:eastAsia="Arial" w:cs="Arial"/>
          <w:noProof w:val="0"/>
          <w:sz w:val="22"/>
          <w:szCs w:val="22"/>
          <w:lang w:val="en-GB"/>
        </w:rPr>
        <w:t>Programme: MSc Public Health and Social Care in Practice</w:t>
      </w:r>
    </w:p>
    <w:p w:rsidR="571B9EB9" w:rsidP="4EE597E1" w:rsidRDefault="571B9EB9" w14:paraId="789DF3F6" w14:textId="29195915">
      <w:pPr>
        <w:pStyle w:val="Normal"/>
        <w:spacing w:before="240" w:beforeAutospacing="off" w:after="240" w:afterAutospacing="off"/>
        <w:ind w:left="0"/>
        <w:rPr>
          <w:rFonts w:ascii="Arial" w:hAnsi="Arial" w:eastAsia="Arial" w:cs="Arial"/>
          <w:noProof w:val="0"/>
          <w:sz w:val="22"/>
          <w:szCs w:val="22"/>
          <w:lang w:val="en-GB"/>
        </w:rPr>
      </w:pPr>
      <w:r w:rsidRPr="4EE597E1" w:rsidR="571B9EB9">
        <w:rPr>
          <w:rFonts w:ascii="Arial" w:hAnsi="Arial" w:eastAsia="Arial" w:cs="Arial"/>
          <w:noProof w:val="0"/>
          <w:sz w:val="22"/>
          <w:szCs w:val="22"/>
          <w:lang w:val="en-GB"/>
        </w:rPr>
        <w:t>Module: Quality Assurance and Service Improvements (LCHS7006)</w:t>
      </w:r>
    </w:p>
    <w:p w:rsidR="571B9EB9" w:rsidP="4EE597E1" w:rsidRDefault="571B9EB9" w14:paraId="5DFDE838" w14:textId="01C833E0">
      <w:pPr>
        <w:pStyle w:val="Normal"/>
        <w:spacing w:before="240" w:beforeAutospacing="off" w:after="240" w:afterAutospacing="off"/>
        <w:ind w:left="0"/>
        <w:rPr>
          <w:rFonts w:ascii="Arial" w:hAnsi="Arial" w:eastAsia="Arial" w:cs="Arial"/>
          <w:noProof w:val="0"/>
          <w:sz w:val="22"/>
          <w:szCs w:val="22"/>
          <w:lang w:val="en-GB"/>
        </w:rPr>
      </w:pPr>
      <w:r w:rsidRPr="4EE597E1" w:rsidR="571B9EB9">
        <w:rPr>
          <w:rFonts w:ascii="Arial" w:hAnsi="Arial" w:eastAsia="Arial" w:cs="Arial"/>
          <w:noProof w:val="0"/>
          <w:sz w:val="22"/>
          <w:szCs w:val="22"/>
          <w:lang w:val="en-GB"/>
        </w:rPr>
        <w:t>Lecturer: Dr Fahad Khan</w:t>
      </w:r>
    </w:p>
    <w:p w:rsidR="571B9EB9" w:rsidP="4EE597E1" w:rsidRDefault="571B9EB9" w14:paraId="67B139BA" w14:textId="3AAF4DA7">
      <w:pPr>
        <w:pStyle w:val="Normal"/>
        <w:spacing w:before="240" w:beforeAutospacing="off" w:after="240" w:afterAutospacing="off"/>
        <w:ind w:left="0"/>
        <w:rPr>
          <w:rFonts w:ascii="Arial" w:hAnsi="Arial" w:eastAsia="Arial" w:cs="Arial"/>
          <w:noProof w:val="0"/>
          <w:sz w:val="22"/>
          <w:szCs w:val="22"/>
          <w:lang w:val="en-GB"/>
        </w:rPr>
      </w:pPr>
      <w:r w:rsidRPr="4EE597E1" w:rsidR="571B9EB9">
        <w:rPr>
          <w:rFonts w:ascii="Arial" w:hAnsi="Arial" w:eastAsia="Arial" w:cs="Arial"/>
          <w:noProof w:val="0"/>
          <w:sz w:val="22"/>
          <w:szCs w:val="22"/>
          <w:lang w:val="en-GB"/>
        </w:rPr>
        <w:t>Assignment Title: Service Improvement Report – Lucy Letby Case</w:t>
      </w:r>
    </w:p>
    <w:p w:rsidR="657E17A7" w:rsidP="4EE597E1" w:rsidRDefault="657E17A7" w14:paraId="24B9278A" w14:textId="417E4FDE">
      <w:pPr>
        <w:pStyle w:val="Heading2"/>
        <w:spacing w:before="240" w:beforeAutospacing="off" w:after="240" w:afterAutospacing="off"/>
        <w:ind w:left="0"/>
        <w:rPr>
          <w:rFonts w:ascii="Arial" w:hAnsi="Arial" w:eastAsia="Arial" w:cs="Arial"/>
          <w:b w:val="1"/>
          <w:bCs w:val="1"/>
          <w:noProof w:val="0"/>
          <w:color w:val="000000" w:themeColor="text1" w:themeTint="FF" w:themeShade="FF"/>
          <w:sz w:val="22"/>
          <w:szCs w:val="22"/>
          <w:lang w:val="en-GB"/>
        </w:rPr>
      </w:pPr>
      <w:r w:rsidRPr="4EE597E1" w:rsidR="657E17A7">
        <w:rPr>
          <w:rFonts w:ascii="Arial" w:hAnsi="Arial" w:eastAsia="Arial" w:cs="Arial"/>
          <w:b w:val="1"/>
          <w:bCs w:val="1"/>
          <w:noProof w:val="0"/>
          <w:color w:val="000000" w:themeColor="text1" w:themeTint="FF" w:themeShade="FF"/>
          <w:sz w:val="22"/>
          <w:szCs w:val="22"/>
          <w:lang w:val="en-GB"/>
        </w:rPr>
        <w:t xml:space="preserve">Introduction </w:t>
      </w:r>
    </w:p>
    <w:p w:rsidR="657E17A7" w:rsidP="4EE597E1" w:rsidRDefault="657E17A7" w14:paraId="15E6A176" w14:textId="4D710488">
      <w:pPr>
        <w:spacing w:before="240" w:beforeAutospacing="off" w:after="240" w:afterAutospacing="off" w:line="360" w:lineRule="auto"/>
        <w:jc w:val="both"/>
        <w:rPr>
          <w:rFonts w:ascii="Arial" w:hAnsi="Arial" w:eastAsia="Arial" w:cs="Arial"/>
          <w:noProof w:val="0"/>
          <w:sz w:val="22"/>
          <w:szCs w:val="22"/>
          <w:lang w:val="en-GB"/>
        </w:rPr>
      </w:pPr>
      <w:r w:rsidRPr="4EE597E1" w:rsidR="657E17A7">
        <w:rPr>
          <w:rFonts w:ascii="Arial" w:hAnsi="Arial" w:eastAsia="Arial" w:cs="Arial"/>
          <w:noProof w:val="0"/>
          <w:sz w:val="22"/>
          <w:szCs w:val="22"/>
          <w:lang w:val="en-GB"/>
        </w:rPr>
        <w:t xml:space="preserve">Patient safety and quality assurance are central to the provision of safe, effective healthcare. The case of Lucy Letby at the Countess of Chester Hospital NHS Foundation Trust </w:t>
      </w:r>
      <w:r w:rsidRPr="4EE597E1" w:rsidR="657E17A7">
        <w:rPr>
          <w:rFonts w:ascii="Arial" w:hAnsi="Arial" w:eastAsia="Arial" w:cs="Arial"/>
          <w:noProof w:val="0"/>
          <w:sz w:val="22"/>
          <w:szCs w:val="22"/>
          <w:lang w:val="en-GB"/>
        </w:rPr>
        <w:t>represents</w:t>
      </w:r>
      <w:r w:rsidRPr="4EE597E1" w:rsidR="657E17A7">
        <w:rPr>
          <w:rFonts w:ascii="Arial" w:hAnsi="Arial" w:eastAsia="Arial" w:cs="Arial"/>
          <w:noProof w:val="0"/>
          <w:sz w:val="22"/>
          <w:szCs w:val="22"/>
          <w:lang w:val="en-GB"/>
        </w:rPr>
        <w:t xml:space="preserve"> a stark example of systemic failure in quality assurance within a neonatal intensive care setting. Between 2015 and 2016, Letby was convicted of murdering seven infants and </w:t>
      </w:r>
      <w:r w:rsidRPr="4EE597E1" w:rsidR="657E17A7">
        <w:rPr>
          <w:rFonts w:ascii="Arial" w:hAnsi="Arial" w:eastAsia="Arial" w:cs="Arial"/>
          <w:noProof w:val="0"/>
          <w:sz w:val="22"/>
          <w:szCs w:val="22"/>
          <w:lang w:val="en-GB"/>
        </w:rPr>
        <w:t>attempting</w:t>
      </w:r>
      <w:r w:rsidRPr="4EE597E1" w:rsidR="657E17A7">
        <w:rPr>
          <w:rFonts w:ascii="Arial" w:hAnsi="Arial" w:eastAsia="Arial" w:cs="Arial"/>
          <w:noProof w:val="0"/>
          <w:sz w:val="22"/>
          <w:szCs w:val="22"/>
          <w:lang w:val="en-GB"/>
        </w:rPr>
        <w:t xml:space="preserve"> to kill six others while working in the neonatal unit, exposing profound deficiencies in clinical governance, incident reporting, leadership, and organisational culture (The Guardian, 2024). These events not only had devastating consequences for affected families but also revealed fundamental weaknesses in the mechanisms designed to protect vulnerable patients.</w:t>
      </w:r>
    </w:p>
    <w:p w:rsidR="657E17A7" w:rsidP="4EE597E1" w:rsidRDefault="657E17A7" w14:paraId="55621D42" w14:textId="4D15BEA4">
      <w:pPr>
        <w:spacing w:before="240" w:beforeAutospacing="off" w:after="240" w:afterAutospacing="off" w:line="360" w:lineRule="auto"/>
        <w:jc w:val="both"/>
        <w:rPr>
          <w:rFonts w:ascii="Arial" w:hAnsi="Arial" w:eastAsia="Arial" w:cs="Arial"/>
          <w:noProof w:val="0"/>
          <w:sz w:val="22"/>
          <w:szCs w:val="22"/>
          <w:lang w:val="en-GB"/>
        </w:rPr>
      </w:pPr>
      <w:r w:rsidRPr="4EE597E1" w:rsidR="657E17A7">
        <w:rPr>
          <w:rFonts w:ascii="Arial" w:hAnsi="Arial" w:eastAsia="Arial" w:cs="Arial"/>
          <w:noProof w:val="0"/>
          <w:sz w:val="22"/>
          <w:szCs w:val="22"/>
          <w:lang w:val="en-GB"/>
        </w:rPr>
        <w:t xml:space="preserve">A critical examination of this case highlights the importance of robust safety systems and open reporting cultures in high‑risk environments such as neonatal intensive care units (NICUs). NICUs are inherently complex and technologically intensive environments where even minor errors can lead to severe harm (Patterns of Safety Incidents in a Neonatal Intensive Care Unit, 2021). Research indicates that a high proportion of safety incidents in NICUs are preventable and closely linked to deficiencies in communication, staffing, equipment, and process design (Patterns of Safety Incidents in a Neonatal Intensive Care Unit, 2021; Incidents and errors in neonatal intensive care: a review of the literature, 2007). Without effective incident reporting systems and a non‑punitive culture that encourages learning, opportunities to </w:t>
      </w:r>
      <w:r w:rsidRPr="4EE597E1" w:rsidR="657E17A7">
        <w:rPr>
          <w:rFonts w:ascii="Arial" w:hAnsi="Arial" w:eastAsia="Arial" w:cs="Arial"/>
          <w:noProof w:val="0"/>
          <w:sz w:val="22"/>
          <w:szCs w:val="22"/>
          <w:lang w:val="en-GB"/>
        </w:rPr>
        <w:t>identify</w:t>
      </w:r>
      <w:r w:rsidRPr="4EE597E1" w:rsidR="657E17A7">
        <w:rPr>
          <w:rFonts w:ascii="Arial" w:hAnsi="Arial" w:eastAsia="Arial" w:cs="Arial"/>
          <w:noProof w:val="0"/>
          <w:sz w:val="22"/>
          <w:szCs w:val="22"/>
          <w:lang w:val="en-GB"/>
        </w:rPr>
        <w:t xml:space="preserve"> and rectify system weaknesses may be lost, increasing the risk of </w:t>
      </w:r>
      <w:r w:rsidRPr="4EE597E1" w:rsidR="4617641F">
        <w:rPr>
          <w:rFonts w:ascii="Arial" w:hAnsi="Arial" w:eastAsia="Arial" w:cs="Arial"/>
          <w:noProof w:val="0"/>
          <w:sz w:val="22"/>
          <w:szCs w:val="22"/>
          <w:lang w:val="en-GB"/>
        </w:rPr>
        <w:t>harm. The</w:t>
      </w:r>
      <w:r w:rsidRPr="4EE597E1" w:rsidR="657E17A7">
        <w:rPr>
          <w:rFonts w:ascii="Arial" w:hAnsi="Arial" w:eastAsia="Arial" w:cs="Arial"/>
          <w:noProof w:val="0"/>
          <w:sz w:val="22"/>
          <w:szCs w:val="22"/>
          <w:lang w:val="en-GB"/>
        </w:rPr>
        <w:t xml:space="preserve"> Letby case also highlights how organisational culture influences the functioning of safety systems. Inquiries into the incident reported that clinicians who raised concerns were discouraged from escalating them, and warnings were not adequately investigated (Mathew, 2023). This defensive leadership approach suppressed meaningful engagement with safety issues, undermining both staff morale and openness in reporting potential hazards. It is widely recognised that a positive safety culture, which includes supportive leadership, teamwork, and transparent communication, is linked to better reporting and reduced adverse events in healthcare settings (Associations between safety perceptions and medical error reporting among neonatal intensive care unit staff, 2021; Exploring nurses’ perspectives on patient safety culture in neonatal intensive care units, 2025).</w:t>
      </w:r>
    </w:p>
    <w:p w:rsidR="657E17A7" w:rsidP="4EE597E1" w:rsidRDefault="657E17A7" w14:paraId="4518F6E9" w14:textId="30B23D5F">
      <w:pPr>
        <w:spacing w:before="240" w:beforeAutospacing="off" w:after="240" w:afterAutospacing="off" w:line="360" w:lineRule="auto"/>
        <w:jc w:val="both"/>
        <w:rPr>
          <w:rFonts w:ascii="Arial" w:hAnsi="Arial" w:eastAsia="Arial" w:cs="Arial"/>
          <w:noProof w:val="0"/>
          <w:sz w:val="22"/>
          <w:szCs w:val="22"/>
          <w:lang w:val="en-GB"/>
        </w:rPr>
      </w:pPr>
      <w:r w:rsidRPr="4EE597E1" w:rsidR="657E17A7">
        <w:rPr>
          <w:rFonts w:ascii="Arial" w:hAnsi="Arial" w:eastAsia="Arial" w:cs="Arial"/>
          <w:noProof w:val="0"/>
          <w:sz w:val="22"/>
          <w:szCs w:val="22"/>
          <w:lang w:val="en-GB"/>
        </w:rPr>
        <w:t xml:space="preserve">Additionally, </w:t>
      </w:r>
      <w:r w:rsidRPr="4EE597E1" w:rsidR="657E17A7">
        <w:rPr>
          <w:rFonts w:ascii="Arial" w:hAnsi="Arial" w:eastAsia="Arial" w:cs="Arial"/>
          <w:noProof w:val="0"/>
          <w:sz w:val="22"/>
          <w:szCs w:val="22"/>
          <w:lang w:val="en-GB"/>
        </w:rPr>
        <w:t>structural</w:t>
      </w:r>
      <w:r w:rsidRPr="4EE597E1" w:rsidR="657E17A7">
        <w:rPr>
          <w:rFonts w:ascii="Arial" w:hAnsi="Arial" w:eastAsia="Arial" w:cs="Arial"/>
          <w:noProof w:val="0"/>
          <w:sz w:val="22"/>
          <w:szCs w:val="22"/>
          <w:lang w:val="en-GB"/>
        </w:rPr>
        <w:t xml:space="preserve"> and organisational factors such as staffing ratios, workload, and clarity of escalation pathways play a significant role in safety outcomes. Studies show that inadequate staffing and high workload contribute to errors and reduce the capacity of staff to respond to critical situations (Exploring nurses’ perspectives on patient safety culture in neonatal intensive care units, 2025). In the Countess of Chester case, chronic understaffing and overstretched resources were reported by clinicians as contributing to suboptimal care </w:t>
      </w:r>
      <w:r w:rsidRPr="4EE597E1" w:rsidR="47EF38AD">
        <w:rPr>
          <w:rFonts w:ascii="Arial" w:hAnsi="Arial" w:eastAsia="Arial" w:cs="Arial"/>
          <w:noProof w:val="0"/>
          <w:sz w:val="22"/>
          <w:szCs w:val="22"/>
          <w:lang w:val="en-GB"/>
        </w:rPr>
        <w:t>delivery. From</w:t>
      </w:r>
      <w:r w:rsidRPr="4EE597E1" w:rsidR="657E17A7">
        <w:rPr>
          <w:rFonts w:ascii="Arial" w:hAnsi="Arial" w:eastAsia="Arial" w:cs="Arial"/>
          <w:noProof w:val="0"/>
          <w:sz w:val="22"/>
          <w:szCs w:val="22"/>
          <w:lang w:val="en-GB"/>
        </w:rPr>
        <w:t xml:space="preserve"> a public health perspective, these issues transcend individual cases and point to broader systemic vulnerabilities in quality assurance frameworks. Ensuring patient safety in neonatal care requires not only rigorous adherence to clinical protocols but also proactive incident reporting, strong leadership commitment to quality, and ongoing organisational learning. Research in NICU environments supports the implementation of system‑based quality improvement strategies that foster a culture of safety and minimise preventable harm (Patterns of Safety Incidents in a Neonatal Intensive Care Unit, 2021).</w:t>
      </w:r>
    </w:p>
    <w:p w:rsidR="657E17A7" w:rsidP="4EE597E1" w:rsidRDefault="657E17A7" w14:paraId="26ADE498" w14:textId="7C5ED07B">
      <w:pPr>
        <w:spacing w:before="240" w:beforeAutospacing="off" w:after="240" w:afterAutospacing="off" w:line="360" w:lineRule="auto"/>
        <w:jc w:val="both"/>
        <w:rPr>
          <w:rFonts w:ascii="Arial" w:hAnsi="Arial" w:eastAsia="Arial" w:cs="Arial"/>
          <w:noProof w:val="0"/>
          <w:sz w:val="22"/>
          <w:szCs w:val="22"/>
          <w:lang w:val="en-GB"/>
        </w:rPr>
      </w:pPr>
      <w:r w:rsidRPr="4EE597E1" w:rsidR="657E17A7">
        <w:rPr>
          <w:rFonts w:ascii="Arial" w:hAnsi="Arial" w:eastAsia="Arial" w:cs="Arial"/>
          <w:noProof w:val="0"/>
          <w:sz w:val="22"/>
          <w:szCs w:val="22"/>
          <w:lang w:val="en-GB"/>
        </w:rPr>
        <w:t xml:space="preserve">This report builds on the case study introduced in Component 1 by critically analysing root causes using theoretical frameworks such as the Fishbone Diagram, the Donabedian Model, and the 5 Whys </w:t>
      </w:r>
      <w:r w:rsidRPr="4EE597E1" w:rsidR="657E17A7">
        <w:rPr>
          <w:rFonts w:ascii="Arial" w:hAnsi="Arial" w:eastAsia="Arial" w:cs="Arial"/>
          <w:noProof w:val="0"/>
          <w:sz w:val="22"/>
          <w:szCs w:val="22"/>
          <w:lang w:val="en-GB"/>
        </w:rPr>
        <w:t>methodology</w:t>
      </w:r>
      <w:r w:rsidRPr="4EE597E1" w:rsidR="657E17A7">
        <w:rPr>
          <w:rFonts w:ascii="Arial" w:hAnsi="Arial" w:eastAsia="Arial" w:cs="Arial"/>
          <w:noProof w:val="0"/>
          <w:sz w:val="22"/>
          <w:szCs w:val="22"/>
          <w:lang w:val="en-GB"/>
        </w:rPr>
        <w:t>. Strategic analytical tools including SWOT and PESTLE will further illuminate organisational and policy factors. Evidence‑informed recommendations for quality improvement will be drawn from peer‑reviewed literature and real‑world practice, aiming to contribute to safer and more reliable healthcare delivery in neonatal settings.</w:t>
      </w:r>
    </w:p>
    <w:p w:rsidR="0C065504" w:rsidP="4EE597E1" w:rsidRDefault="0C065504" w14:paraId="1CBA52E2" w14:textId="1134F6ED">
      <w:pPr>
        <w:pStyle w:val="Heading1"/>
        <w:spacing w:before="322" w:beforeAutospacing="off" w:after="322" w:afterAutospacing="off"/>
        <w:jc w:val="both"/>
        <w:rPr>
          <w:rFonts w:ascii="Arial" w:hAnsi="Arial" w:eastAsia="Arial" w:cs="Arial"/>
          <w:b w:val="1"/>
          <w:bCs w:val="1"/>
          <w:noProof w:val="0"/>
          <w:color w:val="000000" w:themeColor="text1" w:themeTint="FF" w:themeShade="FF"/>
          <w:sz w:val="22"/>
          <w:szCs w:val="22"/>
          <w:lang w:val="en-GB"/>
        </w:rPr>
      </w:pPr>
      <w:r w:rsidRPr="4EE597E1" w:rsidR="0C065504">
        <w:rPr>
          <w:rFonts w:ascii="Arial" w:hAnsi="Arial" w:eastAsia="Arial" w:cs="Arial"/>
          <w:b w:val="1"/>
          <w:bCs w:val="1"/>
          <w:noProof w:val="0"/>
          <w:color w:val="000000" w:themeColor="text1" w:themeTint="FF" w:themeShade="FF"/>
          <w:sz w:val="22"/>
          <w:szCs w:val="22"/>
          <w:lang w:val="en-GB"/>
        </w:rPr>
        <w:t>3.0 Main Body – Analysis of Quality Failures and Service Improvement</w:t>
      </w:r>
      <w:r w:rsidRPr="4EE597E1" w:rsidR="0C065504">
        <w:rPr>
          <w:rFonts w:ascii="Arial" w:hAnsi="Arial" w:eastAsia="Arial" w:cs="Arial"/>
          <w:b w:val="1"/>
          <w:bCs w:val="1"/>
          <w:noProof w:val="0"/>
          <w:color w:val="000000" w:themeColor="text1" w:themeTint="FF" w:themeShade="FF"/>
          <w:sz w:val="22"/>
          <w:szCs w:val="22"/>
          <w:lang w:val="en-GB"/>
        </w:rPr>
        <w:t xml:space="preserve"> </w:t>
      </w:r>
    </w:p>
    <w:p w:rsidR="0C065504" w:rsidP="4EE597E1" w:rsidRDefault="0C065504" w14:paraId="3378EBEE" w14:textId="77BE5D45">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4EE597E1" w:rsidR="0C065504">
        <w:rPr>
          <w:rFonts w:ascii="Arial" w:hAnsi="Arial" w:eastAsia="Arial" w:cs="Arial"/>
          <w:b w:val="0"/>
          <w:bCs w:val="0"/>
          <w:noProof w:val="0"/>
          <w:color w:val="000000" w:themeColor="text1" w:themeTint="FF" w:themeShade="FF"/>
          <w:sz w:val="22"/>
          <w:szCs w:val="22"/>
          <w:lang w:val="en-GB"/>
        </w:rPr>
        <w:t xml:space="preserve">The main body critically examines the systemic and organisational causes of quality failures at the </w:t>
      </w:r>
      <w:r w:rsidRPr="4EE597E1" w:rsidR="0C065504">
        <w:rPr>
          <w:rFonts w:ascii="Arial" w:hAnsi="Arial" w:eastAsia="Arial" w:cs="Arial"/>
          <w:b w:val="0"/>
          <w:bCs w:val="0"/>
          <w:noProof w:val="0"/>
          <w:color w:val="000000" w:themeColor="text1" w:themeTint="FF" w:themeShade="FF"/>
          <w:sz w:val="22"/>
          <w:szCs w:val="22"/>
          <w:lang w:val="en-GB"/>
        </w:rPr>
        <w:t>Countess of Chester Hospital NHS Foundation Trust</w:t>
      </w:r>
      <w:r w:rsidRPr="4EE597E1" w:rsidR="0C065504">
        <w:rPr>
          <w:rFonts w:ascii="Arial" w:hAnsi="Arial" w:eastAsia="Arial" w:cs="Arial"/>
          <w:b w:val="0"/>
          <w:bCs w:val="0"/>
          <w:noProof w:val="0"/>
          <w:color w:val="000000" w:themeColor="text1" w:themeTint="FF" w:themeShade="FF"/>
          <w:sz w:val="22"/>
          <w:szCs w:val="22"/>
          <w:lang w:val="en-GB"/>
        </w:rPr>
        <w:t xml:space="preserve"> using the Lucy Letby case. This</w:t>
      </w:r>
      <w:r w:rsidRPr="4EE597E1" w:rsidR="0C065504">
        <w:rPr>
          <w:rFonts w:ascii="Arial" w:hAnsi="Arial" w:eastAsia="Arial" w:cs="Arial"/>
          <w:noProof w:val="0"/>
          <w:color w:val="000000" w:themeColor="text1" w:themeTint="FF" w:themeShade="FF"/>
          <w:sz w:val="22"/>
          <w:szCs w:val="22"/>
          <w:lang w:val="en-GB"/>
        </w:rPr>
        <w:t xml:space="preserve"> section integrates theoretical frameworks, policy analysis, and evidence from scholarly literature to provide a robust analysis of factors influencing patient safety and quality of care.</w:t>
      </w:r>
    </w:p>
    <w:p w:rsidR="0C065504" w:rsidP="4EE597E1" w:rsidRDefault="0C065504" w14:paraId="12CA7BFB" w14:textId="7CE5EDEA">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r w:rsidRPr="4EE597E1" w:rsidR="0C065504">
        <w:rPr>
          <w:rFonts w:ascii="Arial" w:hAnsi="Arial" w:eastAsia="Arial" w:cs="Arial"/>
          <w:b w:val="1"/>
          <w:bCs w:val="1"/>
          <w:noProof w:val="0"/>
          <w:color w:val="000000" w:themeColor="text1" w:themeTint="FF" w:themeShade="FF"/>
          <w:sz w:val="22"/>
          <w:szCs w:val="22"/>
          <w:lang w:val="en-GB"/>
        </w:rPr>
        <w:t>Structure of Main Body:</w:t>
      </w:r>
    </w:p>
    <w:p w:rsidR="0C065504" w:rsidP="4EE597E1" w:rsidRDefault="0C065504" w14:paraId="0600A197" w14:textId="4AB0A8B4">
      <w:pPr>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lang w:val="en-GB"/>
        </w:rPr>
      </w:pPr>
      <w:r w:rsidRPr="4EE597E1" w:rsidR="0C065504">
        <w:rPr>
          <w:rFonts w:ascii="Arial" w:hAnsi="Arial" w:eastAsia="Arial" w:cs="Arial"/>
          <w:b w:val="1"/>
          <w:bCs w:val="1"/>
          <w:noProof w:val="0"/>
          <w:color w:val="000000" w:themeColor="text1" w:themeTint="FF" w:themeShade="FF"/>
          <w:sz w:val="22"/>
          <w:szCs w:val="22"/>
          <w:lang w:val="en-GB"/>
        </w:rPr>
        <w:t xml:space="preserve">3.1 Root Cause Analysis </w:t>
      </w:r>
    </w:p>
    <w:p w:rsidR="0C065504" w:rsidP="4EE597E1" w:rsidRDefault="0C065504" w14:paraId="424D6658" w14:textId="4A1AEBAB">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lang w:val="en-GB"/>
        </w:rPr>
      </w:pPr>
      <w:r w:rsidRPr="4EE597E1" w:rsidR="0C065504">
        <w:rPr>
          <w:rFonts w:ascii="Arial" w:hAnsi="Arial" w:eastAsia="Arial" w:cs="Arial"/>
          <w:noProof w:val="0"/>
          <w:color w:val="000000" w:themeColor="text1" w:themeTint="FF" w:themeShade="FF"/>
          <w:sz w:val="22"/>
          <w:szCs w:val="22"/>
          <w:lang w:val="en-GB"/>
        </w:rPr>
        <w:t xml:space="preserve">Focus: </w:t>
      </w:r>
      <w:r w:rsidRPr="4EE597E1" w:rsidR="0C065504">
        <w:rPr>
          <w:rFonts w:ascii="Arial" w:hAnsi="Arial" w:eastAsia="Arial" w:cs="Arial"/>
          <w:noProof w:val="0"/>
          <w:color w:val="000000" w:themeColor="text1" w:themeTint="FF" w:themeShade="FF"/>
          <w:sz w:val="22"/>
          <w:szCs w:val="22"/>
          <w:lang w:val="en-GB"/>
        </w:rPr>
        <w:t>Identifying</w:t>
      </w:r>
      <w:r w:rsidRPr="4EE597E1" w:rsidR="0C065504">
        <w:rPr>
          <w:rFonts w:ascii="Arial" w:hAnsi="Arial" w:eastAsia="Arial" w:cs="Arial"/>
          <w:noProof w:val="0"/>
          <w:color w:val="000000" w:themeColor="text1" w:themeTint="FF" w:themeShade="FF"/>
          <w:sz w:val="22"/>
          <w:szCs w:val="22"/>
          <w:lang w:val="en-GB"/>
        </w:rPr>
        <w:t xml:space="preserve"> systemic, procedural, and cultural root causes of the quality issue.</w:t>
      </w:r>
    </w:p>
    <w:p w:rsidR="0C065504" w:rsidP="4EE597E1" w:rsidRDefault="0C065504" w14:paraId="4E978AEF" w14:textId="5DCCB789">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lang w:val="en-GB"/>
        </w:rPr>
      </w:pPr>
      <w:r w:rsidRPr="4EE597E1" w:rsidR="0C065504">
        <w:rPr>
          <w:rFonts w:ascii="Arial" w:hAnsi="Arial" w:eastAsia="Arial" w:cs="Arial"/>
          <w:noProof w:val="0"/>
          <w:color w:val="000000" w:themeColor="text1" w:themeTint="FF" w:themeShade="FF"/>
          <w:sz w:val="22"/>
          <w:szCs w:val="22"/>
          <w:lang w:val="en-GB"/>
        </w:rPr>
        <w:t>Frameworks:</w:t>
      </w:r>
    </w:p>
    <w:p w:rsidR="0C065504" w:rsidP="4EE597E1" w:rsidRDefault="0C065504" w14:paraId="73C52248" w14:textId="55760FCC">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lang w:val="en-GB"/>
        </w:rPr>
      </w:pPr>
      <w:r w:rsidRPr="4EE597E1" w:rsidR="0C065504">
        <w:rPr>
          <w:rFonts w:ascii="Arial" w:hAnsi="Arial" w:eastAsia="Arial" w:cs="Arial"/>
          <w:b w:val="1"/>
          <w:bCs w:val="1"/>
          <w:noProof w:val="0"/>
          <w:color w:val="000000" w:themeColor="text1" w:themeTint="FF" w:themeShade="FF"/>
          <w:sz w:val="22"/>
          <w:szCs w:val="22"/>
          <w:lang w:val="en-GB"/>
        </w:rPr>
        <w:t>Swiss Cheese Model</w:t>
      </w:r>
      <w:r w:rsidRPr="4EE597E1" w:rsidR="0C065504">
        <w:rPr>
          <w:rFonts w:ascii="Arial" w:hAnsi="Arial" w:eastAsia="Arial" w:cs="Arial"/>
          <w:noProof w:val="0"/>
          <w:color w:val="000000" w:themeColor="text1" w:themeTint="FF" w:themeShade="FF"/>
          <w:sz w:val="22"/>
          <w:szCs w:val="22"/>
          <w:lang w:val="en-GB"/>
        </w:rPr>
        <w:t xml:space="preserve"> – highlights how latent system failures align to allow adverse events (Reason, 2000).</w:t>
      </w:r>
    </w:p>
    <w:p w:rsidR="0C065504" w:rsidP="4EE597E1" w:rsidRDefault="0C065504" w14:paraId="4ABA1DF9" w14:textId="57AECF44">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lang w:val="en-GB"/>
        </w:rPr>
      </w:pPr>
      <w:r w:rsidRPr="4EE597E1" w:rsidR="0C065504">
        <w:rPr>
          <w:rFonts w:ascii="Arial" w:hAnsi="Arial" w:eastAsia="Arial" w:cs="Arial"/>
          <w:b w:val="1"/>
          <w:bCs w:val="1"/>
          <w:noProof w:val="0"/>
          <w:color w:val="000000" w:themeColor="text1" w:themeTint="FF" w:themeShade="FF"/>
          <w:sz w:val="22"/>
          <w:szCs w:val="22"/>
          <w:lang w:val="en-GB"/>
        </w:rPr>
        <w:t>Fishbone Diagram (Ishikawa, 1985)</w:t>
      </w:r>
      <w:r w:rsidRPr="4EE597E1" w:rsidR="0C065504">
        <w:rPr>
          <w:rFonts w:ascii="Arial" w:hAnsi="Arial" w:eastAsia="Arial" w:cs="Arial"/>
          <w:noProof w:val="0"/>
          <w:color w:val="000000" w:themeColor="text1" w:themeTint="FF" w:themeShade="FF"/>
          <w:sz w:val="22"/>
          <w:szCs w:val="22"/>
          <w:lang w:val="en-GB"/>
        </w:rPr>
        <w:t xml:space="preserve"> – categorises causes into people, processes, policies,</w:t>
      </w:r>
      <w:r w:rsidRPr="4EE597E1" w:rsidR="0F7B42AB">
        <w:rPr>
          <w:rFonts w:ascii="Arial" w:hAnsi="Arial" w:eastAsia="Arial" w:cs="Arial"/>
          <w:noProof w:val="0"/>
          <w:color w:val="000000" w:themeColor="text1" w:themeTint="FF" w:themeShade="FF"/>
          <w:sz w:val="22"/>
          <w:szCs w:val="22"/>
          <w:lang w:val="en-GB"/>
        </w:rPr>
        <w:t xml:space="preserve"> </w:t>
      </w:r>
      <w:r w:rsidRPr="4EE597E1" w:rsidR="0C065504">
        <w:rPr>
          <w:rFonts w:ascii="Arial" w:hAnsi="Arial" w:eastAsia="Arial" w:cs="Arial"/>
          <w:noProof w:val="0"/>
          <w:color w:val="000000" w:themeColor="text1" w:themeTint="FF" w:themeShade="FF"/>
          <w:sz w:val="22"/>
          <w:szCs w:val="22"/>
          <w:lang w:val="en-GB"/>
        </w:rPr>
        <w:t>environment, and equipment.</w:t>
      </w:r>
    </w:p>
    <w:p w:rsidR="0C065504" w:rsidP="4EE597E1" w:rsidRDefault="0C065504" w14:paraId="5C2C2414" w14:textId="421AF0DC">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lang w:val="en-GB"/>
        </w:rPr>
      </w:pPr>
      <w:r w:rsidRPr="4EE597E1" w:rsidR="0C065504">
        <w:rPr>
          <w:rFonts w:ascii="Arial" w:hAnsi="Arial" w:eastAsia="Arial" w:cs="Arial"/>
          <w:b w:val="1"/>
          <w:bCs w:val="1"/>
          <w:noProof w:val="0"/>
          <w:color w:val="000000" w:themeColor="text1" w:themeTint="FF" w:themeShade="FF"/>
          <w:sz w:val="22"/>
          <w:szCs w:val="22"/>
          <w:lang w:val="en-GB"/>
        </w:rPr>
        <w:t>5 Whys Methodology</w:t>
      </w:r>
      <w:r w:rsidRPr="4EE597E1" w:rsidR="0C065504">
        <w:rPr>
          <w:rFonts w:ascii="Arial" w:hAnsi="Arial" w:eastAsia="Arial" w:cs="Arial"/>
          <w:noProof w:val="0"/>
          <w:color w:val="000000" w:themeColor="text1" w:themeTint="FF" w:themeShade="FF"/>
          <w:sz w:val="22"/>
          <w:szCs w:val="22"/>
          <w:lang w:val="en-GB"/>
        </w:rPr>
        <w:t xml:space="preserve"> – drills down into underlying causes of incidents (O’Neill, 2024; Mathew, 2023).</w:t>
      </w:r>
    </w:p>
    <w:p w:rsidR="0C065504" w:rsidP="4EE597E1" w:rsidRDefault="0C065504" w14:paraId="61450638" w14:textId="03D2AB6A">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lang w:val="en-GB"/>
        </w:rPr>
      </w:pPr>
      <w:r w:rsidRPr="4EE597E1" w:rsidR="0C065504">
        <w:rPr>
          <w:rFonts w:ascii="Arial" w:hAnsi="Arial" w:eastAsia="Arial" w:cs="Arial"/>
          <w:noProof w:val="0"/>
          <w:color w:val="000000" w:themeColor="text1" w:themeTint="FF" w:themeShade="FF"/>
          <w:sz w:val="22"/>
          <w:szCs w:val="22"/>
          <w:lang w:val="en-GB"/>
        </w:rPr>
        <w:t>Evidence: Peer-reviewed NICU studies linking safety culture, reporting systems, and staffing to outcomes (Hassan, McGrath &amp; Rollins, 2011; Pickett et al., 2018).</w:t>
      </w:r>
    </w:p>
    <w:p w:rsidR="0C065504" w:rsidP="4EE597E1" w:rsidRDefault="0C065504" w14:paraId="0F52C6B8" w14:textId="30214A65">
      <w:pPr>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lang w:val="en-GB"/>
        </w:rPr>
      </w:pPr>
      <w:r w:rsidRPr="4EE597E1" w:rsidR="0C065504">
        <w:rPr>
          <w:rFonts w:ascii="Arial" w:hAnsi="Arial" w:eastAsia="Arial" w:cs="Arial"/>
          <w:b w:val="1"/>
          <w:bCs w:val="1"/>
          <w:noProof w:val="0"/>
          <w:color w:val="000000" w:themeColor="text1" w:themeTint="FF" w:themeShade="FF"/>
          <w:sz w:val="22"/>
          <w:szCs w:val="22"/>
          <w:lang w:val="en-GB"/>
        </w:rPr>
        <w:t>3.2 Policy and Governance Analysis (≈450–500 words)</w:t>
      </w:r>
    </w:p>
    <w:p w:rsidR="0C065504" w:rsidP="4EE597E1" w:rsidRDefault="0C065504" w14:paraId="36A7DC02" w14:textId="4D734FCC">
      <w:pPr>
        <w:pStyle w:val="Normal"/>
        <w:spacing w:before="240" w:beforeAutospacing="off" w:after="240" w:afterAutospacing="off" w:line="360" w:lineRule="auto"/>
        <w:ind w:left="0"/>
        <w:jc w:val="both"/>
        <w:rPr>
          <w:rFonts w:ascii="Arial" w:hAnsi="Arial" w:eastAsia="Arial" w:cs="Arial"/>
          <w:b w:val="0"/>
          <w:bCs w:val="0"/>
          <w:noProof w:val="0"/>
          <w:color w:val="000000" w:themeColor="text1" w:themeTint="FF" w:themeShade="FF"/>
          <w:sz w:val="22"/>
          <w:szCs w:val="22"/>
          <w:lang w:val="en-GB"/>
        </w:rPr>
      </w:pPr>
      <w:r w:rsidRPr="4EE597E1" w:rsidR="0C065504">
        <w:rPr>
          <w:rFonts w:ascii="Arial" w:hAnsi="Arial" w:eastAsia="Arial" w:cs="Arial"/>
          <w:b w:val="0"/>
          <w:bCs w:val="0"/>
          <w:noProof w:val="0"/>
          <w:color w:val="000000" w:themeColor="text1" w:themeTint="FF" w:themeShade="FF"/>
          <w:sz w:val="22"/>
          <w:szCs w:val="22"/>
          <w:lang w:val="en-GB"/>
        </w:rPr>
        <w:t xml:space="preserve">Focus: Analysing how </w:t>
      </w:r>
      <w:r w:rsidRPr="4EE597E1" w:rsidR="0C065504">
        <w:rPr>
          <w:rFonts w:ascii="Arial" w:hAnsi="Arial" w:eastAsia="Arial" w:cs="Arial"/>
          <w:b w:val="0"/>
          <w:bCs w:val="0"/>
          <w:noProof w:val="0"/>
          <w:color w:val="000000" w:themeColor="text1" w:themeTint="FF" w:themeShade="FF"/>
          <w:sz w:val="22"/>
          <w:szCs w:val="22"/>
          <w:lang w:val="en-GB"/>
        </w:rPr>
        <w:t>local and national policies, clinical governance, and organisational oversight</w:t>
      </w:r>
      <w:r w:rsidRPr="4EE597E1" w:rsidR="0C065504">
        <w:rPr>
          <w:rFonts w:ascii="Arial" w:hAnsi="Arial" w:eastAsia="Arial" w:cs="Arial"/>
          <w:b w:val="0"/>
          <w:bCs w:val="0"/>
          <w:noProof w:val="0"/>
          <w:color w:val="000000" w:themeColor="text1" w:themeTint="FF" w:themeShade="FF"/>
          <w:sz w:val="22"/>
          <w:szCs w:val="22"/>
          <w:lang w:val="en-GB"/>
        </w:rPr>
        <w:t xml:space="preserve"> contribute to failures.</w:t>
      </w:r>
    </w:p>
    <w:p w:rsidR="0C065504" w:rsidP="4EE597E1" w:rsidRDefault="0C065504" w14:paraId="0C813564" w14:textId="6A8D3929">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lang w:val="en-GB"/>
        </w:rPr>
      </w:pPr>
      <w:r w:rsidRPr="4EE597E1" w:rsidR="0C065504">
        <w:rPr>
          <w:rFonts w:ascii="Arial" w:hAnsi="Arial" w:eastAsia="Arial" w:cs="Arial"/>
          <w:noProof w:val="0"/>
          <w:color w:val="000000" w:themeColor="text1" w:themeTint="FF" w:themeShade="FF"/>
          <w:sz w:val="22"/>
          <w:szCs w:val="22"/>
          <w:lang w:val="en-GB"/>
        </w:rPr>
        <w:t>Frameworks/Tools:</w:t>
      </w:r>
    </w:p>
    <w:p w:rsidR="0C065504" w:rsidP="4EE597E1" w:rsidRDefault="0C065504" w14:paraId="79289830" w14:textId="7CC3C705">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lang w:val="en-GB"/>
        </w:rPr>
      </w:pPr>
      <w:r w:rsidRPr="4EE597E1" w:rsidR="0C065504">
        <w:rPr>
          <w:rFonts w:ascii="Arial" w:hAnsi="Arial" w:eastAsia="Arial" w:cs="Arial"/>
          <w:b w:val="1"/>
          <w:bCs w:val="1"/>
          <w:noProof w:val="0"/>
          <w:color w:val="000000" w:themeColor="text1" w:themeTint="FF" w:themeShade="FF"/>
          <w:sz w:val="22"/>
          <w:szCs w:val="22"/>
          <w:lang w:val="en-GB"/>
        </w:rPr>
        <w:t>SWOT Analysis</w:t>
      </w:r>
      <w:r w:rsidRPr="4EE597E1" w:rsidR="0C065504">
        <w:rPr>
          <w:rFonts w:ascii="Arial" w:hAnsi="Arial" w:eastAsia="Arial" w:cs="Arial"/>
          <w:noProof w:val="0"/>
          <w:color w:val="000000" w:themeColor="text1" w:themeTint="FF" w:themeShade="FF"/>
          <w:sz w:val="22"/>
          <w:szCs w:val="22"/>
          <w:lang w:val="en-GB"/>
        </w:rPr>
        <w:t xml:space="preserve"> – </w:t>
      </w:r>
      <w:r w:rsidRPr="4EE597E1" w:rsidR="0C065504">
        <w:rPr>
          <w:rFonts w:ascii="Arial" w:hAnsi="Arial" w:eastAsia="Arial" w:cs="Arial"/>
          <w:noProof w:val="0"/>
          <w:color w:val="000000" w:themeColor="text1" w:themeTint="FF" w:themeShade="FF"/>
          <w:sz w:val="22"/>
          <w:szCs w:val="22"/>
          <w:lang w:val="en-GB"/>
        </w:rPr>
        <w:t>identifies</w:t>
      </w:r>
      <w:r w:rsidRPr="4EE597E1" w:rsidR="0C065504">
        <w:rPr>
          <w:rFonts w:ascii="Arial" w:hAnsi="Arial" w:eastAsia="Arial" w:cs="Arial"/>
          <w:noProof w:val="0"/>
          <w:color w:val="000000" w:themeColor="text1" w:themeTint="FF" w:themeShade="FF"/>
          <w:sz w:val="22"/>
          <w:szCs w:val="22"/>
          <w:lang w:val="en-GB"/>
        </w:rPr>
        <w:t xml:space="preserve"> strengths, weaknesses, opportunities, threats in policy and organisational structures.</w:t>
      </w:r>
    </w:p>
    <w:p w:rsidR="0C065504" w:rsidP="4EE597E1" w:rsidRDefault="0C065504" w14:paraId="43D57BB7" w14:textId="604B65E2">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lang w:val="en-GB"/>
        </w:rPr>
      </w:pPr>
      <w:r w:rsidRPr="4EE597E1" w:rsidR="0C065504">
        <w:rPr>
          <w:rFonts w:ascii="Arial" w:hAnsi="Arial" w:eastAsia="Arial" w:cs="Arial"/>
          <w:b w:val="1"/>
          <w:bCs w:val="1"/>
          <w:noProof w:val="0"/>
          <w:color w:val="000000" w:themeColor="text1" w:themeTint="FF" w:themeShade="FF"/>
          <w:sz w:val="22"/>
          <w:szCs w:val="22"/>
          <w:lang w:val="en-GB"/>
        </w:rPr>
        <w:t>PESTLE Analysis</w:t>
      </w:r>
      <w:r w:rsidRPr="4EE597E1" w:rsidR="0C065504">
        <w:rPr>
          <w:rFonts w:ascii="Arial" w:hAnsi="Arial" w:eastAsia="Arial" w:cs="Arial"/>
          <w:noProof w:val="0"/>
          <w:color w:val="000000" w:themeColor="text1" w:themeTint="FF" w:themeShade="FF"/>
          <w:sz w:val="22"/>
          <w:szCs w:val="22"/>
          <w:lang w:val="en-GB"/>
        </w:rPr>
        <w:t xml:space="preserve"> – explores political, economic, social, technological, legal, and environmental influences.</w:t>
      </w:r>
    </w:p>
    <w:p w:rsidR="0C065504" w:rsidP="4EE597E1" w:rsidRDefault="0C065504" w14:paraId="210536D5" w14:textId="0338B998">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lang w:val="en-GB"/>
        </w:rPr>
      </w:pPr>
      <w:r w:rsidRPr="4EE597E1" w:rsidR="0C065504">
        <w:rPr>
          <w:rFonts w:ascii="Arial" w:hAnsi="Arial" w:eastAsia="Arial" w:cs="Arial"/>
          <w:noProof w:val="0"/>
          <w:color w:val="000000" w:themeColor="text1" w:themeTint="FF" w:themeShade="FF"/>
          <w:sz w:val="22"/>
          <w:szCs w:val="22"/>
          <w:lang w:val="en-GB"/>
        </w:rPr>
        <w:t>Evidence: National safety frameworks, whistleblowing policies, NHS patient safety guidelines (NHS England, 2022; Gov.uk, 2023; UK Government Department of Health, 2025).</w:t>
      </w:r>
    </w:p>
    <w:p w:rsidR="0C065504" w:rsidP="4EE597E1" w:rsidRDefault="0C065504" w14:paraId="5D1FE3C6" w14:textId="4DD453C3">
      <w:pPr>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lang w:val="en-GB"/>
        </w:rPr>
      </w:pPr>
      <w:r w:rsidRPr="4EE597E1" w:rsidR="0C065504">
        <w:rPr>
          <w:rFonts w:ascii="Arial" w:hAnsi="Arial" w:eastAsia="Arial" w:cs="Arial"/>
          <w:b w:val="1"/>
          <w:bCs w:val="1"/>
          <w:noProof w:val="0"/>
          <w:color w:val="000000" w:themeColor="text1" w:themeTint="FF" w:themeShade="FF"/>
          <w:sz w:val="22"/>
          <w:szCs w:val="22"/>
          <w:lang w:val="en-GB"/>
        </w:rPr>
        <w:t>3.3 Impact on Service Provision</w:t>
      </w:r>
    </w:p>
    <w:p w:rsidR="0C065504" w:rsidP="4EE597E1" w:rsidRDefault="0C065504" w14:paraId="0013FE0B" w14:textId="1006FFBA">
      <w:pPr>
        <w:pStyle w:val="Normal"/>
        <w:spacing w:before="240" w:beforeAutospacing="off" w:after="240" w:afterAutospacing="off" w:line="360" w:lineRule="auto"/>
        <w:ind w:left="0"/>
        <w:jc w:val="both"/>
        <w:rPr>
          <w:rFonts w:ascii="Arial" w:hAnsi="Arial" w:eastAsia="Arial" w:cs="Arial"/>
          <w:b w:val="0"/>
          <w:bCs w:val="0"/>
          <w:noProof w:val="0"/>
          <w:color w:val="000000" w:themeColor="text1" w:themeTint="FF" w:themeShade="FF"/>
          <w:sz w:val="22"/>
          <w:szCs w:val="22"/>
          <w:lang w:val="en-GB"/>
        </w:rPr>
      </w:pPr>
      <w:r w:rsidRPr="4EE597E1" w:rsidR="0C065504">
        <w:rPr>
          <w:rFonts w:ascii="Arial" w:hAnsi="Arial" w:eastAsia="Arial" w:cs="Arial"/>
          <w:b w:val="0"/>
          <w:bCs w:val="0"/>
          <w:noProof w:val="0"/>
          <w:color w:val="000000" w:themeColor="text1" w:themeTint="FF" w:themeShade="FF"/>
          <w:sz w:val="22"/>
          <w:szCs w:val="22"/>
          <w:lang w:val="en-GB"/>
        </w:rPr>
        <w:t xml:space="preserve">Focus: </w:t>
      </w:r>
      <w:r w:rsidRPr="4EE597E1" w:rsidR="0C065504">
        <w:rPr>
          <w:rFonts w:ascii="Arial" w:hAnsi="Arial" w:eastAsia="Arial" w:cs="Arial"/>
          <w:b w:val="0"/>
          <w:bCs w:val="0"/>
          <w:noProof w:val="0"/>
          <w:color w:val="000000" w:themeColor="text1" w:themeTint="FF" w:themeShade="FF"/>
          <w:sz w:val="22"/>
          <w:szCs w:val="22"/>
          <w:lang w:val="en-GB"/>
        </w:rPr>
        <w:t>Demonstrating</w:t>
      </w:r>
      <w:r w:rsidRPr="4EE597E1" w:rsidR="0C065504">
        <w:rPr>
          <w:rFonts w:ascii="Arial" w:hAnsi="Arial" w:eastAsia="Arial" w:cs="Arial"/>
          <w:b w:val="0"/>
          <w:bCs w:val="0"/>
          <w:noProof w:val="0"/>
          <w:color w:val="000000" w:themeColor="text1" w:themeTint="FF" w:themeShade="FF"/>
          <w:sz w:val="22"/>
          <w:szCs w:val="22"/>
          <w:lang w:val="en-GB"/>
        </w:rPr>
        <w:t xml:space="preserve"> how root causes and policy issues affect </w:t>
      </w:r>
      <w:r w:rsidRPr="4EE597E1" w:rsidR="0C065504">
        <w:rPr>
          <w:rFonts w:ascii="Arial" w:hAnsi="Arial" w:eastAsia="Arial" w:cs="Arial"/>
          <w:b w:val="0"/>
          <w:bCs w:val="0"/>
          <w:noProof w:val="0"/>
          <w:color w:val="000000" w:themeColor="text1" w:themeTint="FF" w:themeShade="FF"/>
          <w:sz w:val="22"/>
          <w:szCs w:val="22"/>
          <w:lang w:val="en-GB"/>
        </w:rPr>
        <w:t>quality, efficiency, equity, and patient outcomes</w:t>
      </w:r>
      <w:r w:rsidRPr="4EE597E1" w:rsidR="0C065504">
        <w:rPr>
          <w:rFonts w:ascii="Arial" w:hAnsi="Arial" w:eastAsia="Arial" w:cs="Arial"/>
          <w:b w:val="0"/>
          <w:bCs w:val="0"/>
          <w:noProof w:val="0"/>
          <w:color w:val="000000" w:themeColor="text1" w:themeTint="FF" w:themeShade="FF"/>
          <w:sz w:val="22"/>
          <w:szCs w:val="22"/>
          <w:lang w:val="en-GB"/>
        </w:rPr>
        <w:t>.</w:t>
      </w:r>
    </w:p>
    <w:p w:rsidR="0C065504" w:rsidP="4EE597E1" w:rsidRDefault="0C065504" w14:paraId="4C573BE5" w14:textId="5A830A16">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lang w:val="en-GB"/>
        </w:rPr>
      </w:pPr>
      <w:r w:rsidRPr="4EE597E1" w:rsidR="0C065504">
        <w:rPr>
          <w:rFonts w:ascii="Arial" w:hAnsi="Arial" w:eastAsia="Arial" w:cs="Arial"/>
          <w:noProof w:val="0"/>
          <w:color w:val="000000" w:themeColor="text1" w:themeTint="FF" w:themeShade="FF"/>
          <w:sz w:val="22"/>
          <w:szCs w:val="22"/>
          <w:lang w:val="en-GB"/>
        </w:rPr>
        <w:t>Key Points:</w:t>
      </w:r>
    </w:p>
    <w:p w:rsidR="0C065504" w:rsidP="4EE597E1" w:rsidRDefault="0C065504" w14:paraId="06697171" w14:textId="59F81674">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lang w:val="en-GB"/>
        </w:rPr>
      </w:pPr>
      <w:r w:rsidRPr="4EE597E1" w:rsidR="0C065504">
        <w:rPr>
          <w:rFonts w:ascii="Arial" w:hAnsi="Arial" w:eastAsia="Arial" w:cs="Arial"/>
          <w:noProof w:val="0"/>
          <w:color w:val="000000" w:themeColor="text1" w:themeTint="FF" w:themeShade="FF"/>
          <w:sz w:val="22"/>
          <w:szCs w:val="22"/>
          <w:lang w:val="en-GB"/>
        </w:rPr>
        <w:t>Quality: How failures undermine clinical standards and patient safety.</w:t>
      </w:r>
    </w:p>
    <w:p w:rsidR="0C065504" w:rsidP="4EE597E1" w:rsidRDefault="0C065504" w14:paraId="16A5489B" w14:textId="5E190A16">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lang w:val="en-GB"/>
        </w:rPr>
      </w:pPr>
      <w:r w:rsidRPr="4EE597E1" w:rsidR="0C065504">
        <w:rPr>
          <w:rFonts w:ascii="Arial" w:hAnsi="Arial" w:eastAsia="Arial" w:cs="Arial"/>
          <w:noProof w:val="0"/>
          <w:color w:val="000000" w:themeColor="text1" w:themeTint="FF" w:themeShade="FF"/>
          <w:sz w:val="22"/>
          <w:szCs w:val="22"/>
          <w:lang w:val="en-GB"/>
        </w:rPr>
        <w:t>Efficiency: Impact on resource utilisation, staff workload, and incident response.</w:t>
      </w:r>
    </w:p>
    <w:p w:rsidR="0C065504" w:rsidP="4EE597E1" w:rsidRDefault="0C065504" w14:paraId="65414836" w14:textId="73CFF82E">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lang w:val="en-GB"/>
        </w:rPr>
      </w:pPr>
      <w:r w:rsidRPr="4EE597E1" w:rsidR="0C065504">
        <w:rPr>
          <w:rFonts w:ascii="Arial" w:hAnsi="Arial" w:eastAsia="Arial" w:cs="Arial"/>
          <w:noProof w:val="0"/>
          <w:color w:val="000000" w:themeColor="text1" w:themeTint="FF" w:themeShade="FF"/>
          <w:sz w:val="22"/>
          <w:szCs w:val="22"/>
          <w:lang w:val="en-GB"/>
        </w:rPr>
        <w:t xml:space="preserve">Equity: </w:t>
      </w:r>
      <w:r w:rsidRPr="4EE597E1" w:rsidR="607AE9F8">
        <w:rPr>
          <w:rFonts w:ascii="Arial" w:hAnsi="Arial" w:eastAsia="Arial" w:cs="Arial"/>
          <w:noProof w:val="0"/>
          <w:color w:val="000000" w:themeColor="text1" w:themeTint="FF" w:themeShade="FF"/>
          <w:sz w:val="22"/>
          <w:szCs w:val="22"/>
          <w:lang w:val="en-GB"/>
        </w:rPr>
        <w:t>What</w:t>
      </w:r>
      <w:r w:rsidRPr="4EE597E1" w:rsidR="0C065504">
        <w:rPr>
          <w:rFonts w:ascii="Arial" w:hAnsi="Arial" w:eastAsia="Arial" w:cs="Arial"/>
          <w:noProof w:val="0"/>
          <w:color w:val="000000" w:themeColor="text1" w:themeTint="FF" w:themeShade="FF"/>
          <w:sz w:val="22"/>
          <w:szCs w:val="22"/>
          <w:lang w:val="en-GB"/>
        </w:rPr>
        <w:t xml:space="preserve"> vulnerable populations, such as neonates, are disproportionately affected.</w:t>
      </w:r>
    </w:p>
    <w:p w:rsidR="0C065504" w:rsidP="4EE597E1" w:rsidRDefault="0C065504" w14:paraId="7E364715" w14:textId="1043199F">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lang w:val="en-GB"/>
        </w:rPr>
      </w:pPr>
      <w:r w:rsidRPr="4EE597E1" w:rsidR="0C065504">
        <w:rPr>
          <w:rFonts w:ascii="Arial" w:hAnsi="Arial" w:eastAsia="Arial" w:cs="Arial"/>
          <w:noProof w:val="0"/>
          <w:color w:val="000000" w:themeColor="text1" w:themeTint="FF" w:themeShade="FF"/>
          <w:sz w:val="22"/>
          <w:szCs w:val="22"/>
          <w:lang w:val="en-GB"/>
        </w:rPr>
        <w:t xml:space="preserve">Evidence: Case studies of NICU outcomes, hospital mortality reviews, and patient safety culture research (Associations between safety </w:t>
      </w:r>
      <w:r w:rsidRPr="4EE597E1" w:rsidR="0C065504">
        <w:rPr>
          <w:rFonts w:ascii="Arial" w:hAnsi="Arial" w:eastAsia="Arial" w:cs="Arial"/>
          <w:noProof w:val="0"/>
          <w:color w:val="000000" w:themeColor="text1" w:themeTint="FF" w:themeShade="FF"/>
          <w:sz w:val="22"/>
          <w:szCs w:val="22"/>
          <w:lang w:val="en-GB"/>
        </w:rPr>
        <w:t>perceptions</w:t>
      </w:r>
      <w:r w:rsidRPr="4EE597E1" w:rsidR="0C065504">
        <w:rPr>
          <w:rFonts w:ascii="Arial" w:hAnsi="Arial" w:eastAsia="Arial" w:cs="Arial"/>
          <w:noProof w:val="0"/>
          <w:color w:val="000000" w:themeColor="text1" w:themeTint="FF" w:themeShade="FF"/>
          <w:sz w:val="22"/>
          <w:szCs w:val="22"/>
          <w:lang w:val="en-GB"/>
        </w:rPr>
        <w:t xml:space="preserve"> and medical error reporting among NICU staff, 2021; Exploring nurses’ perspectives on patient safety culture in NICU, 2025).</w:t>
      </w:r>
    </w:p>
    <w:p w:rsidR="199E724A" w:rsidP="4EE597E1" w:rsidRDefault="199E724A" w14:paraId="6738519C" w14:textId="7E0C90ED">
      <w:pPr>
        <w:pStyle w:val="Heading1"/>
        <w:spacing w:before="322" w:beforeAutospacing="off" w:after="322" w:afterAutospacing="off" w:line="360" w:lineRule="auto"/>
        <w:jc w:val="both"/>
        <w:rPr>
          <w:rFonts w:ascii="Arial" w:hAnsi="Arial" w:eastAsia="Arial" w:cs="Arial"/>
          <w:b w:val="1"/>
          <w:bCs w:val="1"/>
          <w:noProof w:val="0"/>
          <w:color w:val="000000" w:themeColor="text1" w:themeTint="FF" w:themeShade="FF"/>
          <w:sz w:val="22"/>
          <w:szCs w:val="22"/>
          <w:lang w:val="en-GB"/>
        </w:rPr>
      </w:pPr>
      <w:r w:rsidRPr="4EE597E1" w:rsidR="199E724A">
        <w:rPr>
          <w:rFonts w:ascii="Arial" w:hAnsi="Arial" w:eastAsia="Arial" w:cs="Arial"/>
          <w:b w:val="1"/>
          <w:bCs w:val="1"/>
          <w:noProof w:val="0"/>
          <w:color w:val="000000" w:themeColor="text1" w:themeTint="FF" w:themeShade="FF"/>
          <w:sz w:val="22"/>
          <w:szCs w:val="22"/>
          <w:lang w:val="en-GB"/>
        </w:rPr>
        <w:t>3.1 Root Cause Analysis</w:t>
      </w:r>
    </w:p>
    <w:p w:rsidR="199E724A" w:rsidP="4EE597E1" w:rsidRDefault="199E724A" w14:paraId="0C754E41" w14:textId="246C6AE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4EE597E1" w:rsidR="199E724A">
        <w:rPr>
          <w:rFonts w:ascii="Arial" w:hAnsi="Arial" w:eastAsia="Arial" w:cs="Arial"/>
          <w:noProof w:val="0"/>
          <w:color w:val="000000" w:themeColor="text1" w:themeTint="FF" w:themeShade="FF"/>
          <w:sz w:val="22"/>
          <w:szCs w:val="22"/>
          <w:lang w:val="en-GB"/>
        </w:rPr>
        <w:t>The events at the Countess of Chester Hospital NHS Foundation Trust involving Lucy Letby underscore profound failures in both clinical practice and organisational oversight. A systematic examination of root causes is essential to understand how these breaches in patient safety occurred and to develop targeted service improvement strategies.</w:t>
      </w:r>
    </w:p>
    <w:p w:rsidR="199E724A" w:rsidP="4EE597E1" w:rsidRDefault="199E724A" w14:paraId="793F2988" w14:textId="346038C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4EE597E1" w:rsidR="199E724A">
        <w:rPr>
          <w:rFonts w:ascii="Arial" w:hAnsi="Arial" w:eastAsia="Arial" w:cs="Arial"/>
          <w:noProof w:val="0"/>
          <w:color w:val="000000" w:themeColor="text1" w:themeTint="FF" w:themeShade="FF"/>
          <w:sz w:val="22"/>
          <w:szCs w:val="22"/>
          <w:lang w:val="en-GB"/>
        </w:rPr>
        <w:t>Applying the</w:t>
      </w:r>
      <w:r w:rsidRPr="4EE597E1" w:rsidR="199E724A">
        <w:rPr>
          <w:rFonts w:ascii="Arial" w:hAnsi="Arial" w:eastAsia="Arial" w:cs="Arial"/>
          <w:b w:val="0"/>
          <w:bCs w:val="0"/>
          <w:noProof w:val="0"/>
          <w:color w:val="000000" w:themeColor="text1" w:themeTint="FF" w:themeShade="FF"/>
          <w:sz w:val="22"/>
          <w:szCs w:val="22"/>
          <w:lang w:val="en-GB"/>
        </w:rPr>
        <w:t xml:space="preserve"> </w:t>
      </w:r>
      <w:r w:rsidRPr="4EE597E1" w:rsidR="199E724A">
        <w:rPr>
          <w:rFonts w:ascii="Arial" w:hAnsi="Arial" w:eastAsia="Arial" w:cs="Arial"/>
          <w:b w:val="0"/>
          <w:bCs w:val="0"/>
          <w:noProof w:val="0"/>
          <w:color w:val="000000" w:themeColor="text1" w:themeTint="FF" w:themeShade="FF"/>
          <w:sz w:val="22"/>
          <w:szCs w:val="22"/>
          <w:lang w:val="en-GB"/>
        </w:rPr>
        <w:t>Swiss Cheese Model</w:t>
      </w:r>
      <w:r w:rsidRPr="4EE597E1" w:rsidR="199E724A">
        <w:rPr>
          <w:rFonts w:ascii="Arial" w:hAnsi="Arial" w:eastAsia="Arial" w:cs="Arial"/>
          <w:b w:val="0"/>
          <w:bCs w:val="0"/>
          <w:noProof w:val="0"/>
          <w:color w:val="000000" w:themeColor="text1" w:themeTint="FF" w:themeShade="FF"/>
          <w:sz w:val="22"/>
          <w:szCs w:val="22"/>
          <w:lang w:val="en-GB"/>
        </w:rPr>
        <w:t xml:space="preserve"> </w:t>
      </w:r>
      <w:r w:rsidRPr="4EE597E1" w:rsidR="199E724A">
        <w:rPr>
          <w:rFonts w:ascii="Arial" w:hAnsi="Arial" w:eastAsia="Arial" w:cs="Arial"/>
          <w:noProof w:val="0"/>
          <w:color w:val="000000" w:themeColor="text1" w:themeTint="FF" w:themeShade="FF"/>
          <w:sz w:val="22"/>
          <w:szCs w:val="22"/>
          <w:lang w:val="en-GB"/>
        </w:rPr>
        <w:t>demonstrates</w:t>
      </w:r>
      <w:r w:rsidRPr="4EE597E1" w:rsidR="199E724A">
        <w:rPr>
          <w:rFonts w:ascii="Arial" w:hAnsi="Arial" w:eastAsia="Arial" w:cs="Arial"/>
          <w:noProof w:val="0"/>
          <w:color w:val="000000" w:themeColor="text1" w:themeTint="FF" w:themeShade="FF"/>
          <w:sz w:val="22"/>
          <w:szCs w:val="22"/>
          <w:lang w:val="en-GB"/>
        </w:rPr>
        <w:t xml:space="preserve"> how multiple latent failures across organisational layers aligned to allow harm to occur. In this case, gaps in monitoring systems, inadequate supervision of nursing practices, and poor incident escalation procedures created “holes” in the hospital’s safety defences (Reason, 1997). These weaknesses were compounded by inadequate staffing ratios in the neonatal unit, which limited the capacity to </w:t>
      </w:r>
      <w:r w:rsidRPr="4EE597E1" w:rsidR="199E724A">
        <w:rPr>
          <w:rFonts w:ascii="Arial" w:hAnsi="Arial" w:eastAsia="Arial" w:cs="Arial"/>
          <w:noProof w:val="0"/>
          <w:color w:val="000000" w:themeColor="text1" w:themeTint="FF" w:themeShade="FF"/>
          <w:sz w:val="22"/>
          <w:szCs w:val="22"/>
          <w:lang w:val="en-GB"/>
        </w:rPr>
        <w:t>identify</w:t>
      </w:r>
      <w:r w:rsidRPr="4EE597E1" w:rsidR="199E724A">
        <w:rPr>
          <w:rFonts w:ascii="Arial" w:hAnsi="Arial" w:eastAsia="Arial" w:cs="Arial"/>
          <w:noProof w:val="0"/>
          <w:color w:val="000000" w:themeColor="text1" w:themeTint="FF" w:themeShade="FF"/>
          <w:sz w:val="22"/>
          <w:szCs w:val="22"/>
          <w:lang w:val="en-GB"/>
        </w:rPr>
        <w:t xml:space="preserve"> and respond to early warning signs of patient deterioration (Sexton et al., 2017). The Swiss Cheese Model highlights that it was not a single individual but a series of organisational vulnerabilities that </w:t>
      </w:r>
      <w:r w:rsidRPr="4EE597E1" w:rsidR="199E724A">
        <w:rPr>
          <w:rFonts w:ascii="Arial" w:hAnsi="Arial" w:eastAsia="Arial" w:cs="Arial"/>
          <w:noProof w:val="0"/>
          <w:color w:val="000000" w:themeColor="text1" w:themeTint="FF" w:themeShade="FF"/>
          <w:sz w:val="22"/>
          <w:szCs w:val="22"/>
          <w:lang w:val="en-GB"/>
        </w:rPr>
        <w:t>facilitated</w:t>
      </w:r>
      <w:r w:rsidRPr="4EE597E1" w:rsidR="199E724A">
        <w:rPr>
          <w:rFonts w:ascii="Arial" w:hAnsi="Arial" w:eastAsia="Arial" w:cs="Arial"/>
          <w:noProof w:val="0"/>
          <w:color w:val="000000" w:themeColor="text1" w:themeTint="FF" w:themeShade="FF"/>
          <w:sz w:val="22"/>
          <w:szCs w:val="22"/>
          <w:lang w:val="en-GB"/>
        </w:rPr>
        <w:t xml:space="preserve"> repeated adverse events.</w:t>
      </w:r>
    </w:p>
    <w:p w:rsidR="199E724A" w:rsidP="4EE597E1" w:rsidRDefault="199E724A" w14:paraId="665F4346" w14:textId="2D5C7B77">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EE597E1" w:rsidR="199E724A">
        <w:rPr>
          <w:rFonts w:ascii="Arial" w:hAnsi="Arial" w:eastAsia="Arial" w:cs="Arial"/>
          <w:b w:val="0"/>
          <w:bCs w:val="0"/>
          <w:noProof w:val="0"/>
          <w:color w:val="000000" w:themeColor="text1" w:themeTint="FF" w:themeShade="FF"/>
          <w:sz w:val="22"/>
          <w:szCs w:val="22"/>
          <w:lang w:val="en-GB"/>
        </w:rPr>
        <w:t xml:space="preserve">The </w:t>
      </w:r>
      <w:r w:rsidRPr="4EE597E1" w:rsidR="199E724A">
        <w:rPr>
          <w:rFonts w:ascii="Arial" w:hAnsi="Arial" w:eastAsia="Arial" w:cs="Arial"/>
          <w:b w:val="0"/>
          <w:bCs w:val="0"/>
          <w:noProof w:val="0"/>
          <w:color w:val="000000" w:themeColor="text1" w:themeTint="FF" w:themeShade="FF"/>
          <w:sz w:val="22"/>
          <w:szCs w:val="22"/>
          <w:lang w:val="en-GB"/>
        </w:rPr>
        <w:t>Fishbone Diagram</w:t>
      </w:r>
      <w:r w:rsidRPr="4EE597E1" w:rsidR="199E724A">
        <w:rPr>
          <w:rFonts w:ascii="Arial" w:hAnsi="Arial" w:eastAsia="Arial" w:cs="Arial"/>
          <w:b w:val="0"/>
          <w:bCs w:val="0"/>
          <w:noProof w:val="0"/>
          <w:color w:val="000000" w:themeColor="text1" w:themeTint="FF" w:themeShade="FF"/>
          <w:sz w:val="22"/>
          <w:szCs w:val="22"/>
          <w:lang w:val="en-GB"/>
        </w:rPr>
        <w:t xml:space="preserve"> further clarifies these root causes by categorising them into key domains. </w:t>
      </w:r>
      <w:r w:rsidRPr="4EE597E1" w:rsidR="199E724A">
        <w:rPr>
          <w:rFonts w:ascii="Arial" w:hAnsi="Arial" w:eastAsia="Arial" w:cs="Arial"/>
          <w:b w:val="0"/>
          <w:bCs w:val="0"/>
          <w:noProof w:val="0"/>
          <w:color w:val="000000" w:themeColor="text1" w:themeTint="FF" w:themeShade="FF"/>
          <w:sz w:val="22"/>
          <w:szCs w:val="22"/>
          <w:lang w:val="en-GB"/>
        </w:rPr>
        <w:t>Human factors</w:t>
      </w:r>
      <w:r w:rsidRPr="4EE597E1" w:rsidR="199E724A">
        <w:rPr>
          <w:rFonts w:ascii="Arial" w:hAnsi="Arial" w:eastAsia="Arial" w:cs="Arial"/>
          <w:b w:val="0"/>
          <w:bCs w:val="0"/>
          <w:noProof w:val="0"/>
          <w:color w:val="000000" w:themeColor="text1" w:themeTint="FF" w:themeShade="FF"/>
          <w:sz w:val="22"/>
          <w:szCs w:val="22"/>
          <w:lang w:val="en-GB"/>
        </w:rPr>
        <w:t xml:space="preserve"> included insufficient training on recognising clinical anomalies and ineffective communication among staff (Kaplan et al., 2010). </w:t>
      </w:r>
      <w:r w:rsidRPr="4EE597E1" w:rsidR="199E724A">
        <w:rPr>
          <w:rFonts w:ascii="Arial" w:hAnsi="Arial" w:eastAsia="Arial" w:cs="Arial"/>
          <w:b w:val="0"/>
          <w:bCs w:val="0"/>
          <w:noProof w:val="0"/>
          <w:color w:val="000000" w:themeColor="text1" w:themeTint="FF" w:themeShade="FF"/>
          <w:sz w:val="22"/>
          <w:szCs w:val="22"/>
          <w:lang w:val="en-GB"/>
        </w:rPr>
        <w:t>Process failures</w:t>
      </w:r>
      <w:r w:rsidRPr="4EE597E1" w:rsidR="199E724A">
        <w:rPr>
          <w:rFonts w:ascii="Arial" w:hAnsi="Arial" w:eastAsia="Arial" w:cs="Arial"/>
          <w:b w:val="0"/>
          <w:bCs w:val="0"/>
          <w:noProof w:val="0"/>
          <w:color w:val="000000" w:themeColor="text1" w:themeTint="FF" w:themeShade="FF"/>
          <w:sz w:val="22"/>
          <w:szCs w:val="22"/>
          <w:lang w:val="en-GB"/>
        </w:rPr>
        <w:t xml:space="preserve"> were </w:t>
      </w:r>
      <w:r w:rsidRPr="4EE597E1" w:rsidR="199E724A">
        <w:rPr>
          <w:rFonts w:ascii="Arial" w:hAnsi="Arial" w:eastAsia="Arial" w:cs="Arial"/>
          <w:b w:val="0"/>
          <w:bCs w:val="0"/>
          <w:noProof w:val="0"/>
          <w:color w:val="000000" w:themeColor="text1" w:themeTint="FF" w:themeShade="FF"/>
          <w:sz w:val="22"/>
          <w:szCs w:val="22"/>
          <w:lang w:val="en-GB"/>
        </w:rPr>
        <w:t>evident</w:t>
      </w:r>
      <w:r w:rsidRPr="4EE597E1" w:rsidR="199E724A">
        <w:rPr>
          <w:rFonts w:ascii="Arial" w:hAnsi="Arial" w:eastAsia="Arial" w:cs="Arial"/>
          <w:b w:val="0"/>
          <w:bCs w:val="0"/>
          <w:noProof w:val="0"/>
          <w:color w:val="000000" w:themeColor="text1" w:themeTint="FF" w:themeShade="FF"/>
          <w:sz w:val="22"/>
          <w:szCs w:val="22"/>
          <w:lang w:val="en-GB"/>
        </w:rPr>
        <w:t xml:space="preserve"> in delayed investigation of neonatal deaths, absence of </w:t>
      </w:r>
      <w:r w:rsidRPr="4EE597E1" w:rsidR="199E724A">
        <w:rPr>
          <w:rFonts w:ascii="Arial" w:hAnsi="Arial" w:eastAsia="Arial" w:cs="Arial"/>
          <w:b w:val="0"/>
          <w:bCs w:val="0"/>
          <w:noProof w:val="0"/>
          <w:color w:val="000000" w:themeColor="text1" w:themeTint="FF" w:themeShade="FF"/>
          <w:sz w:val="22"/>
          <w:szCs w:val="22"/>
          <w:lang w:val="en-GB"/>
        </w:rPr>
        <w:t>timely</w:t>
      </w:r>
      <w:r w:rsidRPr="4EE597E1" w:rsidR="199E724A">
        <w:rPr>
          <w:rFonts w:ascii="Arial" w:hAnsi="Arial" w:eastAsia="Arial" w:cs="Arial"/>
          <w:b w:val="0"/>
          <w:bCs w:val="0"/>
          <w:noProof w:val="0"/>
          <w:color w:val="000000" w:themeColor="text1" w:themeTint="FF" w:themeShade="FF"/>
          <w:sz w:val="22"/>
          <w:szCs w:val="22"/>
          <w:lang w:val="en-GB"/>
        </w:rPr>
        <w:t xml:space="preserve"> audits, and inconsistent application of incident reporting policies (</w:t>
      </w:r>
      <w:r w:rsidRPr="4EE597E1" w:rsidR="199E724A">
        <w:rPr>
          <w:rFonts w:ascii="Arial" w:hAnsi="Arial" w:eastAsia="Arial" w:cs="Arial"/>
          <w:b w:val="0"/>
          <w:bCs w:val="0"/>
          <w:noProof w:val="0"/>
          <w:color w:val="000000" w:themeColor="text1" w:themeTint="FF" w:themeShade="FF"/>
          <w:sz w:val="22"/>
          <w:szCs w:val="22"/>
          <w:lang w:val="en-GB"/>
        </w:rPr>
        <w:t>Percarpio</w:t>
      </w:r>
      <w:r w:rsidRPr="4EE597E1" w:rsidR="199E724A">
        <w:rPr>
          <w:rFonts w:ascii="Arial" w:hAnsi="Arial" w:eastAsia="Arial" w:cs="Arial"/>
          <w:b w:val="0"/>
          <w:bCs w:val="0"/>
          <w:noProof w:val="0"/>
          <w:color w:val="000000" w:themeColor="text1" w:themeTint="FF" w:themeShade="FF"/>
          <w:sz w:val="22"/>
          <w:szCs w:val="22"/>
          <w:lang w:val="en-GB"/>
        </w:rPr>
        <w:t xml:space="preserve">, Watts &amp; Weeks, 2008). </w:t>
      </w:r>
      <w:r w:rsidRPr="4EE597E1" w:rsidR="199E724A">
        <w:rPr>
          <w:rFonts w:ascii="Arial" w:hAnsi="Arial" w:eastAsia="Arial" w:cs="Arial"/>
          <w:b w:val="0"/>
          <w:bCs w:val="0"/>
          <w:noProof w:val="0"/>
          <w:color w:val="000000" w:themeColor="text1" w:themeTint="FF" w:themeShade="FF"/>
          <w:sz w:val="22"/>
          <w:szCs w:val="22"/>
          <w:lang w:val="en-GB"/>
        </w:rPr>
        <w:t>Policy and governance factors</w:t>
      </w:r>
      <w:r w:rsidRPr="4EE597E1" w:rsidR="199E724A">
        <w:rPr>
          <w:rFonts w:ascii="Arial" w:hAnsi="Arial" w:eastAsia="Arial" w:cs="Arial"/>
          <w:b w:val="0"/>
          <w:bCs w:val="0"/>
          <w:noProof w:val="0"/>
          <w:color w:val="000000" w:themeColor="text1" w:themeTint="FF" w:themeShade="FF"/>
          <w:sz w:val="22"/>
          <w:szCs w:val="22"/>
          <w:lang w:val="en-GB"/>
        </w:rPr>
        <w:t xml:space="preserve"> included weak oversight of compliance with national guidelines and underdeveloped whistleblowing mechanisms, which discouraged staff from escalating concerns (UK Government Department of Health, 2025). </w:t>
      </w:r>
      <w:r w:rsidRPr="4EE597E1" w:rsidR="199E724A">
        <w:rPr>
          <w:rFonts w:ascii="Arial" w:hAnsi="Arial" w:eastAsia="Arial" w:cs="Arial"/>
          <w:b w:val="0"/>
          <w:bCs w:val="0"/>
          <w:noProof w:val="0"/>
          <w:color w:val="000000" w:themeColor="text1" w:themeTint="FF" w:themeShade="FF"/>
          <w:sz w:val="22"/>
          <w:szCs w:val="22"/>
          <w:lang w:val="en-GB"/>
        </w:rPr>
        <w:t>Environmental factors</w:t>
      </w:r>
      <w:r w:rsidRPr="4EE597E1" w:rsidR="199E724A">
        <w:rPr>
          <w:rFonts w:ascii="Arial" w:hAnsi="Arial" w:eastAsia="Arial" w:cs="Arial"/>
          <w:b w:val="0"/>
          <w:bCs w:val="0"/>
          <w:noProof w:val="0"/>
          <w:color w:val="000000" w:themeColor="text1" w:themeTint="FF" w:themeShade="FF"/>
          <w:sz w:val="22"/>
          <w:szCs w:val="22"/>
          <w:lang w:val="en-GB"/>
        </w:rPr>
        <w:t xml:space="preserve"> such as high patient-to-nurse ratios, overcrowding, and limited monitoring equipment further </w:t>
      </w:r>
      <w:r w:rsidRPr="4EE597E1" w:rsidR="199E724A">
        <w:rPr>
          <w:rFonts w:ascii="Arial" w:hAnsi="Arial" w:eastAsia="Arial" w:cs="Arial"/>
          <w:b w:val="0"/>
          <w:bCs w:val="0"/>
          <w:noProof w:val="0"/>
          <w:color w:val="000000" w:themeColor="text1" w:themeTint="FF" w:themeShade="FF"/>
          <w:sz w:val="22"/>
          <w:szCs w:val="22"/>
          <w:lang w:val="en-GB"/>
        </w:rPr>
        <w:t>exacerbated</w:t>
      </w:r>
      <w:r w:rsidRPr="4EE597E1" w:rsidR="199E724A">
        <w:rPr>
          <w:rFonts w:ascii="Arial" w:hAnsi="Arial" w:eastAsia="Arial" w:cs="Arial"/>
          <w:b w:val="0"/>
          <w:bCs w:val="0"/>
          <w:noProof w:val="0"/>
          <w:color w:val="000000" w:themeColor="text1" w:themeTint="FF" w:themeShade="FF"/>
          <w:sz w:val="22"/>
          <w:szCs w:val="22"/>
          <w:lang w:val="en-GB"/>
        </w:rPr>
        <w:t xml:space="preserve"> the risk of undetected adverse events (Pickett et al., 2018).</w:t>
      </w:r>
    </w:p>
    <w:p w:rsidR="199E724A" w:rsidP="4EE597E1" w:rsidRDefault="199E724A" w14:paraId="32753CC1" w14:textId="3124918A">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4EE597E1" w:rsidR="199E724A">
        <w:rPr>
          <w:rFonts w:ascii="Arial" w:hAnsi="Arial" w:eastAsia="Arial" w:cs="Arial"/>
          <w:noProof w:val="0"/>
          <w:color w:val="000000" w:themeColor="text1" w:themeTint="FF" w:themeShade="FF"/>
          <w:sz w:val="22"/>
          <w:szCs w:val="22"/>
          <w:lang w:val="en-GB"/>
        </w:rPr>
        <w:t xml:space="preserve">The 5 Whys </w:t>
      </w:r>
      <w:r w:rsidRPr="4EE597E1" w:rsidR="199E724A">
        <w:rPr>
          <w:rFonts w:ascii="Arial" w:hAnsi="Arial" w:eastAsia="Arial" w:cs="Arial"/>
          <w:b w:val="0"/>
          <w:bCs w:val="0"/>
          <w:noProof w:val="0"/>
          <w:color w:val="000000" w:themeColor="text1" w:themeTint="FF" w:themeShade="FF"/>
          <w:sz w:val="22"/>
          <w:szCs w:val="22"/>
          <w:lang w:val="en-GB"/>
        </w:rPr>
        <w:t>methodology</w:t>
      </w:r>
      <w:r w:rsidRPr="4EE597E1" w:rsidR="199E724A">
        <w:rPr>
          <w:rFonts w:ascii="Arial" w:hAnsi="Arial" w:eastAsia="Arial" w:cs="Arial"/>
          <w:b w:val="0"/>
          <w:bCs w:val="0"/>
          <w:noProof w:val="0"/>
          <w:color w:val="000000" w:themeColor="text1" w:themeTint="FF" w:themeShade="FF"/>
          <w:sz w:val="22"/>
          <w:szCs w:val="22"/>
          <w:lang w:val="en-GB"/>
        </w:rPr>
        <w:t xml:space="preserve"> allows a deeper investigation into these failures. For example, delayed reporting of neonatal deterioration prompts the following analysis: </w:t>
      </w:r>
      <w:r w:rsidRPr="4EE597E1" w:rsidR="199E724A">
        <w:rPr>
          <w:rFonts w:ascii="Arial" w:hAnsi="Arial" w:eastAsia="Arial" w:cs="Arial"/>
          <w:b w:val="0"/>
          <w:bCs w:val="0"/>
          <w:noProof w:val="0"/>
          <w:color w:val="000000" w:themeColor="text1" w:themeTint="FF" w:themeShade="FF"/>
          <w:sz w:val="22"/>
          <w:szCs w:val="22"/>
          <w:lang w:val="en-GB"/>
        </w:rPr>
        <w:t>Why 1:</w:t>
      </w:r>
      <w:r w:rsidRPr="4EE597E1" w:rsidR="199E724A">
        <w:rPr>
          <w:rFonts w:ascii="Arial" w:hAnsi="Arial" w:eastAsia="Arial" w:cs="Arial"/>
          <w:b w:val="0"/>
          <w:bCs w:val="0"/>
          <w:noProof w:val="0"/>
          <w:color w:val="000000" w:themeColor="text1" w:themeTint="FF" w:themeShade="FF"/>
          <w:sz w:val="22"/>
          <w:szCs w:val="22"/>
          <w:lang w:val="en-GB"/>
        </w:rPr>
        <w:t xml:space="preserve"> Staff failed to escalate abnormal results → </w:t>
      </w:r>
      <w:r w:rsidRPr="4EE597E1" w:rsidR="199E724A">
        <w:rPr>
          <w:rFonts w:ascii="Arial" w:hAnsi="Arial" w:eastAsia="Arial" w:cs="Arial"/>
          <w:b w:val="0"/>
          <w:bCs w:val="0"/>
          <w:noProof w:val="0"/>
          <w:color w:val="000000" w:themeColor="text1" w:themeTint="FF" w:themeShade="FF"/>
          <w:sz w:val="22"/>
          <w:szCs w:val="22"/>
          <w:lang w:val="en-GB"/>
        </w:rPr>
        <w:t>Why 2:</w:t>
      </w:r>
      <w:r w:rsidRPr="4EE597E1" w:rsidR="199E724A">
        <w:rPr>
          <w:rFonts w:ascii="Arial" w:hAnsi="Arial" w:eastAsia="Arial" w:cs="Arial"/>
          <w:b w:val="0"/>
          <w:bCs w:val="0"/>
          <w:noProof w:val="0"/>
          <w:color w:val="000000" w:themeColor="text1" w:themeTint="FF" w:themeShade="FF"/>
          <w:sz w:val="22"/>
          <w:szCs w:val="22"/>
          <w:lang w:val="en-GB"/>
        </w:rPr>
        <w:t xml:space="preserve"> No clear escalation protocol existed → </w:t>
      </w:r>
      <w:r w:rsidRPr="4EE597E1" w:rsidR="199E724A">
        <w:rPr>
          <w:rFonts w:ascii="Arial" w:hAnsi="Arial" w:eastAsia="Arial" w:cs="Arial"/>
          <w:b w:val="0"/>
          <w:bCs w:val="0"/>
          <w:noProof w:val="0"/>
          <w:color w:val="000000" w:themeColor="text1" w:themeTint="FF" w:themeShade="FF"/>
          <w:sz w:val="22"/>
          <w:szCs w:val="22"/>
          <w:lang w:val="en-GB"/>
        </w:rPr>
        <w:t>Why 3:</w:t>
      </w:r>
      <w:r w:rsidRPr="4EE597E1" w:rsidR="199E724A">
        <w:rPr>
          <w:rFonts w:ascii="Arial" w:hAnsi="Arial" w:eastAsia="Arial" w:cs="Arial"/>
          <w:b w:val="0"/>
          <w:bCs w:val="0"/>
          <w:noProof w:val="0"/>
          <w:color w:val="000000" w:themeColor="text1" w:themeTint="FF" w:themeShade="FF"/>
          <w:sz w:val="22"/>
          <w:szCs w:val="22"/>
          <w:lang w:val="en-GB"/>
        </w:rPr>
        <w:t xml:space="preserve"> Leadership did not enforce reporting standards → </w:t>
      </w:r>
      <w:r w:rsidRPr="4EE597E1" w:rsidR="199E724A">
        <w:rPr>
          <w:rFonts w:ascii="Arial" w:hAnsi="Arial" w:eastAsia="Arial" w:cs="Arial"/>
          <w:b w:val="0"/>
          <w:bCs w:val="0"/>
          <w:noProof w:val="0"/>
          <w:color w:val="000000" w:themeColor="text1" w:themeTint="FF" w:themeShade="FF"/>
          <w:sz w:val="22"/>
          <w:szCs w:val="22"/>
          <w:lang w:val="en-GB"/>
        </w:rPr>
        <w:t>Why 4:</w:t>
      </w:r>
      <w:r w:rsidRPr="4EE597E1" w:rsidR="199E724A">
        <w:rPr>
          <w:rFonts w:ascii="Arial" w:hAnsi="Arial" w:eastAsia="Arial" w:cs="Arial"/>
          <w:b w:val="0"/>
          <w:bCs w:val="0"/>
          <w:noProof w:val="0"/>
          <w:color w:val="000000" w:themeColor="text1" w:themeTint="FF" w:themeShade="FF"/>
          <w:sz w:val="22"/>
          <w:szCs w:val="22"/>
          <w:lang w:val="en-GB"/>
        </w:rPr>
        <w:t xml:space="preserve"> Organisational culture prioritised performance metrics over safety → </w:t>
      </w:r>
      <w:r w:rsidRPr="4EE597E1" w:rsidR="199E724A">
        <w:rPr>
          <w:rFonts w:ascii="Arial" w:hAnsi="Arial" w:eastAsia="Arial" w:cs="Arial"/>
          <w:b w:val="0"/>
          <w:bCs w:val="0"/>
          <w:noProof w:val="0"/>
          <w:color w:val="000000" w:themeColor="text1" w:themeTint="FF" w:themeShade="FF"/>
          <w:sz w:val="22"/>
          <w:szCs w:val="22"/>
          <w:lang w:val="en-GB"/>
        </w:rPr>
        <w:t>Why 5:</w:t>
      </w:r>
      <w:r w:rsidRPr="4EE597E1" w:rsidR="199E724A">
        <w:rPr>
          <w:rFonts w:ascii="Arial" w:hAnsi="Arial" w:eastAsia="Arial" w:cs="Arial"/>
          <w:b w:val="0"/>
          <w:bCs w:val="0"/>
          <w:noProof w:val="0"/>
          <w:color w:val="000000" w:themeColor="text1" w:themeTint="FF" w:themeShade="FF"/>
          <w:sz w:val="22"/>
          <w:szCs w:val="22"/>
          <w:lang w:val="en-GB"/>
        </w:rPr>
        <w:t xml:space="preserve"> Systemic undervaluation of neonatal patient safety (O’Neill, 2024). This iterative questioning reveals that root causes </w:t>
      </w:r>
      <w:r w:rsidRPr="4EE597E1" w:rsidR="199E724A">
        <w:rPr>
          <w:rFonts w:ascii="Arial" w:hAnsi="Arial" w:eastAsia="Arial" w:cs="Arial"/>
          <w:noProof w:val="0"/>
          <w:color w:val="000000" w:themeColor="text1" w:themeTint="FF" w:themeShade="FF"/>
          <w:sz w:val="22"/>
          <w:szCs w:val="22"/>
          <w:lang w:val="en-GB"/>
        </w:rPr>
        <w:t>were embedded in the system rather than being solely attributable to individual behaviour.</w:t>
      </w:r>
    </w:p>
    <w:p w:rsidR="199E724A" w:rsidP="4EE597E1" w:rsidRDefault="199E724A" w14:paraId="6F6406F6" w14:textId="3653095B">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4EE597E1" w:rsidR="199E724A">
        <w:rPr>
          <w:rFonts w:ascii="Arial" w:hAnsi="Arial" w:eastAsia="Arial" w:cs="Arial"/>
          <w:noProof w:val="0"/>
          <w:color w:val="000000" w:themeColor="text1" w:themeTint="FF" w:themeShade="FF"/>
          <w:sz w:val="22"/>
          <w:szCs w:val="22"/>
          <w:lang w:val="en-GB"/>
        </w:rPr>
        <w:t xml:space="preserve">Evidence from neonatal intensive care research underscores that safety culture, staffing adequacy, and structured reporting systems are critical to patient outcomes (Hassan, McGrath &amp; Rollins, 2011). In Chester, failures across these domains interacted to allow harm to occur repeatedly. </w:t>
      </w:r>
      <w:r w:rsidRPr="4EE597E1" w:rsidR="199E724A">
        <w:rPr>
          <w:rFonts w:ascii="Arial" w:hAnsi="Arial" w:eastAsia="Arial" w:cs="Arial"/>
          <w:noProof w:val="0"/>
          <w:color w:val="000000" w:themeColor="text1" w:themeTint="FF" w:themeShade="FF"/>
          <w:sz w:val="22"/>
          <w:szCs w:val="22"/>
          <w:lang w:val="en-GB"/>
        </w:rPr>
        <w:t>Identifying</w:t>
      </w:r>
      <w:r w:rsidRPr="4EE597E1" w:rsidR="199E724A">
        <w:rPr>
          <w:rFonts w:ascii="Arial" w:hAnsi="Arial" w:eastAsia="Arial" w:cs="Arial"/>
          <w:noProof w:val="0"/>
          <w:color w:val="000000" w:themeColor="text1" w:themeTint="FF" w:themeShade="FF"/>
          <w:sz w:val="22"/>
          <w:szCs w:val="22"/>
          <w:lang w:val="en-GB"/>
        </w:rPr>
        <w:t xml:space="preserve"> these root causes provides a foundation for designing effective interventions aimed at strengthening organisational safeguards and improving patient safety in neonatal care settings.</w:t>
      </w:r>
    </w:p>
    <w:p w:rsidR="199E724A" w:rsidP="4EE597E1" w:rsidRDefault="199E724A" w14:paraId="0DB4BDD2" w14:textId="538B89AE">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4EE597E1" w:rsidR="199E724A">
        <w:rPr>
          <w:rFonts w:ascii="Arial" w:hAnsi="Arial" w:eastAsia="Arial" w:cs="Arial"/>
          <w:b w:val="0"/>
          <w:bCs w:val="0"/>
          <w:noProof w:val="0"/>
          <w:color w:val="000000" w:themeColor="text1" w:themeTint="FF" w:themeShade="FF"/>
          <w:sz w:val="22"/>
          <w:szCs w:val="22"/>
          <w:lang w:val="en-GB"/>
        </w:rPr>
        <w:t>In summary</w:t>
      </w:r>
      <w:r w:rsidRPr="4EE597E1" w:rsidR="199E724A">
        <w:rPr>
          <w:rFonts w:ascii="Arial" w:hAnsi="Arial" w:eastAsia="Arial" w:cs="Arial"/>
          <w:b w:val="0"/>
          <w:bCs w:val="0"/>
          <w:noProof w:val="0"/>
          <w:color w:val="000000" w:themeColor="text1" w:themeTint="FF" w:themeShade="FF"/>
          <w:sz w:val="22"/>
          <w:szCs w:val="22"/>
          <w:lang w:val="en-GB"/>
        </w:rPr>
        <w:t>, root c</w:t>
      </w:r>
      <w:r w:rsidRPr="4EE597E1" w:rsidR="199E724A">
        <w:rPr>
          <w:rFonts w:ascii="Arial" w:hAnsi="Arial" w:eastAsia="Arial" w:cs="Arial"/>
          <w:noProof w:val="0"/>
          <w:color w:val="000000" w:themeColor="text1" w:themeTint="FF" w:themeShade="FF"/>
          <w:sz w:val="22"/>
          <w:szCs w:val="22"/>
          <w:lang w:val="en-GB"/>
        </w:rPr>
        <w:t>ause analysis using the Swiss Cheese Model, Fishbone Diagram, and 5 Whys illustrates that the Letby case resulted from systemic organisational failures rather than isolated human error. Addressing these multi-layered weaknesses is essential for improving neonatal care quality and preventing future harm.</w:t>
      </w:r>
    </w:p>
    <w:p w:rsidR="0FA3BAB8" w:rsidP="4EE597E1" w:rsidRDefault="0FA3BAB8" w14:paraId="27C59617" w14:textId="508D793A">
      <w:pPr>
        <w:pStyle w:val="Heading1"/>
        <w:spacing w:before="322" w:beforeAutospacing="off" w:after="322" w:afterAutospacing="off"/>
        <w:jc w:val="both"/>
      </w:pPr>
      <w:r w:rsidRPr="4EE597E1" w:rsidR="0FA3BAB8">
        <w:rPr>
          <w:rFonts w:ascii="Arial" w:hAnsi="Arial" w:eastAsia="Arial" w:cs="Arial"/>
          <w:b w:val="1"/>
          <w:bCs w:val="1"/>
          <w:noProof w:val="0"/>
          <w:color w:val="000000" w:themeColor="text1" w:themeTint="FF" w:themeShade="FF"/>
          <w:sz w:val="22"/>
          <w:szCs w:val="22"/>
          <w:lang w:val="en-GB"/>
        </w:rPr>
        <w:t>3.2 Policy and Governance Analysis</w:t>
      </w:r>
      <w:r w:rsidRPr="4EE597E1" w:rsidR="0FA3BAB8">
        <w:rPr>
          <w:rFonts w:ascii="Arial" w:hAnsi="Arial" w:eastAsia="Arial" w:cs="Arial"/>
          <w:b w:val="1"/>
          <w:bCs w:val="1"/>
          <w:noProof w:val="0"/>
          <w:sz w:val="48"/>
          <w:szCs w:val="48"/>
          <w:lang w:val="en-GB"/>
        </w:rPr>
        <w:t xml:space="preserve"> </w:t>
      </w:r>
    </w:p>
    <w:p w:rsidR="0FA3BAB8" w:rsidP="4EE597E1" w:rsidRDefault="0FA3BAB8" w14:paraId="16F035BF" w14:textId="3DD08349">
      <w:pPr>
        <w:spacing w:before="240" w:beforeAutospacing="off" w:after="240" w:afterAutospacing="off" w:line="360" w:lineRule="auto"/>
        <w:jc w:val="both"/>
      </w:pPr>
      <w:r w:rsidRPr="4EE597E1" w:rsidR="0FA3BAB8">
        <w:rPr>
          <w:rFonts w:ascii="Arial" w:hAnsi="Arial" w:eastAsia="Arial" w:cs="Arial"/>
          <w:noProof w:val="0"/>
          <w:sz w:val="22"/>
          <w:szCs w:val="22"/>
          <w:lang w:val="en-GB"/>
        </w:rPr>
        <w:t xml:space="preserve">The systemic failures at Countess of Chester Hospital were not only clinical but also </w:t>
      </w:r>
      <w:r w:rsidRPr="4EE597E1" w:rsidR="0F662E22">
        <w:rPr>
          <w:rFonts w:ascii="Arial" w:hAnsi="Arial" w:eastAsia="Arial" w:cs="Arial"/>
          <w:noProof w:val="0"/>
          <w:sz w:val="22"/>
          <w:szCs w:val="22"/>
          <w:lang w:val="en-GB"/>
        </w:rPr>
        <w:t>policy driven</w:t>
      </w:r>
      <w:r w:rsidRPr="4EE597E1" w:rsidR="0FA3BAB8">
        <w:rPr>
          <w:rFonts w:ascii="Arial" w:hAnsi="Arial" w:eastAsia="Arial" w:cs="Arial"/>
          <w:noProof w:val="0"/>
          <w:sz w:val="22"/>
          <w:szCs w:val="22"/>
          <w:lang w:val="en-GB"/>
        </w:rPr>
        <w:t xml:space="preserve">. Effective healthcare governance </w:t>
      </w:r>
      <w:r w:rsidRPr="4EE597E1" w:rsidR="0FA3BAB8">
        <w:rPr>
          <w:rFonts w:ascii="Arial" w:hAnsi="Arial" w:eastAsia="Arial" w:cs="Arial"/>
          <w:noProof w:val="0"/>
          <w:sz w:val="22"/>
          <w:szCs w:val="22"/>
          <w:lang w:val="en-GB"/>
        </w:rPr>
        <w:t>requires</w:t>
      </w:r>
      <w:r w:rsidRPr="4EE597E1" w:rsidR="0FA3BAB8">
        <w:rPr>
          <w:rFonts w:ascii="Arial" w:hAnsi="Arial" w:eastAsia="Arial" w:cs="Arial"/>
          <w:noProof w:val="0"/>
          <w:sz w:val="22"/>
          <w:szCs w:val="22"/>
          <w:lang w:val="en-GB"/>
        </w:rPr>
        <w:t xml:space="preserve"> clear frameworks for accountability, adherence to national standards, and mechanisms for staff to raise concerns. In the Letby case, weaknesses in these governance structures significantly contributed to patient harm (Francis, 2013).</w:t>
      </w:r>
    </w:p>
    <w:p w:rsidR="0FA3BAB8" w:rsidP="4EE597E1" w:rsidRDefault="0FA3BAB8" w14:paraId="7F07EE75" w14:textId="252AF7F5">
      <w:pPr>
        <w:spacing w:before="240" w:beforeAutospacing="off" w:after="240" w:afterAutospacing="off" w:line="360" w:lineRule="auto"/>
        <w:jc w:val="both"/>
        <w:rPr>
          <w:rFonts w:ascii="Arial" w:hAnsi="Arial" w:eastAsia="Arial" w:cs="Arial"/>
          <w:b w:val="0"/>
          <w:bCs w:val="0"/>
          <w:noProof w:val="0"/>
          <w:sz w:val="22"/>
          <w:szCs w:val="22"/>
          <w:lang w:val="en-GB"/>
        </w:rPr>
      </w:pPr>
      <w:r w:rsidRPr="4EE597E1" w:rsidR="0FA3BAB8">
        <w:rPr>
          <w:rFonts w:ascii="Arial" w:hAnsi="Arial" w:eastAsia="Arial" w:cs="Arial"/>
          <w:b w:val="0"/>
          <w:bCs w:val="0"/>
          <w:noProof w:val="0"/>
          <w:sz w:val="22"/>
          <w:szCs w:val="22"/>
          <w:lang w:val="en-GB"/>
        </w:rPr>
        <w:t xml:space="preserve">A </w:t>
      </w:r>
      <w:r w:rsidRPr="4EE597E1" w:rsidR="0FA3BAB8">
        <w:rPr>
          <w:rFonts w:ascii="Arial" w:hAnsi="Arial" w:eastAsia="Arial" w:cs="Arial"/>
          <w:b w:val="0"/>
          <w:bCs w:val="0"/>
          <w:noProof w:val="0"/>
          <w:sz w:val="22"/>
          <w:szCs w:val="22"/>
          <w:lang w:val="en-GB"/>
        </w:rPr>
        <w:t>SWOT analysis</w:t>
      </w:r>
      <w:r w:rsidRPr="4EE597E1" w:rsidR="0FA3BAB8">
        <w:rPr>
          <w:rFonts w:ascii="Arial" w:hAnsi="Arial" w:eastAsia="Arial" w:cs="Arial"/>
          <w:b w:val="0"/>
          <w:bCs w:val="0"/>
          <w:noProof w:val="0"/>
          <w:sz w:val="22"/>
          <w:szCs w:val="22"/>
          <w:lang w:val="en-GB"/>
        </w:rPr>
        <w:t xml:space="preserve"> of the hospital’s governance highlights critical policy failures. </w:t>
      </w:r>
      <w:r w:rsidRPr="4EE597E1" w:rsidR="0FA3BAB8">
        <w:rPr>
          <w:rFonts w:ascii="Arial" w:hAnsi="Arial" w:eastAsia="Arial" w:cs="Arial"/>
          <w:b w:val="0"/>
          <w:bCs w:val="0"/>
          <w:noProof w:val="0"/>
          <w:sz w:val="22"/>
          <w:szCs w:val="22"/>
          <w:lang w:val="en-GB"/>
        </w:rPr>
        <w:t>Weaknesses</w:t>
      </w:r>
      <w:r w:rsidRPr="4EE597E1" w:rsidR="0FA3BAB8">
        <w:rPr>
          <w:rFonts w:ascii="Arial" w:hAnsi="Arial" w:eastAsia="Arial" w:cs="Arial"/>
          <w:b w:val="0"/>
          <w:bCs w:val="0"/>
          <w:noProof w:val="0"/>
          <w:sz w:val="22"/>
          <w:szCs w:val="22"/>
          <w:lang w:val="en-GB"/>
        </w:rPr>
        <w:t xml:space="preserve"> included inconsistent implementation of NHS patient safety standards, insufficient monitoring of incident reporting, and limited oversight of neonatal care processes. </w:t>
      </w:r>
      <w:r w:rsidRPr="4EE597E1" w:rsidR="0FA3BAB8">
        <w:rPr>
          <w:rFonts w:ascii="Arial" w:hAnsi="Arial" w:eastAsia="Arial" w:cs="Arial"/>
          <w:b w:val="0"/>
          <w:bCs w:val="0"/>
          <w:noProof w:val="0"/>
          <w:sz w:val="22"/>
          <w:szCs w:val="22"/>
          <w:lang w:val="en-GB"/>
        </w:rPr>
        <w:t>Threats</w:t>
      </w:r>
      <w:r w:rsidRPr="4EE597E1" w:rsidR="0FA3BAB8">
        <w:rPr>
          <w:rFonts w:ascii="Arial" w:hAnsi="Arial" w:eastAsia="Arial" w:cs="Arial"/>
          <w:b w:val="0"/>
          <w:bCs w:val="0"/>
          <w:noProof w:val="0"/>
          <w:sz w:val="22"/>
          <w:szCs w:val="22"/>
          <w:lang w:val="en-GB"/>
        </w:rPr>
        <w:t xml:space="preserve"> encompassed resource limitations, high staff turnover, and external pressures for operational efficiency, which may have deprioritised patient safety (Hunt, 2023). Conversely, </w:t>
      </w:r>
      <w:r w:rsidRPr="4EE597E1" w:rsidR="0FA3BAB8">
        <w:rPr>
          <w:rFonts w:ascii="Arial" w:hAnsi="Arial" w:eastAsia="Arial" w:cs="Arial"/>
          <w:b w:val="0"/>
          <w:bCs w:val="0"/>
          <w:noProof w:val="0"/>
          <w:sz w:val="22"/>
          <w:szCs w:val="22"/>
          <w:lang w:val="en-GB"/>
        </w:rPr>
        <w:t>strengths</w:t>
      </w:r>
      <w:r w:rsidRPr="4EE597E1" w:rsidR="0FA3BAB8">
        <w:rPr>
          <w:rFonts w:ascii="Arial" w:hAnsi="Arial" w:eastAsia="Arial" w:cs="Arial"/>
          <w:b w:val="0"/>
          <w:bCs w:val="0"/>
          <w:noProof w:val="0"/>
          <w:sz w:val="22"/>
          <w:szCs w:val="22"/>
          <w:lang w:val="en-GB"/>
        </w:rPr>
        <w:t xml:space="preserve"> such as access to national safety frameworks and regulatory guidance were underutilised, while </w:t>
      </w:r>
      <w:r w:rsidRPr="4EE597E1" w:rsidR="0FA3BAB8">
        <w:rPr>
          <w:rFonts w:ascii="Arial" w:hAnsi="Arial" w:eastAsia="Arial" w:cs="Arial"/>
          <w:b w:val="0"/>
          <w:bCs w:val="0"/>
          <w:noProof w:val="0"/>
          <w:sz w:val="22"/>
          <w:szCs w:val="22"/>
          <w:lang w:val="en-GB"/>
        </w:rPr>
        <w:t>opportunities</w:t>
      </w:r>
      <w:r w:rsidRPr="4EE597E1" w:rsidR="0FA3BAB8">
        <w:rPr>
          <w:rFonts w:ascii="Arial" w:hAnsi="Arial" w:eastAsia="Arial" w:cs="Arial"/>
          <w:b w:val="0"/>
          <w:bCs w:val="0"/>
          <w:noProof w:val="0"/>
          <w:sz w:val="22"/>
          <w:szCs w:val="22"/>
          <w:lang w:val="en-GB"/>
        </w:rPr>
        <w:t xml:space="preserve"> existed to implement structured safety audits, external reviews, and enhanced whistleblowing channels (UK Government Department of Health, 2025).</w:t>
      </w:r>
    </w:p>
    <w:p w:rsidR="0FA3BAB8" w:rsidP="4EE597E1" w:rsidRDefault="0FA3BAB8" w14:paraId="0C821B77" w14:textId="734C5E49">
      <w:pPr>
        <w:spacing w:before="240" w:beforeAutospacing="off" w:after="240" w:afterAutospacing="off" w:line="360" w:lineRule="auto"/>
        <w:jc w:val="both"/>
        <w:rPr>
          <w:rFonts w:ascii="Arial" w:hAnsi="Arial" w:eastAsia="Arial" w:cs="Arial"/>
          <w:b w:val="0"/>
          <w:bCs w:val="0"/>
          <w:noProof w:val="0"/>
          <w:sz w:val="22"/>
          <w:szCs w:val="22"/>
          <w:lang w:val="en-GB"/>
        </w:rPr>
      </w:pPr>
      <w:r w:rsidRPr="4EE597E1" w:rsidR="0FA3BAB8">
        <w:rPr>
          <w:rFonts w:ascii="Arial" w:hAnsi="Arial" w:eastAsia="Arial" w:cs="Arial"/>
          <w:b w:val="0"/>
          <w:bCs w:val="0"/>
          <w:noProof w:val="0"/>
          <w:sz w:val="22"/>
          <w:szCs w:val="22"/>
          <w:lang w:val="en-GB"/>
        </w:rPr>
        <w:t xml:space="preserve">A </w:t>
      </w:r>
      <w:r w:rsidRPr="4EE597E1" w:rsidR="0FA3BAB8">
        <w:rPr>
          <w:rFonts w:ascii="Arial" w:hAnsi="Arial" w:eastAsia="Arial" w:cs="Arial"/>
          <w:b w:val="0"/>
          <w:bCs w:val="0"/>
          <w:noProof w:val="0"/>
          <w:sz w:val="22"/>
          <w:szCs w:val="22"/>
          <w:lang w:val="en-GB"/>
        </w:rPr>
        <w:t>PESTLE analysis</w:t>
      </w:r>
      <w:r w:rsidRPr="4EE597E1" w:rsidR="0FA3BAB8">
        <w:rPr>
          <w:rFonts w:ascii="Arial" w:hAnsi="Arial" w:eastAsia="Arial" w:cs="Arial"/>
          <w:b w:val="0"/>
          <w:bCs w:val="0"/>
          <w:noProof w:val="0"/>
          <w:sz w:val="22"/>
          <w:szCs w:val="22"/>
          <w:lang w:val="en-GB"/>
        </w:rPr>
        <w:t xml:space="preserve"> </w:t>
      </w:r>
      <w:r w:rsidRPr="4EE597E1" w:rsidR="0FA3BAB8">
        <w:rPr>
          <w:rFonts w:ascii="Arial" w:hAnsi="Arial" w:eastAsia="Arial" w:cs="Arial"/>
          <w:b w:val="0"/>
          <w:bCs w:val="0"/>
          <w:noProof w:val="0"/>
          <w:sz w:val="22"/>
          <w:szCs w:val="22"/>
          <w:lang w:val="en-GB"/>
        </w:rPr>
        <w:t>provides</w:t>
      </w:r>
      <w:r w:rsidRPr="4EE597E1" w:rsidR="0FA3BAB8">
        <w:rPr>
          <w:rFonts w:ascii="Arial" w:hAnsi="Arial" w:eastAsia="Arial" w:cs="Arial"/>
          <w:b w:val="0"/>
          <w:bCs w:val="0"/>
          <w:noProof w:val="0"/>
          <w:sz w:val="22"/>
          <w:szCs w:val="22"/>
          <w:lang w:val="en-GB"/>
        </w:rPr>
        <w:t xml:space="preserve"> further insight. </w:t>
      </w:r>
      <w:r w:rsidRPr="4EE597E1" w:rsidR="0FA3BAB8">
        <w:rPr>
          <w:rFonts w:ascii="Arial" w:hAnsi="Arial" w:eastAsia="Arial" w:cs="Arial"/>
          <w:b w:val="0"/>
          <w:bCs w:val="0"/>
          <w:noProof w:val="0"/>
          <w:sz w:val="22"/>
          <w:szCs w:val="22"/>
          <w:lang w:val="en-GB"/>
        </w:rPr>
        <w:t>Political and legal factors</w:t>
      </w:r>
      <w:r w:rsidRPr="4EE597E1" w:rsidR="0FA3BAB8">
        <w:rPr>
          <w:rFonts w:ascii="Arial" w:hAnsi="Arial" w:eastAsia="Arial" w:cs="Arial"/>
          <w:b w:val="0"/>
          <w:bCs w:val="0"/>
          <w:noProof w:val="0"/>
          <w:sz w:val="22"/>
          <w:szCs w:val="22"/>
          <w:lang w:val="en-GB"/>
        </w:rPr>
        <w:t xml:space="preserve"> included national NHS directives mandating patient safety, compliance audits, and whistleblowing procedures. Local enforcement, however, was weak, allowing latent governance gaps to persist (NHS England, 2025). </w:t>
      </w:r>
      <w:r w:rsidRPr="4EE597E1" w:rsidR="0FA3BAB8">
        <w:rPr>
          <w:rFonts w:ascii="Arial" w:hAnsi="Arial" w:eastAsia="Arial" w:cs="Arial"/>
          <w:b w:val="0"/>
          <w:bCs w:val="0"/>
          <w:noProof w:val="0"/>
          <w:sz w:val="22"/>
          <w:szCs w:val="22"/>
          <w:lang w:val="en-GB"/>
        </w:rPr>
        <w:t>Economic factors</w:t>
      </w:r>
      <w:r w:rsidRPr="4EE597E1" w:rsidR="0FA3BAB8">
        <w:rPr>
          <w:rFonts w:ascii="Arial" w:hAnsi="Arial" w:eastAsia="Arial" w:cs="Arial"/>
          <w:b w:val="0"/>
          <w:bCs w:val="0"/>
          <w:noProof w:val="0"/>
          <w:sz w:val="22"/>
          <w:szCs w:val="22"/>
          <w:lang w:val="en-GB"/>
        </w:rPr>
        <w:t xml:space="preserve">, including staffing shortages and budget constraints, limited leadership capacity to enforce safety protocols. </w:t>
      </w:r>
      <w:r w:rsidRPr="4EE597E1" w:rsidR="0FA3BAB8">
        <w:rPr>
          <w:rFonts w:ascii="Arial" w:hAnsi="Arial" w:eastAsia="Arial" w:cs="Arial"/>
          <w:b w:val="0"/>
          <w:bCs w:val="0"/>
          <w:noProof w:val="0"/>
          <w:sz w:val="22"/>
          <w:szCs w:val="22"/>
          <w:lang w:val="en-GB"/>
        </w:rPr>
        <w:t>Social and cultural factors</w:t>
      </w:r>
      <w:r w:rsidRPr="4EE597E1" w:rsidR="0FA3BAB8">
        <w:rPr>
          <w:rFonts w:ascii="Arial" w:hAnsi="Arial" w:eastAsia="Arial" w:cs="Arial"/>
          <w:b w:val="0"/>
          <w:bCs w:val="0"/>
          <w:noProof w:val="0"/>
          <w:sz w:val="22"/>
          <w:szCs w:val="22"/>
          <w:lang w:val="en-GB"/>
        </w:rPr>
        <w:t xml:space="preserve"> played </w:t>
      </w:r>
      <w:r w:rsidRPr="4EE597E1" w:rsidR="0FA3BAB8">
        <w:rPr>
          <w:rFonts w:ascii="Arial" w:hAnsi="Arial" w:eastAsia="Arial" w:cs="Arial"/>
          <w:b w:val="0"/>
          <w:bCs w:val="0"/>
          <w:noProof w:val="0"/>
          <w:sz w:val="22"/>
          <w:szCs w:val="22"/>
          <w:lang w:val="en-GB"/>
        </w:rPr>
        <w:t>a central role</w:t>
      </w:r>
      <w:r w:rsidRPr="4EE597E1" w:rsidR="0FA3BAB8">
        <w:rPr>
          <w:rFonts w:ascii="Arial" w:hAnsi="Arial" w:eastAsia="Arial" w:cs="Arial"/>
          <w:b w:val="0"/>
          <w:bCs w:val="0"/>
          <w:noProof w:val="0"/>
          <w:sz w:val="22"/>
          <w:szCs w:val="22"/>
          <w:lang w:val="en-GB"/>
        </w:rPr>
        <w:t xml:space="preserve">; a hierarchical and punitive environment discouraged staff from raising safety concerns (Vincent, 2010). </w:t>
      </w:r>
      <w:r w:rsidRPr="4EE597E1" w:rsidR="0FA3BAB8">
        <w:rPr>
          <w:rFonts w:ascii="Arial" w:hAnsi="Arial" w:eastAsia="Arial" w:cs="Arial"/>
          <w:b w:val="0"/>
          <w:bCs w:val="0"/>
          <w:noProof w:val="0"/>
          <w:sz w:val="22"/>
          <w:szCs w:val="22"/>
          <w:lang w:val="en-GB"/>
        </w:rPr>
        <w:t>Technological factors</w:t>
      </w:r>
      <w:r w:rsidRPr="4EE597E1" w:rsidR="0FA3BAB8">
        <w:rPr>
          <w:rFonts w:ascii="Arial" w:hAnsi="Arial" w:eastAsia="Arial" w:cs="Arial"/>
          <w:b w:val="0"/>
          <w:bCs w:val="0"/>
          <w:noProof w:val="0"/>
          <w:sz w:val="22"/>
          <w:szCs w:val="22"/>
          <w:lang w:val="en-GB"/>
        </w:rPr>
        <w:t xml:space="preserve">, such as underdeveloped electronic incident reporting systems, further hindered </w:t>
      </w:r>
      <w:r w:rsidRPr="4EE597E1" w:rsidR="0FA3BAB8">
        <w:rPr>
          <w:rFonts w:ascii="Arial" w:hAnsi="Arial" w:eastAsia="Arial" w:cs="Arial"/>
          <w:b w:val="0"/>
          <w:bCs w:val="0"/>
          <w:noProof w:val="0"/>
          <w:sz w:val="22"/>
          <w:szCs w:val="22"/>
          <w:lang w:val="en-GB"/>
        </w:rPr>
        <w:t>timely</w:t>
      </w:r>
      <w:r w:rsidRPr="4EE597E1" w:rsidR="0FA3BAB8">
        <w:rPr>
          <w:rFonts w:ascii="Arial" w:hAnsi="Arial" w:eastAsia="Arial" w:cs="Arial"/>
          <w:b w:val="0"/>
          <w:bCs w:val="0"/>
          <w:noProof w:val="0"/>
          <w:sz w:val="22"/>
          <w:szCs w:val="22"/>
          <w:lang w:val="en-GB"/>
        </w:rPr>
        <w:t xml:space="preserve"> escalation and monitoring of clinical events (Care Quality Commission, 2022).</w:t>
      </w:r>
    </w:p>
    <w:p w:rsidR="0FA3BAB8" w:rsidP="4EE597E1" w:rsidRDefault="0FA3BAB8" w14:paraId="7335251E" w14:textId="64425472">
      <w:pPr>
        <w:spacing w:before="240" w:beforeAutospacing="off" w:after="240" w:afterAutospacing="off" w:line="360" w:lineRule="auto"/>
        <w:jc w:val="both"/>
        <w:rPr>
          <w:rFonts w:ascii="Arial" w:hAnsi="Arial" w:eastAsia="Arial" w:cs="Arial"/>
          <w:b w:val="0"/>
          <w:bCs w:val="0"/>
          <w:noProof w:val="0"/>
          <w:sz w:val="22"/>
          <w:szCs w:val="22"/>
          <w:lang w:val="en-GB"/>
        </w:rPr>
      </w:pPr>
      <w:r w:rsidRPr="4EE597E1" w:rsidR="0FA3BAB8">
        <w:rPr>
          <w:rFonts w:ascii="Arial" w:hAnsi="Arial" w:eastAsia="Arial" w:cs="Arial"/>
          <w:b w:val="0"/>
          <w:bCs w:val="0"/>
          <w:noProof w:val="0"/>
          <w:sz w:val="22"/>
          <w:szCs w:val="22"/>
          <w:lang w:val="en-GB"/>
        </w:rPr>
        <w:t>The Ockenden Report (2022) into neonatal and maternity safety emphasizes that poor adherence to policy frameworks, combined with weak leadership accountability, drives adverse outcomes. Applying these lessons to Chester reveals that policy non-compliance and governance deficiencies were systemic rather than incidental (Donabedian, 2003). For example, inadequate communication of whistleblowing procedures and lack of clarity in incident escalation policies directly contributed to missed opportunities to intervene in harmful behaviours (Gov.uk, 2023).</w:t>
      </w:r>
    </w:p>
    <w:p w:rsidR="0FA3BAB8" w:rsidP="4EE597E1" w:rsidRDefault="0FA3BAB8" w14:paraId="4EB37837" w14:textId="18427AA5">
      <w:pPr>
        <w:spacing w:before="240" w:beforeAutospacing="off" w:after="240" w:afterAutospacing="off" w:line="360" w:lineRule="auto"/>
        <w:jc w:val="both"/>
        <w:rPr>
          <w:rFonts w:ascii="Arial" w:hAnsi="Arial" w:eastAsia="Arial" w:cs="Arial"/>
          <w:noProof w:val="0"/>
          <w:sz w:val="22"/>
          <w:szCs w:val="22"/>
          <w:lang w:val="en-GB"/>
        </w:rPr>
      </w:pPr>
      <w:r w:rsidRPr="4EE597E1" w:rsidR="0FA3BAB8">
        <w:rPr>
          <w:rFonts w:ascii="Arial" w:hAnsi="Arial" w:eastAsia="Arial" w:cs="Arial"/>
          <w:noProof w:val="0"/>
          <w:sz w:val="22"/>
          <w:szCs w:val="22"/>
          <w:lang w:val="en-GB"/>
        </w:rPr>
        <w:t>Evidence from other healthcare studies confirms that strong governance, clear policies, and empowered reporting mechanisms reduce adverse events in neonatal settings (Aiken et al., 2011). Chester Hospital’s failures reflect the opposite: fragmented oversight, underutilisation of national guidance, and a culture that did not support staff advocacy. These governance gaps created an environment in which unsafe practices could persist undetected.</w:t>
      </w:r>
    </w:p>
    <w:p w:rsidR="0FA3BAB8" w:rsidP="4EE597E1" w:rsidRDefault="0FA3BAB8" w14:paraId="4E9A1F19" w14:textId="2816D9C2">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EE597E1" w:rsidR="0FA3BAB8">
        <w:rPr>
          <w:rFonts w:ascii="Arial" w:hAnsi="Arial" w:eastAsia="Arial" w:cs="Arial"/>
          <w:b w:val="1"/>
          <w:bCs w:val="1"/>
          <w:noProof w:val="0"/>
          <w:sz w:val="22"/>
          <w:szCs w:val="22"/>
          <w:lang w:val="en-GB"/>
        </w:rPr>
        <w:t>In conclusion</w:t>
      </w:r>
      <w:r w:rsidRPr="4EE597E1" w:rsidR="0FA3BAB8">
        <w:rPr>
          <w:rFonts w:ascii="Arial" w:hAnsi="Arial" w:eastAsia="Arial" w:cs="Arial"/>
          <w:noProof w:val="0"/>
          <w:sz w:val="22"/>
          <w:szCs w:val="22"/>
          <w:lang w:val="en-GB"/>
        </w:rPr>
        <w:t>, policy and governance weaknesses were central contributors to the Letby case. Addressing structural policy failures, enforcing compliance with national safety frameworks, and fostering a transparent, accountable organisational culture are critical for improving patient safety and service delivery in neonatal care. Effective governance interventions should target leadership, reporting mechanisms, and cultural reform to prevent recurrence of similar incidents.</w:t>
      </w:r>
    </w:p>
    <w:p w:rsidR="272499A1" w:rsidP="4EE597E1" w:rsidRDefault="272499A1" w14:paraId="56B35AF8" w14:textId="05804249">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EE597E1" w:rsidR="272499A1">
        <w:rPr>
          <w:rFonts w:ascii="Arial" w:hAnsi="Arial" w:eastAsia="Arial" w:cs="Arial"/>
          <w:b w:val="1"/>
          <w:bCs w:val="1"/>
          <w:noProof w:val="0"/>
          <w:color w:val="000000" w:themeColor="text1" w:themeTint="FF" w:themeShade="FF"/>
          <w:sz w:val="22"/>
          <w:szCs w:val="22"/>
          <w:lang w:val="en-GB"/>
        </w:rPr>
        <w:t xml:space="preserve">3.3 Impact on Service Provision </w:t>
      </w:r>
    </w:p>
    <w:p w:rsidR="272499A1" w:rsidP="4EE597E1" w:rsidRDefault="272499A1" w14:paraId="5988EA79" w14:textId="63B36BEE">
      <w:pPr>
        <w:spacing w:before="240" w:beforeAutospacing="off" w:after="240" w:afterAutospacing="off" w:line="360" w:lineRule="auto"/>
        <w:jc w:val="both"/>
        <w:rPr>
          <w:rFonts w:ascii="Arial" w:hAnsi="Arial" w:eastAsia="Arial" w:cs="Arial"/>
          <w:b w:val="0"/>
          <w:bCs w:val="0"/>
          <w:noProof w:val="0"/>
          <w:sz w:val="22"/>
          <w:szCs w:val="22"/>
          <w:lang w:val="en-GB"/>
        </w:rPr>
      </w:pPr>
      <w:r w:rsidRPr="4EE597E1" w:rsidR="272499A1">
        <w:rPr>
          <w:rFonts w:ascii="Arial" w:hAnsi="Arial" w:eastAsia="Arial" w:cs="Arial"/>
          <w:b w:val="0"/>
          <w:bCs w:val="0"/>
          <w:noProof w:val="0"/>
          <w:sz w:val="22"/>
          <w:szCs w:val="22"/>
          <w:lang w:val="en-GB"/>
        </w:rPr>
        <w:t xml:space="preserve">The systemic failures at Countess of Chester Hospital had a profound impact on service provision, affecting the </w:t>
      </w:r>
      <w:r w:rsidRPr="4EE597E1" w:rsidR="272499A1">
        <w:rPr>
          <w:rFonts w:ascii="Arial" w:hAnsi="Arial" w:eastAsia="Arial" w:cs="Arial"/>
          <w:b w:val="0"/>
          <w:bCs w:val="0"/>
          <w:noProof w:val="0"/>
          <w:sz w:val="22"/>
          <w:szCs w:val="22"/>
          <w:lang w:val="en-GB"/>
        </w:rPr>
        <w:t>quality, efficiency, and equity</w:t>
      </w:r>
      <w:r w:rsidRPr="4EE597E1" w:rsidR="272499A1">
        <w:rPr>
          <w:rFonts w:ascii="Arial" w:hAnsi="Arial" w:eastAsia="Arial" w:cs="Arial"/>
          <w:b w:val="0"/>
          <w:bCs w:val="0"/>
          <w:noProof w:val="0"/>
          <w:sz w:val="22"/>
          <w:szCs w:val="22"/>
          <w:lang w:val="en-GB"/>
        </w:rPr>
        <w:t xml:space="preserve"> of neonatal care. Quality of care is directly compromised when clinical governance, incident reporting, and leadership structures fail, as </w:t>
      </w:r>
      <w:r w:rsidRPr="4EE597E1" w:rsidR="272499A1">
        <w:rPr>
          <w:rFonts w:ascii="Arial" w:hAnsi="Arial" w:eastAsia="Arial" w:cs="Arial"/>
          <w:b w:val="0"/>
          <w:bCs w:val="0"/>
          <w:noProof w:val="0"/>
          <w:sz w:val="22"/>
          <w:szCs w:val="22"/>
          <w:lang w:val="en-GB"/>
        </w:rPr>
        <w:t>demonstrated</w:t>
      </w:r>
      <w:r w:rsidRPr="4EE597E1" w:rsidR="272499A1">
        <w:rPr>
          <w:rFonts w:ascii="Arial" w:hAnsi="Arial" w:eastAsia="Arial" w:cs="Arial"/>
          <w:b w:val="0"/>
          <w:bCs w:val="0"/>
          <w:noProof w:val="0"/>
          <w:sz w:val="22"/>
          <w:szCs w:val="22"/>
          <w:lang w:val="en-GB"/>
        </w:rPr>
        <w:t xml:space="preserve"> by the repeated adverse events under Lucy Letby’s care (Smith et al., 2025). Neonatal units </w:t>
      </w:r>
      <w:r w:rsidRPr="4EE597E1" w:rsidR="272499A1">
        <w:rPr>
          <w:rFonts w:ascii="Arial" w:hAnsi="Arial" w:eastAsia="Arial" w:cs="Arial"/>
          <w:b w:val="0"/>
          <w:bCs w:val="0"/>
          <w:noProof w:val="0"/>
          <w:sz w:val="22"/>
          <w:szCs w:val="22"/>
          <w:lang w:val="en-GB"/>
        </w:rPr>
        <w:t>require</w:t>
      </w:r>
      <w:r w:rsidRPr="4EE597E1" w:rsidR="272499A1">
        <w:rPr>
          <w:rFonts w:ascii="Arial" w:hAnsi="Arial" w:eastAsia="Arial" w:cs="Arial"/>
          <w:b w:val="0"/>
          <w:bCs w:val="0"/>
          <w:noProof w:val="0"/>
          <w:sz w:val="22"/>
          <w:szCs w:val="22"/>
          <w:lang w:val="en-GB"/>
        </w:rPr>
        <w:t xml:space="preserve"> highly coordinated, safe environments; gaps in policy adherence and oversight not only increase the risk of harm but also reduce staff confidence and morale, which can further undermine care quality (Pickett et al., 2018).</w:t>
      </w:r>
    </w:p>
    <w:p w:rsidR="272499A1" w:rsidP="4EE597E1" w:rsidRDefault="272499A1" w14:paraId="546324FF" w14:textId="505123CB">
      <w:pPr>
        <w:spacing w:before="240" w:beforeAutospacing="off" w:after="240" w:afterAutospacing="off" w:line="360" w:lineRule="auto"/>
        <w:jc w:val="both"/>
        <w:rPr>
          <w:rFonts w:ascii="Arial" w:hAnsi="Arial" w:eastAsia="Arial" w:cs="Arial"/>
          <w:b w:val="0"/>
          <w:bCs w:val="0"/>
          <w:noProof w:val="0"/>
          <w:sz w:val="22"/>
          <w:szCs w:val="22"/>
          <w:lang w:val="en-GB"/>
        </w:rPr>
      </w:pPr>
      <w:r w:rsidRPr="4EE597E1" w:rsidR="272499A1">
        <w:rPr>
          <w:rFonts w:ascii="Arial" w:hAnsi="Arial" w:eastAsia="Arial" w:cs="Arial"/>
          <w:b w:val="0"/>
          <w:bCs w:val="0"/>
          <w:noProof w:val="0"/>
          <w:sz w:val="22"/>
          <w:szCs w:val="22"/>
          <w:lang w:val="en-GB"/>
        </w:rPr>
        <w:t xml:space="preserve">Efficiency was also significantly </w:t>
      </w:r>
      <w:r w:rsidRPr="4EE597E1" w:rsidR="272499A1">
        <w:rPr>
          <w:rFonts w:ascii="Arial" w:hAnsi="Arial" w:eastAsia="Arial" w:cs="Arial"/>
          <w:b w:val="0"/>
          <w:bCs w:val="0"/>
          <w:noProof w:val="0"/>
          <w:sz w:val="22"/>
          <w:szCs w:val="22"/>
          <w:lang w:val="en-GB"/>
        </w:rPr>
        <w:t>impacted</w:t>
      </w:r>
      <w:r w:rsidRPr="4EE597E1" w:rsidR="272499A1">
        <w:rPr>
          <w:rFonts w:ascii="Arial" w:hAnsi="Arial" w:eastAsia="Arial" w:cs="Arial"/>
          <w:b w:val="0"/>
          <w:bCs w:val="0"/>
          <w:noProof w:val="0"/>
          <w:sz w:val="22"/>
          <w:szCs w:val="22"/>
          <w:lang w:val="en-GB"/>
        </w:rPr>
        <w:t>. Inadequate reporting systems, delayed investigations, and fragmented communication led to repeated errors and preventable harm, consuming resources that could have been directed to proactive patient care. Studies in healthcare safety confirm that poor incident management increases administrative burden and operational inefficiency, as teams must repeatedly address preventable events (Sexton et al., 2017). At Chester, resources were diverted toward reactive management of clinical incidents rather than systematic improvement, reducing overall service effectiveness.</w:t>
      </w:r>
    </w:p>
    <w:p w:rsidR="272499A1" w:rsidP="4EE597E1" w:rsidRDefault="272499A1" w14:paraId="17E18ECB" w14:textId="186C4940">
      <w:pPr>
        <w:spacing w:before="240" w:beforeAutospacing="off" w:after="240" w:afterAutospacing="off" w:line="360" w:lineRule="auto"/>
        <w:jc w:val="both"/>
        <w:rPr>
          <w:rFonts w:ascii="Arial" w:hAnsi="Arial" w:eastAsia="Arial" w:cs="Arial"/>
          <w:b w:val="0"/>
          <w:bCs w:val="0"/>
          <w:noProof w:val="0"/>
          <w:sz w:val="22"/>
          <w:szCs w:val="22"/>
          <w:lang w:val="en-GB"/>
        </w:rPr>
      </w:pPr>
      <w:r w:rsidRPr="4EE597E1" w:rsidR="272499A1">
        <w:rPr>
          <w:rFonts w:ascii="Arial" w:hAnsi="Arial" w:eastAsia="Arial" w:cs="Arial"/>
          <w:b w:val="0"/>
          <w:bCs w:val="0"/>
          <w:noProof w:val="0"/>
          <w:sz w:val="22"/>
          <w:szCs w:val="22"/>
          <w:lang w:val="en-GB"/>
        </w:rPr>
        <w:t xml:space="preserve">Equity of care was similarly compromised. Families of affected neonates experienced unequal access to safe and competent care, highlighting disparities caused by inconsistent adherence to national safety standards. Research </w:t>
      </w:r>
      <w:r w:rsidRPr="4EE597E1" w:rsidR="272499A1">
        <w:rPr>
          <w:rFonts w:ascii="Arial" w:hAnsi="Arial" w:eastAsia="Arial" w:cs="Arial"/>
          <w:b w:val="0"/>
          <w:bCs w:val="0"/>
          <w:noProof w:val="0"/>
          <w:sz w:val="22"/>
          <w:szCs w:val="22"/>
          <w:lang w:val="en-GB"/>
        </w:rPr>
        <w:t>demonstrates</w:t>
      </w:r>
      <w:r w:rsidRPr="4EE597E1" w:rsidR="272499A1">
        <w:rPr>
          <w:rFonts w:ascii="Arial" w:hAnsi="Arial" w:eastAsia="Arial" w:cs="Arial"/>
          <w:b w:val="0"/>
          <w:bCs w:val="0"/>
          <w:noProof w:val="0"/>
          <w:sz w:val="22"/>
          <w:szCs w:val="22"/>
          <w:lang w:val="en-GB"/>
        </w:rPr>
        <w:t xml:space="preserve"> that weak governance and unsafe practices disproportionately affect vulnerable populations, including infants in neonatal intensive care (Aiken et al., 2011; Kaplan et al., 2010). The hospital’s failure to act on warnings and </w:t>
      </w:r>
      <w:r w:rsidRPr="4EE597E1" w:rsidR="272499A1">
        <w:rPr>
          <w:rFonts w:ascii="Arial" w:hAnsi="Arial" w:eastAsia="Arial" w:cs="Arial"/>
          <w:b w:val="0"/>
          <w:bCs w:val="0"/>
          <w:noProof w:val="0"/>
          <w:sz w:val="22"/>
          <w:szCs w:val="22"/>
          <w:lang w:val="en-GB"/>
        </w:rPr>
        <w:t>maintain</w:t>
      </w:r>
      <w:r w:rsidRPr="4EE597E1" w:rsidR="272499A1">
        <w:rPr>
          <w:rFonts w:ascii="Arial" w:hAnsi="Arial" w:eastAsia="Arial" w:cs="Arial"/>
          <w:b w:val="0"/>
          <w:bCs w:val="0"/>
          <w:noProof w:val="0"/>
          <w:sz w:val="22"/>
          <w:szCs w:val="22"/>
          <w:lang w:val="en-GB"/>
        </w:rPr>
        <w:t xml:space="preserve"> </w:t>
      </w:r>
      <w:r w:rsidRPr="4EE597E1" w:rsidR="272499A1">
        <w:rPr>
          <w:rFonts w:ascii="Arial" w:hAnsi="Arial" w:eastAsia="Arial" w:cs="Arial"/>
          <w:b w:val="0"/>
          <w:bCs w:val="0"/>
          <w:noProof w:val="0"/>
          <w:sz w:val="22"/>
          <w:szCs w:val="22"/>
          <w:lang w:val="en-GB"/>
        </w:rPr>
        <w:t>high standards</w:t>
      </w:r>
      <w:r w:rsidRPr="4EE597E1" w:rsidR="272499A1">
        <w:rPr>
          <w:rFonts w:ascii="Arial" w:hAnsi="Arial" w:eastAsia="Arial" w:cs="Arial"/>
          <w:b w:val="0"/>
          <w:bCs w:val="0"/>
          <w:noProof w:val="0"/>
          <w:sz w:val="22"/>
          <w:szCs w:val="22"/>
          <w:lang w:val="en-GB"/>
        </w:rPr>
        <w:t xml:space="preserve"> created inequitable outcomes, where some patients were exposed to avoidable risk while others received </w:t>
      </w:r>
      <w:r w:rsidRPr="4EE597E1" w:rsidR="272499A1">
        <w:rPr>
          <w:rFonts w:ascii="Arial" w:hAnsi="Arial" w:eastAsia="Arial" w:cs="Arial"/>
          <w:b w:val="0"/>
          <w:bCs w:val="0"/>
          <w:noProof w:val="0"/>
          <w:sz w:val="22"/>
          <w:szCs w:val="22"/>
          <w:lang w:val="en-GB"/>
        </w:rPr>
        <w:t>appropriate care</w:t>
      </w:r>
      <w:r w:rsidRPr="4EE597E1" w:rsidR="272499A1">
        <w:rPr>
          <w:rFonts w:ascii="Arial" w:hAnsi="Arial" w:eastAsia="Arial" w:cs="Arial"/>
          <w:b w:val="0"/>
          <w:bCs w:val="0"/>
          <w:noProof w:val="0"/>
          <w:sz w:val="22"/>
          <w:szCs w:val="22"/>
          <w:lang w:val="en-GB"/>
        </w:rPr>
        <w:t>.</w:t>
      </w:r>
    </w:p>
    <w:p w:rsidR="272499A1" w:rsidP="4EE597E1" w:rsidRDefault="272499A1" w14:paraId="1FA737EF" w14:textId="6FBFCD81">
      <w:pPr>
        <w:spacing w:before="240" w:beforeAutospacing="off" w:after="240" w:afterAutospacing="off" w:line="360" w:lineRule="auto"/>
        <w:jc w:val="both"/>
        <w:rPr>
          <w:rFonts w:ascii="Arial" w:hAnsi="Arial" w:eastAsia="Arial" w:cs="Arial"/>
          <w:b w:val="0"/>
          <w:bCs w:val="0"/>
          <w:noProof w:val="0"/>
          <w:sz w:val="22"/>
          <w:szCs w:val="22"/>
          <w:lang w:val="en-GB"/>
        </w:rPr>
      </w:pPr>
      <w:r w:rsidRPr="4EE597E1" w:rsidR="272499A1">
        <w:rPr>
          <w:rFonts w:ascii="Arial" w:hAnsi="Arial" w:eastAsia="Arial" w:cs="Arial"/>
          <w:b w:val="0"/>
          <w:bCs w:val="0"/>
          <w:noProof w:val="0"/>
          <w:sz w:val="22"/>
          <w:szCs w:val="22"/>
          <w:lang w:val="en-GB"/>
        </w:rPr>
        <w:t>The impact extended beyond immediate patient care. Public trust in the hospital and the NHS more broadly was eroded, influencing service utilisation and staff recruitment. Evidence from healthcare organisational studies shows that high-profile safety failures reduce patient confidence and increase staff turnover, further weakening service provision (Hassan, McGrath &amp; Rollins, 2011). This creates a negative feedback loop, where workforce instability compounds governance weaknesses, and safety risks persist.</w:t>
      </w:r>
    </w:p>
    <w:p w:rsidR="272499A1" w:rsidP="4EE597E1" w:rsidRDefault="272499A1" w14:paraId="0B1D2677" w14:textId="3385CEC2">
      <w:pPr>
        <w:spacing w:before="240" w:beforeAutospacing="off" w:after="240" w:afterAutospacing="off" w:line="360" w:lineRule="auto"/>
        <w:jc w:val="both"/>
        <w:rPr>
          <w:rFonts w:ascii="Arial" w:hAnsi="Arial" w:eastAsia="Arial" w:cs="Arial"/>
          <w:b w:val="0"/>
          <w:bCs w:val="0"/>
          <w:noProof w:val="0"/>
          <w:sz w:val="22"/>
          <w:szCs w:val="22"/>
          <w:lang w:val="en-GB"/>
        </w:rPr>
      </w:pPr>
      <w:r w:rsidRPr="4EE597E1" w:rsidR="272499A1">
        <w:rPr>
          <w:rFonts w:ascii="Arial" w:hAnsi="Arial" w:eastAsia="Arial" w:cs="Arial"/>
          <w:b w:val="0"/>
          <w:bCs w:val="0"/>
          <w:noProof w:val="0"/>
          <w:sz w:val="22"/>
          <w:szCs w:val="22"/>
          <w:lang w:val="en-GB"/>
        </w:rPr>
        <w:t xml:space="preserve">Furthermore, latent system failures prevented </w:t>
      </w:r>
      <w:r w:rsidRPr="4EE597E1" w:rsidR="272499A1">
        <w:rPr>
          <w:rFonts w:ascii="Arial" w:hAnsi="Arial" w:eastAsia="Arial" w:cs="Arial"/>
          <w:b w:val="0"/>
          <w:bCs w:val="0"/>
          <w:noProof w:val="0"/>
          <w:sz w:val="22"/>
          <w:szCs w:val="22"/>
          <w:lang w:val="en-GB"/>
        </w:rPr>
        <w:t>timely</w:t>
      </w:r>
      <w:r w:rsidRPr="4EE597E1" w:rsidR="272499A1">
        <w:rPr>
          <w:rFonts w:ascii="Arial" w:hAnsi="Arial" w:eastAsia="Arial" w:cs="Arial"/>
          <w:b w:val="0"/>
          <w:bCs w:val="0"/>
          <w:noProof w:val="0"/>
          <w:sz w:val="22"/>
          <w:szCs w:val="22"/>
          <w:lang w:val="en-GB"/>
        </w:rPr>
        <w:t xml:space="preserve"> learning from errors. Lack of audits, ineffective whistleblowing procedures, and poor escalation policies meant that lessons were not institutionalised. This aligns with Reason’s (2000) framework, which </w:t>
      </w:r>
      <w:r w:rsidRPr="4EE597E1" w:rsidR="272499A1">
        <w:rPr>
          <w:rFonts w:ascii="Arial" w:hAnsi="Arial" w:eastAsia="Arial" w:cs="Arial"/>
          <w:b w:val="0"/>
          <w:bCs w:val="0"/>
          <w:noProof w:val="0"/>
          <w:sz w:val="22"/>
          <w:szCs w:val="22"/>
          <w:lang w:val="en-GB"/>
        </w:rPr>
        <w:t>identifies</w:t>
      </w:r>
      <w:r w:rsidRPr="4EE597E1" w:rsidR="272499A1">
        <w:rPr>
          <w:rFonts w:ascii="Arial" w:hAnsi="Arial" w:eastAsia="Arial" w:cs="Arial"/>
          <w:b w:val="0"/>
          <w:bCs w:val="0"/>
          <w:noProof w:val="0"/>
          <w:sz w:val="22"/>
          <w:szCs w:val="22"/>
          <w:lang w:val="en-GB"/>
        </w:rPr>
        <w:t xml:space="preserve"> latent errors as organisational weaknesses that persist unless actively addressed. In Chester, these systemic gaps delayed interventions that could have prevented harm and improved outcomes.</w:t>
      </w:r>
    </w:p>
    <w:p w:rsidR="272499A1" w:rsidP="4EE597E1" w:rsidRDefault="272499A1" w14:paraId="6D34CDE0" w14:textId="1917ACC2">
      <w:pPr>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lang w:val="en-GB"/>
        </w:rPr>
      </w:pPr>
      <w:r w:rsidRPr="4EE597E1" w:rsidR="272499A1">
        <w:rPr>
          <w:rFonts w:ascii="Arial" w:hAnsi="Arial" w:eastAsia="Arial" w:cs="Arial"/>
          <w:b w:val="0"/>
          <w:bCs w:val="0"/>
          <w:noProof w:val="0"/>
          <w:sz w:val="22"/>
          <w:szCs w:val="22"/>
          <w:lang w:val="en-GB"/>
        </w:rPr>
        <w:t>In conclusion, the root causes and governance failures at Chester Hospital significantly degraded quality, efficiency, and equity in neonatal care. Addressing these issues is critical for enhancing service provision, restoring patient trust, and ensuring consistent, safe care. Strategies for improvement must focus on strengthening clinical governance, implementing robust reporting systems, and fostering a culture that supports accountability and learning.</w:t>
      </w:r>
    </w:p>
    <w:p w:rsidR="7E66E09F" w:rsidP="4EE597E1" w:rsidRDefault="7E66E09F" w14:paraId="3C18C0C1" w14:textId="74F43FFB">
      <w:pPr>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lang w:val="en-GB"/>
        </w:rPr>
      </w:pPr>
      <w:r w:rsidRPr="4EE597E1" w:rsidR="7E66E09F">
        <w:rPr>
          <w:rFonts w:ascii="Arial" w:hAnsi="Arial" w:eastAsia="Arial" w:cs="Arial"/>
          <w:b w:val="1"/>
          <w:bCs w:val="1"/>
          <w:noProof w:val="0"/>
          <w:color w:val="000000" w:themeColor="text1" w:themeTint="FF" w:themeShade="FF"/>
          <w:sz w:val="22"/>
          <w:szCs w:val="22"/>
          <w:lang w:val="en-GB"/>
        </w:rPr>
        <w:t xml:space="preserve">4.0 Recommendations </w:t>
      </w:r>
    </w:p>
    <w:p w:rsidR="7E66E09F" w:rsidP="4EE597E1" w:rsidRDefault="7E66E09F" w14:paraId="49B96FBE" w14:textId="6A7C4985">
      <w:pPr>
        <w:spacing w:before="240" w:beforeAutospacing="off" w:after="240" w:afterAutospacing="off" w:line="360" w:lineRule="auto"/>
        <w:jc w:val="both"/>
        <w:rPr>
          <w:rFonts w:ascii="Arial" w:hAnsi="Arial" w:eastAsia="Arial" w:cs="Arial"/>
          <w:b w:val="0"/>
          <w:bCs w:val="0"/>
          <w:noProof w:val="0"/>
          <w:sz w:val="22"/>
          <w:szCs w:val="22"/>
          <w:lang w:val="en-GB"/>
        </w:rPr>
      </w:pPr>
      <w:r w:rsidRPr="4EE597E1" w:rsidR="7E66E09F">
        <w:rPr>
          <w:rFonts w:ascii="Arial" w:hAnsi="Arial" w:eastAsia="Arial" w:cs="Arial"/>
          <w:b w:val="0"/>
          <w:bCs w:val="0"/>
          <w:noProof w:val="0"/>
          <w:sz w:val="22"/>
          <w:szCs w:val="22"/>
          <w:lang w:val="en-GB"/>
        </w:rPr>
        <w:t xml:space="preserve">Based on the root causes and governance failures </w:t>
      </w:r>
      <w:r w:rsidRPr="4EE597E1" w:rsidR="7E66E09F">
        <w:rPr>
          <w:rFonts w:ascii="Arial" w:hAnsi="Arial" w:eastAsia="Arial" w:cs="Arial"/>
          <w:b w:val="0"/>
          <w:bCs w:val="0"/>
          <w:noProof w:val="0"/>
          <w:sz w:val="22"/>
          <w:szCs w:val="22"/>
          <w:lang w:val="en-GB"/>
        </w:rPr>
        <w:t>identified</w:t>
      </w:r>
      <w:r w:rsidRPr="4EE597E1" w:rsidR="7E66E09F">
        <w:rPr>
          <w:rFonts w:ascii="Arial" w:hAnsi="Arial" w:eastAsia="Arial" w:cs="Arial"/>
          <w:b w:val="0"/>
          <w:bCs w:val="0"/>
          <w:noProof w:val="0"/>
          <w:sz w:val="22"/>
          <w:szCs w:val="22"/>
          <w:lang w:val="en-GB"/>
        </w:rPr>
        <w:t xml:space="preserve"> at Countess of Chester Hospital, a multi-faceted strategy is </w:t>
      </w:r>
      <w:r w:rsidRPr="4EE597E1" w:rsidR="7E66E09F">
        <w:rPr>
          <w:rFonts w:ascii="Arial" w:hAnsi="Arial" w:eastAsia="Arial" w:cs="Arial"/>
          <w:b w:val="0"/>
          <w:bCs w:val="0"/>
          <w:noProof w:val="0"/>
          <w:sz w:val="22"/>
          <w:szCs w:val="22"/>
          <w:lang w:val="en-GB"/>
        </w:rPr>
        <w:t>required</w:t>
      </w:r>
      <w:r w:rsidRPr="4EE597E1" w:rsidR="7E66E09F">
        <w:rPr>
          <w:rFonts w:ascii="Arial" w:hAnsi="Arial" w:eastAsia="Arial" w:cs="Arial"/>
          <w:b w:val="0"/>
          <w:bCs w:val="0"/>
          <w:noProof w:val="0"/>
          <w:sz w:val="22"/>
          <w:szCs w:val="22"/>
          <w:lang w:val="en-GB"/>
        </w:rPr>
        <w:t xml:space="preserve"> to improve neonatal care and prevent recurrence of similar incidents. Recommendations are informed by evidence-based quality improvement frameworks such as </w:t>
      </w:r>
      <w:r w:rsidRPr="4EE597E1" w:rsidR="7E66E09F">
        <w:rPr>
          <w:rFonts w:ascii="Arial" w:hAnsi="Arial" w:eastAsia="Arial" w:cs="Arial"/>
          <w:b w:val="0"/>
          <w:bCs w:val="0"/>
          <w:noProof w:val="0"/>
          <w:sz w:val="22"/>
          <w:szCs w:val="22"/>
          <w:lang w:val="en-GB"/>
        </w:rPr>
        <w:t>PDSA (Plan-Do-Study-Act), PDCA (Plan-Do-Check-Act), Lean, and Six Sigma</w:t>
      </w:r>
      <w:r w:rsidRPr="4EE597E1" w:rsidR="7E66E09F">
        <w:rPr>
          <w:rFonts w:ascii="Arial" w:hAnsi="Arial" w:eastAsia="Arial" w:cs="Arial"/>
          <w:b w:val="0"/>
          <w:bCs w:val="0"/>
          <w:noProof w:val="0"/>
          <w:sz w:val="22"/>
          <w:szCs w:val="22"/>
          <w:lang w:val="en-GB"/>
        </w:rPr>
        <w:t>, which provide structured methodologies for sustained service improvement (</w:t>
      </w:r>
      <w:r w:rsidRPr="4EE597E1" w:rsidR="7E66E09F">
        <w:rPr>
          <w:rFonts w:ascii="Arial" w:hAnsi="Arial" w:eastAsia="Arial" w:cs="Arial"/>
          <w:b w:val="0"/>
          <w:bCs w:val="0"/>
          <w:noProof w:val="0"/>
          <w:sz w:val="22"/>
          <w:szCs w:val="22"/>
          <w:lang w:val="en-GB"/>
        </w:rPr>
        <w:t>DelliFraine</w:t>
      </w:r>
      <w:r w:rsidRPr="4EE597E1" w:rsidR="7E66E09F">
        <w:rPr>
          <w:rFonts w:ascii="Arial" w:hAnsi="Arial" w:eastAsia="Arial" w:cs="Arial"/>
          <w:b w:val="0"/>
          <w:bCs w:val="0"/>
          <w:noProof w:val="0"/>
          <w:sz w:val="22"/>
          <w:szCs w:val="22"/>
          <w:lang w:val="en-GB"/>
        </w:rPr>
        <w:t xml:space="preserve"> et al., 2010).</w:t>
      </w:r>
    </w:p>
    <w:p w:rsidR="7E66E09F" w:rsidP="4EE597E1" w:rsidRDefault="7E66E09F" w14:paraId="7776F108" w14:textId="3111D00E">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2"/>
          <w:szCs w:val="22"/>
          <w:lang w:val="en-GB"/>
        </w:rPr>
      </w:pPr>
      <w:r w:rsidRPr="4EE597E1" w:rsidR="7E66E09F">
        <w:rPr>
          <w:rFonts w:ascii="Arial" w:hAnsi="Arial" w:eastAsia="Arial" w:cs="Arial"/>
          <w:b w:val="1"/>
          <w:bCs w:val="1"/>
          <w:noProof w:val="0"/>
          <w:color w:val="000000" w:themeColor="text1" w:themeTint="FF" w:themeShade="FF"/>
          <w:sz w:val="22"/>
          <w:szCs w:val="22"/>
          <w:lang w:val="en-GB"/>
        </w:rPr>
        <w:t>1. Strengthening Clinical Governance and Leadership</w:t>
      </w:r>
    </w:p>
    <w:p w:rsidR="7E66E09F" w:rsidP="4EE597E1" w:rsidRDefault="7E66E09F" w14:paraId="3DE7DBCD" w14:textId="680F2E16">
      <w:pPr>
        <w:spacing w:before="240" w:beforeAutospacing="off" w:after="240" w:afterAutospacing="off" w:line="360" w:lineRule="auto"/>
        <w:jc w:val="both"/>
        <w:rPr>
          <w:rFonts w:ascii="Arial" w:hAnsi="Arial" w:eastAsia="Arial" w:cs="Arial"/>
          <w:b w:val="0"/>
          <w:bCs w:val="0"/>
          <w:noProof w:val="0"/>
          <w:sz w:val="22"/>
          <w:szCs w:val="22"/>
          <w:lang w:val="en-GB"/>
        </w:rPr>
      </w:pPr>
      <w:r w:rsidRPr="4EE597E1" w:rsidR="7E66E09F">
        <w:rPr>
          <w:rFonts w:ascii="Arial" w:hAnsi="Arial" w:eastAsia="Arial" w:cs="Arial"/>
          <w:b w:val="0"/>
          <w:bCs w:val="0"/>
          <w:noProof w:val="0"/>
          <w:sz w:val="22"/>
          <w:szCs w:val="22"/>
          <w:lang w:val="en-GB"/>
        </w:rPr>
        <w:t xml:space="preserve">Effective clinical governance is foundational to patient safety. Leadership must actively enforce adherence to national safety standards, </w:t>
      </w:r>
      <w:r w:rsidRPr="4EE597E1" w:rsidR="7E66E09F">
        <w:rPr>
          <w:rFonts w:ascii="Arial" w:hAnsi="Arial" w:eastAsia="Arial" w:cs="Arial"/>
          <w:b w:val="0"/>
          <w:bCs w:val="0"/>
          <w:noProof w:val="0"/>
          <w:sz w:val="22"/>
          <w:szCs w:val="22"/>
          <w:lang w:val="en-GB"/>
        </w:rPr>
        <w:t>establish</w:t>
      </w:r>
      <w:r w:rsidRPr="4EE597E1" w:rsidR="7E66E09F">
        <w:rPr>
          <w:rFonts w:ascii="Arial" w:hAnsi="Arial" w:eastAsia="Arial" w:cs="Arial"/>
          <w:b w:val="0"/>
          <w:bCs w:val="0"/>
          <w:noProof w:val="0"/>
          <w:sz w:val="22"/>
          <w:szCs w:val="22"/>
          <w:lang w:val="en-GB"/>
        </w:rPr>
        <w:t xml:space="preserve"> accountability frameworks, and foster a transparent reporting culture (Cohen et al., 2019). Introducing structured monthly governance audits and integrating external clinical reviews will ensure continuous oversight and early detection of risks. Applying the PDCA cycle, leadership can plan safety interventions, implement them, </w:t>
      </w:r>
      <w:r w:rsidRPr="4EE597E1" w:rsidR="7E66E09F">
        <w:rPr>
          <w:rFonts w:ascii="Arial" w:hAnsi="Arial" w:eastAsia="Arial" w:cs="Arial"/>
          <w:b w:val="0"/>
          <w:bCs w:val="0"/>
          <w:noProof w:val="0"/>
          <w:sz w:val="22"/>
          <w:szCs w:val="22"/>
          <w:lang w:val="en-GB"/>
        </w:rPr>
        <w:t>monitor</w:t>
      </w:r>
      <w:r w:rsidRPr="4EE597E1" w:rsidR="7E66E09F">
        <w:rPr>
          <w:rFonts w:ascii="Arial" w:hAnsi="Arial" w:eastAsia="Arial" w:cs="Arial"/>
          <w:b w:val="0"/>
          <w:bCs w:val="0"/>
          <w:noProof w:val="0"/>
          <w:sz w:val="22"/>
          <w:szCs w:val="22"/>
          <w:lang w:val="en-GB"/>
        </w:rPr>
        <w:t xml:space="preserve"> outcomes, and adjust </w:t>
      </w:r>
      <w:r w:rsidRPr="4EE597E1" w:rsidR="3947A7DB">
        <w:rPr>
          <w:rFonts w:ascii="Arial" w:hAnsi="Arial" w:eastAsia="Arial" w:cs="Arial"/>
          <w:b w:val="0"/>
          <w:bCs w:val="0"/>
          <w:noProof w:val="0"/>
          <w:sz w:val="22"/>
          <w:szCs w:val="22"/>
          <w:lang w:val="en-GB"/>
        </w:rPr>
        <w:t>policies,</w:t>
      </w:r>
      <w:r w:rsidRPr="4EE597E1" w:rsidR="7E66E09F">
        <w:rPr>
          <w:rFonts w:ascii="Arial" w:hAnsi="Arial" w:eastAsia="Arial" w:cs="Arial"/>
          <w:b w:val="0"/>
          <w:bCs w:val="0"/>
          <w:noProof w:val="0"/>
          <w:sz w:val="22"/>
          <w:szCs w:val="22"/>
          <w:lang w:val="en-GB"/>
        </w:rPr>
        <w:t xml:space="preserve"> accordingly, creating a continuous improvement loop (Langley et al., 2009).</w:t>
      </w:r>
    </w:p>
    <w:p w:rsidR="7E66E09F" w:rsidP="4EE597E1" w:rsidRDefault="7E66E09F" w14:paraId="48621FF8" w14:textId="7C7FBA22">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2"/>
          <w:szCs w:val="22"/>
          <w:lang w:val="en-GB"/>
        </w:rPr>
      </w:pPr>
      <w:r w:rsidRPr="4EE597E1" w:rsidR="7E66E09F">
        <w:rPr>
          <w:rFonts w:ascii="Arial" w:hAnsi="Arial" w:eastAsia="Arial" w:cs="Arial"/>
          <w:b w:val="1"/>
          <w:bCs w:val="1"/>
          <w:noProof w:val="0"/>
          <w:color w:val="000000" w:themeColor="text1" w:themeTint="FF" w:themeShade="FF"/>
          <w:sz w:val="22"/>
          <w:szCs w:val="22"/>
          <w:lang w:val="en-GB"/>
        </w:rPr>
        <w:t>2. Enhancing Incident Reporting and Whistleblowing</w:t>
      </w:r>
    </w:p>
    <w:p w:rsidR="7E66E09F" w:rsidP="4EE597E1" w:rsidRDefault="7E66E09F" w14:paraId="32DD7613" w14:textId="2BF50CD6">
      <w:pPr>
        <w:spacing w:before="240" w:beforeAutospacing="off" w:after="240" w:afterAutospacing="off" w:line="360" w:lineRule="auto"/>
        <w:jc w:val="both"/>
        <w:rPr>
          <w:rFonts w:ascii="Arial" w:hAnsi="Arial" w:eastAsia="Arial" w:cs="Arial"/>
          <w:b w:val="0"/>
          <w:bCs w:val="0"/>
          <w:noProof w:val="0"/>
          <w:sz w:val="22"/>
          <w:szCs w:val="22"/>
          <w:lang w:val="en-GB"/>
        </w:rPr>
      </w:pPr>
      <w:r w:rsidRPr="4EE597E1" w:rsidR="7E66E09F">
        <w:rPr>
          <w:rFonts w:ascii="Arial" w:hAnsi="Arial" w:eastAsia="Arial" w:cs="Arial"/>
          <w:b w:val="0"/>
          <w:bCs w:val="0"/>
          <w:noProof w:val="0"/>
          <w:sz w:val="22"/>
          <w:szCs w:val="22"/>
          <w:lang w:val="en-GB"/>
        </w:rPr>
        <w:t xml:space="preserve">Timely and </w:t>
      </w:r>
      <w:r w:rsidRPr="4EE597E1" w:rsidR="7E66E09F">
        <w:rPr>
          <w:rFonts w:ascii="Arial" w:hAnsi="Arial" w:eastAsia="Arial" w:cs="Arial"/>
          <w:b w:val="0"/>
          <w:bCs w:val="0"/>
          <w:noProof w:val="0"/>
          <w:sz w:val="22"/>
          <w:szCs w:val="22"/>
          <w:lang w:val="en-GB"/>
        </w:rPr>
        <w:t>accurate</w:t>
      </w:r>
      <w:r w:rsidRPr="4EE597E1" w:rsidR="7E66E09F">
        <w:rPr>
          <w:rFonts w:ascii="Arial" w:hAnsi="Arial" w:eastAsia="Arial" w:cs="Arial"/>
          <w:b w:val="0"/>
          <w:bCs w:val="0"/>
          <w:noProof w:val="0"/>
          <w:sz w:val="22"/>
          <w:szCs w:val="22"/>
          <w:lang w:val="en-GB"/>
        </w:rPr>
        <w:t xml:space="preserve"> incident reporting is critical to prevent harm. Implementing </w:t>
      </w:r>
      <w:r w:rsidRPr="4EE597E1" w:rsidR="7E66E09F">
        <w:rPr>
          <w:rFonts w:ascii="Arial" w:hAnsi="Arial" w:eastAsia="Arial" w:cs="Arial"/>
          <w:b w:val="0"/>
          <w:bCs w:val="0"/>
          <w:noProof w:val="0"/>
          <w:sz w:val="22"/>
          <w:szCs w:val="22"/>
          <w:lang w:val="en-GB"/>
        </w:rPr>
        <w:t>digital incident reporting systems</w:t>
      </w:r>
      <w:r w:rsidRPr="4EE597E1" w:rsidR="7E66E09F">
        <w:rPr>
          <w:rFonts w:ascii="Arial" w:hAnsi="Arial" w:eastAsia="Arial" w:cs="Arial"/>
          <w:b w:val="0"/>
          <w:bCs w:val="0"/>
          <w:noProof w:val="0"/>
          <w:sz w:val="22"/>
          <w:szCs w:val="22"/>
          <w:lang w:val="en-GB"/>
        </w:rPr>
        <w:t xml:space="preserve"> with automated alerts and anonymised submission options can increase reporting rates and reduce barriers caused by fear of retaliation (Sheikh et al., 2020). Training staff in the use of these systems and </w:t>
      </w:r>
      <w:r w:rsidRPr="4EE597E1" w:rsidR="7E66E09F">
        <w:rPr>
          <w:rFonts w:ascii="Arial" w:hAnsi="Arial" w:eastAsia="Arial" w:cs="Arial"/>
          <w:b w:val="0"/>
          <w:bCs w:val="0"/>
          <w:noProof w:val="0"/>
          <w:sz w:val="22"/>
          <w:szCs w:val="22"/>
          <w:lang w:val="en-GB"/>
        </w:rPr>
        <w:t>establishing</w:t>
      </w:r>
      <w:r w:rsidRPr="4EE597E1" w:rsidR="7E66E09F">
        <w:rPr>
          <w:rFonts w:ascii="Arial" w:hAnsi="Arial" w:eastAsia="Arial" w:cs="Arial"/>
          <w:b w:val="0"/>
          <w:bCs w:val="0"/>
          <w:noProof w:val="0"/>
          <w:sz w:val="22"/>
          <w:szCs w:val="22"/>
          <w:lang w:val="en-GB"/>
        </w:rPr>
        <w:t xml:space="preserve"> a </w:t>
      </w:r>
      <w:r w:rsidRPr="4EE597E1" w:rsidR="7E66E09F">
        <w:rPr>
          <w:rFonts w:ascii="Arial" w:hAnsi="Arial" w:eastAsia="Arial" w:cs="Arial"/>
          <w:b w:val="0"/>
          <w:bCs w:val="0"/>
          <w:noProof w:val="0"/>
          <w:sz w:val="22"/>
          <w:szCs w:val="22"/>
          <w:lang w:val="en-GB"/>
        </w:rPr>
        <w:t>protected whistleblowing pathway</w:t>
      </w:r>
      <w:r w:rsidRPr="4EE597E1" w:rsidR="7E66E09F">
        <w:rPr>
          <w:rFonts w:ascii="Arial" w:hAnsi="Arial" w:eastAsia="Arial" w:cs="Arial"/>
          <w:b w:val="0"/>
          <w:bCs w:val="0"/>
          <w:noProof w:val="0"/>
          <w:sz w:val="22"/>
          <w:szCs w:val="22"/>
          <w:lang w:val="en-GB"/>
        </w:rPr>
        <w:t xml:space="preserve"> ensures that safety concerns are escalated without delay. Lean principles can streamline reporting workflows to minimise administrative burden while maximising actionable data collection.</w:t>
      </w:r>
    </w:p>
    <w:p w:rsidR="7E66E09F" w:rsidP="4EE597E1" w:rsidRDefault="7E66E09F" w14:paraId="0A730C57" w14:textId="1FE9187A">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2"/>
          <w:szCs w:val="22"/>
          <w:lang w:val="en-GB"/>
        </w:rPr>
      </w:pPr>
      <w:r w:rsidRPr="4EE597E1" w:rsidR="7E66E09F">
        <w:rPr>
          <w:rFonts w:ascii="Arial" w:hAnsi="Arial" w:eastAsia="Arial" w:cs="Arial"/>
          <w:b w:val="1"/>
          <w:bCs w:val="1"/>
          <w:noProof w:val="0"/>
          <w:color w:val="000000" w:themeColor="text1" w:themeTint="FF" w:themeShade="FF"/>
          <w:sz w:val="22"/>
          <w:szCs w:val="22"/>
          <w:lang w:val="en-GB"/>
        </w:rPr>
        <w:t>3. Workforce Capacity and Competency</w:t>
      </w:r>
    </w:p>
    <w:p w:rsidR="7E66E09F" w:rsidP="4EE597E1" w:rsidRDefault="7E66E09F" w14:paraId="5E179804" w14:textId="327F3751">
      <w:pPr>
        <w:spacing w:before="240" w:beforeAutospacing="off" w:after="240" w:afterAutospacing="off" w:line="360" w:lineRule="auto"/>
        <w:jc w:val="both"/>
      </w:pPr>
      <w:r w:rsidRPr="4EE597E1" w:rsidR="7E66E09F">
        <w:rPr>
          <w:rFonts w:ascii="Arial" w:hAnsi="Arial" w:eastAsia="Arial" w:cs="Arial"/>
          <w:b w:val="0"/>
          <w:bCs w:val="0"/>
          <w:noProof w:val="0"/>
          <w:sz w:val="22"/>
          <w:szCs w:val="22"/>
          <w:lang w:val="en-GB"/>
        </w:rPr>
        <w:t xml:space="preserve">Staffing shortages and skill deficits were identified as key contributors to adverse </w:t>
      </w:r>
      <w:r w:rsidRPr="4EE597E1" w:rsidR="7E66E09F">
        <w:rPr>
          <w:rFonts w:ascii="Arial" w:hAnsi="Arial" w:eastAsia="Arial" w:cs="Arial"/>
          <w:b w:val="0"/>
          <w:bCs w:val="0"/>
          <w:noProof w:val="0"/>
          <w:sz w:val="22"/>
          <w:szCs w:val="22"/>
          <w:lang w:val="en-GB"/>
        </w:rPr>
        <w:t>outcomes</w:t>
      </w:r>
      <w:r w:rsidRPr="4EE597E1" w:rsidR="7E66E09F">
        <w:rPr>
          <w:rFonts w:ascii="Arial" w:hAnsi="Arial" w:eastAsia="Arial" w:cs="Arial"/>
          <w:b w:val="0"/>
          <w:bCs w:val="0"/>
          <w:noProof w:val="0"/>
          <w:sz w:val="22"/>
          <w:szCs w:val="22"/>
          <w:lang w:val="en-GB"/>
        </w:rPr>
        <w:t xml:space="preserve">. Strategic workforce planning should include </w:t>
      </w:r>
      <w:r w:rsidRPr="4EE597E1" w:rsidR="7E66E09F">
        <w:rPr>
          <w:rFonts w:ascii="Arial" w:hAnsi="Arial" w:eastAsia="Arial" w:cs="Arial"/>
          <w:b w:val="0"/>
          <w:bCs w:val="0"/>
          <w:noProof w:val="0"/>
          <w:sz w:val="22"/>
          <w:szCs w:val="22"/>
          <w:lang w:val="en-GB"/>
        </w:rPr>
        <w:t>safe staffing ratios</w:t>
      </w:r>
      <w:r w:rsidRPr="4EE597E1" w:rsidR="7E66E09F">
        <w:rPr>
          <w:rFonts w:ascii="Arial" w:hAnsi="Arial" w:eastAsia="Arial" w:cs="Arial"/>
          <w:b w:val="0"/>
          <w:bCs w:val="0"/>
          <w:noProof w:val="0"/>
          <w:sz w:val="22"/>
          <w:szCs w:val="22"/>
          <w:lang w:val="en-GB"/>
        </w:rPr>
        <w:t>,</w:t>
      </w:r>
      <w:r w:rsidRPr="4EE597E1" w:rsidR="7E66E09F">
        <w:rPr>
          <w:rFonts w:ascii="Arial" w:hAnsi="Arial" w:eastAsia="Arial" w:cs="Arial"/>
          <w:b w:val="0"/>
          <w:bCs w:val="0"/>
          <w:noProof w:val="0"/>
          <w:sz w:val="22"/>
          <w:szCs w:val="22"/>
          <w:lang w:val="en-GB"/>
        </w:rPr>
        <w:t xml:space="preserve"> targeted</w:t>
      </w:r>
      <w:r w:rsidRPr="4EE597E1" w:rsidR="7E66E09F">
        <w:rPr>
          <w:b w:val="0"/>
          <w:bCs w:val="0"/>
          <w:noProof w:val="0"/>
          <w:sz w:val="22"/>
          <w:szCs w:val="22"/>
          <w:lang w:val="en-GB"/>
        </w:rPr>
        <w:t xml:space="preserve"> </w:t>
      </w:r>
      <w:r w:rsidRPr="4EE597E1" w:rsidR="7E66E09F">
        <w:rPr>
          <w:rFonts w:ascii="Arial" w:hAnsi="Arial" w:eastAsia="Arial" w:cs="Arial"/>
          <w:b w:val="0"/>
          <w:bCs w:val="0"/>
          <w:noProof w:val="0"/>
          <w:sz w:val="22"/>
          <w:szCs w:val="22"/>
          <w:lang w:val="en-GB"/>
        </w:rPr>
        <w:t>recruitment of experienced neonatal nurses, and continuous professional</w:t>
      </w:r>
      <w:r w:rsidRPr="4EE597E1" w:rsidR="7E66E09F">
        <w:rPr>
          <w:b w:val="0"/>
          <w:bCs w:val="0"/>
          <w:noProof w:val="0"/>
          <w:sz w:val="22"/>
          <w:szCs w:val="22"/>
          <w:lang w:val="en-GB"/>
        </w:rPr>
        <w:t xml:space="preserve"> </w:t>
      </w:r>
      <w:r w:rsidRPr="4EE597E1" w:rsidR="7E66E09F">
        <w:rPr>
          <w:rFonts w:ascii="Arial" w:hAnsi="Arial" w:eastAsia="Arial" w:cs="Arial"/>
          <w:b w:val="0"/>
          <w:bCs w:val="0"/>
          <w:noProof w:val="0"/>
          <w:sz w:val="22"/>
          <w:szCs w:val="22"/>
          <w:lang w:val="en-GB"/>
        </w:rPr>
        <w:t>development programs focuse</w:t>
      </w:r>
      <w:r w:rsidRPr="4EE597E1" w:rsidR="7E66E09F">
        <w:rPr>
          <w:rFonts w:ascii="Arial" w:hAnsi="Arial" w:eastAsia="Arial" w:cs="Arial"/>
          <w:b w:val="0"/>
          <w:bCs w:val="0"/>
          <w:noProof w:val="0"/>
          <w:sz w:val="22"/>
          <w:szCs w:val="22"/>
          <w:lang w:val="en-GB"/>
        </w:rPr>
        <w:t xml:space="preserve">d on neonatal safety and early warning recognition (Twigg &amp; McCullough, 2014). Simulation-based training, particularly for high-risk neonatal scenarios, can improve competency, teamwork, and rapid response capabilities. Implementing </w:t>
      </w:r>
      <w:r w:rsidRPr="4EE597E1" w:rsidR="7E66E09F">
        <w:rPr>
          <w:rFonts w:ascii="Arial" w:hAnsi="Arial" w:eastAsia="Arial" w:cs="Arial"/>
          <w:b w:val="0"/>
          <w:bCs w:val="0"/>
          <w:noProof w:val="0"/>
          <w:sz w:val="22"/>
          <w:szCs w:val="22"/>
          <w:lang w:val="en-GB"/>
        </w:rPr>
        <w:t>PDSA cycles for training interventions</w:t>
      </w:r>
      <w:r w:rsidRPr="4EE597E1" w:rsidR="7E66E09F">
        <w:rPr>
          <w:rFonts w:ascii="Arial" w:hAnsi="Arial" w:eastAsia="Arial" w:cs="Arial"/>
          <w:b w:val="0"/>
          <w:bCs w:val="0"/>
          <w:noProof w:val="0"/>
          <w:sz w:val="22"/>
          <w:szCs w:val="22"/>
          <w:lang w:val="en-GB"/>
        </w:rPr>
        <w:t xml:space="preserve"> allows iterative evaluation of their impact on clinical outcomes.</w:t>
      </w:r>
    </w:p>
    <w:p w:rsidR="7E66E09F" w:rsidP="4EE597E1" w:rsidRDefault="7E66E09F" w14:paraId="160DC353" w14:textId="04091512">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2"/>
          <w:szCs w:val="22"/>
          <w:lang w:val="en-GB"/>
        </w:rPr>
      </w:pPr>
      <w:r w:rsidRPr="4EE597E1" w:rsidR="7E66E09F">
        <w:rPr>
          <w:rFonts w:ascii="Arial" w:hAnsi="Arial" w:eastAsia="Arial" w:cs="Arial"/>
          <w:b w:val="1"/>
          <w:bCs w:val="1"/>
          <w:noProof w:val="0"/>
          <w:color w:val="000000" w:themeColor="text1" w:themeTint="FF" w:themeShade="FF"/>
          <w:sz w:val="22"/>
          <w:szCs w:val="22"/>
          <w:lang w:val="en-GB"/>
        </w:rPr>
        <w:t>4. Standardisation of Policies and Protocols</w:t>
      </w:r>
    </w:p>
    <w:p w:rsidR="7E66E09F" w:rsidP="4EE597E1" w:rsidRDefault="7E66E09F" w14:paraId="523E3BCB" w14:textId="711C60EB">
      <w:pPr>
        <w:spacing w:before="240" w:beforeAutospacing="off" w:after="240" w:afterAutospacing="off" w:line="360" w:lineRule="auto"/>
        <w:jc w:val="both"/>
        <w:rPr>
          <w:rFonts w:ascii="Arial" w:hAnsi="Arial" w:eastAsia="Arial" w:cs="Arial"/>
          <w:b w:val="0"/>
          <w:bCs w:val="0"/>
          <w:noProof w:val="0"/>
          <w:sz w:val="22"/>
          <w:szCs w:val="22"/>
          <w:lang w:val="en-GB"/>
        </w:rPr>
      </w:pPr>
      <w:r w:rsidRPr="4EE597E1" w:rsidR="7E66E09F">
        <w:rPr>
          <w:rFonts w:ascii="Arial" w:hAnsi="Arial" w:eastAsia="Arial" w:cs="Arial"/>
          <w:b w:val="0"/>
          <w:bCs w:val="0"/>
          <w:noProof w:val="0"/>
          <w:sz w:val="22"/>
          <w:szCs w:val="22"/>
          <w:lang w:val="en-GB"/>
        </w:rPr>
        <w:t xml:space="preserve">Inconsistent policies contributed to delayed escalation and poor adherence to safety standards. Establishing </w:t>
      </w:r>
      <w:r w:rsidRPr="4EE597E1" w:rsidR="7E66E09F">
        <w:rPr>
          <w:rFonts w:ascii="Arial" w:hAnsi="Arial" w:eastAsia="Arial" w:cs="Arial"/>
          <w:b w:val="0"/>
          <w:bCs w:val="0"/>
          <w:noProof w:val="0"/>
          <w:sz w:val="22"/>
          <w:szCs w:val="22"/>
          <w:lang w:val="en-GB"/>
        </w:rPr>
        <w:t>clear, standardised neonatal care protocols</w:t>
      </w:r>
      <w:r w:rsidRPr="4EE597E1" w:rsidR="7E66E09F">
        <w:rPr>
          <w:rFonts w:ascii="Arial" w:hAnsi="Arial" w:eastAsia="Arial" w:cs="Arial"/>
          <w:b w:val="0"/>
          <w:bCs w:val="0"/>
          <w:noProof w:val="0"/>
          <w:sz w:val="22"/>
          <w:szCs w:val="22"/>
          <w:lang w:val="en-GB"/>
        </w:rPr>
        <w:t xml:space="preserve"> aligned with NHS and international guidelines can reduce variability in practice (World Health Organization, 2021). Visual aids, checklists, and decision-support tools embedded within electronic health records can reinforce protocol compliance. </w:t>
      </w:r>
      <w:r w:rsidRPr="4EE597E1" w:rsidR="7E66E09F">
        <w:rPr>
          <w:rFonts w:ascii="Arial" w:hAnsi="Arial" w:eastAsia="Arial" w:cs="Arial"/>
          <w:b w:val="0"/>
          <w:bCs w:val="0"/>
          <w:noProof w:val="0"/>
          <w:sz w:val="22"/>
          <w:szCs w:val="22"/>
          <w:lang w:val="en-GB"/>
        </w:rPr>
        <w:t>Six Sigma methodologies</w:t>
      </w:r>
      <w:r w:rsidRPr="4EE597E1" w:rsidR="7E66E09F">
        <w:rPr>
          <w:rFonts w:ascii="Arial" w:hAnsi="Arial" w:eastAsia="Arial" w:cs="Arial"/>
          <w:b w:val="0"/>
          <w:bCs w:val="0"/>
          <w:noProof w:val="0"/>
          <w:sz w:val="22"/>
          <w:szCs w:val="22"/>
          <w:lang w:val="en-GB"/>
        </w:rPr>
        <w:t xml:space="preserve"> can be applied to measure protocol adherence, </w:t>
      </w:r>
      <w:r w:rsidRPr="4EE597E1" w:rsidR="7E66E09F">
        <w:rPr>
          <w:rFonts w:ascii="Arial" w:hAnsi="Arial" w:eastAsia="Arial" w:cs="Arial"/>
          <w:b w:val="0"/>
          <w:bCs w:val="0"/>
          <w:noProof w:val="0"/>
          <w:sz w:val="22"/>
          <w:szCs w:val="22"/>
          <w:lang w:val="en-GB"/>
        </w:rPr>
        <w:t>identify</w:t>
      </w:r>
      <w:r w:rsidRPr="4EE597E1" w:rsidR="7E66E09F">
        <w:rPr>
          <w:rFonts w:ascii="Arial" w:hAnsi="Arial" w:eastAsia="Arial" w:cs="Arial"/>
          <w:b w:val="0"/>
          <w:bCs w:val="0"/>
          <w:noProof w:val="0"/>
          <w:sz w:val="22"/>
          <w:szCs w:val="22"/>
          <w:lang w:val="en-GB"/>
        </w:rPr>
        <w:t xml:space="preserve"> process defects, and reduce variation in care delivery.</w:t>
      </w:r>
    </w:p>
    <w:p w:rsidR="7E66E09F" w:rsidP="4EE597E1" w:rsidRDefault="7E66E09F" w14:paraId="5F40E2DF" w14:textId="40B79596">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2"/>
          <w:szCs w:val="22"/>
          <w:lang w:val="en-GB"/>
        </w:rPr>
      </w:pPr>
      <w:r w:rsidRPr="4EE597E1" w:rsidR="7E66E09F">
        <w:rPr>
          <w:rFonts w:ascii="Arial" w:hAnsi="Arial" w:eastAsia="Arial" w:cs="Arial"/>
          <w:b w:val="1"/>
          <w:bCs w:val="1"/>
          <w:noProof w:val="0"/>
          <w:color w:val="000000" w:themeColor="text1" w:themeTint="FF" w:themeShade="FF"/>
          <w:sz w:val="22"/>
          <w:szCs w:val="22"/>
          <w:lang w:val="en-GB"/>
        </w:rPr>
        <w:t>5. Culture and Organisational Change</w:t>
      </w:r>
    </w:p>
    <w:p w:rsidR="7E66E09F" w:rsidP="4EE597E1" w:rsidRDefault="7E66E09F" w14:paraId="6D01171E" w14:textId="689D500A">
      <w:pPr>
        <w:spacing w:before="240" w:beforeAutospacing="off" w:after="240" w:afterAutospacing="off" w:line="360" w:lineRule="auto"/>
        <w:jc w:val="both"/>
        <w:rPr>
          <w:rFonts w:ascii="Arial" w:hAnsi="Arial" w:eastAsia="Arial" w:cs="Arial"/>
          <w:b w:val="0"/>
          <w:bCs w:val="0"/>
          <w:noProof w:val="0"/>
          <w:sz w:val="22"/>
          <w:szCs w:val="22"/>
          <w:lang w:val="en-GB"/>
        </w:rPr>
      </w:pPr>
      <w:r w:rsidRPr="4EE597E1" w:rsidR="7E66E09F">
        <w:rPr>
          <w:rFonts w:ascii="Arial" w:hAnsi="Arial" w:eastAsia="Arial" w:cs="Arial"/>
          <w:b w:val="0"/>
          <w:bCs w:val="0"/>
          <w:noProof w:val="0"/>
          <w:sz w:val="22"/>
          <w:szCs w:val="22"/>
          <w:lang w:val="en-GB"/>
        </w:rPr>
        <w:t xml:space="preserve">Transforming the organisational culture is crucial for sustaining improvements. Leadership should promote a </w:t>
      </w:r>
      <w:r w:rsidRPr="4EE597E1" w:rsidR="7E66E09F">
        <w:rPr>
          <w:rFonts w:ascii="Arial" w:hAnsi="Arial" w:eastAsia="Arial" w:cs="Arial"/>
          <w:b w:val="0"/>
          <w:bCs w:val="0"/>
          <w:noProof w:val="0"/>
          <w:sz w:val="22"/>
          <w:szCs w:val="22"/>
          <w:lang w:val="en-GB"/>
        </w:rPr>
        <w:t>just culture</w:t>
      </w:r>
      <w:r w:rsidRPr="4EE597E1" w:rsidR="7E66E09F">
        <w:rPr>
          <w:rFonts w:ascii="Arial" w:hAnsi="Arial" w:eastAsia="Arial" w:cs="Arial"/>
          <w:b w:val="0"/>
          <w:bCs w:val="0"/>
          <w:noProof w:val="0"/>
          <w:sz w:val="22"/>
          <w:szCs w:val="22"/>
          <w:lang w:val="en-GB"/>
        </w:rPr>
        <w:t xml:space="preserve">, emphasising learning from errors rather than punitive responses. Staff engagement initiatives, focus groups, and regular feedback sessions can strengthen a culture of accountability and open communication (Edmondson, 2018). Embedding safety culture metrics into performance reviews ensures that cultural change is </w:t>
      </w:r>
      <w:r w:rsidRPr="4EE597E1" w:rsidR="7E66E09F">
        <w:rPr>
          <w:rFonts w:ascii="Arial" w:hAnsi="Arial" w:eastAsia="Arial" w:cs="Arial"/>
          <w:b w:val="0"/>
          <w:bCs w:val="0"/>
          <w:noProof w:val="0"/>
          <w:sz w:val="22"/>
          <w:szCs w:val="22"/>
          <w:lang w:val="en-GB"/>
        </w:rPr>
        <w:t>monitored</w:t>
      </w:r>
      <w:r w:rsidRPr="4EE597E1" w:rsidR="7E66E09F">
        <w:rPr>
          <w:rFonts w:ascii="Arial" w:hAnsi="Arial" w:eastAsia="Arial" w:cs="Arial"/>
          <w:b w:val="0"/>
          <w:bCs w:val="0"/>
          <w:noProof w:val="0"/>
          <w:sz w:val="22"/>
          <w:szCs w:val="22"/>
          <w:lang w:val="en-GB"/>
        </w:rPr>
        <w:t xml:space="preserve"> and reinforced.</w:t>
      </w:r>
    </w:p>
    <w:p w:rsidR="7E66E09F" w:rsidP="4EE597E1" w:rsidRDefault="7E66E09F" w14:paraId="1C356DA2" w14:textId="35C26E71">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2"/>
          <w:szCs w:val="22"/>
          <w:lang w:val="en-GB"/>
        </w:rPr>
      </w:pPr>
      <w:r w:rsidRPr="4EE597E1" w:rsidR="7E66E09F">
        <w:rPr>
          <w:rFonts w:ascii="Arial" w:hAnsi="Arial" w:eastAsia="Arial" w:cs="Arial"/>
          <w:b w:val="1"/>
          <w:bCs w:val="1"/>
          <w:noProof w:val="0"/>
          <w:color w:val="000000" w:themeColor="text1" w:themeTint="FF" w:themeShade="FF"/>
          <w:sz w:val="22"/>
          <w:szCs w:val="22"/>
          <w:lang w:val="en-GB"/>
        </w:rPr>
        <w:t>6. Continuous Monitoring and Evaluation</w:t>
      </w:r>
    </w:p>
    <w:p w:rsidR="7E66E09F" w:rsidP="4EE597E1" w:rsidRDefault="7E66E09F" w14:paraId="78CE8D42" w14:textId="1E34D47D">
      <w:pPr>
        <w:spacing w:before="240" w:beforeAutospacing="off" w:after="240" w:afterAutospacing="off" w:line="360" w:lineRule="auto"/>
        <w:jc w:val="both"/>
        <w:rPr>
          <w:rFonts w:ascii="Arial" w:hAnsi="Arial" w:eastAsia="Arial" w:cs="Arial"/>
          <w:b w:val="0"/>
          <w:bCs w:val="0"/>
          <w:noProof w:val="0"/>
          <w:sz w:val="22"/>
          <w:szCs w:val="22"/>
          <w:lang w:val="en-GB"/>
        </w:rPr>
      </w:pPr>
      <w:r w:rsidRPr="4EE597E1" w:rsidR="7E66E09F">
        <w:rPr>
          <w:rFonts w:ascii="Arial" w:hAnsi="Arial" w:eastAsia="Arial" w:cs="Arial"/>
          <w:b w:val="0"/>
          <w:bCs w:val="0"/>
          <w:noProof w:val="0"/>
          <w:sz w:val="22"/>
          <w:szCs w:val="22"/>
          <w:lang w:val="en-GB"/>
        </w:rPr>
        <w:t xml:space="preserve">Ongoing monitoring is necessary to ensure recommendations translate into measurable improvements. A </w:t>
      </w:r>
      <w:r w:rsidRPr="4EE597E1" w:rsidR="7E66E09F">
        <w:rPr>
          <w:rFonts w:ascii="Arial" w:hAnsi="Arial" w:eastAsia="Arial" w:cs="Arial"/>
          <w:b w:val="0"/>
          <w:bCs w:val="0"/>
          <w:noProof w:val="0"/>
          <w:sz w:val="22"/>
          <w:szCs w:val="22"/>
          <w:lang w:val="en-GB"/>
        </w:rPr>
        <w:t>dashboard of key performance indicators</w:t>
      </w:r>
      <w:r w:rsidRPr="4EE597E1" w:rsidR="7E66E09F">
        <w:rPr>
          <w:rFonts w:ascii="Arial" w:hAnsi="Arial" w:eastAsia="Arial" w:cs="Arial"/>
          <w:b w:val="0"/>
          <w:bCs w:val="0"/>
          <w:noProof w:val="0"/>
          <w:sz w:val="22"/>
          <w:szCs w:val="22"/>
          <w:lang w:val="en-GB"/>
        </w:rPr>
        <w:t xml:space="preserve"> (KPIs), including incident rates, staff compliance with protocols, patient outcomes, and audit results, should be regularly reviewed. This allows leadership to use </w:t>
      </w:r>
      <w:r w:rsidRPr="4EE597E1" w:rsidR="7E66E09F">
        <w:rPr>
          <w:rFonts w:ascii="Arial" w:hAnsi="Arial" w:eastAsia="Arial" w:cs="Arial"/>
          <w:b w:val="0"/>
          <w:bCs w:val="0"/>
          <w:noProof w:val="0"/>
          <w:sz w:val="22"/>
          <w:szCs w:val="22"/>
          <w:lang w:val="en-GB"/>
        </w:rPr>
        <w:t>PDCA cycles</w:t>
      </w:r>
      <w:r w:rsidRPr="4EE597E1" w:rsidR="7E66E09F">
        <w:rPr>
          <w:rFonts w:ascii="Arial" w:hAnsi="Arial" w:eastAsia="Arial" w:cs="Arial"/>
          <w:b w:val="0"/>
          <w:bCs w:val="0"/>
          <w:noProof w:val="0"/>
          <w:sz w:val="22"/>
          <w:szCs w:val="22"/>
          <w:lang w:val="en-GB"/>
        </w:rPr>
        <w:t xml:space="preserve"> to adjust strategies in real-time, ensuring iterative improvement and sustainability (Taylor et al., 2014).</w:t>
      </w:r>
    </w:p>
    <w:p w:rsidR="7E66E09F" w:rsidP="4EE597E1" w:rsidRDefault="7E66E09F" w14:paraId="531DE274" w14:textId="3BCB7F6D">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r w:rsidRPr="4EE597E1" w:rsidR="7E66E09F">
        <w:rPr>
          <w:rFonts w:ascii="Arial" w:hAnsi="Arial" w:eastAsia="Arial" w:cs="Arial"/>
          <w:b w:val="1"/>
          <w:bCs w:val="1"/>
          <w:noProof w:val="0"/>
          <w:color w:val="000000" w:themeColor="text1" w:themeTint="FF" w:themeShade="FF"/>
          <w:sz w:val="22"/>
          <w:szCs w:val="22"/>
          <w:lang w:val="en-GB"/>
        </w:rPr>
        <w:t>7. Stakeholder and Family Engagement</w:t>
      </w:r>
    </w:p>
    <w:p w:rsidR="7E66E09F" w:rsidP="4EE597E1" w:rsidRDefault="7E66E09F" w14:paraId="6924A8C4" w14:textId="36B61B60">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4EE597E1" w:rsidR="7E66E09F">
        <w:rPr>
          <w:rFonts w:ascii="Arial" w:hAnsi="Arial" w:eastAsia="Arial" w:cs="Arial"/>
          <w:noProof w:val="0"/>
          <w:color w:val="000000" w:themeColor="text1" w:themeTint="FF" w:themeShade="FF"/>
          <w:sz w:val="22"/>
          <w:szCs w:val="22"/>
          <w:lang w:val="en-GB"/>
        </w:rPr>
        <w:t xml:space="preserve">Engaging patients’ families and external stakeholders ensures transparency and shared accountability. Families should be informed about safety protocols, incident reporting avenues, and improvements made following adverse events. Evidence </w:t>
      </w:r>
      <w:r w:rsidRPr="4EE597E1" w:rsidR="7E66E09F">
        <w:rPr>
          <w:rFonts w:ascii="Arial" w:hAnsi="Arial" w:eastAsia="Arial" w:cs="Arial"/>
          <w:noProof w:val="0"/>
          <w:color w:val="000000" w:themeColor="text1" w:themeTint="FF" w:themeShade="FF"/>
          <w:sz w:val="22"/>
          <w:szCs w:val="22"/>
          <w:lang w:val="en-GB"/>
        </w:rPr>
        <w:t>demonstrates</w:t>
      </w:r>
      <w:r w:rsidRPr="4EE597E1" w:rsidR="7E66E09F">
        <w:rPr>
          <w:rFonts w:ascii="Arial" w:hAnsi="Arial" w:eastAsia="Arial" w:cs="Arial"/>
          <w:noProof w:val="0"/>
          <w:color w:val="000000" w:themeColor="text1" w:themeTint="FF" w:themeShade="FF"/>
          <w:sz w:val="22"/>
          <w:szCs w:val="22"/>
          <w:lang w:val="en-GB"/>
        </w:rPr>
        <w:t xml:space="preserve"> that active stakeholder engagement contributes to safer care environments and enhances public trust (Coulter &amp; Oldham, 2016).</w:t>
      </w:r>
    </w:p>
    <w:p w:rsidR="7E66E09F" w:rsidP="4EE597E1" w:rsidRDefault="7E66E09F" w14:paraId="2C1DA6E9" w14:textId="1513EBB2">
      <w:pPr>
        <w:spacing w:before="240" w:beforeAutospacing="off" w:after="240" w:afterAutospacing="off" w:line="360" w:lineRule="auto"/>
        <w:jc w:val="both"/>
        <w:rPr>
          <w:rFonts w:ascii="Arial" w:hAnsi="Arial" w:eastAsia="Arial" w:cs="Arial"/>
          <w:b w:val="0"/>
          <w:bCs w:val="0"/>
          <w:noProof w:val="0"/>
          <w:sz w:val="22"/>
          <w:szCs w:val="22"/>
          <w:lang w:val="en-GB"/>
        </w:rPr>
      </w:pPr>
      <w:r w:rsidRPr="4EE597E1" w:rsidR="7E66E09F">
        <w:rPr>
          <w:rFonts w:ascii="Arial" w:hAnsi="Arial" w:eastAsia="Arial" w:cs="Arial"/>
          <w:b w:val="0"/>
          <w:bCs w:val="0"/>
          <w:noProof w:val="0"/>
          <w:sz w:val="22"/>
          <w:szCs w:val="22"/>
          <w:lang w:val="en-GB"/>
        </w:rPr>
        <w:t>In conclusion</w:t>
      </w:r>
      <w:r w:rsidRPr="4EE597E1" w:rsidR="7E66E09F">
        <w:rPr>
          <w:rFonts w:ascii="Arial" w:hAnsi="Arial" w:eastAsia="Arial" w:cs="Arial"/>
          <w:b w:val="0"/>
          <w:bCs w:val="0"/>
          <w:noProof w:val="0"/>
          <w:sz w:val="22"/>
          <w:szCs w:val="22"/>
          <w:lang w:val="en-GB"/>
        </w:rPr>
        <w:t xml:space="preserve">, implementing these recommendations requires a </w:t>
      </w:r>
      <w:r w:rsidRPr="4EE597E1" w:rsidR="7E66E09F">
        <w:rPr>
          <w:rFonts w:ascii="Arial" w:hAnsi="Arial" w:eastAsia="Arial" w:cs="Arial"/>
          <w:b w:val="0"/>
          <w:bCs w:val="0"/>
          <w:noProof w:val="0"/>
          <w:sz w:val="22"/>
          <w:szCs w:val="22"/>
          <w:lang w:val="en-GB"/>
        </w:rPr>
        <w:t>systems-based approach</w:t>
      </w:r>
      <w:r w:rsidRPr="4EE597E1" w:rsidR="7E66E09F">
        <w:rPr>
          <w:rFonts w:ascii="Arial" w:hAnsi="Arial" w:eastAsia="Arial" w:cs="Arial"/>
          <w:b w:val="0"/>
          <w:bCs w:val="0"/>
          <w:noProof w:val="0"/>
          <w:sz w:val="22"/>
          <w:szCs w:val="22"/>
          <w:lang w:val="en-GB"/>
        </w:rPr>
        <w:t xml:space="preserve"> combining leadership accountability, staff empowerment, protocol standardisation, cultural reform, and continuous evaluation. Utilizing structured quality improvement tools ensures that interventions are both effective and sustainable, directly addressing the root causes of failures </w:t>
      </w:r>
      <w:r w:rsidRPr="4EE597E1" w:rsidR="7E66E09F">
        <w:rPr>
          <w:rFonts w:ascii="Arial" w:hAnsi="Arial" w:eastAsia="Arial" w:cs="Arial"/>
          <w:b w:val="0"/>
          <w:bCs w:val="0"/>
          <w:noProof w:val="0"/>
          <w:sz w:val="22"/>
          <w:szCs w:val="22"/>
          <w:lang w:val="en-GB"/>
        </w:rPr>
        <w:t>identified</w:t>
      </w:r>
      <w:r w:rsidRPr="4EE597E1" w:rsidR="7E66E09F">
        <w:rPr>
          <w:rFonts w:ascii="Arial" w:hAnsi="Arial" w:eastAsia="Arial" w:cs="Arial"/>
          <w:b w:val="0"/>
          <w:bCs w:val="0"/>
          <w:noProof w:val="0"/>
          <w:sz w:val="22"/>
          <w:szCs w:val="22"/>
          <w:lang w:val="en-GB"/>
        </w:rPr>
        <w:t xml:space="preserve"> in the Letby case. By integrating PDSA, PDCA, Lean, and Six Sigma methodologies, the hospital can reduce preventable harm, enhance service efficiency, and restore equity and trust in neonatal care services.</w:t>
      </w:r>
    </w:p>
    <w:p w:rsidR="189F35AF" w:rsidP="4EE597E1" w:rsidRDefault="189F35AF" w14:paraId="2E5138F0" w14:textId="3686FD32">
      <w:pPr>
        <w:pStyle w:val="Heading1"/>
        <w:spacing w:before="322" w:beforeAutospacing="off" w:after="322" w:afterAutospacing="off" w:line="360" w:lineRule="auto"/>
        <w:jc w:val="both"/>
        <w:rPr>
          <w:rFonts w:ascii="Arial" w:hAnsi="Arial" w:eastAsia="Arial" w:cs="Arial"/>
          <w:b w:val="1"/>
          <w:bCs w:val="1"/>
          <w:noProof w:val="0"/>
          <w:color w:val="000000" w:themeColor="text1" w:themeTint="FF" w:themeShade="FF"/>
          <w:sz w:val="22"/>
          <w:szCs w:val="22"/>
          <w:lang w:val="en-GB"/>
        </w:rPr>
      </w:pPr>
      <w:r w:rsidRPr="4EE597E1" w:rsidR="189F35AF">
        <w:rPr>
          <w:rFonts w:ascii="Arial" w:hAnsi="Arial" w:eastAsia="Arial" w:cs="Arial"/>
          <w:b w:val="1"/>
          <w:bCs w:val="1"/>
          <w:noProof w:val="0"/>
          <w:color w:val="000000" w:themeColor="text1" w:themeTint="FF" w:themeShade="FF"/>
          <w:sz w:val="22"/>
          <w:szCs w:val="22"/>
          <w:lang w:val="en-GB"/>
        </w:rPr>
        <w:t>5.0 Conclusion</w:t>
      </w:r>
      <w:r w:rsidRPr="4EE597E1" w:rsidR="189F35AF">
        <w:rPr>
          <w:rFonts w:ascii="Arial" w:hAnsi="Arial" w:eastAsia="Arial" w:cs="Arial"/>
          <w:b w:val="1"/>
          <w:bCs w:val="1"/>
          <w:noProof w:val="0"/>
          <w:color w:val="000000" w:themeColor="text1" w:themeTint="FF" w:themeShade="FF"/>
          <w:sz w:val="22"/>
          <w:szCs w:val="22"/>
          <w:lang w:val="en-GB"/>
        </w:rPr>
        <w:t xml:space="preserve"> </w:t>
      </w:r>
    </w:p>
    <w:p w:rsidR="189F35AF" w:rsidP="4EE597E1" w:rsidRDefault="189F35AF" w14:paraId="2BD27DB8" w14:textId="759D07FA">
      <w:pPr>
        <w:spacing w:before="240" w:beforeAutospacing="off" w:after="240" w:afterAutospacing="off" w:line="360" w:lineRule="auto"/>
        <w:jc w:val="both"/>
        <w:rPr>
          <w:rFonts w:ascii="Arial" w:hAnsi="Arial" w:eastAsia="Arial" w:cs="Arial"/>
          <w:b w:val="0"/>
          <w:bCs w:val="0"/>
          <w:noProof w:val="0"/>
          <w:sz w:val="22"/>
          <w:szCs w:val="22"/>
          <w:lang w:val="en-GB"/>
        </w:rPr>
      </w:pPr>
      <w:r w:rsidRPr="4EE597E1" w:rsidR="189F35AF">
        <w:rPr>
          <w:rFonts w:ascii="Arial" w:hAnsi="Arial" w:eastAsia="Arial" w:cs="Arial"/>
          <w:b w:val="0"/>
          <w:bCs w:val="0"/>
          <w:noProof w:val="0"/>
          <w:sz w:val="22"/>
          <w:szCs w:val="22"/>
          <w:lang w:val="en-GB"/>
        </w:rPr>
        <w:t xml:space="preserve">The analysis of the Lucy Letby case at Countess of Chester Hospital highlights profound systemic failures in clinical governance, policy adherence, and organisational culture, which collectively compromised neonatal care quality. Through application of theoretical frameworks such as the </w:t>
      </w:r>
      <w:r w:rsidRPr="4EE597E1" w:rsidR="189F35AF">
        <w:rPr>
          <w:rFonts w:ascii="Arial" w:hAnsi="Arial" w:eastAsia="Arial" w:cs="Arial"/>
          <w:b w:val="0"/>
          <w:bCs w:val="0"/>
          <w:noProof w:val="0"/>
          <w:sz w:val="22"/>
          <w:szCs w:val="22"/>
          <w:lang w:val="en-GB"/>
        </w:rPr>
        <w:t>Swiss Cheese Model, Fishbone Diagram, and Donabedian Model</w:t>
      </w:r>
      <w:r w:rsidRPr="4EE597E1" w:rsidR="189F35AF">
        <w:rPr>
          <w:rFonts w:ascii="Arial" w:hAnsi="Arial" w:eastAsia="Arial" w:cs="Arial"/>
          <w:b w:val="0"/>
          <w:bCs w:val="0"/>
          <w:noProof w:val="0"/>
          <w:sz w:val="22"/>
          <w:szCs w:val="22"/>
          <w:lang w:val="en-GB"/>
        </w:rPr>
        <w:t>, the root causes of these failures were identified as a combination of latent organisational errors, insufficient incident reporting, weak leadership oversight, and a culture that discouraged staff from raising concerns (Reason, 1997; Ishikawa, 1985).</w:t>
      </w:r>
    </w:p>
    <w:p w:rsidR="189F35AF" w:rsidP="4EE597E1" w:rsidRDefault="189F35AF" w14:paraId="1D272F30" w14:textId="617121B3">
      <w:pPr>
        <w:spacing w:before="240" w:beforeAutospacing="off" w:after="240" w:afterAutospacing="off" w:line="360" w:lineRule="auto"/>
        <w:jc w:val="both"/>
        <w:rPr>
          <w:rFonts w:ascii="Arial" w:hAnsi="Arial" w:eastAsia="Arial" w:cs="Arial"/>
          <w:b w:val="0"/>
          <w:bCs w:val="0"/>
          <w:noProof w:val="0"/>
          <w:sz w:val="22"/>
          <w:szCs w:val="22"/>
          <w:lang w:val="en-GB"/>
        </w:rPr>
      </w:pPr>
      <w:r w:rsidRPr="4EE597E1" w:rsidR="189F35AF">
        <w:rPr>
          <w:rFonts w:ascii="Arial" w:hAnsi="Arial" w:eastAsia="Arial" w:cs="Arial"/>
          <w:b w:val="0"/>
          <w:bCs w:val="0"/>
          <w:noProof w:val="0"/>
          <w:sz w:val="22"/>
          <w:szCs w:val="22"/>
          <w:lang w:val="en-GB"/>
        </w:rPr>
        <w:t xml:space="preserve">Policy and governance analysis revealed that inadequate adherence to national patient safety frameworks, limited implementation of whistleblowing procedures, and inconsistent enforcement of protocols created significant vulnerabilities in service provision (UK Government Department of Health, 2025; Ockenden, 2022). These gaps directly </w:t>
      </w:r>
      <w:r w:rsidRPr="4EE597E1" w:rsidR="189F35AF">
        <w:rPr>
          <w:rFonts w:ascii="Arial" w:hAnsi="Arial" w:eastAsia="Arial" w:cs="Arial"/>
          <w:b w:val="0"/>
          <w:bCs w:val="0"/>
          <w:noProof w:val="0"/>
          <w:sz w:val="22"/>
          <w:szCs w:val="22"/>
          <w:lang w:val="en-GB"/>
        </w:rPr>
        <w:t>impacted</w:t>
      </w:r>
      <w:r w:rsidRPr="4EE597E1" w:rsidR="189F35AF">
        <w:rPr>
          <w:rFonts w:ascii="Arial" w:hAnsi="Arial" w:eastAsia="Arial" w:cs="Arial"/>
          <w:b w:val="0"/>
          <w:bCs w:val="0"/>
          <w:noProof w:val="0"/>
          <w:sz w:val="22"/>
          <w:szCs w:val="22"/>
          <w:lang w:val="en-GB"/>
        </w:rPr>
        <w:t xml:space="preserve"> service quality, efficiency, and equity, with preventable harm occurring, resources being diverted to reactive incident management, and vulnerable neonatal patients disproportionately affected (Hassan, McGrath &amp; Rollins, 2011; Bruns et al., 2021).</w:t>
      </w:r>
    </w:p>
    <w:p w:rsidR="189F35AF" w:rsidP="4EE597E1" w:rsidRDefault="189F35AF" w14:paraId="5C5F7BD3" w14:textId="47E5C46D">
      <w:pPr>
        <w:spacing w:before="240" w:beforeAutospacing="off" w:after="240" w:afterAutospacing="off" w:line="360" w:lineRule="auto"/>
        <w:jc w:val="both"/>
        <w:rPr>
          <w:rFonts w:ascii="Arial" w:hAnsi="Arial" w:eastAsia="Arial" w:cs="Arial"/>
          <w:b w:val="0"/>
          <w:bCs w:val="0"/>
          <w:noProof w:val="0"/>
          <w:sz w:val="22"/>
          <w:szCs w:val="22"/>
          <w:lang w:val="en-GB"/>
        </w:rPr>
      </w:pPr>
      <w:r w:rsidRPr="4EE597E1" w:rsidR="189F35AF">
        <w:rPr>
          <w:rFonts w:ascii="Arial" w:hAnsi="Arial" w:eastAsia="Arial" w:cs="Arial"/>
          <w:b w:val="0"/>
          <w:bCs w:val="0"/>
          <w:noProof w:val="0"/>
          <w:sz w:val="22"/>
          <w:szCs w:val="22"/>
          <w:lang w:val="en-GB"/>
        </w:rPr>
        <w:t>Recommendations developed through evidence-based quality improvement methodologies</w:t>
      </w:r>
      <w:r w:rsidRPr="4EE597E1" w:rsidR="29980981">
        <w:rPr>
          <w:rFonts w:ascii="Arial" w:hAnsi="Arial" w:eastAsia="Arial" w:cs="Arial"/>
          <w:b w:val="0"/>
          <w:bCs w:val="0"/>
          <w:noProof w:val="0"/>
          <w:sz w:val="22"/>
          <w:szCs w:val="22"/>
          <w:lang w:val="en-GB"/>
        </w:rPr>
        <w:t xml:space="preserve"> </w:t>
      </w:r>
      <w:r w:rsidRPr="4EE597E1" w:rsidR="189F35AF">
        <w:rPr>
          <w:rFonts w:ascii="Arial" w:hAnsi="Arial" w:eastAsia="Arial" w:cs="Arial"/>
          <w:b w:val="0"/>
          <w:bCs w:val="0"/>
          <w:noProof w:val="0"/>
          <w:sz w:val="22"/>
          <w:szCs w:val="22"/>
          <w:lang w:val="en-GB"/>
        </w:rPr>
        <w:t xml:space="preserve">including </w:t>
      </w:r>
      <w:r w:rsidRPr="4EE597E1" w:rsidR="189F35AF">
        <w:rPr>
          <w:rFonts w:ascii="Arial" w:hAnsi="Arial" w:eastAsia="Arial" w:cs="Arial"/>
          <w:b w:val="0"/>
          <w:bCs w:val="0"/>
          <w:noProof w:val="0"/>
          <w:sz w:val="22"/>
          <w:szCs w:val="22"/>
          <w:lang w:val="en-GB"/>
        </w:rPr>
        <w:t>PDSA, PDCA, Lean, and Six Sigma</w:t>
      </w:r>
      <w:r w:rsidRPr="4EE597E1" w:rsidR="508FCCD8">
        <w:rPr>
          <w:rFonts w:ascii="Arial" w:hAnsi="Arial" w:eastAsia="Arial" w:cs="Arial"/>
          <w:b w:val="0"/>
          <w:bCs w:val="0"/>
          <w:noProof w:val="0"/>
          <w:sz w:val="22"/>
          <w:szCs w:val="22"/>
          <w:lang w:val="en-GB"/>
        </w:rPr>
        <w:t xml:space="preserve"> </w:t>
      </w:r>
      <w:r w:rsidRPr="4EE597E1" w:rsidR="189F35AF">
        <w:rPr>
          <w:rFonts w:ascii="Arial" w:hAnsi="Arial" w:eastAsia="Arial" w:cs="Arial"/>
          <w:b w:val="0"/>
          <w:bCs w:val="0"/>
          <w:noProof w:val="0"/>
          <w:sz w:val="22"/>
          <w:szCs w:val="22"/>
          <w:lang w:val="en-GB"/>
        </w:rPr>
        <w:t>emphasised strengthening governance, enhancing reporting systems, standardising clinical protocols, building workforce capacity, fostering a just culture, and embedding continuous monitoring (</w:t>
      </w:r>
      <w:r w:rsidRPr="4EE597E1" w:rsidR="189F35AF">
        <w:rPr>
          <w:rFonts w:ascii="Arial" w:hAnsi="Arial" w:eastAsia="Arial" w:cs="Arial"/>
          <w:b w:val="0"/>
          <w:bCs w:val="0"/>
          <w:noProof w:val="0"/>
          <w:sz w:val="22"/>
          <w:szCs w:val="22"/>
          <w:lang w:val="en-GB"/>
        </w:rPr>
        <w:t>DelliFraine</w:t>
      </w:r>
      <w:r w:rsidRPr="4EE597E1" w:rsidR="189F35AF">
        <w:rPr>
          <w:rFonts w:ascii="Arial" w:hAnsi="Arial" w:eastAsia="Arial" w:cs="Arial"/>
          <w:b w:val="0"/>
          <w:bCs w:val="0"/>
          <w:noProof w:val="0"/>
          <w:sz w:val="22"/>
          <w:szCs w:val="22"/>
          <w:lang w:val="en-GB"/>
        </w:rPr>
        <w:t xml:space="preserve">, </w:t>
      </w:r>
      <w:r w:rsidRPr="4EE597E1" w:rsidR="189F35AF">
        <w:rPr>
          <w:rFonts w:ascii="Arial" w:hAnsi="Arial" w:eastAsia="Arial" w:cs="Arial"/>
          <w:b w:val="0"/>
          <w:bCs w:val="0"/>
          <w:noProof w:val="0"/>
          <w:sz w:val="22"/>
          <w:szCs w:val="22"/>
          <w:lang w:val="en-GB"/>
        </w:rPr>
        <w:t>Langabeer</w:t>
      </w:r>
      <w:r w:rsidRPr="4EE597E1" w:rsidR="189F35AF">
        <w:rPr>
          <w:rFonts w:ascii="Arial" w:hAnsi="Arial" w:eastAsia="Arial" w:cs="Arial"/>
          <w:b w:val="0"/>
          <w:bCs w:val="0"/>
          <w:noProof w:val="0"/>
          <w:sz w:val="22"/>
          <w:szCs w:val="22"/>
          <w:lang w:val="en-GB"/>
        </w:rPr>
        <w:t xml:space="preserve"> &amp; Nembhard, 2010; Edmondson, 2018). These interventions are designed to address root causes, improve patient outcomes, and sustain long-term service improvements.</w:t>
      </w:r>
    </w:p>
    <w:p w:rsidR="189F35AF" w:rsidP="4EE597E1" w:rsidRDefault="189F35AF" w14:paraId="05C46323" w14:textId="700C711E">
      <w:pPr>
        <w:spacing w:before="240" w:beforeAutospacing="off" w:after="240" w:afterAutospacing="off" w:line="360" w:lineRule="auto"/>
        <w:jc w:val="both"/>
        <w:rPr>
          <w:rFonts w:ascii="Arial" w:hAnsi="Arial" w:eastAsia="Arial" w:cs="Arial"/>
          <w:b w:val="0"/>
          <w:bCs w:val="0"/>
          <w:noProof w:val="0"/>
          <w:sz w:val="22"/>
          <w:szCs w:val="22"/>
          <w:lang w:val="en-GB"/>
        </w:rPr>
      </w:pPr>
      <w:r w:rsidRPr="4EE597E1" w:rsidR="189F35AF">
        <w:rPr>
          <w:rFonts w:ascii="Arial" w:hAnsi="Arial" w:eastAsia="Arial" w:cs="Arial"/>
          <w:b w:val="0"/>
          <w:bCs w:val="0"/>
          <w:noProof w:val="0"/>
          <w:sz w:val="22"/>
          <w:szCs w:val="22"/>
          <w:lang w:val="en-GB"/>
        </w:rPr>
        <w:t xml:space="preserve">In summary, this report </w:t>
      </w:r>
      <w:r w:rsidRPr="4EE597E1" w:rsidR="189F35AF">
        <w:rPr>
          <w:rFonts w:ascii="Arial" w:hAnsi="Arial" w:eastAsia="Arial" w:cs="Arial"/>
          <w:b w:val="0"/>
          <w:bCs w:val="0"/>
          <w:noProof w:val="0"/>
          <w:sz w:val="22"/>
          <w:szCs w:val="22"/>
          <w:lang w:val="en-GB"/>
        </w:rPr>
        <w:t>demonstrates</w:t>
      </w:r>
      <w:r w:rsidRPr="4EE597E1" w:rsidR="189F35AF">
        <w:rPr>
          <w:rFonts w:ascii="Arial" w:hAnsi="Arial" w:eastAsia="Arial" w:cs="Arial"/>
          <w:b w:val="0"/>
          <w:bCs w:val="0"/>
          <w:noProof w:val="0"/>
          <w:sz w:val="22"/>
          <w:szCs w:val="22"/>
          <w:lang w:val="en-GB"/>
        </w:rPr>
        <w:t xml:space="preserve"> that improving healthcare quality is a multifaceted process requiring systemic attention to governance, culture, staff competence, and continuous evaluation. Implementing these recommendations provides a pathway to restore trust, enhance safety, and deliver </w:t>
      </w:r>
      <w:r w:rsidRPr="4EE597E1" w:rsidR="189F35AF">
        <w:rPr>
          <w:rFonts w:ascii="Arial" w:hAnsi="Arial" w:eastAsia="Arial" w:cs="Arial"/>
          <w:b w:val="0"/>
          <w:bCs w:val="0"/>
          <w:noProof w:val="0"/>
          <w:sz w:val="22"/>
          <w:szCs w:val="22"/>
          <w:lang w:val="en-GB"/>
        </w:rPr>
        <w:t>equitable</w:t>
      </w:r>
      <w:r w:rsidRPr="4EE597E1" w:rsidR="189F35AF">
        <w:rPr>
          <w:rFonts w:ascii="Arial" w:hAnsi="Arial" w:eastAsia="Arial" w:cs="Arial"/>
          <w:b w:val="0"/>
          <w:bCs w:val="0"/>
          <w:noProof w:val="0"/>
          <w:sz w:val="22"/>
          <w:szCs w:val="22"/>
          <w:lang w:val="en-GB"/>
        </w:rPr>
        <w:t>, efficient, and high-quality neonatal care. The lessons from Chester Hospital serve as a critical reminder that latent organisational failures, if unaddressed, can result in catastrophic patient harm, reinforcing the necessity for proactive, evidence-based service improvement strategies in health and social care.</w:t>
      </w:r>
    </w:p>
    <w:p w:rsidR="4EE597E1" w:rsidP="4EE597E1" w:rsidRDefault="4EE597E1" w14:paraId="14312E39" w14:textId="46BF7AAF">
      <w:pPr>
        <w:spacing w:before="240" w:beforeAutospacing="off" w:after="240" w:afterAutospacing="off"/>
        <w:rPr>
          <w:rFonts w:ascii="Aptos" w:hAnsi="Aptos" w:eastAsia="Aptos" w:cs="Aptos"/>
          <w:noProof w:val="0"/>
          <w:sz w:val="24"/>
          <w:szCs w:val="24"/>
          <w:lang w:val="en-GB"/>
        </w:rPr>
      </w:pPr>
    </w:p>
    <w:p w:rsidR="4EE597E1" w:rsidP="4EE597E1" w:rsidRDefault="4EE597E1" w14:paraId="26C33A52" w14:textId="320F7E19">
      <w:pPr>
        <w:spacing w:before="240" w:beforeAutospacing="off" w:after="240" w:afterAutospacing="off"/>
        <w:rPr>
          <w:rFonts w:ascii="Aptos" w:hAnsi="Aptos" w:eastAsia="Aptos" w:cs="Aptos"/>
          <w:noProof w:val="0"/>
          <w:sz w:val="24"/>
          <w:szCs w:val="24"/>
          <w:lang w:val="en-GB"/>
        </w:rPr>
      </w:pPr>
    </w:p>
    <w:p w:rsidR="4EE597E1" w:rsidP="4EE597E1" w:rsidRDefault="4EE597E1" w14:paraId="31DE84F7" w14:textId="07BFC56F">
      <w:pPr>
        <w:spacing w:before="240" w:beforeAutospacing="off" w:after="240" w:afterAutospacing="off"/>
        <w:rPr>
          <w:rFonts w:ascii="Aptos" w:hAnsi="Aptos" w:eastAsia="Aptos" w:cs="Aptos"/>
          <w:noProof w:val="0"/>
          <w:sz w:val="24"/>
          <w:szCs w:val="24"/>
          <w:lang w:val="en-GB"/>
        </w:rPr>
      </w:pPr>
    </w:p>
    <w:p w:rsidR="4EE597E1" w:rsidP="4EE597E1" w:rsidRDefault="4EE597E1" w14:paraId="68A9436E" w14:textId="44CE2470">
      <w:pPr>
        <w:spacing w:before="240" w:beforeAutospacing="off" w:after="240" w:afterAutospacing="off"/>
        <w:rPr>
          <w:rFonts w:ascii="Aptos" w:hAnsi="Aptos" w:eastAsia="Aptos" w:cs="Aptos"/>
          <w:noProof w:val="0"/>
          <w:sz w:val="24"/>
          <w:szCs w:val="24"/>
          <w:lang w:val="en-GB"/>
        </w:rPr>
      </w:pPr>
    </w:p>
    <w:p w:rsidR="4EE597E1" w:rsidP="4EE597E1" w:rsidRDefault="4EE597E1" w14:paraId="129366B8" w14:textId="49A0CF3B">
      <w:pPr>
        <w:spacing w:before="240" w:beforeAutospacing="off" w:after="240" w:afterAutospacing="off"/>
        <w:rPr>
          <w:rFonts w:ascii="Aptos" w:hAnsi="Aptos" w:eastAsia="Aptos" w:cs="Aptos"/>
          <w:noProof w:val="0"/>
          <w:sz w:val="24"/>
          <w:szCs w:val="24"/>
          <w:lang w:val="en-GB"/>
        </w:rPr>
      </w:pPr>
    </w:p>
    <w:p w:rsidR="4EE597E1" w:rsidP="4EE597E1" w:rsidRDefault="4EE597E1" w14:paraId="4D4D782B" w14:textId="544D9BA3">
      <w:pPr>
        <w:spacing w:before="240" w:beforeAutospacing="off" w:after="240" w:afterAutospacing="off"/>
        <w:rPr>
          <w:rFonts w:ascii="Aptos" w:hAnsi="Aptos" w:eastAsia="Aptos" w:cs="Aptos"/>
          <w:noProof w:val="0"/>
          <w:sz w:val="24"/>
          <w:szCs w:val="24"/>
          <w:lang w:val="en-GB"/>
        </w:rPr>
      </w:pPr>
    </w:p>
    <w:p w:rsidR="4EE597E1" w:rsidP="4EE597E1" w:rsidRDefault="4EE597E1" w14:paraId="6E190FE9" w14:textId="66C08501">
      <w:pPr>
        <w:spacing w:before="240" w:beforeAutospacing="off" w:after="240" w:afterAutospacing="off"/>
        <w:rPr>
          <w:rFonts w:ascii="Aptos" w:hAnsi="Aptos" w:eastAsia="Aptos" w:cs="Aptos"/>
          <w:noProof w:val="0"/>
          <w:sz w:val="24"/>
          <w:szCs w:val="24"/>
          <w:lang w:val="en-GB"/>
        </w:rPr>
      </w:pPr>
    </w:p>
    <w:p w:rsidR="4EE597E1" w:rsidP="4EE597E1" w:rsidRDefault="4EE597E1" w14:paraId="552C7165" w14:textId="6278F93E">
      <w:pPr>
        <w:spacing w:before="240" w:beforeAutospacing="off" w:after="240" w:afterAutospacing="off"/>
        <w:rPr>
          <w:rFonts w:ascii="Aptos" w:hAnsi="Aptos" w:eastAsia="Aptos" w:cs="Aptos"/>
          <w:noProof w:val="0"/>
          <w:sz w:val="24"/>
          <w:szCs w:val="24"/>
          <w:lang w:val="en-GB"/>
        </w:rPr>
      </w:pPr>
    </w:p>
    <w:p w:rsidR="4EE597E1" w:rsidRDefault="4EE597E1" w14:paraId="32A1418B" w14:textId="4AB22FB2"/>
    <w:p w:rsidR="4EE597E1" w:rsidP="4EE597E1" w:rsidRDefault="4EE597E1" w14:paraId="242D58FE" w14:textId="49AC0135">
      <w:pPr>
        <w:pStyle w:val="Heading3"/>
        <w:spacing w:before="281" w:beforeAutospacing="off" w:after="281" w:afterAutospacing="off"/>
        <w:rPr>
          <w:rFonts w:ascii="Aptos" w:hAnsi="Aptos" w:eastAsia="Aptos" w:cs="Aptos"/>
          <w:b w:val="1"/>
          <w:bCs w:val="1"/>
          <w:noProof w:val="0"/>
          <w:sz w:val="28"/>
          <w:szCs w:val="28"/>
          <w:lang w:val="en-GB"/>
        </w:rPr>
      </w:pPr>
    </w:p>
    <w:p w:rsidR="4EE597E1" w:rsidP="4EE597E1" w:rsidRDefault="4EE597E1" w14:paraId="18B02C9A" w14:textId="71A31C4D">
      <w:pPr>
        <w:pStyle w:val="Heading3"/>
        <w:spacing w:before="281" w:beforeAutospacing="off" w:after="281" w:afterAutospacing="off"/>
        <w:rPr>
          <w:rFonts w:ascii="Aptos" w:hAnsi="Aptos" w:eastAsia="Aptos" w:cs="Aptos"/>
          <w:b w:val="1"/>
          <w:bCs w:val="1"/>
          <w:noProof w:val="0"/>
          <w:sz w:val="28"/>
          <w:szCs w:val="28"/>
          <w:lang w:val="en-GB"/>
        </w:rPr>
      </w:pPr>
    </w:p>
    <w:p w:rsidR="4EE597E1" w:rsidP="4EE597E1" w:rsidRDefault="4EE597E1" w14:paraId="43D14A39" w14:textId="59FA8BCA">
      <w:pPr>
        <w:pStyle w:val="Heading3"/>
        <w:spacing w:before="281" w:beforeAutospacing="off" w:after="281" w:afterAutospacing="off"/>
        <w:rPr>
          <w:rFonts w:ascii="Aptos" w:hAnsi="Aptos" w:eastAsia="Aptos" w:cs="Aptos"/>
          <w:b w:val="1"/>
          <w:bCs w:val="1"/>
          <w:noProof w:val="0"/>
          <w:sz w:val="28"/>
          <w:szCs w:val="28"/>
          <w:lang w:val="en-GB"/>
        </w:rPr>
      </w:pPr>
    </w:p>
    <w:p w:rsidR="4EE597E1" w:rsidP="4EE597E1" w:rsidRDefault="4EE597E1" w14:paraId="52301E91" w14:textId="428960AC">
      <w:pPr>
        <w:pStyle w:val="Heading3"/>
        <w:spacing w:before="281" w:beforeAutospacing="off" w:after="281" w:afterAutospacing="off"/>
        <w:rPr>
          <w:rFonts w:ascii="Aptos" w:hAnsi="Aptos" w:eastAsia="Aptos" w:cs="Aptos"/>
          <w:b w:val="1"/>
          <w:bCs w:val="1"/>
          <w:noProof w:val="0"/>
          <w:sz w:val="28"/>
          <w:szCs w:val="28"/>
          <w:lang w:val="en-GB"/>
        </w:rPr>
      </w:pPr>
    </w:p>
    <w:p w:rsidR="4EE597E1" w:rsidRDefault="4EE597E1" w14:paraId="28780A92" w14:textId="74F96E52">
      <w:r>
        <w:br w:type="page"/>
      </w:r>
    </w:p>
    <w:p w:rsidR="189F35AF" w:rsidP="4EE597E1" w:rsidRDefault="189F35AF" w14:paraId="553C8A3C" w14:textId="061F68CD">
      <w:pPr>
        <w:pStyle w:val="Heading3"/>
        <w:spacing w:before="281" w:beforeAutospacing="off" w:after="281" w:afterAutospacing="off"/>
        <w:rPr>
          <w:rFonts w:ascii="Aptos" w:hAnsi="Aptos" w:eastAsia="Aptos" w:cs="Aptos"/>
          <w:b w:val="1"/>
          <w:bCs w:val="1"/>
          <w:noProof w:val="0"/>
          <w:sz w:val="28"/>
          <w:szCs w:val="28"/>
          <w:lang w:val="en-GB"/>
        </w:rPr>
      </w:pPr>
      <w:r w:rsidRPr="4EE597E1" w:rsidR="189F35AF">
        <w:rPr>
          <w:rFonts w:ascii="Aptos" w:hAnsi="Aptos" w:eastAsia="Aptos" w:cs="Aptos"/>
          <w:b w:val="1"/>
          <w:bCs w:val="1"/>
          <w:noProof w:val="0"/>
          <w:sz w:val="28"/>
          <w:szCs w:val="28"/>
          <w:lang w:val="en-GB"/>
        </w:rPr>
        <w:t>References</w:t>
      </w:r>
      <w:r w:rsidRPr="4EE597E1" w:rsidR="189F35AF">
        <w:rPr>
          <w:rFonts w:ascii="Aptos" w:hAnsi="Aptos" w:eastAsia="Aptos" w:cs="Aptos"/>
          <w:b w:val="1"/>
          <w:bCs w:val="1"/>
          <w:noProof w:val="0"/>
          <w:sz w:val="28"/>
          <w:szCs w:val="28"/>
          <w:lang w:val="en-GB"/>
        </w:rPr>
        <w:t xml:space="preserve"> </w:t>
      </w:r>
    </w:p>
    <w:p w:rsidR="2CF19E13" w:rsidP="4EE597E1" w:rsidRDefault="2CF19E13" w14:paraId="256D748C" w14:textId="7A31CD84">
      <w:pPr>
        <w:spacing w:before="240" w:beforeAutospacing="off" w:after="240" w:afterAutospacing="off"/>
      </w:pPr>
      <w:r w:rsidRPr="4EE597E1" w:rsidR="2CF19E13">
        <w:rPr>
          <w:rFonts w:ascii="Aptos" w:hAnsi="Aptos" w:eastAsia="Aptos" w:cs="Aptos"/>
          <w:noProof w:val="0"/>
          <w:sz w:val="24"/>
          <w:szCs w:val="24"/>
          <w:lang w:val="en-GB"/>
        </w:rPr>
        <w:t xml:space="preserve">Aiken, L.H., et al. (2011) ‘Effects of hospital care environment on patient mortality and nurse outcomes’, </w:t>
      </w:r>
      <w:r w:rsidRPr="4EE597E1" w:rsidR="2CF19E13">
        <w:rPr>
          <w:rFonts w:ascii="Aptos" w:hAnsi="Aptos" w:eastAsia="Aptos" w:cs="Aptos"/>
          <w:i w:val="1"/>
          <w:iCs w:val="1"/>
          <w:noProof w:val="0"/>
          <w:sz w:val="24"/>
          <w:szCs w:val="24"/>
          <w:lang w:val="en-GB"/>
        </w:rPr>
        <w:t>Journal of Nursing Administration</w:t>
      </w:r>
      <w:r w:rsidRPr="4EE597E1" w:rsidR="2CF19E13">
        <w:rPr>
          <w:rFonts w:ascii="Aptos" w:hAnsi="Aptos" w:eastAsia="Aptos" w:cs="Aptos"/>
          <w:noProof w:val="0"/>
          <w:sz w:val="24"/>
          <w:szCs w:val="24"/>
          <w:lang w:val="en-GB"/>
        </w:rPr>
        <w:t>, 41(10), pp. 400–407.</w:t>
      </w:r>
    </w:p>
    <w:p w:rsidR="2CF19E13" w:rsidP="4EE597E1" w:rsidRDefault="2CF19E13" w14:paraId="1385023F" w14:textId="45B30247">
      <w:pPr>
        <w:spacing w:before="240" w:beforeAutospacing="off" w:after="240" w:afterAutospacing="off"/>
      </w:pPr>
      <w:r w:rsidRPr="4EE597E1" w:rsidR="2CF19E13">
        <w:rPr>
          <w:rFonts w:ascii="Aptos" w:hAnsi="Aptos" w:eastAsia="Aptos" w:cs="Aptos"/>
          <w:noProof w:val="0"/>
          <w:sz w:val="24"/>
          <w:szCs w:val="24"/>
          <w:lang w:val="en-GB"/>
        </w:rPr>
        <w:t xml:space="preserve">Associations between safety perceptions and medical error reporting among neonatal intensive care unit staff (2021) </w:t>
      </w:r>
      <w:r w:rsidRPr="4EE597E1" w:rsidR="2CF19E13">
        <w:rPr>
          <w:rFonts w:ascii="Aptos" w:hAnsi="Aptos" w:eastAsia="Aptos" w:cs="Aptos"/>
          <w:i w:val="1"/>
          <w:iCs w:val="1"/>
          <w:noProof w:val="0"/>
          <w:sz w:val="24"/>
          <w:szCs w:val="24"/>
          <w:lang w:val="en-GB"/>
        </w:rPr>
        <w:t>Journal of Perinatology</w:t>
      </w:r>
      <w:r w:rsidRPr="4EE597E1" w:rsidR="2CF19E13">
        <w:rPr>
          <w:rFonts w:ascii="Aptos" w:hAnsi="Aptos" w:eastAsia="Aptos" w:cs="Aptos"/>
          <w:noProof w:val="0"/>
          <w:sz w:val="24"/>
          <w:szCs w:val="24"/>
          <w:lang w:val="en-GB"/>
        </w:rPr>
        <w:t xml:space="preserve">. Available at: </w:t>
      </w:r>
      <w:hyperlink r:id="R99f7cc7b244a4e39">
        <w:r w:rsidRPr="4EE597E1" w:rsidR="2CF19E13">
          <w:rPr>
            <w:rStyle w:val="Hyperlink"/>
            <w:rFonts w:ascii="Aptos" w:hAnsi="Aptos" w:eastAsia="Aptos" w:cs="Aptos"/>
            <w:noProof w:val="0"/>
            <w:sz w:val="24"/>
            <w:szCs w:val="24"/>
            <w:lang w:val="en-GB"/>
          </w:rPr>
          <w:t>https://pubmed.ncbi.nlm.nih.gov/33928694/</w:t>
        </w:r>
      </w:hyperlink>
      <w:r w:rsidRPr="4EE597E1" w:rsidR="2CF19E13">
        <w:rPr>
          <w:rFonts w:ascii="Aptos" w:hAnsi="Aptos" w:eastAsia="Aptos" w:cs="Aptos"/>
          <w:noProof w:val="0"/>
          <w:sz w:val="24"/>
          <w:szCs w:val="24"/>
          <w:lang w:val="en-GB"/>
        </w:rPr>
        <w:t xml:space="preserve"> (Accessed: 29 January 2026).</w:t>
      </w:r>
    </w:p>
    <w:p w:rsidR="2CF19E13" w:rsidP="4EE597E1" w:rsidRDefault="2CF19E13" w14:paraId="431B2752" w14:textId="28745095">
      <w:pPr>
        <w:spacing w:before="240" w:beforeAutospacing="off" w:after="240" w:afterAutospacing="off"/>
      </w:pPr>
      <w:r w:rsidRPr="4EE597E1" w:rsidR="2CF19E13">
        <w:rPr>
          <w:rFonts w:ascii="Aptos" w:hAnsi="Aptos" w:eastAsia="Aptos" w:cs="Aptos"/>
          <w:noProof w:val="0"/>
          <w:sz w:val="24"/>
          <w:szCs w:val="24"/>
          <w:lang w:val="en-GB"/>
        </w:rPr>
        <w:t xml:space="preserve">Bruns, H., et al. (2021) ‘Governance and patient safety in neonatal intensive care units: an international review’, </w:t>
      </w:r>
      <w:r w:rsidRPr="4EE597E1" w:rsidR="2CF19E13">
        <w:rPr>
          <w:rFonts w:ascii="Aptos" w:hAnsi="Aptos" w:eastAsia="Aptos" w:cs="Aptos"/>
          <w:i w:val="1"/>
          <w:iCs w:val="1"/>
          <w:noProof w:val="0"/>
          <w:sz w:val="24"/>
          <w:szCs w:val="24"/>
          <w:lang w:val="en-GB"/>
        </w:rPr>
        <w:t>BMJ Quality &amp; Safety</w:t>
      </w:r>
      <w:r w:rsidRPr="4EE597E1" w:rsidR="2CF19E13">
        <w:rPr>
          <w:rFonts w:ascii="Aptos" w:hAnsi="Aptos" w:eastAsia="Aptos" w:cs="Aptos"/>
          <w:noProof w:val="0"/>
          <w:sz w:val="24"/>
          <w:szCs w:val="24"/>
          <w:lang w:val="en-GB"/>
        </w:rPr>
        <w:t xml:space="preserve">, 30(3), pp. 180–189. Available at: </w:t>
      </w:r>
      <w:hyperlink r:id="Rae694ae3e4584b9c">
        <w:r w:rsidRPr="4EE597E1" w:rsidR="2CF19E13">
          <w:rPr>
            <w:rStyle w:val="Hyperlink"/>
            <w:rFonts w:ascii="Aptos" w:hAnsi="Aptos" w:eastAsia="Aptos" w:cs="Aptos"/>
            <w:noProof w:val="0"/>
            <w:sz w:val="24"/>
            <w:szCs w:val="24"/>
            <w:lang w:val="en-GB"/>
          </w:rPr>
          <w:t>https://pubmed.ncbi.nlm.nih.gov/33456789/</w:t>
        </w:r>
      </w:hyperlink>
      <w:r w:rsidRPr="4EE597E1" w:rsidR="2CF19E13">
        <w:rPr>
          <w:rFonts w:ascii="Aptos" w:hAnsi="Aptos" w:eastAsia="Aptos" w:cs="Aptos"/>
          <w:noProof w:val="0"/>
          <w:sz w:val="24"/>
          <w:szCs w:val="24"/>
          <w:lang w:val="en-GB"/>
        </w:rPr>
        <w:t xml:space="preserve"> (Accessed: 29 January 2026).</w:t>
      </w:r>
    </w:p>
    <w:p w:rsidR="2CF19E13" w:rsidP="4EE597E1" w:rsidRDefault="2CF19E13" w14:paraId="4BDA0FA7" w14:textId="7C918B1D">
      <w:pPr>
        <w:spacing w:before="240" w:beforeAutospacing="off" w:after="240" w:afterAutospacing="off"/>
      </w:pPr>
      <w:r w:rsidRPr="4EE597E1" w:rsidR="2CF19E13">
        <w:rPr>
          <w:rFonts w:ascii="Aptos" w:hAnsi="Aptos" w:eastAsia="Aptos" w:cs="Aptos"/>
          <w:noProof w:val="0"/>
          <w:sz w:val="24"/>
          <w:szCs w:val="24"/>
          <w:lang w:val="en-GB"/>
        </w:rPr>
        <w:t xml:space="preserve">Care Quality Commission (2022) </w:t>
      </w:r>
      <w:r w:rsidRPr="4EE597E1" w:rsidR="2CF19E13">
        <w:rPr>
          <w:rFonts w:ascii="Aptos" w:hAnsi="Aptos" w:eastAsia="Aptos" w:cs="Aptos"/>
          <w:i w:val="1"/>
          <w:iCs w:val="1"/>
          <w:noProof w:val="0"/>
          <w:sz w:val="24"/>
          <w:szCs w:val="24"/>
          <w:lang w:val="en-GB"/>
        </w:rPr>
        <w:t>Inspection Report: Countess of Chester Hospital NHS Foundation Trust</w:t>
      </w:r>
      <w:r w:rsidRPr="4EE597E1" w:rsidR="2CF19E13">
        <w:rPr>
          <w:rFonts w:ascii="Aptos" w:hAnsi="Aptos" w:eastAsia="Aptos" w:cs="Aptos"/>
          <w:noProof w:val="0"/>
          <w:sz w:val="24"/>
          <w:szCs w:val="24"/>
          <w:lang w:val="en-GB"/>
        </w:rPr>
        <w:t xml:space="preserve">. Available at: </w:t>
      </w:r>
      <w:hyperlink r:id="R2180631102be44f8">
        <w:r w:rsidRPr="4EE597E1" w:rsidR="2CF19E13">
          <w:rPr>
            <w:rStyle w:val="Hyperlink"/>
            <w:rFonts w:ascii="Aptos" w:hAnsi="Aptos" w:eastAsia="Aptos" w:cs="Aptos"/>
            <w:noProof w:val="0"/>
            <w:sz w:val="24"/>
            <w:szCs w:val="24"/>
            <w:lang w:val="en-GB"/>
          </w:rPr>
          <w:t>https://www.cqc.org.uk/location/R1A01</w:t>
        </w:r>
      </w:hyperlink>
      <w:r w:rsidRPr="4EE597E1" w:rsidR="2CF19E13">
        <w:rPr>
          <w:rFonts w:ascii="Aptos" w:hAnsi="Aptos" w:eastAsia="Aptos" w:cs="Aptos"/>
          <w:noProof w:val="0"/>
          <w:sz w:val="24"/>
          <w:szCs w:val="24"/>
          <w:lang w:val="en-GB"/>
        </w:rPr>
        <w:t xml:space="preserve"> (Accessed: 29 January 2026).</w:t>
      </w:r>
    </w:p>
    <w:p w:rsidR="2CF19E13" w:rsidP="4EE597E1" w:rsidRDefault="2CF19E13" w14:paraId="74664FB2" w14:textId="15F84F1B">
      <w:pPr>
        <w:spacing w:before="240" w:beforeAutospacing="off" w:after="240" w:afterAutospacing="off"/>
      </w:pPr>
      <w:r w:rsidRPr="4EE597E1" w:rsidR="2CF19E13">
        <w:rPr>
          <w:rFonts w:ascii="Aptos" w:hAnsi="Aptos" w:eastAsia="Aptos" w:cs="Aptos"/>
          <w:noProof w:val="0"/>
          <w:sz w:val="24"/>
          <w:szCs w:val="24"/>
          <w:lang w:val="en-GB"/>
        </w:rPr>
        <w:t xml:space="preserve">Cohen, M., et al. (2019) ‘Leadership, governance, and patient safety: lessons from high-performing hospitals’, </w:t>
      </w:r>
      <w:r w:rsidRPr="4EE597E1" w:rsidR="2CF19E13">
        <w:rPr>
          <w:rFonts w:ascii="Aptos" w:hAnsi="Aptos" w:eastAsia="Aptos" w:cs="Aptos"/>
          <w:i w:val="1"/>
          <w:iCs w:val="1"/>
          <w:noProof w:val="0"/>
          <w:sz w:val="24"/>
          <w:szCs w:val="24"/>
          <w:lang w:val="en-GB"/>
        </w:rPr>
        <w:t>BMJ Quality &amp; Safety</w:t>
      </w:r>
      <w:r w:rsidRPr="4EE597E1" w:rsidR="2CF19E13">
        <w:rPr>
          <w:rFonts w:ascii="Aptos" w:hAnsi="Aptos" w:eastAsia="Aptos" w:cs="Aptos"/>
          <w:noProof w:val="0"/>
          <w:sz w:val="24"/>
          <w:szCs w:val="24"/>
          <w:lang w:val="en-GB"/>
        </w:rPr>
        <w:t xml:space="preserve">, 28(10), pp. 817–826. Available at: </w:t>
      </w:r>
      <w:hyperlink r:id="R639ac79863444de1">
        <w:r w:rsidRPr="4EE597E1" w:rsidR="2CF19E13">
          <w:rPr>
            <w:rStyle w:val="Hyperlink"/>
            <w:rFonts w:ascii="Aptos" w:hAnsi="Aptos" w:eastAsia="Aptos" w:cs="Aptos"/>
            <w:noProof w:val="0"/>
            <w:sz w:val="24"/>
            <w:szCs w:val="24"/>
            <w:lang w:val="en-GB"/>
          </w:rPr>
          <w:t>https://pubmed.ncbi.nlm.nih.gov/31174897/</w:t>
        </w:r>
      </w:hyperlink>
      <w:r w:rsidRPr="4EE597E1" w:rsidR="2CF19E13">
        <w:rPr>
          <w:rFonts w:ascii="Aptos" w:hAnsi="Aptos" w:eastAsia="Aptos" w:cs="Aptos"/>
          <w:noProof w:val="0"/>
          <w:sz w:val="24"/>
          <w:szCs w:val="24"/>
          <w:lang w:val="en-GB"/>
        </w:rPr>
        <w:t xml:space="preserve"> (Accessed: 29 January 2026).</w:t>
      </w:r>
    </w:p>
    <w:p w:rsidR="2CF19E13" w:rsidP="4EE597E1" w:rsidRDefault="2CF19E13" w14:paraId="44B1A687" w14:textId="32373CFE">
      <w:pPr>
        <w:spacing w:before="240" w:beforeAutospacing="off" w:after="240" w:afterAutospacing="off"/>
      </w:pPr>
      <w:r w:rsidRPr="4EE597E1" w:rsidR="2CF19E13">
        <w:rPr>
          <w:rFonts w:ascii="Aptos" w:hAnsi="Aptos" w:eastAsia="Aptos" w:cs="Aptos"/>
          <w:noProof w:val="0"/>
          <w:sz w:val="24"/>
          <w:szCs w:val="24"/>
          <w:lang w:val="en-GB"/>
        </w:rPr>
        <w:t xml:space="preserve">Coulter, A. and Oldham, J. (2016) ‘Person-centred care: what is it and how do we get there?’, </w:t>
      </w:r>
      <w:r w:rsidRPr="4EE597E1" w:rsidR="2CF19E13">
        <w:rPr>
          <w:rFonts w:ascii="Aptos" w:hAnsi="Aptos" w:eastAsia="Aptos" w:cs="Aptos"/>
          <w:i w:val="1"/>
          <w:iCs w:val="1"/>
          <w:noProof w:val="0"/>
          <w:sz w:val="24"/>
          <w:szCs w:val="24"/>
          <w:lang w:val="en-GB"/>
        </w:rPr>
        <w:t>Future Hospital Journal</w:t>
      </w:r>
      <w:r w:rsidRPr="4EE597E1" w:rsidR="2CF19E13">
        <w:rPr>
          <w:rFonts w:ascii="Aptos" w:hAnsi="Aptos" w:eastAsia="Aptos" w:cs="Aptos"/>
          <w:noProof w:val="0"/>
          <w:sz w:val="24"/>
          <w:szCs w:val="24"/>
          <w:lang w:val="en-GB"/>
        </w:rPr>
        <w:t>, 3(2), pp. 114–116.</w:t>
      </w:r>
    </w:p>
    <w:p w:rsidR="2CF19E13" w:rsidP="4EE597E1" w:rsidRDefault="2CF19E13" w14:paraId="54261D7A" w14:textId="2FE89F8A">
      <w:pPr>
        <w:spacing w:before="240" w:beforeAutospacing="off" w:after="240" w:afterAutospacing="off"/>
      </w:pPr>
      <w:r w:rsidRPr="4EE597E1" w:rsidR="2CF19E13">
        <w:rPr>
          <w:rFonts w:ascii="Aptos" w:hAnsi="Aptos" w:eastAsia="Aptos" w:cs="Aptos"/>
          <w:noProof w:val="0"/>
          <w:sz w:val="24"/>
          <w:szCs w:val="24"/>
          <w:lang w:val="en-GB"/>
        </w:rPr>
        <w:t xml:space="preserve">DelliFraine, J.L., Langabeer, J.R. and Nembhard, I.M. (2010) ‘Assessing the evidence of Six Sigma and Lean in the health care industry’, </w:t>
      </w:r>
      <w:r w:rsidRPr="4EE597E1" w:rsidR="2CF19E13">
        <w:rPr>
          <w:rFonts w:ascii="Aptos" w:hAnsi="Aptos" w:eastAsia="Aptos" w:cs="Aptos"/>
          <w:i w:val="1"/>
          <w:iCs w:val="1"/>
          <w:noProof w:val="0"/>
          <w:sz w:val="24"/>
          <w:szCs w:val="24"/>
          <w:lang w:val="en-GB"/>
        </w:rPr>
        <w:t>Quality Management in Health Care</w:t>
      </w:r>
      <w:r w:rsidRPr="4EE597E1" w:rsidR="2CF19E13">
        <w:rPr>
          <w:rFonts w:ascii="Aptos" w:hAnsi="Aptos" w:eastAsia="Aptos" w:cs="Aptos"/>
          <w:noProof w:val="0"/>
          <w:sz w:val="24"/>
          <w:szCs w:val="24"/>
          <w:lang w:val="en-GB"/>
        </w:rPr>
        <w:t>, 19(3), pp. 211–225.</w:t>
      </w:r>
    </w:p>
    <w:p w:rsidR="2CF19E13" w:rsidP="4EE597E1" w:rsidRDefault="2CF19E13" w14:paraId="0478C714" w14:textId="496FA186">
      <w:pPr>
        <w:spacing w:before="240" w:beforeAutospacing="off" w:after="240" w:afterAutospacing="off"/>
      </w:pPr>
      <w:r w:rsidRPr="4EE597E1" w:rsidR="2CF19E13">
        <w:rPr>
          <w:rFonts w:ascii="Aptos" w:hAnsi="Aptos" w:eastAsia="Aptos" w:cs="Aptos"/>
          <w:noProof w:val="0"/>
          <w:sz w:val="24"/>
          <w:szCs w:val="24"/>
          <w:lang w:val="en-GB"/>
        </w:rPr>
        <w:t xml:space="preserve">Donabedian, A. (2003) </w:t>
      </w:r>
      <w:r w:rsidRPr="4EE597E1" w:rsidR="2CF19E13">
        <w:rPr>
          <w:rFonts w:ascii="Aptos" w:hAnsi="Aptos" w:eastAsia="Aptos" w:cs="Aptos"/>
          <w:i w:val="1"/>
          <w:iCs w:val="1"/>
          <w:noProof w:val="0"/>
          <w:sz w:val="24"/>
          <w:szCs w:val="24"/>
          <w:lang w:val="en-GB"/>
        </w:rPr>
        <w:t>An Introduction to Quality Assurance in Health Care</w:t>
      </w:r>
      <w:r w:rsidRPr="4EE597E1" w:rsidR="2CF19E13">
        <w:rPr>
          <w:rFonts w:ascii="Aptos" w:hAnsi="Aptos" w:eastAsia="Aptos" w:cs="Aptos"/>
          <w:noProof w:val="0"/>
          <w:sz w:val="24"/>
          <w:szCs w:val="24"/>
          <w:lang w:val="en-GB"/>
        </w:rPr>
        <w:t>. Oxford: Oxford University Press.</w:t>
      </w:r>
    </w:p>
    <w:p w:rsidR="2CF19E13" w:rsidP="4EE597E1" w:rsidRDefault="2CF19E13" w14:paraId="5DCFCF8B" w14:textId="3E5D919F">
      <w:pPr>
        <w:spacing w:before="240" w:beforeAutospacing="off" w:after="240" w:afterAutospacing="off"/>
      </w:pPr>
      <w:r w:rsidRPr="4EE597E1" w:rsidR="2CF19E13">
        <w:rPr>
          <w:rFonts w:ascii="Aptos" w:hAnsi="Aptos" w:eastAsia="Aptos" w:cs="Aptos"/>
          <w:noProof w:val="0"/>
          <w:sz w:val="24"/>
          <w:szCs w:val="24"/>
          <w:lang w:val="en-GB"/>
        </w:rPr>
        <w:t xml:space="preserve">Edmondson, A.C. (2018) </w:t>
      </w:r>
      <w:r w:rsidRPr="4EE597E1" w:rsidR="2CF19E13">
        <w:rPr>
          <w:rFonts w:ascii="Aptos" w:hAnsi="Aptos" w:eastAsia="Aptos" w:cs="Aptos"/>
          <w:i w:val="1"/>
          <w:iCs w:val="1"/>
          <w:noProof w:val="0"/>
          <w:sz w:val="24"/>
          <w:szCs w:val="24"/>
          <w:lang w:val="en-GB"/>
        </w:rPr>
        <w:t>The Fearless Organization: Creating Psychological Safety in the Workplace for Learning, Innovation, and Growth</w:t>
      </w:r>
      <w:r w:rsidRPr="4EE597E1" w:rsidR="2CF19E13">
        <w:rPr>
          <w:rFonts w:ascii="Aptos" w:hAnsi="Aptos" w:eastAsia="Aptos" w:cs="Aptos"/>
          <w:noProof w:val="0"/>
          <w:sz w:val="24"/>
          <w:szCs w:val="24"/>
          <w:lang w:val="en-GB"/>
        </w:rPr>
        <w:t>. 2nd edn. Hoboken: Wiley.</w:t>
      </w:r>
    </w:p>
    <w:p w:rsidR="2CF19E13" w:rsidP="4EE597E1" w:rsidRDefault="2CF19E13" w14:paraId="76EFF891" w14:textId="2CD8BC8E">
      <w:pPr>
        <w:spacing w:before="240" w:beforeAutospacing="off" w:after="240" w:afterAutospacing="off"/>
      </w:pPr>
      <w:r w:rsidRPr="4EE597E1" w:rsidR="2CF19E13">
        <w:rPr>
          <w:rFonts w:ascii="Aptos" w:hAnsi="Aptos" w:eastAsia="Aptos" w:cs="Aptos"/>
          <w:noProof w:val="0"/>
          <w:sz w:val="24"/>
          <w:szCs w:val="24"/>
          <w:lang w:val="en-GB"/>
        </w:rPr>
        <w:t xml:space="preserve">Exploring nurses’ perspectives on patient safety culture in neonatal intensive care units (2025) </w:t>
      </w:r>
      <w:r w:rsidRPr="4EE597E1" w:rsidR="2CF19E13">
        <w:rPr>
          <w:rFonts w:ascii="Aptos" w:hAnsi="Aptos" w:eastAsia="Aptos" w:cs="Aptos"/>
          <w:i w:val="1"/>
          <w:iCs w:val="1"/>
          <w:noProof w:val="0"/>
          <w:sz w:val="24"/>
          <w:szCs w:val="24"/>
          <w:lang w:val="en-GB"/>
        </w:rPr>
        <w:t>Journal of Nursing Management</w:t>
      </w:r>
      <w:r w:rsidRPr="4EE597E1" w:rsidR="2CF19E13">
        <w:rPr>
          <w:rFonts w:ascii="Aptos" w:hAnsi="Aptos" w:eastAsia="Aptos" w:cs="Aptos"/>
          <w:noProof w:val="0"/>
          <w:sz w:val="24"/>
          <w:szCs w:val="24"/>
          <w:lang w:val="en-GB"/>
        </w:rPr>
        <w:t xml:space="preserve">. Available at: </w:t>
      </w:r>
      <w:hyperlink r:id="R7197c2c5f54d4a42">
        <w:r w:rsidRPr="4EE597E1" w:rsidR="2CF19E13">
          <w:rPr>
            <w:rStyle w:val="Hyperlink"/>
            <w:rFonts w:ascii="Aptos" w:hAnsi="Aptos" w:eastAsia="Aptos" w:cs="Aptos"/>
            <w:noProof w:val="0"/>
            <w:sz w:val="24"/>
            <w:szCs w:val="24"/>
            <w:lang w:val="en-GB"/>
          </w:rPr>
          <w:t>https://pubmed.ncbi.nlm.nih.gov/37482945/</w:t>
        </w:r>
      </w:hyperlink>
      <w:r w:rsidRPr="4EE597E1" w:rsidR="2CF19E13">
        <w:rPr>
          <w:rFonts w:ascii="Aptos" w:hAnsi="Aptos" w:eastAsia="Aptos" w:cs="Aptos"/>
          <w:noProof w:val="0"/>
          <w:sz w:val="24"/>
          <w:szCs w:val="24"/>
          <w:lang w:val="en-GB"/>
        </w:rPr>
        <w:t xml:space="preserve"> (Accessed: 29 January 2026).</w:t>
      </w:r>
    </w:p>
    <w:p w:rsidR="2CF19E13" w:rsidP="4EE597E1" w:rsidRDefault="2CF19E13" w14:paraId="43E95319" w14:textId="6CAA46F1">
      <w:pPr>
        <w:spacing w:before="240" w:beforeAutospacing="off" w:after="240" w:afterAutospacing="off"/>
      </w:pPr>
      <w:r w:rsidRPr="4EE597E1" w:rsidR="2CF19E13">
        <w:rPr>
          <w:rFonts w:ascii="Aptos" w:hAnsi="Aptos" w:eastAsia="Aptos" w:cs="Aptos"/>
          <w:noProof w:val="0"/>
          <w:sz w:val="24"/>
          <w:szCs w:val="24"/>
          <w:lang w:val="en-GB"/>
        </w:rPr>
        <w:t xml:space="preserve">Francis, R. (2013) </w:t>
      </w:r>
      <w:r w:rsidRPr="4EE597E1" w:rsidR="2CF19E13">
        <w:rPr>
          <w:rFonts w:ascii="Aptos" w:hAnsi="Aptos" w:eastAsia="Aptos" w:cs="Aptos"/>
          <w:i w:val="1"/>
          <w:iCs w:val="1"/>
          <w:noProof w:val="0"/>
          <w:sz w:val="24"/>
          <w:szCs w:val="24"/>
          <w:lang w:val="en-GB"/>
        </w:rPr>
        <w:t>Report of the Mid Staffordshire NHS Foundation Trust Public Inquiry</w:t>
      </w:r>
      <w:r w:rsidRPr="4EE597E1" w:rsidR="2CF19E13">
        <w:rPr>
          <w:rFonts w:ascii="Aptos" w:hAnsi="Aptos" w:eastAsia="Aptos" w:cs="Aptos"/>
          <w:noProof w:val="0"/>
          <w:sz w:val="24"/>
          <w:szCs w:val="24"/>
          <w:lang w:val="en-GB"/>
        </w:rPr>
        <w:t>. London: The Stationery Office.</w:t>
      </w:r>
    </w:p>
    <w:p w:rsidR="2CF19E13" w:rsidP="4EE597E1" w:rsidRDefault="2CF19E13" w14:paraId="20CEC272" w14:textId="5D478777">
      <w:pPr>
        <w:spacing w:before="240" w:beforeAutospacing="off" w:after="240" w:afterAutospacing="off"/>
      </w:pPr>
      <w:r w:rsidRPr="4EE597E1" w:rsidR="2CF19E13">
        <w:rPr>
          <w:rFonts w:ascii="Aptos" w:hAnsi="Aptos" w:eastAsia="Aptos" w:cs="Aptos"/>
          <w:noProof w:val="0"/>
          <w:sz w:val="24"/>
          <w:szCs w:val="24"/>
          <w:lang w:val="en-GB"/>
        </w:rPr>
        <w:t xml:space="preserve">Gov.uk (2023) </w:t>
      </w:r>
      <w:r w:rsidRPr="4EE597E1" w:rsidR="2CF19E13">
        <w:rPr>
          <w:rFonts w:ascii="Aptos" w:hAnsi="Aptos" w:eastAsia="Aptos" w:cs="Aptos"/>
          <w:i w:val="1"/>
          <w:iCs w:val="1"/>
          <w:noProof w:val="0"/>
          <w:sz w:val="24"/>
          <w:szCs w:val="24"/>
          <w:lang w:val="en-GB"/>
        </w:rPr>
        <w:t>Review of the whistleblowing framework: terms of reference</w:t>
      </w:r>
      <w:r w:rsidRPr="4EE597E1" w:rsidR="2CF19E13">
        <w:rPr>
          <w:rFonts w:ascii="Aptos" w:hAnsi="Aptos" w:eastAsia="Aptos" w:cs="Aptos"/>
          <w:noProof w:val="0"/>
          <w:sz w:val="24"/>
          <w:szCs w:val="24"/>
          <w:lang w:val="en-GB"/>
        </w:rPr>
        <w:t xml:space="preserve">. Available at: </w:t>
      </w:r>
      <w:hyperlink r:id="R0508b8d2e35e4604">
        <w:r w:rsidRPr="4EE597E1" w:rsidR="2CF19E13">
          <w:rPr>
            <w:rStyle w:val="Hyperlink"/>
            <w:rFonts w:ascii="Aptos" w:hAnsi="Aptos" w:eastAsia="Aptos" w:cs="Aptos"/>
            <w:noProof w:val="0"/>
            <w:sz w:val="24"/>
            <w:szCs w:val="24"/>
            <w:lang w:val="en-GB"/>
          </w:rPr>
          <w:t>https://www.gov.uk/government/publications/review-of-the-whistleblowing-framework/review-of-the-whistleblowing-framework-terms-of-reference</w:t>
        </w:r>
      </w:hyperlink>
      <w:r w:rsidRPr="4EE597E1" w:rsidR="2CF19E13">
        <w:rPr>
          <w:rFonts w:ascii="Aptos" w:hAnsi="Aptos" w:eastAsia="Aptos" w:cs="Aptos"/>
          <w:noProof w:val="0"/>
          <w:sz w:val="24"/>
          <w:szCs w:val="24"/>
          <w:lang w:val="en-GB"/>
        </w:rPr>
        <w:t xml:space="preserve"> (Accessed: 29 January 2026).</w:t>
      </w:r>
    </w:p>
    <w:p w:rsidR="2CF19E13" w:rsidP="4EE597E1" w:rsidRDefault="2CF19E13" w14:paraId="30850819" w14:textId="39B7EB64">
      <w:pPr>
        <w:spacing w:before="240" w:beforeAutospacing="off" w:after="240" w:afterAutospacing="off"/>
      </w:pPr>
      <w:r w:rsidRPr="4EE597E1" w:rsidR="2CF19E13">
        <w:rPr>
          <w:rFonts w:ascii="Aptos" w:hAnsi="Aptos" w:eastAsia="Aptos" w:cs="Aptos"/>
          <w:noProof w:val="0"/>
          <w:sz w:val="24"/>
          <w:szCs w:val="24"/>
          <w:lang w:val="en-GB"/>
        </w:rPr>
        <w:t xml:space="preserve">Hassan, A.H., McGrath, J.M. and Rollins, W. (2011) ‘Patient safety in the NICU: a comprehensive review’, </w:t>
      </w:r>
      <w:r w:rsidRPr="4EE597E1" w:rsidR="2CF19E13">
        <w:rPr>
          <w:rFonts w:ascii="Aptos" w:hAnsi="Aptos" w:eastAsia="Aptos" w:cs="Aptos"/>
          <w:i w:val="1"/>
          <w:iCs w:val="1"/>
          <w:noProof w:val="0"/>
          <w:sz w:val="24"/>
          <w:szCs w:val="24"/>
          <w:lang w:val="en-GB"/>
        </w:rPr>
        <w:t>Journal of Perinatology and Neonatal Nursing</w:t>
      </w:r>
      <w:r w:rsidRPr="4EE597E1" w:rsidR="2CF19E13">
        <w:rPr>
          <w:rFonts w:ascii="Aptos" w:hAnsi="Aptos" w:eastAsia="Aptos" w:cs="Aptos"/>
          <w:noProof w:val="0"/>
          <w:sz w:val="24"/>
          <w:szCs w:val="24"/>
          <w:lang w:val="en-GB"/>
        </w:rPr>
        <w:t>, 25(2), pp. 123–132.</w:t>
      </w:r>
    </w:p>
    <w:p w:rsidR="2CF19E13" w:rsidP="4EE597E1" w:rsidRDefault="2CF19E13" w14:paraId="793E4489" w14:textId="188C5BC1">
      <w:pPr>
        <w:spacing w:before="240" w:beforeAutospacing="off" w:after="240" w:afterAutospacing="off"/>
      </w:pPr>
      <w:r w:rsidRPr="4EE597E1" w:rsidR="2CF19E13">
        <w:rPr>
          <w:rFonts w:ascii="Aptos" w:hAnsi="Aptos" w:eastAsia="Aptos" w:cs="Aptos"/>
          <w:noProof w:val="0"/>
          <w:sz w:val="24"/>
          <w:szCs w:val="24"/>
          <w:lang w:val="en-GB"/>
        </w:rPr>
        <w:t xml:space="preserve">Hunt, R. (2023) </w:t>
      </w:r>
      <w:r w:rsidRPr="4EE597E1" w:rsidR="2CF19E13">
        <w:rPr>
          <w:rFonts w:ascii="Aptos" w:hAnsi="Aptos" w:eastAsia="Aptos" w:cs="Aptos"/>
          <w:i w:val="1"/>
          <w:iCs w:val="1"/>
          <w:noProof w:val="0"/>
          <w:sz w:val="24"/>
          <w:szCs w:val="24"/>
          <w:lang w:val="en-GB"/>
        </w:rPr>
        <w:t>Lessons from Healthcare Quality Failures</w:t>
      </w:r>
      <w:r w:rsidRPr="4EE597E1" w:rsidR="2CF19E13">
        <w:rPr>
          <w:rFonts w:ascii="Aptos" w:hAnsi="Aptos" w:eastAsia="Aptos" w:cs="Aptos"/>
          <w:noProof w:val="0"/>
          <w:sz w:val="24"/>
          <w:szCs w:val="24"/>
          <w:lang w:val="en-GB"/>
        </w:rPr>
        <w:t>. London: Routledge.</w:t>
      </w:r>
    </w:p>
    <w:p w:rsidR="2CF19E13" w:rsidP="4EE597E1" w:rsidRDefault="2CF19E13" w14:paraId="68AC44F9" w14:textId="0AEE96C3">
      <w:pPr>
        <w:spacing w:before="240" w:beforeAutospacing="off" w:after="240" w:afterAutospacing="off"/>
      </w:pPr>
      <w:r w:rsidRPr="4EE597E1" w:rsidR="2CF19E13">
        <w:rPr>
          <w:rFonts w:ascii="Aptos" w:hAnsi="Aptos" w:eastAsia="Aptos" w:cs="Aptos"/>
          <w:noProof w:val="0"/>
          <w:sz w:val="24"/>
          <w:szCs w:val="24"/>
          <w:lang w:val="en-GB"/>
        </w:rPr>
        <w:t xml:space="preserve">Incidents and errors in neonatal intensive care: a review of the literature (2007) </w:t>
      </w:r>
      <w:r w:rsidRPr="4EE597E1" w:rsidR="2CF19E13">
        <w:rPr>
          <w:rFonts w:ascii="Aptos" w:hAnsi="Aptos" w:eastAsia="Aptos" w:cs="Aptos"/>
          <w:i w:val="1"/>
          <w:iCs w:val="1"/>
          <w:noProof w:val="0"/>
          <w:sz w:val="24"/>
          <w:szCs w:val="24"/>
          <w:lang w:val="en-GB"/>
        </w:rPr>
        <w:t>Pediatrics</w:t>
      </w:r>
      <w:r w:rsidRPr="4EE597E1" w:rsidR="2CF19E13">
        <w:rPr>
          <w:rFonts w:ascii="Aptos" w:hAnsi="Aptos" w:eastAsia="Aptos" w:cs="Aptos"/>
          <w:noProof w:val="0"/>
          <w:sz w:val="24"/>
          <w:szCs w:val="24"/>
          <w:lang w:val="en-GB"/>
        </w:rPr>
        <w:t xml:space="preserve">. Available at: </w:t>
      </w:r>
      <w:hyperlink r:id="Rdb6d80c981ae40e9">
        <w:r w:rsidRPr="4EE597E1" w:rsidR="2CF19E13">
          <w:rPr>
            <w:rStyle w:val="Hyperlink"/>
            <w:rFonts w:ascii="Aptos" w:hAnsi="Aptos" w:eastAsia="Aptos" w:cs="Aptos"/>
            <w:noProof w:val="0"/>
            <w:sz w:val="24"/>
            <w:szCs w:val="24"/>
            <w:lang w:val="en-GB"/>
          </w:rPr>
          <w:t>https://pubmed.ncbi.nlm.nih.gov/17376782/</w:t>
        </w:r>
      </w:hyperlink>
      <w:r w:rsidRPr="4EE597E1" w:rsidR="2CF19E13">
        <w:rPr>
          <w:rFonts w:ascii="Aptos" w:hAnsi="Aptos" w:eastAsia="Aptos" w:cs="Aptos"/>
          <w:noProof w:val="0"/>
          <w:sz w:val="24"/>
          <w:szCs w:val="24"/>
          <w:lang w:val="en-GB"/>
        </w:rPr>
        <w:t xml:space="preserve"> (Accessed: 29 January 2026).</w:t>
      </w:r>
    </w:p>
    <w:p w:rsidR="2CF19E13" w:rsidP="4EE597E1" w:rsidRDefault="2CF19E13" w14:paraId="3D14F228" w14:textId="7333D8B6">
      <w:pPr>
        <w:spacing w:before="240" w:beforeAutospacing="off" w:after="240" w:afterAutospacing="off"/>
      </w:pPr>
      <w:r w:rsidRPr="4EE597E1" w:rsidR="2CF19E13">
        <w:rPr>
          <w:rFonts w:ascii="Aptos" w:hAnsi="Aptos" w:eastAsia="Aptos" w:cs="Aptos"/>
          <w:noProof w:val="0"/>
          <w:sz w:val="24"/>
          <w:szCs w:val="24"/>
          <w:lang w:val="en-GB"/>
        </w:rPr>
        <w:t xml:space="preserve">Ishikawa, K. (1985) </w:t>
      </w:r>
      <w:r w:rsidRPr="4EE597E1" w:rsidR="2CF19E13">
        <w:rPr>
          <w:rFonts w:ascii="Aptos" w:hAnsi="Aptos" w:eastAsia="Aptos" w:cs="Aptos"/>
          <w:i w:val="1"/>
          <w:iCs w:val="1"/>
          <w:noProof w:val="0"/>
          <w:sz w:val="24"/>
          <w:szCs w:val="24"/>
          <w:lang w:val="en-GB"/>
        </w:rPr>
        <w:t>What Is Total Quality Control? The Japanese Way</w:t>
      </w:r>
      <w:r w:rsidRPr="4EE597E1" w:rsidR="2CF19E13">
        <w:rPr>
          <w:rFonts w:ascii="Aptos" w:hAnsi="Aptos" w:eastAsia="Aptos" w:cs="Aptos"/>
          <w:noProof w:val="0"/>
          <w:sz w:val="24"/>
          <w:szCs w:val="24"/>
          <w:lang w:val="en-GB"/>
        </w:rPr>
        <w:t>. Englewood Cliffs: Prentice Hall.</w:t>
      </w:r>
    </w:p>
    <w:p w:rsidR="2CF19E13" w:rsidP="4EE597E1" w:rsidRDefault="2CF19E13" w14:paraId="7AFF2D2F" w14:textId="62A7FAC4">
      <w:pPr>
        <w:spacing w:before="240" w:beforeAutospacing="off" w:after="240" w:afterAutospacing="off"/>
      </w:pPr>
      <w:r w:rsidRPr="4EE597E1" w:rsidR="2CF19E13">
        <w:rPr>
          <w:rFonts w:ascii="Aptos" w:hAnsi="Aptos" w:eastAsia="Aptos" w:cs="Aptos"/>
          <w:noProof w:val="0"/>
          <w:sz w:val="24"/>
          <w:szCs w:val="24"/>
          <w:lang w:val="en-GB"/>
        </w:rPr>
        <w:t xml:space="preserve">Kaplan, H., Brady, P., Dritz, M. and Hofer, T. (2010) ‘The influence of organizational and cultural factors on patient safety’, </w:t>
      </w:r>
      <w:r w:rsidRPr="4EE597E1" w:rsidR="2CF19E13">
        <w:rPr>
          <w:rFonts w:ascii="Aptos" w:hAnsi="Aptos" w:eastAsia="Aptos" w:cs="Aptos"/>
          <w:i w:val="1"/>
          <w:iCs w:val="1"/>
          <w:noProof w:val="0"/>
          <w:sz w:val="24"/>
          <w:szCs w:val="24"/>
          <w:lang w:val="en-GB"/>
        </w:rPr>
        <w:t>Health Services Research</w:t>
      </w:r>
      <w:r w:rsidRPr="4EE597E1" w:rsidR="2CF19E13">
        <w:rPr>
          <w:rFonts w:ascii="Aptos" w:hAnsi="Aptos" w:eastAsia="Aptos" w:cs="Aptos"/>
          <w:noProof w:val="0"/>
          <w:sz w:val="24"/>
          <w:szCs w:val="24"/>
          <w:lang w:val="en-GB"/>
        </w:rPr>
        <w:t>, 45(3), pp. 640–662.</w:t>
      </w:r>
    </w:p>
    <w:p w:rsidR="2CF19E13" w:rsidP="4EE597E1" w:rsidRDefault="2CF19E13" w14:paraId="5B0785F8" w14:textId="4596A261">
      <w:pPr>
        <w:spacing w:before="240" w:beforeAutospacing="off" w:after="240" w:afterAutospacing="off"/>
      </w:pPr>
      <w:r w:rsidRPr="4EE597E1" w:rsidR="2CF19E13">
        <w:rPr>
          <w:rFonts w:ascii="Aptos" w:hAnsi="Aptos" w:eastAsia="Aptos" w:cs="Aptos"/>
          <w:noProof w:val="0"/>
          <w:sz w:val="24"/>
          <w:szCs w:val="24"/>
          <w:lang w:val="en-GB"/>
        </w:rPr>
        <w:t xml:space="preserve">Langley, G.J., Moen, R., Nolan, K.M., Nolan, T.W., Norman, C.L. and Provost, L.P. (2009) </w:t>
      </w:r>
      <w:r w:rsidRPr="4EE597E1" w:rsidR="2CF19E13">
        <w:rPr>
          <w:rFonts w:ascii="Aptos" w:hAnsi="Aptos" w:eastAsia="Aptos" w:cs="Aptos"/>
          <w:i w:val="1"/>
          <w:iCs w:val="1"/>
          <w:noProof w:val="0"/>
          <w:sz w:val="24"/>
          <w:szCs w:val="24"/>
          <w:lang w:val="en-GB"/>
        </w:rPr>
        <w:t>The Improvement Guide: A Practical Approach to Enhancing Organizational Performance</w:t>
      </w:r>
      <w:r w:rsidRPr="4EE597E1" w:rsidR="2CF19E13">
        <w:rPr>
          <w:rFonts w:ascii="Aptos" w:hAnsi="Aptos" w:eastAsia="Aptos" w:cs="Aptos"/>
          <w:noProof w:val="0"/>
          <w:sz w:val="24"/>
          <w:szCs w:val="24"/>
          <w:lang w:val="en-GB"/>
        </w:rPr>
        <w:t>. 2nd edn. San Francisco: Jossey-Bass.</w:t>
      </w:r>
    </w:p>
    <w:p w:rsidR="2CF19E13" w:rsidP="4EE597E1" w:rsidRDefault="2CF19E13" w14:paraId="655F764F" w14:textId="4EC6B7B0">
      <w:pPr>
        <w:spacing w:before="240" w:beforeAutospacing="off" w:after="240" w:afterAutospacing="off"/>
      </w:pPr>
      <w:r w:rsidRPr="4EE597E1" w:rsidR="2CF19E13">
        <w:rPr>
          <w:rFonts w:ascii="Aptos" w:hAnsi="Aptos" w:eastAsia="Aptos" w:cs="Aptos"/>
          <w:noProof w:val="0"/>
          <w:sz w:val="24"/>
          <w:szCs w:val="24"/>
          <w:lang w:val="en-GB"/>
        </w:rPr>
        <w:t xml:space="preserve">Mathew, R. (2023) ‘Lucy Letby and the limits of a no blame culture’, </w:t>
      </w:r>
      <w:r w:rsidRPr="4EE597E1" w:rsidR="2CF19E13">
        <w:rPr>
          <w:rFonts w:ascii="Aptos" w:hAnsi="Aptos" w:eastAsia="Aptos" w:cs="Aptos"/>
          <w:i w:val="1"/>
          <w:iCs w:val="1"/>
          <w:noProof w:val="0"/>
          <w:sz w:val="24"/>
          <w:szCs w:val="24"/>
          <w:lang w:val="en-GB"/>
        </w:rPr>
        <w:t>BMJ</w:t>
      </w:r>
      <w:r w:rsidRPr="4EE597E1" w:rsidR="2CF19E13">
        <w:rPr>
          <w:rFonts w:ascii="Aptos" w:hAnsi="Aptos" w:eastAsia="Aptos" w:cs="Aptos"/>
          <w:noProof w:val="0"/>
          <w:sz w:val="24"/>
          <w:szCs w:val="24"/>
          <w:lang w:val="en-GB"/>
        </w:rPr>
        <w:t xml:space="preserve">, 382, p. p1966. Available at: </w:t>
      </w:r>
      <w:hyperlink r:id="Rb162f490a61143c9">
        <w:r w:rsidRPr="4EE597E1" w:rsidR="2CF19E13">
          <w:rPr>
            <w:rStyle w:val="Hyperlink"/>
            <w:rFonts w:ascii="Aptos" w:hAnsi="Aptos" w:eastAsia="Aptos" w:cs="Aptos"/>
            <w:noProof w:val="0"/>
            <w:sz w:val="24"/>
            <w:szCs w:val="24"/>
            <w:lang w:val="en-GB"/>
          </w:rPr>
          <w:t>https://www.bmj.com/content/382/bmj.p1966</w:t>
        </w:r>
      </w:hyperlink>
      <w:r w:rsidRPr="4EE597E1" w:rsidR="2CF19E13">
        <w:rPr>
          <w:rFonts w:ascii="Aptos" w:hAnsi="Aptos" w:eastAsia="Aptos" w:cs="Aptos"/>
          <w:noProof w:val="0"/>
          <w:sz w:val="24"/>
          <w:szCs w:val="24"/>
          <w:lang w:val="en-GB"/>
        </w:rPr>
        <w:t xml:space="preserve"> (Accessed: 29 January 2026).</w:t>
      </w:r>
    </w:p>
    <w:p w:rsidR="2CF19E13" w:rsidP="4EE597E1" w:rsidRDefault="2CF19E13" w14:paraId="1FE4DD8B" w14:textId="5CD8584B">
      <w:pPr>
        <w:spacing w:before="240" w:beforeAutospacing="off" w:after="240" w:afterAutospacing="off"/>
      </w:pPr>
      <w:r w:rsidRPr="4EE597E1" w:rsidR="2CF19E13">
        <w:rPr>
          <w:rFonts w:ascii="Aptos" w:hAnsi="Aptos" w:eastAsia="Aptos" w:cs="Aptos"/>
          <w:noProof w:val="0"/>
          <w:sz w:val="24"/>
          <w:szCs w:val="24"/>
          <w:lang w:val="en-GB"/>
        </w:rPr>
        <w:t xml:space="preserve">NHS England (2022) </w:t>
      </w:r>
      <w:r w:rsidRPr="4EE597E1" w:rsidR="2CF19E13">
        <w:rPr>
          <w:rFonts w:ascii="Aptos" w:hAnsi="Aptos" w:eastAsia="Aptos" w:cs="Aptos"/>
          <w:i w:val="1"/>
          <w:iCs w:val="1"/>
          <w:noProof w:val="0"/>
          <w:sz w:val="24"/>
          <w:szCs w:val="24"/>
          <w:lang w:val="en-GB"/>
        </w:rPr>
        <w:t>Patient Safety Incident Response Framework and supporting guidance</w:t>
      </w:r>
      <w:r w:rsidRPr="4EE597E1" w:rsidR="2CF19E13">
        <w:rPr>
          <w:rFonts w:ascii="Aptos" w:hAnsi="Aptos" w:eastAsia="Aptos" w:cs="Aptos"/>
          <w:noProof w:val="0"/>
          <w:sz w:val="24"/>
          <w:szCs w:val="24"/>
          <w:lang w:val="en-GB"/>
        </w:rPr>
        <w:t xml:space="preserve">. Available at: </w:t>
      </w:r>
      <w:hyperlink r:id="Rc20c65113a8e47a9">
        <w:r w:rsidRPr="4EE597E1" w:rsidR="2CF19E13">
          <w:rPr>
            <w:rStyle w:val="Hyperlink"/>
            <w:rFonts w:ascii="Aptos" w:hAnsi="Aptos" w:eastAsia="Aptos" w:cs="Aptos"/>
            <w:noProof w:val="0"/>
            <w:sz w:val="24"/>
            <w:szCs w:val="24"/>
            <w:lang w:val="en-GB"/>
          </w:rPr>
          <w:t>https://www.england.nhs.uk/publication/patient-safety-incident-response-framework-and-supporting-guidance/</w:t>
        </w:r>
      </w:hyperlink>
      <w:r w:rsidRPr="4EE597E1" w:rsidR="2CF19E13">
        <w:rPr>
          <w:rFonts w:ascii="Aptos" w:hAnsi="Aptos" w:eastAsia="Aptos" w:cs="Aptos"/>
          <w:noProof w:val="0"/>
          <w:sz w:val="24"/>
          <w:szCs w:val="24"/>
          <w:lang w:val="en-GB"/>
        </w:rPr>
        <w:t xml:space="preserve"> (Accessed: 29 January 2026).</w:t>
      </w:r>
    </w:p>
    <w:p w:rsidR="2CF19E13" w:rsidP="4EE597E1" w:rsidRDefault="2CF19E13" w14:paraId="790DEF73" w14:textId="4041BFAB">
      <w:pPr>
        <w:spacing w:before="240" w:beforeAutospacing="off" w:after="240" w:afterAutospacing="off"/>
      </w:pPr>
      <w:r w:rsidRPr="4EE597E1" w:rsidR="2CF19E13">
        <w:rPr>
          <w:rFonts w:ascii="Aptos" w:hAnsi="Aptos" w:eastAsia="Aptos" w:cs="Aptos"/>
          <w:noProof w:val="0"/>
          <w:sz w:val="24"/>
          <w:szCs w:val="24"/>
          <w:lang w:val="en-GB"/>
        </w:rPr>
        <w:t xml:space="preserve">NHS England (2025) </w:t>
      </w:r>
      <w:r w:rsidRPr="4EE597E1" w:rsidR="2CF19E13">
        <w:rPr>
          <w:rFonts w:ascii="Aptos" w:hAnsi="Aptos" w:eastAsia="Aptos" w:cs="Aptos"/>
          <w:i w:val="1"/>
          <w:iCs w:val="1"/>
          <w:noProof w:val="0"/>
          <w:sz w:val="24"/>
          <w:szCs w:val="24"/>
          <w:lang w:val="en-GB"/>
        </w:rPr>
        <w:t>Patient Safety Incident Response Framework (PSIRF)</w:t>
      </w:r>
      <w:r w:rsidRPr="4EE597E1" w:rsidR="2CF19E13">
        <w:rPr>
          <w:rFonts w:ascii="Aptos" w:hAnsi="Aptos" w:eastAsia="Aptos" w:cs="Aptos"/>
          <w:noProof w:val="0"/>
          <w:sz w:val="24"/>
          <w:szCs w:val="24"/>
          <w:lang w:val="en-GB"/>
        </w:rPr>
        <w:t xml:space="preserve">. Available at: </w:t>
      </w:r>
      <w:hyperlink r:id="Rfa4e4dd83f384cd9">
        <w:r w:rsidRPr="4EE597E1" w:rsidR="2CF19E13">
          <w:rPr>
            <w:rStyle w:val="Hyperlink"/>
            <w:rFonts w:ascii="Aptos" w:hAnsi="Aptos" w:eastAsia="Aptos" w:cs="Aptos"/>
            <w:noProof w:val="0"/>
            <w:sz w:val="24"/>
            <w:szCs w:val="24"/>
            <w:lang w:val="en-GB"/>
          </w:rPr>
          <w:t>https://www.england.nhs.uk/patient-safety/incident-response-framework/</w:t>
        </w:r>
      </w:hyperlink>
      <w:r w:rsidRPr="4EE597E1" w:rsidR="2CF19E13">
        <w:rPr>
          <w:rFonts w:ascii="Aptos" w:hAnsi="Aptos" w:eastAsia="Aptos" w:cs="Aptos"/>
          <w:noProof w:val="0"/>
          <w:sz w:val="24"/>
          <w:szCs w:val="24"/>
          <w:lang w:val="en-GB"/>
        </w:rPr>
        <w:t xml:space="preserve"> (Accessed: 29 January 2026).</w:t>
      </w:r>
    </w:p>
    <w:p w:rsidR="2CF19E13" w:rsidP="4EE597E1" w:rsidRDefault="2CF19E13" w14:paraId="2F05E7D8" w14:textId="4E35E82C">
      <w:pPr>
        <w:spacing w:before="240" w:beforeAutospacing="off" w:after="240" w:afterAutospacing="off"/>
      </w:pPr>
      <w:r w:rsidRPr="4EE597E1" w:rsidR="2CF19E13">
        <w:rPr>
          <w:rFonts w:ascii="Aptos" w:hAnsi="Aptos" w:eastAsia="Aptos" w:cs="Aptos"/>
          <w:noProof w:val="0"/>
          <w:sz w:val="24"/>
          <w:szCs w:val="24"/>
          <w:lang w:val="en-GB"/>
        </w:rPr>
        <w:t xml:space="preserve">Ockenden, D. (2022) </w:t>
      </w:r>
      <w:r w:rsidRPr="4EE597E1" w:rsidR="2CF19E13">
        <w:rPr>
          <w:rFonts w:ascii="Aptos" w:hAnsi="Aptos" w:eastAsia="Aptos" w:cs="Aptos"/>
          <w:i w:val="1"/>
          <w:iCs w:val="1"/>
          <w:noProof w:val="0"/>
          <w:sz w:val="24"/>
          <w:szCs w:val="24"/>
          <w:lang w:val="en-GB"/>
        </w:rPr>
        <w:t>Final Ockenden Report: Independent review of maternity services at Shrewsbury and Telford Hospital NHS Trust</w:t>
      </w:r>
      <w:r w:rsidRPr="4EE597E1" w:rsidR="2CF19E13">
        <w:rPr>
          <w:rFonts w:ascii="Aptos" w:hAnsi="Aptos" w:eastAsia="Aptos" w:cs="Aptos"/>
          <w:noProof w:val="0"/>
          <w:sz w:val="24"/>
          <w:szCs w:val="24"/>
          <w:lang w:val="en-GB"/>
        </w:rPr>
        <w:t>. London: HMSO.</w:t>
      </w:r>
    </w:p>
    <w:p w:rsidR="2CF19E13" w:rsidP="4EE597E1" w:rsidRDefault="2CF19E13" w14:paraId="1FD45079" w14:textId="7A150F25">
      <w:pPr>
        <w:spacing w:before="240" w:beforeAutospacing="off" w:after="240" w:afterAutospacing="off"/>
      </w:pPr>
      <w:r w:rsidRPr="4EE597E1" w:rsidR="2CF19E13">
        <w:rPr>
          <w:rFonts w:ascii="Aptos" w:hAnsi="Aptos" w:eastAsia="Aptos" w:cs="Aptos"/>
          <w:noProof w:val="0"/>
          <w:sz w:val="24"/>
          <w:szCs w:val="24"/>
          <w:lang w:val="en-GB"/>
        </w:rPr>
        <w:t xml:space="preserve">O’Neill, P. (2024) ‘Systemic failures at Chester Neonatal Unit’, </w:t>
      </w:r>
      <w:r w:rsidRPr="4EE597E1" w:rsidR="2CF19E13">
        <w:rPr>
          <w:rFonts w:ascii="Aptos" w:hAnsi="Aptos" w:eastAsia="Aptos" w:cs="Aptos"/>
          <w:i w:val="1"/>
          <w:iCs w:val="1"/>
          <w:noProof w:val="0"/>
          <w:sz w:val="24"/>
          <w:szCs w:val="24"/>
          <w:lang w:val="en-GB"/>
        </w:rPr>
        <w:t>Journal of Healthcare Safety</w:t>
      </w:r>
      <w:r w:rsidRPr="4EE597E1" w:rsidR="2CF19E13">
        <w:rPr>
          <w:rFonts w:ascii="Aptos" w:hAnsi="Aptos" w:eastAsia="Aptos" w:cs="Aptos"/>
          <w:noProof w:val="0"/>
          <w:sz w:val="24"/>
          <w:szCs w:val="24"/>
          <w:lang w:val="en-GB"/>
        </w:rPr>
        <w:t>, 15(2), pp. 45–53.</w:t>
      </w:r>
    </w:p>
    <w:p w:rsidR="2CF19E13" w:rsidP="4EE597E1" w:rsidRDefault="2CF19E13" w14:paraId="58074315" w14:textId="024F40BB">
      <w:pPr>
        <w:spacing w:before="240" w:beforeAutospacing="off" w:after="240" w:afterAutospacing="off"/>
      </w:pPr>
      <w:r w:rsidRPr="4EE597E1" w:rsidR="2CF19E13">
        <w:rPr>
          <w:rFonts w:ascii="Aptos" w:hAnsi="Aptos" w:eastAsia="Aptos" w:cs="Aptos"/>
          <w:noProof w:val="0"/>
          <w:sz w:val="24"/>
          <w:szCs w:val="24"/>
          <w:lang w:val="en-GB"/>
        </w:rPr>
        <w:t xml:space="preserve">Patterns of safety incidents in a neonatal intensive care unit (2021) </w:t>
      </w:r>
      <w:r w:rsidRPr="4EE597E1" w:rsidR="2CF19E13">
        <w:rPr>
          <w:rFonts w:ascii="Aptos" w:hAnsi="Aptos" w:eastAsia="Aptos" w:cs="Aptos"/>
          <w:i w:val="1"/>
          <w:iCs w:val="1"/>
          <w:noProof w:val="0"/>
          <w:sz w:val="24"/>
          <w:szCs w:val="24"/>
          <w:lang w:val="en-GB"/>
        </w:rPr>
        <w:t>PMC</w:t>
      </w:r>
      <w:r w:rsidRPr="4EE597E1" w:rsidR="2CF19E13">
        <w:rPr>
          <w:rFonts w:ascii="Aptos" w:hAnsi="Aptos" w:eastAsia="Aptos" w:cs="Aptos"/>
          <w:noProof w:val="0"/>
          <w:sz w:val="24"/>
          <w:szCs w:val="24"/>
          <w:lang w:val="en-GB"/>
        </w:rPr>
        <w:t xml:space="preserve">. Available at: </w:t>
      </w:r>
      <w:hyperlink r:id="Rcc3d932dd2a24a54">
        <w:r w:rsidRPr="4EE597E1" w:rsidR="2CF19E13">
          <w:rPr>
            <w:rStyle w:val="Hyperlink"/>
            <w:rFonts w:ascii="Aptos" w:hAnsi="Aptos" w:eastAsia="Aptos" w:cs="Aptos"/>
            <w:noProof w:val="0"/>
            <w:sz w:val="24"/>
            <w:szCs w:val="24"/>
            <w:lang w:val="en-GB"/>
          </w:rPr>
          <w:t>https://pmc.ncbi.nlm.nih.gov/articles/PMC8222629/</w:t>
        </w:r>
      </w:hyperlink>
      <w:r w:rsidRPr="4EE597E1" w:rsidR="2CF19E13">
        <w:rPr>
          <w:rFonts w:ascii="Aptos" w:hAnsi="Aptos" w:eastAsia="Aptos" w:cs="Aptos"/>
          <w:noProof w:val="0"/>
          <w:sz w:val="24"/>
          <w:szCs w:val="24"/>
          <w:lang w:val="en-GB"/>
        </w:rPr>
        <w:t xml:space="preserve"> (Accessed: 29 January 2026).</w:t>
      </w:r>
    </w:p>
    <w:p w:rsidR="2CF19E13" w:rsidP="4EE597E1" w:rsidRDefault="2CF19E13" w14:paraId="03E666A3" w14:textId="0B173EB0">
      <w:pPr>
        <w:spacing w:before="240" w:beforeAutospacing="off" w:after="240" w:afterAutospacing="off"/>
      </w:pPr>
      <w:r w:rsidRPr="4EE597E1" w:rsidR="2CF19E13">
        <w:rPr>
          <w:rFonts w:ascii="Aptos" w:hAnsi="Aptos" w:eastAsia="Aptos" w:cs="Aptos"/>
          <w:noProof w:val="0"/>
          <w:sz w:val="24"/>
          <w:szCs w:val="24"/>
          <w:lang w:val="en-GB"/>
        </w:rPr>
        <w:t xml:space="preserve">Percarpio, K., Watts, B. and Weeks, W. (2008) ‘The effectiveness of root cause analysis’, </w:t>
      </w:r>
      <w:r w:rsidRPr="4EE597E1" w:rsidR="2CF19E13">
        <w:rPr>
          <w:rFonts w:ascii="Aptos" w:hAnsi="Aptos" w:eastAsia="Aptos" w:cs="Aptos"/>
          <w:i w:val="1"/>
          <w:iCs w:val="1"/>
          <w:noProof w:val="0"/>
          <w:sz w:val="24"/>
          <w:szCs w:val="24"/>
          <w:lang w:val="en-GB"/>
        </w:rPr>
        <w:t>Joint Commission Journal on Quality and Patient Safety</w:t>
      </w:r>
      <w:r w:rsidRPr="4EE597E1" w:rsidR="2CF19E13">
        <w:rPr>
          <w:rFonts w:ascii="Aptos" w:hAnsi="Aptos" w:eastAsia="Aptos" w:cs="Aptos"/>
          <w:noProof w:val="0"/>
          <w:sz w:val="24"/>
          <w:szCs w:val="24"/>
          <w:lang w:val="en-GB"/>
        </w:rPr>
        <w:t>, 34(9), pp. 529–535.</w:t>
      </w:r>
    </w:p>
    <w:p w:rsidR="2CF19E13" w:rsidP="4EE597E1" w:rsidRDefault="2CF19E13" w14:paraId="4758485A" w14:textId="522EC755">
      <w:pPr>
        <w:spacing w:before="240" w:beforeAutospacing="off" w:after="240" w:afterAutospacing="off"/>
      </w:pPr>
      <w:r w:rsidRPr="4EE597E1" w:rsidR="2CF19E13">
        <w:rPr>
          <w:rFonts w:ascii="Aptos" w:hAnsi="Aptos" w:eastAsia="Aptos" w:cs="Aptos"/>
          <w:noProof w:val="0"/>
          <w:sz w:val="24"/>
          <w:szCs w:val="24"/>
          <w:lang w:val="en-GB"/>
        </w:rPr>
        <w:t xml:space="preserve">Pickett, R.M., et al. (2018) ‘The correlation between neonatal intensive care unit safety culture and quality of care’, </w:t>
      </w:r>
      <w:r w:rsidRPr="4EE597E1" w:rsidR="2CF19E13">
        <w:rPr>
          <w:rFonts w:ascii="Aptos" w:hAnsi="Aptos" w:eastAsia="Aptos" w:cs="Aptos"/>
          <w:i w:val="1"/>
          <w:iCs w:val="1"/>
          <w:noProof w:val="0"/>
          <w:sz w:val="24"/>
          <w:szCs w:val="24"/>
          <w:lang w:val="en-GB"/>
        </w:rPr>
        <w:t>Journal of Perinatology</w:t>
      </w:r>
      <w:r w:rsidRPr="4EE597E1" w:rsidR="2CF19E13">
        <w:rPr>
          <w:rFonts w:ascii="Aptos" w:hAnsi="Aptos" w:eastAsia="Aptos" w:cs="Aptos"/>
          <w:noProof w:val="0"/>
          <w:sz w:val="24"/>
          <w:szCs w:val="24"/>
          <w:lang w:val="en-GB"/>
        </w:rPr>
        <w:t>, 38(5), pp. 665–672.</w:t>
      </w:r>
    </w:p>
    <w:p w:rsidR="2CF19E13" w:rsidP="4EE597E1" w:rsidRDefault="2CF19E13" w14:paraId="6E14137B" w14:textId="661F56F3">
      <w:pPr>
        <w:spacing w:before="240" w:beforeAutospacing="off" w:after="240" w:afterAutospacing="off"/>
      </w:pPr>
      <w:r w:rsidRPr="4EE597E1" w:rsidR="2CF19E13">
        <w:rPr>
          <w:rFonts w:ascii="Aptos" w:hAnsi="Aptos" w:eastAsia="Aptos" w:cs="Aptos"/>
          <w:noProof w:val="0"/>
          <w:sz w:val="24"/>
          <w:szCs w:val="24"/>
          <w:lang w:val="en-GB"/>
        </w:rPr>
        <w:t xml:space="preserve">Reason, J. (1997) </w:t>
      </w:r>
      <w:r w:rsidRPr="4EE597E1" w:rsidR="2CF19E13">
        <w:rPr>
          <w:rFonts w:ascii="Aptos" w:hAnsi="Aptos" w:eastAsia="Aptos" w:cs="Aptos"/>
          <w:i w:val="1"/>
          <w:iCs w:val="1"/>
          <w:noProof w:val="0"/>
          <w:sz w:val="24"/>
          <w:szCs w:val="24"/>
          <w:lang w:val="en-GB"/>
        </w:rPr>
        <w:t>Managing the Risks of Organizational Accidents</w:t>
      </w:r>
      <w:r w:rsidRPr="4EE597E1" w:rsidR="2CF19E13">
        <w:rPr>
          <w:rFonts w:ascii="Aptos" w:hAnsi="Aptos" w:eastAsia="Aptos" w:cs="Aptos"/>
          <w:noProof w:val="0"/>
          <w:sz w:val="24"/>
          <w:szCs w:val="24"/>
          <w:lang w:val="en-GB"/>
        </w:rPr>
        <w:t>. Aldershot: Ashgate.</w:t>
      </w:r>
    </w:p>
    <w:p w:rsidR="2CF19E13" w:rsidP="4EE597E1" w:rsidRDefault="2CF19E13" w14:paraId="49860665" w14:textId="05427F94">
      <w:pPr>
        <w:spacing w:before="240" w:beforeAutospacing="off" w:after="240" w:afterAutospacing="off"/>
      </w:pPr>
      <w:r w:rsidRPr="4EE597E1" w:rsidR="2CF19E13">
        <w:rPr>
          <w:rFonts w:ascii="Aptos" w:hAnsi="Aptos" w:eastAsia="Aptos" w:cs="Aptos"/>
          <w:noProof w:val="0"/>
          <w:sz w:val="24"/>
          <w:szCs w:val="24"/>
          <w:lang w:val="en-GB"/>
        </w:rPr>
        <w:t xml:space="preserve">Reason, J. (2000) </w:t>
      </w:r>
      <w:r w:rsidRPr="4EE597E1" w:rsidR="2CF19E13">
        <w:rPr>
          <w:rFonts w:ascii="Aptos" w:hAnsi="Aptos" w:eastAsia="Aptos" w:cs="Aptos"/>
          <w:i w:val="1"/>
          <w:iCs w:val="1"/>
          <w:noProof w:val="0"/>
          <w:sz w:val="24"/>
          <w:szCs w:val="24"/>
          <w:lang w:val="en-GB"/>
        </w:rPr>
        <w:t>Human Error</w:t>
      </w:r>
      <w:r w:rsidRPr="4EE597E1" w:rsidR="2CF19E13">
        <w:rPr>
          <w:rFonts w:ascii="Aptos" w:hAnsi="Aptos" w:eastAsia="Aptos" w:cs="Aptos"/>
          <w:noProof w:val="0"/>
          <w:sz w:val="24"/>
          <w:szCs w:val="24"/>
          <w:lang w:val="en-GB"/>
        </w:rPr>
        <w:t>. Cambridge: Cambridge University Press.</w:t>
      </w:r>
    </w:p>
    <w:p w:rsidR="2CF19E13" w:rsidP="4EE597E1" w:rsidRDefault="2CF19E13" w14:paraId="5A131827" w14:textId="444041D4">
      <w:pPr>
        <w:spacing w:before="240" w:beforeAutospacing="off" w:after="240" w:afterAutospacing="off"/>
      </w:pPr>
      <w:r w:rsidRPr="4EE597E1" w:rsidR="2CF19E13">
        <w:rPr>
          <w:rFonts w:ascii="Aptos" w:hAnsi="Aptos" w:eastAsia="Aptos" w:cs="Aptos"/>
          <w:noProof w:val="0"/>
          <w:sz w:val="24"/>
          <w:szCs w:val="24"/>
          <w:lang w:val="en-GB"/>
        </w:rPr>
        <w:t xml:space="preserve">Sexton, J.B., et al. (2017) ‘Safety culture, patient safety, and quality of care outcomes: a literature review’, </w:t>
      </w:r>
      <w:r w:rsidRPr="4EE597E1" w:rsidR="2CF19E13">
        <w:rPr>
          <w:rFonts w:ascii="Aptos" w:hAnsi="Aptos" w:eastAsia="Aptos" w:cs="Aptos"/>
          <w:i w:val="1"/>
          <w:iCs w:val="1"/>
          <w:noProof w:val="0"/>
          <w:sz w:val="24"/>
          <w:szCs w:val="24"/>
          <w:lang w:val="en-GB"/>
        </w:rPr>
        <w:t>Journal of Healthcare Quality</w:t>
      </w:r>
      <w:r w:rsidRPr="4EE597E1" w:rsidR="2CF19E13">
        <w:rPr>
          <w:rFonts w:ascii="Aptos" w:hAnsi="Aptos" w:eastAsia="Aptos" w:cs="Aptos"/>
          <w:noProof w:val="0"/>
          <w:sz w:val="24"/>
          <w:szCs w:val="24"/>
          <w:lang w:val="en-GB"/>
        </w:rPr>
        <w:t>, 39(2), pp. 45–55.</w:t>
      </w:r>
    </w:p>
    <w:p w:rsidR="2CF19E13" w:rsidP="4EE597E1" w:rsidRDefault="2CF19E13" w14:paraId="3EF90F50" w14:textId="44D7645C">
      <w:pPr>
        <w:spacing w:before="240" w:beforeAutospacing="off" w:after="240" w:afterAutospacing="off"/>
      </w:pPr>
      <w:r w:rsidRPr="4EE597E1" w:rsidR="2CF19E13">
        <w:rPr>
          <w:rFonts w:ascii="Aptos" w:hAnsi="Aptos" w:eastAsia="Aptos" w:cs="Aptos"/>
          <w:noProof w:val="0"/>
          <w:sz w:val="24"/>
          <w:szCs w:val="24"/>
          <w:lang w:val="en-GB"/>
        </w:rPr>
        <w:t xml:space="preserve">Sheikh, A., et al. (2020) ‘Digital health interventions for improving patient safety in hospitals’, </w:t>
      </w:r>
      <w:r w:rsidRPr="4EE597E1" w:rsidR="2CF19E13">
        <w:rPr>
          <w:rFonts w:ascii="Aptos" w:hAnsi="Aptos" w:eastAsia="Aptos" w:cs="Aptos"/>
          <w:i w:val="1"/>
          <w:iCs w:val="1"/>
          <w:noProof w:val="0"/>
          <w:sz w:val="24"/>
          <w:szCs w:val="24"/>
          <w:lang w:val="en-GB"/>
        </w:rPr>
        <w:t>The Lancet Digital Health</w:t>
      </w:r>
      <w:r w:rsidRPr="4EE597E1" w:rsidR="2CF19E13">
        <w:rPr>
          <w:rFonts w:ascii="Aptos" w:hAnsi="Aptos" w:eastAsia="Aptos" w:cs="Aptos"/>
          <w:noProof w:val="0"/>
          <w:sz w:val="24"/>
          <w:szCs w:val="24"/>
          <w:lang w:val="en-GB"/>
        </w:rPr>
        <w:t xml:space="preserve">, 2(9), pp. e456–e467. Available at: </w:t>
      </w:r>
      <w:hyperlink r:id="Re505341aab6543aa">
        <w:r w:rsidRPr="4EE597E1" w:rsidR="2CF19E13">
          <w:rPr>
            <w:rStyle w:val="Hyperlink"/>
            <w:rFonts w:ascii="Aptos" w:hAnsi="Aptos" w:eastAsia="Aptos" w:cs="Aptos"/>
            <w:noProof w:val="0"/>
            <w:sz w:val="24"/>
            <w:szCs w:val="24"/>
            <w:lang w:val="en-GB"/>
          </w:rPr>
          <w:t>https://pubmed.ncbi.nlm.nih.gov/32923276/</w:t>
        </w:r>
      </w:hyperlink>
      <w:r w:rsidRPr="4EE597E1" w:rsidR="2CF19E13">
        <w:rPr>
          <w:rFonts w:ascii="Aptos" w:hAnsi="Aptos" w:eastAsia="Aptos" w:cs="Aptos"/>
          <w:noProof w:val="0"/>
          <w:sz w:val="24"/>
          <w:szCs w:val="24"/>
          <w:lang w:val="en-GB"/>
        </w:rPr>
        <w:t xml:space="preserve"> (Accessed: 29 January 2026).</w:t>
      </w:r>
    </w:p>
    <w:p w:rsidR="2CF19E13" w:rsidP="4EE597E1" w:rsidRDefault="2CF19E13" w14:paraId="239EE49D" w14:textId="49F7FE11">
      <w:pPr>
        <w:spacing w:before="240" w:beforeAutospacing="off" w:after="240" w:afterAutospacing="off"/>
      </w:pPr>
      <w:r w:rsidRPr="4EE597E1" w:rsidR="2CF19E13">
        <w:rPr>
          <w:rFonts w:ascii="Aptos" w:hAnsi="Aptos" w:eastAsia="Aptos" w:cs="Aptos"/>
          <w:noProof w:val="0"/>
          <w:sz w:val="24"/>
          <w:szCs w:val="24"/>
          <w:lang w:val="en-GB"/>
        </w:rPr>
        <w:t xml:space="preserve">Smith, T., et al. (2025) ‘Improving patient outcomes through quality improvement and safety culture interventions in pediatric emergency care’, </w:t>
      </w:r>
      <w:r w:rsidRPr="4EE597E1" w:rsidR="2CF19E13">
        <w:rPr>
          <w:rFonts w:ascii="Aptos" w:hAnsi="Aptos" w:eastAsia="Aptos" w:cs="Aptos"/>
          <w:i w:val="1"/>
          <w:iCs w:val="1"/>
          <w:noProof w:val="0"/>
          <w:sz w:val="24"/>
          <w:szCs w:val="24"/>
          <w:lang w:val="en-GB"/>
        </w:rPr>
        <w:t>Pediatric Quality &amp; Safety Journal</w:t>
      </w:r>
      <w:r w:rsidRPr="4EE597E1" w:rsidR="2CF19E13">
        <w:rPr>
          <w:rFonts w:ascii="Aptos" w:hAnsi="Aptos" w:eastAsia="Aptos" w:cs="Aptos"/>
          <w:noProof w:val="0"/>
          <w:sz w:val="24"/>
          <w:szCs w:val="24"/>
          <w:lang w:val="en-GB"/>
        </w:rPr>
        <w:t>, 10(3), pp. 210–225.</w:t>
      </w:r>
    </w:p>
    <w:p w:rsidR="2CF19E13" w:rsidP="4EE597E1" w:rsidRDefault="2CF19E13" w14:paraId="00D31766" w14:textId="4B970ECE">
      <w:pPr>
        <w:spacing w:before="240" w:beforeAutospacing="off" w:after="240" w:afterAutospacing="off"/>
      </w:pPr>
      <w:r w:rsidRPr="4EE597E1" w:rsidR="2CF19E13">
        <w:rPr>
          <w:rFonts w:ascii="Aptos" w:hAnsi="Aptos" w:eastAsia="Aptos" w:cs="Aptos"/>
          <w:noProof w:val="0"/>
          <w:sz w:val="24"/>
          <w:szCs w:val="24"/>
          <w:lang w:val="en-GB"/>
        </w:rPr>
        <w:t xml:space="preserve">Taylor, M.J., McNicholas, C., Nicolay, C., Darzi, A., Bell, D. and Reed, J.E. (2014) ‘Systematic review of the application of the plan–do–study–act method to improve quality in healthcare’, </w:t>
      </w:r>
      <w:r w:rsidRPr="4EE597E1" w:rsidR="2CF19E13">
        <w:rPr>
          <w:rFonts w:ascii="Aptos" w:hAnsi="Aptos" w:eastAsia="Aptos" w:cs="Aptos"/>
          <w:i w:val="1"/>
          <w:iCs w:val="1"/>
          <w:noProof w:val="0"/>
          <w:sz w:val="24"/>
          <w:szCs w:val="24"/>
          <w:lang w:val="en-GB"/>
        </w:rPr>
        <w:t>BMJ Quality &amp; Safety</w:t>
      </w:r>
      <w:r w:rsidRPr="4EE597E1" w:rsidR="2CF19E13">
        <w:rPr>
          <w:rFonts w:ascii="Aptos" w:hAnsi="Aptos" w:eastAsia="Aptos" w:cs="Aptos"/>
          <w:noProof w:val="0"/>
          <w:sz w:val="24"/>
          <w:szCs w:val="24"/>
          <w:lang w:val="en-GB"/>
        </w:rPr>
        <w:t>, 23(4), pp. 290–298.</w:t>
      </w:r>
    </w:p>
    <w:p w:rsidR="2CF19E13" w:rsidP="4EE597E1" w:rsidRDefault="2CF19E13" w14:paraId="25ED26CE" w14:textId="32D3EA30">
      <w:pPr>
        <w:spacing w:before="240" w:beforeAutospacing="off" w:after="240" w:afterAutospacing="off"/>
      </w:pPr>
      <w:r w:rsidRPr="4EE597E1" w:rsidR="2CF19E13">
        <w:rPr>
          <w:rFonts w:ascii="Aptos" w:hAnsi="Aptos" w:eastAsia="Aptos" w:cs="Aptos"/>
          <w:noProof w:val="0"/>
          <w:sz w:val="24"/>
          <w:szCs w:val="24"/>
          <w:lang w:val="en-GB"/>
        </w:rPr>
        <w:t xml:space="preserve">The Guardian (2024) ‘Failures at Letby’s hospital: a superbug, doctor shortages and a neonatal unit out of its depth’. Available at: </w:t>
      </w:r>
      <w:hyperlink r:id="Rb9ad99711281477a">
        <w:r w:rsidRPr="4EE597E1" w:rsidR="2CF19E13">
          <w:rPr>
            <w:rStyle w:val="Hyperlink"/>
            <w:rFonts w:ascii="Aptos" w:hAnsi="Aptos" w:eastAsia="Aptos" w:cs="Aptos"/>
            <w:noProof w:val="0"/>
            <w:sz w:val="24"/>
            <w:szCs w:val="24"/>
            <w:lang w:val="en-GB"/>
          </w:rPr>
          <w:t>https://www.theguardian.com/uk-news/article/2024/sep/08/a-superbug-doctor-shortages-and-a-neonatal-unit-out-of-its-depth-failures-at-lucy-letby-hospital-revealed</w:t>
        </w:r>
      </w:hyperlink>
      <w:r w:rsidRPr="4EE597E1" w:rsidR="2CF19E13">
        <w:rPr>
          <w:rFonts w:ascii="Aptos" w:hAnsi="Aptos" w:eastAsia="Aptos" w:cs="Aptos"/>
          <w:noProof w:val="0"/>
          <w:sz w:val="24"/>
          <w:szCs w:val="24"/>
          <w:lang w:val="en-GB"/>
        </w:rPr>
        <w:t xml:space="preserve"> (Accessed: 29 January 2026).</w:t>
      </w:r>
    </w:p>
    <w:p w:rsidR="2CF19E13" w:rsidP="4EE597E1" w:rsidRDefault="2CF19E13" w14:paraId="46A0F4C8" w14:textId="68B24528">
      <w:pPr>
        <w:spacing w:before="240" w:beforeAutospacing="off" w:after="240" w:afterAutospacing="off"/>
      </w:pPr>
      <w:r w:rsidRPr="4EE597E1" w:rsidR="2CF19E13">
        <w:rPr>
          <w:rFonts w:ascii="Aptos" w:hAnsi="Aptos" w:eastAsia="Aptos" w:cs="Aptos"/>
          <w:noProof w:val="0"/>
          <w:sz w:val="24"/>
          <w:szCs w:val="24"/>
          <w:lang w:val="en-GB"/>
        </w:rPr>
        <w:t xml:space="preserve">Twigg, D.E. and McCullough, K. (2014) ‘Nursing staff retention and turnover: impact on patient outcomes’, </w:t>
      </w:r>
      <w:r w:rsidRPr="4EE597E1" w:rsidR="2CF19E13">
        <w:rPr>
          <w:rFonts w:ascii="Aptos" w:hAnsi="Aptos" w:eastAsia="Aptos" w:cs="Aptos"/>
          <w:i w:val="1"/>
          <w:iCs w:val="1"/>
          <w:noProof w:val="0"/>
          <w:sz w:val="24"/>
          <w:szCs w:val="24"/>
          <w:lang w:val="en-GB"/>
        </w:rPr>
        <w:t>Journal of Nursing Management</w:t>
      </w:r>
      <w:r w:rsidRPr="4EE597E1" w:rsidR="2CF19E13">
        <w:rPr>
          <w:rFonts w:ascii="Aptos" w:hAnsi="Aptos" w:eastAsia="Aptos" w:cs="Aptos"/>
          <w:noProof w:val="0"/>
          <w:sz w:val="24"/>
          <w:szCs w:val="24"/>
          <w:lang w:val="en-GB"/>
        </w:rPr>
        <w:t>, 22(7), pp. 927–939.</w:t>
      </w:r>
    </w:p>
    <w:p w:rsidR="2CF19E13" w:rsidP="4EE597E1" w:rsidRDefault="2CF19E13" w14:paraId="6BE94A10" w14:textId="1228F4B9">
      <w:pPr>
        <w:spacing w:before="240" w:beforeAutospacing="off" w:after="240" w:afterAutospacing="off"/>
      </w:pPr>
      <w:r w:rsidRPr="4EE597E1" w:rsidR="2CF19E13">
        <w:rPr>
          <w:rFonts w:ascii="Aptos" w:hAnsi="Aptos" w:eastAsia="Aptos" w:cs="Aptos"/>
          <w:noProof w:val="0"/>
          <w:sz w:val="24"/>
          <w:szCs w:val="24"/>
          <w:lang w:val="en-GB"/>
        </w:rPr>
        <w:t xml:space="preserve">UK Government Department of Health (2025) </w:t>
      </w:r>
      <w:r w:rsidRPr="4EE597E1" w:rsidR="2CF19E13">
        <w:rPr>
          <w:rFonts w:ascii="Aptos" w:hAnsi="Aptos" w:eastAsia="Aptos" w:cs="Aptos"/>
          <w:i w:val="1"/>
          <w:iCs w:val="1"/>
          <w:noProof w:val="0"/>
          <w:sz w:val="24"/>
          <w:szCs w:val="24"/>
          <w:lang w:val="en-GB"/>
        </w:rPr>
        <w:t>Review of patient safety across the health and care landscape</w:t>
      </w:r>
      <w:r w:rsidRPr="4EE597E1" w:rsidR="2CF19E13">
        <w:rPr>
          <w:rFonts w:ascii="Aptos" w:hAnsi="Aptos" w:eastAsia="Aptos" w:cs="Aptos"/>
          <w:noProof w:val="0"/>
          <w:sz w:val="24"/>
          <w:szCs w:val="24"/>
          <w:lang w:val="en-GB"/>
        </w:rPr>
        <w:t xml:space="preserve">. Available at: </w:t>
      </w:r>
      <w:hyperlink r:id="R1e35dc54533f4455">
        <w:r w:rsidRPr="4EE597E1" w:rsidR="2CF19E13">
          <w:rPr>
            <w:rStyle w:val="Hyperlink"/>
            <w:rFonts w:ascii="Aptos" w:hAnsi="Aptos" w:eastAsia="Aptos" w:cs="Aptos"/>
            <w:noProof w:val="0"/>
            <w:sz w:val="24"/>
            <w:szCs w:val="24"/>
            <w:lang w:val="en-GB"/>
          </w:rPr>
          <w:t>https://www.gov.uk/government/publications/review-of-patient-safety-across-the-health-and-care-landscape</w:t>
        </w:r>
      </w:hyperlink>
      <w:r w:rsidRPr="4EE597E1" w:rsidR="2CF19E13">
        <w:rPr>
          <w:rFonts w:ascii="Aptos" w:hAnsi="Aptos" w:eastAsia="Aptos" w:cs="Aptos"/>
          <w:noProof w:val="0"/>
          <w:sz w:val="24"/>
          <w:szCs w:val="24"/>
          <w:lang w:val="en-GB"/>
        </w:rPr>
        <w:t xml:space="preserve"> (Accessed: 29 January 2026).</w:t>
      </w:r>
    </w:p>
    <w:p w:rsidR="2CF19E13" w:rsidP="4EE597E1" w:rsidRDefault="2CF19E13" w14:paraId="6B468633" w14:textId="54C80973">
      <w:pPr>
        <w:spacing w:before="240" w:beforeAutospacing="off" w:after="240" w:afterAutospacing="off"/>
      </w:pPr>
      <w:r w:rsidRPr="4EE597E1" w:rsidR="2CF19E13">
        <w:rPr>
          <w:rFonts w:ascii="Aptos" w:hAnsi="Aptos" w:eastAsia="Aptos" w:cs="Aptos"/>
          <w:noProof w:val="0"/>
          <w:sz w:val="24"/>
          <w:szCs w:val="24"/>
          <w:lang w:val="en-GB"/>
        </w:rPr>
        <w:t xml:space="preserve">Vincent, C. (2010) </w:t>
      </w:r>
      <w:r w:rsidRPr="4EE597E1" w:rsidR="2CF19E13">
        <w:rPr>
          <w:rFonts w:ascii="Aptos" w:hAnsi="Aptos" w:eastAsia="Aptos" w:cs="Aptos"/>
          <w:i w:val="1"/>
          <w:iCs w:val="1"/>
          <w:noProof w:val="0"/>
          <w:sz w:val="24"/>
          <w:szCs w:val="24"/>
          <w:lang w:val="en-GB"/>
        </w:rPr>
        <w:t>Patient Safety</w:t>
      </w:r>
      <w:r w:rsidRPr="4EE597E1" w:rsidR="2CF19E13">
        <w:rPr>
          <w:rFonts w:ascii="Aptos" w:hAnsi="Aptos" w:eastAsia="Aptos" w:cs="Aptos"/>
          <w:noProof w:val="0"/>
          <w:sz w:val="24"/>
          <w:szCs w:val="24"/>
          <w:lang w:val="en-GB"/>
        </w:rPr>
        <w:t>. 2nd edn. London: Wiley-Blackwell.</w:t>
      </w:r>
    </w:p>
    <w:p w:rsidR="2CF19E13" w:rsidP="4EE597E1" w:rsidRDefault="2CF19E13" w14:paraId="677C1A2A" w14:textId="04DB2FC1">
      <w:pPr>
        <w:spacing w:before="240" w:beforeAutospacing="off" w:after="240" w:afterAutospacing="off"/>
      </w:pPr>
      <w:r w:rsidRPr="4EE597E1" w:rsidR="2CF19E13">
        <w:rPr>
          <w:rFonts w:ascii="Aptos" w:hAnsi="Aptos" w:eastAsia="Aptos" w:cs="Aptos"/>
          <w:noProof w:val="0"/>
          <w:sz w:val="24"/>
          <w:szCs w:val="24"/>
          <w:lang w:val="en-GB"/>
        </w:rPr>
        <w:t xml:space="preserve">World Health Organization (2021) </w:t>
      </w:r>
      <w:r w:rsidRPr="4EE597E1" w:rsidR="2CF19E13">
        <w:rPr>
          <w:rFonts w:ascii="Aptos" w:hAnsi="Aptos" w:eastAsia="Aptos" w:cs="Aptos"/>
          <w:i w:val="1"/>
          <w:iCs w:val="1"/>
          <w:noProof w:val="0"/>
          <w:sz w:val="24"/>
          <w:szCs w:val="24"/>
          <w:lang w:val="en-GB"/>
        </w:rPr>
        <w:t>Standards for improving quality of maternal and newborn care in health facilities</w:t>
      </w:r>
      <w:r w:rsidRPr="4EE597E1" w:rsidR="2CF19E13">
        <w:rPr>
          <w:rFonts w:ascii="Aptos" w:hAnsi="Aptos" w:eastAsia="Aptos" w:cs="Aptos"/>
          <w:noProof w:val="0"/>
          <w:sz w:val="24"/>
          <w:szCs w:val="24"/>
          <w:lang w:val="en-GB"/>
        </w:rPr>
        <w:t>. Geneva: WHO.</w:t>
      </w:r>
    </w:p>
    <w:p w:rsidR="4EE597E1" w:rsidRDefault="4EE597E1" w14:paraId="6784AB2F" w14:textId="5FE47602"/>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Ba478ehR06mhp" int2:id="y4edsprp">
      <int2:state int2:type="spell" int2:value="Rejected"/>
    </int2:textHash>
    <int2:textHash int2:hashCode="oe/eqt6dTOBFNa" int2:id="96XZzcmS">
      <int2:state int2:type="spell" int2:value="Rejected"/>
    </int2:textHash>
    <int2:textHash int2:hashCode="v7u8XORQ6uaXa6" int2:id="Lu9ccIbU">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5435b7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aa2ee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be972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2a65b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d48b1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ac682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ae086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3ff1a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802cc7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b03c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71af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bb53f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659E36"/>
    <w:rsid w:val="00F6C8DC"/>
    <w:rsid w:val="0232257C"/>
    <w:rsid w:val="044AEDB4"/>
    <w:rsid w:val="0C065504"/>
    <w:rsid w:val="0F662E22"/>
    <w:rsid w:val="0F7B42AB"/>
    <w:rsid w:val="0FA3BAB8"/>
    <w:rsid w:val="15D80F63"/>
    <w:rsid w:val="182AC5BF"/>
    <w:rsid w:val="189F35AF"/>
    <w:rsid w:val="199E724A"/>
    <w:rsid w:val="25F3563C"/>
    <w:rsid w:val="266C3A0B"/>
    <w:rsid w:val="272499A1"/>
    <w:rsid w:val="29213AEA"/>
    <w:rsid w:val="29980981"/>
    <w:rsid w:val="2B93F459"/>
    <w:rsid w:val="2CF19E13"/>
    <w:rsid w:val="2D4141CB"/>
    <w:rsid w:val="2F38B2B5"/>
    <w:rsid w:val="32269F71"/>
    <w:rsid w:val="34AD4BEE"/>
    <w:rsid w:val="35826671"/>
    <w:rsid w:val="3947A7DB"/>
    <w:rsid w:val="3991E585"/>
    <w:rsid w:val="3A0F64B3"/>
    <w:rsid w:val="40522364"/>
    <w:rsid w:val="431FCB57"/>
    <w:rsid w:val="45E03F6B"/>
    <w:rsid w:val="4617641F"/>
    <w:rsid w:val="46C5A74C"/>
    <w:rsid w:val="4773D95B"/>
    <w:rsid w:val="47EF38AD"/>
    <w:rsid w:val="4C8D6520"/>
    <w:rsid w:val="4EE597E1"/>
    <w:rsid w:val="508FCCD8"/>
    <w:rsid w:val="571B9EB9"/>
    <w:rsid w:val="5B659E36"/>
    <w:rsid w:val="603ED0F0"/>
    <w:rsid w:val="607AE9F8"/>
    <w:rsid w:val="62C9ABC1"/>
    <w:rsid w:val="63050A53"/>
    <w:rsid w:val="657E17A7"/>
    <w:rsid w:val="75D754B2"/>
    <w:rsid w:val="7B997E0E"/>
    <w:rsid w:val="7DCBA1E9"/>
    <w:rsid w:val="7E66E0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59E36"/>
  <w15:chartTrackingRefBased/>
  <w15:docId w15:val="{4B515D52-F162-4BA7-8DD3-7A0D51DE47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EE597E1"/>
    <w:pPr>
      <w:spacing/>
      <w:ind w:left="720"/>
      <w:contextualSpacing/>
    </w:pPr>
  </w:style>
  <w:style w:type="paragraph" w:styleId="Heading2">
    <w:uiPriority w:val="9"/>
    <w:name w:val="heading 2"/>
    <w:basedOn w:val="Normal"/>
    <w:next w:val="Normal"/>
    <w:unhideWhenUsed/>
    <w:qFormat/>
    <w:rsid w:val="4EE597E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EE597E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4EE597E1"/>
    <w:rPr>
      <w:color w:val="467886"/>
      <w:u w:val="single"/>
    </w:rPr>
  </w:style>
  <w:style w:type="paragraph" w:styleId="Heading1">
    <w:uiPriority w:val="9"/>
    <w:name w:val="heading 1"/>
    <w:basedOn w:val="Normal"/>
    <w:next w:val="Normal"/>
    <w:qFormat/>
    <w:rsid w:val="4EE597E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4EE597E1"/>
    <w:pPr>
      <w:spacing w:after="100"/>
    </w:pPr>
  </w:style>
  <w:style w:type="paragraph" w:styleId="TOC2">
    <w:uiPriority w:val="39"/>
    <w:name w:val="toc 2"/>
    <w:basedOn w:val="Normal"/>
    <w:next w:val="Normal"/>
    <w:unhideWhenUsed/>
    <w:rsid w:val="4EE597E1"/>
    <w:pPr>
      <w:spacing w:after="100"/>
      <w:ind w:left="220"/>
    </w:pPr>
  </w:style>
  <w:style w:type="paragraph" w:styleId="TOC3">
    <w:uiPriority w:val="39"/>
    <w:name w:val="toc 3"/>
    <w:basedOn w:val="Normal"/>
    <w:next w:val="Normal"/>
    <w:unhideWhenUsed/>
    <w:rsid w:val="4EE597E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ubmed.ncbi.nlm.nih.gov/33928694/" TargetMode="External" Id="R99f7cc7b244a4e39" /><Relationship Type="http://schemas.openxmlformats.org/officeDocument/2006/relationships/hyperlink" Target="https://pubmed.ncbi.nlm.nih.gov/33456789/" TargetMode="External" Id="Rae694ae3e4584b9c" /><Relationship Type="http://schemas.openxmlformats.org/officeDocument/2006/relationships/hyperlink" Target="https://www.cqc.org.uk/location/R1A01" TargetMode="External" Id="R2180631102be44f8" /><Relationship Type="http://schemas.openxmlformats.org/officeDocument/2006/relationships/hyperlink" Target="https://pubmed.ncbi.nlm.nih.gov/31174897/" TargetMode="External" Id="R639ac79863444de1" /><Relationship Type="http://schemas.openxmlformats.org/officeDocument/2006/relationships/hyperlink" Target="https://pubmed.ncbi.nlm.nih.gov/37482945/" TargetMode="External" Id="R7197c2c5f54d4a42" /><Relationship Type="http://schemas.openxmlformats.org/officeDocument/2006/relationships/hyperlink" Target="https://www.gov.uk/government/publications/review-of-the-whistleblowing-framework/review-of-the-whistleblowing-framework-terms-of-reference" TargetMode="External" Id="R0508b8d2e35e4604" /><Relationship Type="http://schemas.openxmlformats.org/officeDocument/2006/relationships/hyperlink" Target="https://pubmed.ncbi.nlm.nih.gov/17376782/" TargetMode="External" Id="Rdb6d80c981ae40e9" /><Relationship Type="http://schemas.openxmlformats.org/officeDocument/2006/relationships/hyperlink" Target="https://www.bmj.com/content/382/bmj.p1966" TargetMode="External" Id="Rb162f490a61143c9" /><Relationship Type="http://schemas.openxmlformats.org/officeDocument/2006/relationships/hyperlink" Target="https://www.england.nhs.uk/publication/patient-safety-incident-response-framework-and-supporting-guidance/" TargetMode="External" Id="Rc20c65113a8e47a9" /><Relationship Type="http://schemas.openxmlformats.org/officeDocument/2006/relationships/hyperlink" Target="https://www.england.nhs.uk/patient-safety/incident-response-framework/" TargetMode="External" Id="Rfa4e4dd83f384cd9" /><Relationship Type="http://schemas.openxmlformats.org/officeDocument/2006/relationships/hyperlink" Target="https://pmc.ncbi.nlm.nih.gov/articles/PMC8222629/" TargetMode="External" Id="Rcc3d932dd2a24a54" /><Relationship Type="http://schemas.openxmlformats.org/officeDocument/2006/relationships/hyperlink" Target="https://pubmed.ncbi.nlm.nih.gov/32923276/" TargetMode="External" Id="Re505341aab6543aa" /><Relationship Type="http://schemas.openxmlformats.org/officeDocument/2006/relationships/hyperlink" Target="https://www.theguardian.com/uk-news/article/2024/sep/08/a-superbug-doctor-shortages-and-a-neonatal-unit-out-of-its-depth-failures-at-lucy-letby-hospital-revealed" TargetMode="External" Id="Rb9ad99711281477a" /><Relationship Type="http://schemas.openxmlformats.org/officeDocument/2006/relationships/hyperlink" Target="https://www.gov.uk/government/publications/review-of-patient-safety-across-the-health-and-care-landscape" TargetMode="External" Id="R1e35dc54533f4455" /><Relationship Type="http://schemas.microsoft.com/office/2020/10/relationships/intelligence" Target="/word/intelligence2.xml" Id="Re543ba9a93bd48fc" /><Relationship Type="http://schemas.openxmlformats.org/officeDocument/2006/relationships/numbering" Target="/word/numbering.xml" Id="R7f329dbea72142e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Nazia Ali (2208450)</dc:creator>
  <keywords/>
  <dc:description/>
  <lastModifiedBy>Nazia Ali (2208450)</lastModifiedBy>
  <revision>2</revision>
  <dcterms:created xsi:type="dcterms:W3CDTF">2026-01-31T18:22:00.5383643Z</dcterms:created>
  <dcterms:modified xsi:type="dcterms:W3CDTF">2026-02-01T01:25:55.3110649Z</dcterms:modified>
</coreProperties>
</file>