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1C8A27" w14:textId="18A19564" w:rsidR="00C26E03" w:rsidRDefault="00B64142">
      <w:bookmarkStart w:id="0" w:name="_GoBack"/>
      <w:r>
        <w:rPr>
          <w:b/>
          <w:noProof/>
          <w:lang w:eastAsia="en-GB"/>
        </w:rPr>
        <w:drawing>
          <wp:inline distT="0" distB="0" distL="0" distR="0" wp14:anchorId="4E9C2CAA" wp14:editId="586A5D6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End w:id="0"/>
    </w:p>
    <w:p w14:paraId="5EBF8D3D" w14:textId="77777777" w:rsidR="00B64142" w:rsidRPr="00DD23EE" w:rsidRDefault="00B64142" w:rsidP="00B64142">
      <w:pPr>
        <w:spacing w:after="165" w:line="360" w:lineRule="auto"/>
        <w:jc w:val="center"/>
        <w:rPr>
          <w:sz w:val="40"/>
          <w:szCs w:val="40"/>
        </w:rPr>
      </w:pPr>
      <w:r w:rsidRPr="00DD23EE">
        <w:rPr>
          <w:sz w:val="40"/>
          <w:szCs w:val="40"/>
        </w:rPr>
        <w:t>BA Leadership and Management Skills for the Workplace</w:t>
      </w:r>
    </w:p>
    <w:p w14:paraId="759A3652" w14:textId="7DC14D3D" w:rsidR="00B64142" w:rsidRPr="00A930CB" w:rsidRDefault="00B64142" w:rsidP="00B6414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64142" w:rsidRPr="00D14017" w14:paraId="547C5CA5" w14:textId="77777777" w:rsidTr="009C623B">
        <w:tc>
          <w:tcPr>
            <w:tcW w:w="3438" w:type="dxa"/>
            <w:shd w:val="clear" w:color="auto" w:fill="D9D9D9"/>
          </w:tcPr>
          <w:p w14:paraId="3822EDD6" w14:textId="77777777" w:rsidR="00B64142" w:rsidRPr="00D14017" w:rsidRDefault="00B64142" w:rsidP="009C623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F0B02EF" w14:textId="77777777" w:rsidR="00B64142" w:rsidRPr="00D14017" w:rsidRDefault="00B64142" w:rsidP="009C623B">
            <w:pPr>
              <w:spacing w:before="120" w:after="120" w:line="360" w:lineRule="auto"/>
              <w:rPr>
                <w:rFonts w:ascii="Tahoma" w:hAnsi="Tahoma" w:cs="Tahoma"/>
                <w:sz w:val="28"/>
                <w:szCs w:val="28"/>
              </w:rPr>
            </w:pPr>
            <w:r>
              <w:rPr>
                <w:rFonts w:ascii="Tahoma" w:hAnsi="Tahoma" w:cs="Tahoma"/>
                <w:sz w:val="28"/>
                <w:szCs w:val="28"/>
              </w:rPr>
              <w:t>Tracey Howells</w:t>
            </w:r>
          </w:p>
        </w:tc>
      </w:tr>
      <w:tr w:rsidR="00B64142" w:rsidRPr="00D14017" w14:paraId="3A787D3A" w14:textId="77777777" w:rsidTr="009C623B">
        <w:tc>
          <w:tcPr>
            <w:tcW w:w="3438" w:type="dxa"/>
            <w:shd w:val="clear" w:color="auto" w:fill="D9D9D9"/>
          </w:tcPr>
          <w:p w14:paraId="41FB0D45" w14:textId="77777777" w:rsidR="00B64142" w:rsidRPr="00D14017" w:rsidRDefault="00B64142" w:rsidP="009C623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738D60C" w14:textId="77777777" w:rsidR="00B64142" w:rsidRPr="00D14017" w:rsidRDefault="00B64142" w:rsidP="009C623B">
            <w:pPr>
              <w:spacing w:before="120" w:after="120" w:line="360" w:lineRule="auto"/>
              <w:rPr>
                <w:rFonts w:ascii="Tahoma" w:hAnsi="Tahoma" w:cs="Tahoma"/>
                <w:sz w:val="28"/>
                <w:szCs w:val="28"/>
              </w:rPr>
            </w:pPr>
            <w:r>
              <w:rPr>
                <w:rFonts w:ascii="Tahoma" w:hAnsi="Tahoma" w:cs="Tahoma"/>
                <w:sz w:val="28"/>
                <w:szCs w:val="28"/>
              </w:rPr>
              <w:t>2115849</w:t>
            </w:r>
          </w:p>
        </w:tc>
      </w:tr>
      <w:tr w:rsidR="00B64142" w:rsidRPr="00D14017" w14:paraId="5068AC52" w14:textId="77777777" w:rsidTr="009C623B">
        <w:tc>
          <w:tcPr>
            <w:tcW w:w="3438" w:type="dxa"/>
            <w:shd w:val="clear" w:color="auto" w:fill="D9D9D9"/>
          </w:tcPr>
          <w:p w14:paraId="3B68DF01" w14:textId="77777777" w:rsidR="00B64142" w:rsidRPr="00D14017" w:rsidRDefault="00B64142" w:rsidP="009C623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1400766" w14:textId="3A25EEC8" w:rsidR="00B64142" w:rsidRPr="001500D5" w:rsidRDefault="00B64142" w:rsidP="009C623B">
            <w:pPr>
              <w:spacing w:before="120" w:after="120" w:line="360" w:lineRule="auto"/>
              <w:rPr>
                <w:rFonts w:ascii="Tahoma" w:hAnsi="Tahoma" w:cs="Tahoma"/>
                <w:sz w:val="28"/>
                <w:szCs w:val="28"/>
              </w:rPr>
            </w:pPr>
            <w:r>
              <w:rPr>
                <w:rFonts w:ascii="Tahoma" w:hAnsi="Tahoma" w:cs="Tahoma"/>
                <w:sz w:val="28"/>
                <w:szCs w:val="28"/>
              </w:rPr>
              <w:t>BMSK5007</w:t>
            </w:r>
            <w:r w:rsidR="001D5DB7">
              <w:rPr>
                <w:rFonts w:ascii="Tahoma" w:hAnsi="Tahoma" w:cs="Tahoma"/>
                <w:sz w:val="28"/>
                <w:szCs w:val="28"/>
              </w:rPr>
              <w:t xml:space="preserve"> BLOG post 1</w:t>
            </w:r>
          </w:p>
        </w:tc>
      </w:tr>
      <w:tr w:rsidR="00B64142" w:rsidRPr="00D14017" w14:paraId="7A8FF4D0" w14:textId="77777777" w:rsidTr="009C623B">
        <w:trPr>
          <w:trHeight w:val="413"/>
        </w:trPr>
        <w:tc>
          <w:tcPr>
            <w:tcW w:w="3438" w:type="dxa"/>
            <w:shd w:val="clear" w:color="auto" w:fill="D9D9D9"/>
          </w:tcPr>
          <w:p w14:paraId="5AA79E94" w14:textId="77777777" w:rsidR="00B64142" w:rsidRPr="00D14017" w:rsidRDefault="00B64142" w:rsidP="009C623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6B7B76F8" w14:textId="77777777" w:rsidR="00B64142" w:rsidRPr="00DD23EE" w:rsidRDefault="00B64142" w:rsidP="009C623B">
            <w:pPr>
              <w:spacing w:before="120" w:after="120" w:line="360" w:lineRule="auto"/>
              <w:rPr>
                <w:rFonts w:ascii="Tahoma" w:hAnsi="Tahoma" w:cs="Tahoma"/>
                <w:color w:val="FF0000"/>
                <w:sz w:val="28"/>
                <w:szCs w:val="28"/>
              </w:rPr>
            </w:pPr>
            <w:r w:rsidRPr="00DD23EE">
              <w:rPr>
                <w:sz w:val="28"/>
                <w:szCs w:val="28"/>
              </w:rPr>
              <w:t>Changemakers: Creativity and Value Creation</w:t>
            </w:r>
          </w:p>
        </w:tc>
      </w:tr>
    </w:tbl>
    <w:p w14:paraId="7FAFBEFA" w14:textId="77777777" w:rsidR="00B64142" w:rsidRPr="00A930CB" w:rsidRDefault="00B64142" w:rsidP="00B64142">
      <w:pPr>
        <w:spacing w:before="120" w:after="120" w:line="360" w:lineRule="auto"/>
        <w:rPr>
          <w:rFonts w:ascii="Calibri" w:hAnsi="Calibri"/>
          <w:color w:val="FF0000"/>
          <w:sz w:val="24"/>
          <w:szCs w:val="24"/>
        </w:rPr>
      </w:pPr>
    </w:p>
    <w:p w14:paraId="143E80EC" w14:textId="77777777" w:rsidR="00B64142" w:rsidRPr="00A930CB" w:rsidRDefault="00B64142" w:rsidP="00B64142">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CE49A34" w14:textId="77777777" w:rsidR="00B64142" w:rsidRPr="00A930CB" w:rsidRDefault="00B64142" w:rsidP="00B64142">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FC86C6" w14:textId="77777777" w:rsidR="00B64142" w:rsidRDefault="00B64142" w:rsidP="00B64142">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14:paraId="7ACB1126" w14:textId="77777777" w:rsidR="00B64142" w:rsidRDefault="00B64142" w:rsidP="00B64142">
      <w:pPr>
        <w:spacing w:before="120" w:after="120" w:line="360" w:lineRule="auto"/>
        <w:rPr>
          <w:rFonts w:ascii="Tahoma" w:hAnsi="Tahoma" w:cs="Tahoma"/>
          <w:color w:val="000000"/>
          <w:sz w:val="24"/>
          <w:szCs w:val="24"/>
        </w:rPr>
      </w:pPr>
    </w:p>
    <w:p w14:paraId="5B5DD9FC" w14:textId="77777777" w:rsidR="00B64142" w:rsidRDefault="00B64142" w:rsidP="00B64142">
      <w:pPr>
        <w:spacing w:before="120" w:after="120" w:line="360" w:lineRule="auto"/>
        <w:rPr>
          <w:rFonts w:ascii="Tahoma" w:hAnsi="Tahoma" w:cs="Tahoma"/>
          <w:color w:val="000000"/>
          <w:sz w:val="24"/>
          <w:szCs w:val="24"/>
        </w:rPr>
      </w:pPr>
    </w:p>
    <w:p w14:paraId="3A808A10" w14:textId="77777777" w:rsidR="00B64142" w:rsidRDefault="00B64142" w:rsidP="00B64142">
      <w:pPr>
        <w:spacing w:before="120" w:after="120" w:line="360" w:lineRule="auto"/>
        <w:rPr>
          <w:rFonts w:ascii="Tahoma" w:hAnsi="Tahoma" w:cs="Tahoma"/>
          <w:color w:val="000000"/>
          <w:sz w:val="24"/>
          <w:szCs w:val="24"/>
        </w:rPr>
      </w:pPr>
    </w:p>
    <w:p w14:paraId="703D68C4" w14:textId="77777777" w:rsidR="00B64142" w:rsidRDefault="00B64142" w:rsidP="00B64142">
      <w:pPr>
        <w:spacing w:before="120" w:after="120" w:line="360" w:lineRule="auto"/>
        <w:rPr>
          <w:rFonts w:ascii="Tahoma" w:hAnsi="Tahoma" w:cs="Tahoma"/>
          <w:color w:val="000000"/>
          <w:sz w:val="24"/>
          <w:szCs w:val="24"/>
        </w:rPr>
      </w:pPr>
    </w:p>
    <w:p w14:paraId="6A12635A" w14:textId="77777777" w:rsidR="00351077" w:rsidRDefault="00351077" w:rsidP="00B64142">
      <w:pPr>
        <w:spacing w:before="120" w:after="120" w:line="360" w:lineRule="auto"/>
        <w:rPr>
          <w:rFonts w:ascii="Tahoma" w:hAnsi="Tahoma" w:cs="Tahoma"/>
          <w:color w:val="000000"/>
          <w:sz w:val="24"/>
          <w:szCs w:val="24"/>
        </w:rPr>
      </w:pPr>
    </w:p>
    <w:p w14:paraId="18A0A88B" w14:textId="77777777" w:rsidR="00351077" w:rsidRDefault="00351077" w:rsidP="00B64142">
      <w:pPr>
        <w:spacing w:before="120" w:after="120" w:line="360" w:lineRule="auto"/>
        <w:rPr>
          <w:rFonts w:ascii="Tahoma" w:hAnsi="Tahoma" w:cs="Tahoma"/>
          <w:color w:val="000000"/>
          <w:sz w:val="24"/>
          <w:szCs w:val="24"/>
        </w:rPr>
      </w:pPr>
    </w:p>
    <w:p w14:paraId="3BA448F9" w14:textId="77777777" w:rsidR="00351077" w:rsidRDefault="00351077" w:rsidP="00B64142">
      <w:pPr>
        <w:spacing w:before="120" w:after="120" w:line="360" w:lineRule="auto"/>
        <w:rPr>
          <w:rFonts w:ascii="Tahoma" w:hAnsi="Tahoma" w:cs="Tahoma"/>
          <w:color w:val="000000"/>
          <w:sz w:val="24"/>
          <w:szCs w:val="24"/>
        </w:rPr>
      </w:pPr>
    </w:p>
    <w:p w14:paraId="43110686" w14:textId="77777777" w:rsidR="00351077" w:rsidRDefault="00351077" w:rsidP="00B64142">
      <w:pPr>
        <w:spacing w:before="120" w:after="120" w:line="360" w:lineRule="auto"/>
        <w:rPr>
          <w:rFonts w:ascii="Tahoma" w:hAnsi="Tahoma" w:cs="Tahoma"/>
          <w:color w:val="000000"/>
          <w:sz w:val="24"/>
          <w:szCs w:val="24"/>
        </w:rPr>
      </w:pPr>
    </w:p>
    <w:sdt>
      <w:sdtPr>
        <w:rPr>
          <w:rFonts w:asciiTheme="minorHAnsi" w:hAnsiTheme="minorHAnsi" w:cstheme="minorHAnsi"/>
          <w:sz w:val="28"/>
          <w:szCs w:val="28"/>
        </w:rPr>
        <w:alias w:val="Post Title"/>
        <w:id w:val="89512082"/>
        <w:placeholder>
          <w:docPart w:val="AAD4373972A64A738A2ECE30B888A01D"/>
        </w:placeholder>
        <w:dataBinding w:xpath="/ns0:BlogPostInfo/ns0:PostTitle" w:storeItemID="{5F329CAD-B019-4FA6-9FEF-74898909AD20}"/>
        <w:text/>
      </w:sdtPr>
      <w:sdtEndPr/>
      <w:sdtContent>
        <w:p w14:paraId="261A023E" w14:textId="7F9F4612" w:rsidR="00B64142" w:rsidRPr="00351077" w:rsidRDefault="00B64142" w:rsidP="002969C6">
          <w:pPr>
            <w:pStyle w:val="Publishwithline"/>
            <w:shd w:val="clear" w:color="auto" w:fill="92D050"/>
            <w:jc w:val="center"/>
            <w:rPr>
              <w:rFonts w:asciiTheme="minorHAnsi" w:hAnsiTheme="minorHAnsi" w:cstheme="minorHAnsi"/>
              <w:sz w:val="28"/>
              <w:szCs w:val="28"/>
            </w:rPr>
          </w:pPr>
          <w:r w:rsidRPr="00351077">
            <w:rPr>
              <w:rFonts w:asciiTheme="minorHAnsi" w:hAnsiTheme="minorHAnsi" w:cstheme="minorHAnsi"/>
              <w:sz w:val="28"/>
              <w:szCs w:val="28"/>
            </w:rPr>
            <w:t xml:space="preserve">Adding Value to The Customer Experience </w:t>
          </w:r>
          <w:r w:rsidR="0069647D">
            <w:rPr>
              <w:rFonts w:asciiTheme="minorHAnsi" w:hAnsiTheme="minorHAnsi" w:cstheme="minorHAnsi"/>
              <w:sz w:val="28"/>
              <w:szCs w:val="28"/>
            </w:rPr>
            <w:t>B</w:t>
          </w:r>
          <w:r w:rsidR="00C734AB" w:rsidRPr="00351077">
            <w:rPr>
              <w:rFonts w:asciiTheme="minorHAnsi" w:hAnsiTheme="minorHAnsi" w:cstheme="minorHAnsi"/>
              <w:sz w:val="28"/>
              <w:szCs w:val="28"/>
            </w:rPr>
            <w:t>log</w:t>
          </w:r>
        </w:p>
      </w:sdtContent>
    </w:sdt>
    <w:p w14:paraId="51D8CFAF" w14:textId="4DA1805D" w:rsidR="00B64142" w:rsidRPr="00351077" w:rsidRDefault="00B64142" w:rsidP="00B64142">
      <w:pPr>
        <w:spacing w:before="120" w:after="120" w:line="360" w:lineRule="auto"/>
        <w:rPr>
          <w:rFonts w:cstheme="minorHAnsi"/>
          <w:color w:val="000000"/>
          <w:sz w:val="28"/>
          <w:szCs w:val="28"/>
        </w:rPr>
      </w:pPr>
    </w:p>
    <w:p w14:paraId="42B4E5E7" w14:textId="6CF3FE8D" w:rsidR="00B73DAC" w:rsidRPr="00C270F4" w:rsidRDefault="00963DDB" w:rsidP="00E73CF6">
      <w:pPr>
        <w:spacing w:after="0" w:line="360" w:lineRule="auto"/>
        <w:ind w:right="-57"/>
        <w:rPr>
          <w:rFonts w:cstheme="minorHAnsi"/>
          <w:sz w:val="24"/>
          <w:szCs w:val="24"/>
        </w:rPr>
      </w:pPr>
      <w:r w:rsidRPr="00C270F4">
        <w:rPr>
          <w:rFonts w:cstheme="minorHAnsi"/>
          <w:color w:val="000000"/>
          <w:sz w:val="24"/>
          <w:szCs w:val="24"/>
        </w:rPr>
        <w:t>I work as a cancer support worker</w:t>
      </w:r>
      <w:r w:rsidR="00C270F4">
        <w:rPr>
          <w:rFonts w:cstheme="minorHAnsi"/>
          <w:color w:val="000000"/>
          <w:sz w:val="24"/>
          <w:szCs w:val="24"/>
        </w:rPr>
        <w:t>, working</w:t>
      </w:r>
      <w:r w:rsidRPr="00C270F4">
        <w:rPr>
          <w:rFonts w:cstheme="minorHAnsi"/>
          <w:color w:val="000000"/>
          <w:sz w:val="24"/>
          <w:szCs w:val="24"/>
        </w:rPr>
        <w:t xml:space="preserve"> with cancers of the upper gastrointestinal tract</w:t>
      </w:r>
      <w:r w:rsidR="00A304E6" w:rsidRPr="00C270F4">
        <w:rPr>
          <w:rFonts w:cstheme="minorHAnsi"/>
          <w:color w:val="000000"/>
          <w:sz w:val="24"/>
          <w:szCs w:val="24"/>
        </w:rPr>
        <w:t xml:space="preserve">. </w:t>
      </w:r>
      <w:r w:rsidR="00A304E6" w:rsidRPr="00C270F4">
        <w:rPr>
          <w:rFonts w:cstheme="minorHAnsi"/>
          <w:color w:val="333333"/>
          <w:sz w:val="24"/>
          <w:szCs w:val="24"/>
          <w:shd w:val="clear" w:color="auto" w:fill="FFFFFF"/>
        </w:rPr>
        <w:t>There are seven main types of gastrointestinal cancer: oesophageal cancer, stomach cancer, pancreatic cancer, duodenal cancer, gall bladder and bile duct cancer, liver cancer and small bowel cancer.</w:t>
      </w:r>
      <w:r w:rsidR="00D6433C" w:rsidRPr="00C270F4">
        <w:rPr>
          <w:rFonts w:cstheme="minorHAnsi"/>
          <w:sz w:val="24"/>
          <w:szCs w:val="24"/>
        </w:rPr>
        <w:t xml:space="preserve"> (Abnet et al., 2015)</w:t>
      </w:r>
      <w:r w:rsidR="0047647A" w:rsidRPr="00C270F4">
        <w:rPr>
          <w:rFonts w:cstheme="minorHAnsi"/>
          <w:sz w:val="24"/>
          <w:szCs w:val="24"/>
        </w:rPr>
        <w:t xml:space="preserve"> They total 11% of cancers in the UK alone. </w:t>
      </w:r>
    </w:p>
    <w:p w14:paraId="04F3F394" w14:textId="445E568A" w:rsidR="0047647A" w:rsidRPr="00C270F4" w:rsidRDefault="00834BC3" w:rsidP="00E73CF6">
      <w:pPr>
        <w:spacing w:after="0" w:line="360" w:lineRule="auto"/>
        <w:ind w:right="-57"/>
        <w:rPr>
          <w:rFonts w:cstheme="minorHAnsi"/>
          <w:sz w:val="24"/>
          <w:szCs w:val="24"/>
        </w:rPr>
      </w:pPr>
      <w:r w:rsidRPr="00C270F4">
        <w:rPr>
          <w:rFonts w:cstheme="minorHAnsi"/>
          <w:sz w:val="24"/>
          <w:szCs w:val="24"/>
        </w:rPr>
        <w:t xml:space="preserve">When a patient initially has symptoms, </w:t>
      </w:r>
      <w:r w:rsidR="00DE5812" w:rsidRPr="00C270F4">
        <w:rPr>
          <w:rFonts w:cstheme="minorHAnsi"/>
          <w:sz w:val="24"/>
          <w:szCs w:val="24"/>
        </w:rPr>
        <w:t>dysphagia,</w:t>
      </w:r>
      <w:r w:rsidR="00513717">
        <w:rPr>
          <w:rFonts w:cstheme="minorHAnsi"/>
          <w:sz w:val="24"/>
          <w:szCs w:val="24"/>
        </w:rPr>
        <w:t xml:space="preserve"> loss of appetite,</w:t>
      </w:r>
      <w:r w:rsidR="00DE5812" w:rsidRPr="00C270F4">
        <w:rPr>
          <w:rFonts w:cstheme="minorHAnsi"/>
          <w:sz w:val="24"/>
          <w:szCs w:val="24"/>
        </w:rPr>
        <w:t xml:space="preserve"> or weight loss for example, their GP then requests an endoscopy.</w:t>
      </w:r>
      <w:r w:rsidR="00C270F4">
        <w:rPr>
          <w:rFonts w:cstheme="minorHAnsi"/>
          <w:sz w:val="24"/>
          <w:szCs w:val="24"/>
        </w:rPr>
        <w:t xml:space="preserve"> </w:t>
      </w:r>
      <w:r w:rsidR="00513717">
        <w:rPr>
          <w:rFonts w:cstheme="minorHAnsi"/>
          <w:sz w:val="24"/>
          <w:szCs w:val="24"/>
        </w:rPr>
        <w:t xml:space="preserve">This is where a doctor or Endoscopy nurse will place a tube (gastroscope) into your gullet through your mouth. </w:t>
      </w:r>
      <w:r w:rsidR="00C270F4">
        <w:rPr>
          <w:rFonts w:cstheme="minorHAnsi"/>
          <w:sz w:val="24"/>
          <w:szCs w:val="24"/>
        </w:rPr>
        <w:t>The</w:t>
      </w:r>
      <w:r w:rsidR="00F10D81" w:rsidRPr="00C270F4">
        <w:rPr>
          <w:rFonts w:cstheme="minorHAnsi"/>
          <w:sz w:val="24"/>
          <w:szCs w:val="24"/>
        </w:rPr>
        <w:t xml:space="preserve"> diagram </w:t>
      </w:r>
      <w:r w:rsidR="00513717">
        <w:rPr>
          <w:rFonts w:cstheme="minorHAnsi"/>
          <w:sz w:val="24"/>
          <w:szCs w:val="24"/>
        </w:rPr>
        <w:t xml:space="preserve">below </w:t>
      </w:r>
      <w:r w:rsidR="00F10D81" w:rsidRPr="00C270F4">
        <w:rPr>
          <w:rFonts w:cstheme="minorHAnsi"/>
          <w:sz w:val="24"/>
          <w:szCs w:val="24"/>
        </w:rPr>
        <w:t xml:space="preserve">will demonstrate the route of the gastroscope. </w:t>
      </w:r>
      <w:r w:rsidR="00513717">
        <w:rPr>
          <w:rFonts w:cstheme="minorHAnsi"/>
          <w:sz w:val="24"/>
          <w:szCs w:val="24"/>
        </w:rPr>
        <w:t xml:space="preserve">If the endoscopist notices an abnormal area, they will take biopsies of this area to send to the laboratory for testing. This becomes the point of suspicion at which a CT scan is requested. The endoscopists are very experienced at their job and are rarely wrong when making a possible cancer diagnosis from this test. The CT is needed to see of any possible cancer spread, which we call metastases. If the cancer has spread to another organ, this is immediately classed as a palliative cancer, which means it will not be curable. It can also be used to stage the cancer.   </w:t>
      </w:r>
    </w:p>
    <w:p w14:paraId="5EEA3408" w14:textId="2D3F3C37" w:rsidR="00DE5812" w:rsidRPr="00351077" w:rsidRDefault="00DE5812" w:rsidP="00F10D81">
      <w:pPr>
        <w:spacing w:after="0" w:line="360" w:lineRule="auto"/>
        <w:ind w:right="-57"/>
        <w:jc w:val="center"/>
        <w:rPr>
          <w:rFonts w:cstheme="minorHAnsi"/>
          <w:color w:val="000000"/>
          <w:sz w:val="28"/>
          <w:szCs w:val="28"/>
        </w:rPr>
      </w:pPr>
      <w:r>
        <w:rPr>
          <w:noProof/>
          <w:lang w:eastAsia="en-GB"/>
        </w:rPr>
        <w:drawing>
          <wp:inline distT="0" distB="0" distL="0" distR="0" wp14:anchorId="6DF5D13C" wp14:editId="09C9C388">
            <wp:extent cx="4006850" cy="4000500"/>
            <wp:effectExtent l="0" t="0" r="0" b="0"/>
            <wp:docPr id="3" name="Picture 3" descr="Diagram of an endos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an endoscop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6850" cy="4000500"/>
                    </a:xfrm>
                    <a:prstGeom prst="rect">
                      <a:avLst/>
                    </a:prstGeom>
                    <a:noFill/>
                    <a:ln>
                      <a:noFill/>
                    </a:ln>
                  </pic:spPr>
                </pic:pic>
              </a:graphicData>
            </a:graphic>
          </wp:inline>
        </w:drawing>
      </w:r>
    </w:p>
    <w:p w14:paraId="43F8DAFF" w14:textId="7E1D6A01" w:rsidR="00B1326E" w:rsidRPr="00C270F4" w:rsidRDefault="00486B2B" w:rsidP="00E73CF6">
      <w:pPr>
        <w:spacing w:after="0" w:line="360" w:lineRule="auto"/>
        <w:ind w:right="-57"/>
        <w:rPr>
          <w:rFonts w:cstheme="minorHAnsi"/>
          <w:color w:val="333333"/>
          <w:sz w:val="24"/>
          <w:szCs w:val="24"/>
          <w:shd w:val="clear" w:color="auto" w:fill="FFFFFF"/>
        </w:rPr>
      </w:pPr>
      <w:r w:rsidRPr="00C270F4">
        <w:rPr>
          <w:rFonts w:cstheme="minorHAnsi"/>
          <w:sz w:val="24"/>
          <w:szCs w:val="24"/>
        </w:rPr>
        <w:t>As a health board we are currently taking up to 14 days</w:t>
      </w:r>
      <w:r w:rsidR="00513717">
        <w:rPr>
          <w:rFonts w:cstheme="minorHAnsi"/>
          <w:sz w:val="24"/>
          <w:szCs w:val="24"/>
        </w:rPr>
        <w:t xml:space="preserve">, sometimes longer, </w:t>
      </w:r>
      <w:r w:rsidRPr="00C270F4">
        <w:rPr>
          <w:rFonts w:cstheme="minorHAnsi"/>
          <w:sz w:val="24"/>
          <w:szCs w:val="24"/>
        </w:rPr>
        <w:t xml:space="preserve">post diagnostic endoscopy to CT scan our patients. </w:t>
      </w:r>
      <w:r w:rsidR="00B1326E" w:rsidRPr="00C270F4">
        <w:rPr>
          <w:rFonts w:cstheme="minorHAnsi"/>
          <w:color w:val="333333"/>
          <w:sz w:val="24"/>
          <w:szCs w:val="24"/>
          <w:shd w:val="clear" w:color="auto" w:fill="FFFFFF"/>
        </w:rPr>
        <w:t xml:space="preserve">Early diagnosis and treatment of cancer is widely accepted to improve prognosis in oesophagogastric cancer </w:t>
      </w:r>
      <w:r w:rsidR="00C6420A" w:rsidRPr="00C270F4">
        <w:rPr>
          <w:rFonts w:cstheme="minorHAnsi"/>
          <w:sz w:val="24"/>
          <w:szCs w:val="24"/>
        </w:rPr>
        <w:t>(Pennathur et al., 2013)</w:t>
      </w:r>
      <w:r w:rsidR="00A571F5" w:rsidRPr="00C270F4">
        <w:rPr>
          <w:rFonts w:cstheme="minorHAnsi"/>
          <w:color w:val="333333"/>
          <w:sz w:val="24"/>
          <w:szCs w:val="24"/>
          <w:shd w:val="clear" w:color="auto" w:fill="FFFFFF"/>
        </w:rPr>
        <w:t xml:space="preserve"> There are about 17 000 new cases of oesophageal and gastric cancer each year in the UK. These cancers have a particularly poor survival rate in part because of late stage at diagnosis</w:t>
      </w:r>
      <w:r w:rsidR="00373880" w:rsidRPr="00C270F4">
        <w:rPr>
          <w:rFonts w:cstheme="minorHAnsi"/>
          <w:color w:val="333333"/>
          <w:sz w:val="24"/>
          <w:szCs w:val="24"/>
          <w:shd w:val="clear" w:color="auto" w:fill="FFFFFF"/>
        </w:rPr>
        <w:t>.</w:t>
      </w:r>
    </w:p>
    <w:p w14:paraId="6DCBD64E" w14:textId="1DC59B58" w:rsidR="00373880" w:rsidRPr="00C270F4" w:rsidRDefault="00373880" w:rsidP="00E73CF6">
      <w:pPr>
        <w:spacing w:after="0" w:line="360" w:lineRule="auto"/>
        <w:ind w:right="-57"/>
        <w:rPr>
          <w:rFonts w:cstheme="minorHAnsi"/>
          <w:sz w:val="24"/>
          <w:szCs w:val="24"/>
        </w:rPr>
      </w:pPr>
      <w:r w:rsidRPr="00C270F4">
        <w:rPr>
          <w:rFonts w:cstheme="minorHAnsi"/>
          <w:color w:val="333333"/>
          <w:sz w:val="24"/>
          <w:szCs w:val="24"/>
          <w:shd w:val="clear" w:color="auto" w:fill="FFFFFF"/>
        </w:rPr>
        <w:lastRenderedPageBreak/>
        <w:t xml:space="preserve">Once we have imaging </w:t>
      </w:r>
      <w:r w:rsidR="00513717">
        <w:rPr>
          <w:rFonts w:cstheme="minorHAnsi"/>
          <w:color w:val="333333"/>
          <w:sz w:val="24"/>
          <w:szCs w:val="24"/>
          <w:shd w:val="clear" w:color="auto" w:fill="FFFFFF"/>
        </w:rPr>
        <w:t xml:space="preserve">from the CT </w:t>
      </w:r>
      <w:r w:rsidRPr="00C270F4">
        <w:rPr>
          <w:rFonts w:cstheme="minorHAnsi"/>
          <w:color w:val="333333"/>
          <w:sz w:val="24"/>
          <w:szCs w:val="24"/>
          <w:shd w:val="clear" w:color="auto" w:fill="FFFFFF"/>
        </w:rPr>
        <w:t xml:space="preserve">and histology from </w:t>
      </w:r>
      <w:r w:rsidR="00586971" w:rsidRPr="00C270F4">
        <w:rPr>
          <w:rFonts w:cstheme="minorHAnsi"/>
          <w:color w:val="333333"/>
          <w:sz w:val="24"/>
          <w:szCs w:val="24"/>
          <w:shd w:val="clear" w:color="auto" w:fill="FFFFFF"/>
        </w:rPr>
        <w:t>endoscopy,</w:t>
      </w:r>
      <w:r w:rsidRPr="00C270F4">
        <w:rPr>
          <w:rFonts w:cstheme="minorHAnsi"/>
          <w:color w:val="333333"/>
          <w:sz w:val="24"/>
          <w:szCs w:val="24"/>
          <w:shd w:val="clear" w:color="auto" w:fill="FFFFFF"/>
        </w:rPr>
        <w:t xml:space="preserve"> we can then discuss in our MDT meeting. </w:t>
      </w:r>
      <w:r w:rsidR="00586971" w:rsidRPr="00C270F4">
        <w:rPr>
          <w:rFonts w:cstheme="minorHAnsi"/>
          <w:color w:val="231F20"/>
          <w:sz w:val="24"/>
          <w:szCs w:val="24"/>
          <w:shd w:val="clear" w:color="auto" w:fill="FFFFFF"/>
        </w:rPr>
        <w:t>The MDT will review your test results at dedicated meetings and discuss your individual care. They will recommend the most appropriate treatment for you, based on the best evidence available.</w:t>
      </w:r>
      <w:r w:rsidR="00BE250E" w:rsidRPr="00C270F4">
        <w:rPr>
          <w:rFonts w:cstheme="minorHAnsi"/>
          <w:sz w:val="24"/>
          <w:szCs w:val="24"/>
        </w:rPr>
        <w:t xml:space="preserve"> (Grocott et al., 2017)</w:t>
      </w:r>
      <w:r w:rsidR="00381EBE" w:rsidRPr="00C270F4">
        <w:rPr>
          <w:rFonts w:cstheme="minorHAnsi"/>
          <w:sz w:val="24"/>
          <w:szCs w:val="24"/>
        </w:rPr>
        <w:t xml:space="preserve">. Our MDT is held on a Friday afternoon. </w:t>
      </w:r>
      <w:r w:rsidR="0017498D" w:rsidRPr="00C270F4">
        <w:rPr>
          <w:rFonts w:cstheme="minorHAnsi"/>
          <w:sz w:val="24"/>
          <w:szCs w:val="24"/>
        </w:rPr>
        <w:t xml:space="preserve">This often leads to patients waiting up to three weeks to be discussed. </w:t>
      </w:r>
    </w:p>
    <w:p w14:paraId="26E210BB" w14:textId="1654CB5A" w:rsidR="00486B2B" w:rsidRPr="00C270F4" w:rsidRDefault="0017498D" w:rsidP="00E73CF6">
      <w:pPr>
        <w:spacing w:after="0"/>
        <w:ind w:right="-57"/>
        <w:rPr>
          <w:rFonts w:cstheme="minorHAnsi"/>
          <w:sz w:val="24"/>
          <w:szCs w:val="24"/>
        </w:rPr>
      </w:pPr>
      <w:r w:rsidRPr="00C270F4">
        <w:rPr>
          <w:rFonts w:cstheme="minorHAnsi"/>
          <w:sz w:val="24"/>
          <w:szCs w:val="24"/>
        </w:rPr>
        <w:t xml:space="preserve">After studying figures and </w:t>
      </w:r>
      <w:r w:rsidR="00A13C65" w:rsidRPr="00C270F4">
        <w:rPr>
          <w:rFonts w:cstheme="minorHAnsi"/>
          <w:sz w:val="24"/>
          <w:szCs w:val="24"/>
        </w:rPr>
        <w:t xml:space="preserve">patient </w:t>
      </w:r>
      <w:r w:rsidR="00F63E2F" w:rsidRPr="00C270F4">
        <w:rPr>
          <w:rFonts w:cstheme="minorHAnsi"/>
          <w:sz w:val="24"/>
          <w:szCs w:val="24"/>
        </w:rPr>
        <w:t>needs,</w:t>
      </w:r>
      <w:r w:rsidR="00A13C65" w:rsidRPr="00C270F4">
        <w:rPr>
          <w:rFonts w:cstheme="minorHAnsi"/>
          <w:sz w:val="24"/>
          <w:szCs w:val="24"/>
        </w:rPr>
        <w:t xml:space="preserve"> </w:t>
      </w:r>
      <w:r w:rsidR="00486B2B" w:rsidRPr="00C270F4">
        <w:rPr>
          <w:rFonts w:cstheme="minorHAnsi"/>
          <w:sz w:val="24"/>
          <w:szCs w:val="24"/>
        </w:rPr>
        <w:t xml:space="preserve">I would like to propose welcoming a same day CT scan pathway. </w:t>
      </w:r>
    </w:p>
    <w:p w14:paraId="1CD13461" w14:textId="19ED155B" w:rsidR="00486B2B" w:rsidRPr="00C270F4" w:rsidRDefault="00486B2B" w:rsidP="00E73CF6">
      <w:pPr>
        <w:spacing w:after="0"/>
        <w:ind w:right="-57"/>
        <w:rPr>
          <w:rFonts w:cstheme="minorHAnsi"/>
          <w:sz w:val="24"/>
          <w:szCs w:val="24"/>
        </w:rPr>
      </w:pPr>
      <w:r w:rsidRPr="00C270F4">
        <w:rPr>
          <w:rFonts w:cstheme="minorHAnsi"/>
          <w:sz w:val="24"/>
          <w:szCs w:val="24"/>
        </w:rPr>
        <w:t>Patients are scoped on day one and have their CT scan performed the same day</w:t>
      </w:r>
      <w:r w:rsidR="002034CB" w:rsidRPr="00C270F4">
        <w:rPr>
          <w:rFonts w:cstheme="minorHAnsi"/>
          <w:sz w:val="24"/>
          <w:szCs w:val="24"/>
        </w:rPr>
        <w:t>, if late afternoon then the day after.</w:t>
      </w:r>
      <w:r w:rsidRPr="00C270F4">
        <w:rPr>
          <w:rFonts w:cstheme="minorHAnsi"/>
          <w:sz w:val="24"/>
          <w:szCs w:val="24"/>
        </w:rPr>
        <w:t xml:space="preserve"> Therefore, we can add to our MDT </w:t>
      </w:r>
      <w:r w:rsidR="002034CB" w:rsidRPr="00C270F4">
        <w:rPr>
          <w:rFonts w:cstheme="minorHAnsi"/>
          <w:sz w:val="24"/>
          <w:szCs w:val="24"/>
        </w:rPr>
        <w:t xml:space="preserve">meeting </w:t>
      </w:r>
      <w:r w:rsidRPr="00C270F4">
        <w:rPr>
          <w:rFonts w:cstheme="minorHAnsi"/>
          <w:sz w:val="24"/>
          <w:szCs w:val="24"/>
        </w:rPr>
        <w:t>and have their case discussed at a much earlier stage in their pathway, resulting in patients being referred for treatment on a more appropriate time scale.</w:t>
      </w:r>
    </w:p>
    <w:p w14:paraId="50F91571" w14:textId="77777777" w:rsidR="00165562" w:rsidRPr="00C270F4" w:rsidRDefault="00165562" w:rsidP="00E73CF6">
      <w:pPr>
        <w:spacing w:after="0"/>
        <w:ind w:right="-57"/>
        <w:rPr>
          <w:rFonts w:cstheme="minorHAnsi"/>
          <w:sz w:val="24"/>
          <w:szCs w:val="24"/>
        </w:rPr>
      </w:pPr>
    </w:p>
    <w:p w14:paraId="054CD06C" w14:textId="79023CE5" w:rsidR="00B05262" w:rsidRPr="00C270F4" w:rsidRDefault="00486B2B" w:rsidP="00E73CF6">
      <w:pPr>
        <w:spacing w:after="0"/>
        <w:ind w:right="-57"/>
        <w:rPr>
          <w:rFonts w:cstheme="minorHAnsi"/>
          <w:sz w:val="24"/>
          <w:szCs w:val="24"/>
        </w:rPr>
      </w:pPr>
      <w:r w:rsidRPr="00C270F4">
        <w:rPr>
          <w:rFonts w:cstheme="minorHAnsi"/>
          <w:sz w:val="24"/>
          <w:szCs w:val="24"/>
        </w:rPr>
        <w:t>Below is a table displaying the days we currently scope patients in their local hospitals.</w:t>
      </w:r>
    </w:p>
    <w:tbl>
      <w:tblPr>
        <w:tblStyle w:val="TableGrid"/>
        <w:tblpPr w:leftFromText="180" w:rightFromText="180" w:vertAnchor="text" w:horzAnchor="margin" w:tblpXSpec="center" w:tblpY="487"/>
        <w:tblW w:w="0" w:type="auto"/>
        <w:tblLook w:val="04A0" w:firstRow="1" w:lastRow="0" w:firstColumn="1" w:lastColumn="0" w:noHBand="0" w:noVBand="1"/>
      </w:tblPr>
      <w:tblGrid>
        <w:gridCol w:w="1502"/>
        <w:gridCol w:w="1502"/>
        <w:gridCol w:w="1503"/>
        <w:gridCol w:w="1691"/>
        <w:gridCol w:w="1503"/>
        <w:gridCol w:w="1503"/>
      </w:tblGrid>
      <w:tr w:rsidR="00B73DAC" w:rsidRPr="00351077" w14:paraId="589A57F5" w14:textId="77777777" w:rsidTr="00B73DAC">
        <w:tc>
          <w:tcPr>
            <w:tcW w:w="1502" w:type="dxa"/>
          </w:tcPr>
          <w:p w14:paraId="1A6D1512" w14:textId="77777777" w:rsidR="00B73DAC" w:rsidRPr="00351077" w:rsidRDefault="00B73DAC" w:rsidP="00B73DAC">
            <w:pPr>
              <w:ind w:right="-57"/>
              <w:rPr>
                <w:rFonts w:cstheme="minorHAnsi"/>
                <w:sz w:val="28"/>
                <w:szCs w:val="28"/>
              </w:rPr>
            </w:pPr>
          </w:p>
        </w:tc>
        <w:tc>
          <w:tcPr>
            <w:tcW w:w="1502" w:type="dxa"/>
          </w:tcPr>
          <w:p w14:paraId="65CE0511"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MONDAY</w:t>
            </w:r>
          </w:p>
        </w:tc>
        <w:tc>
          <w:tcPr>
            <w:tcW w:w="1503" w:type="dxa"/>
          </w:tcPr>
          <w:p w14:paraId="2BA5397D"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TUESDAY</w:t>
            </w:r>
          </w:p>
        </w:tc>
        <w:tc>
          <w:tcPr>
            <w:tcW w:w="1503" w:type="dxa"/>
          </w:tcPr>
          <w:p w14:paraId="7C9B41DB"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WEDNESDAY</w:t>
            </w:r>
          </w:p>
        </w:tc>
        <w:tc>
          <w:tcPr>
            <w:tcW w:w="1503" w:type="dxa"/>
          </w:tcPr>
          <w:p w14:paraId="6B3A5967"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THURSDAY</w:t>
            </w:r>
          </w:p>
        </w:tc>
        <w:tc>
          <w:tcPr>
            <w:tcW w:w="1503" w:type="dxa"/>
          </w:tcPr>
          <w:p w14:paraId="3884C585"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FRIDAY</w:t>
            </w:r>
          </w:p>
        </w:tc>
      </w:tr>
      <w:tr w:rsidR="00B73DAC" w:rsidRPr="00351077" w14:paraId="0B2206FF" w14:textId="77777777" w:rsidTr="00B73DAC">
        <w:tc>
          <w:tcPr>
            <w:tcW w:w="1502" w:type="dxa"/>
          </w:tcPr>
          <w:p w14:paraId="342D2746"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GGH</w:t>
            </w:r>
          </w:p>
        </w:tc>
        <w:tc>
          <w:tcPr>
            <w:tcW w:w="1502" w:type="dxa"/>
          </w:tcPr>
          <w:p w14:paraId="43487708" w14:textId="77777777" w:rsidR="00B73DAC" w:rsidRPr="00351077" w:rsidRDefault="00B73DAC" w:rsidP="00B73DAC">
            <w:pPr>
              <w:ind w:right="-57"/>
              <w:rPr>
                <w:rFonts w:cstheme="minorHAnsi"/>
                <w:sz w:val="28"/>
                <w:szCs w:val="28"/>
              </w:rPr>
            </w:pPr>
            <w:r w:rsidRPr="00351077">
              <w:rPr>
                <w:rFonts w:cstheme="minorHAnsi"/>
                <w:sz w:val="28"/>
                <w:szCs w:val="28"/>
              </w:rPr>
              <w:t>AM &amp; PM</w:t>
            </w:r>
          </w:p>
        </w:tc>
        <w:tc>
          <w:tcPr>
            <w:tcW w:w="1503" w:type="dxa"/>
          </w:tcPr>
          <w:p w14:paraId="4E0B3623" w14:textId="77777777" w:rsidR="00B73DAC" w:rsidRPr="00351077" w:rsidRDefault="00B73DAC" w:rsidP="00B73DAC">
            <w:pPr>
              <w:ind w:right="-57"/>
              <w:rPr>
                <w:rFonts w:cstheme="minorHAnsi"/>
                <w:sz w:val="28"/>
                <w:szCs w:val="28"/>
              </w:rPr>
            </w:pPr>
            <w:r w:rsidRPr="00351077">
              <w:rPr>
                <w:rFonts w:cstheme="minorHAnsi"/>
                <w:sz w:val="28"/>
                <w:szCs w:val="28"/>
              </w:rPr>
              <w:t>AM</w:t>
            </w:r>
          </w:p>
        </w:tc>
        <w:tc>
          <w:tcPr>
            <w:tcW w:w="1503" w:type="dxa"/>
          </w:tcPr>
          <w:p w14:paraId="1F28BA74" w14:textId="77777777" w:rsidR="00B73DAC" w:rsidRPr="00351077" w:rsidRDefault="00B73DAC" w:rsidP="00B73DAC">
            <w:pPr>
              <w:ind w:right="-57"/>
              <w:rPr>
                <w:rFonts w:cstheme="minorHAnsi"/>
                <w:sz w:val="28"/>
                <w:szCs w:val="28"/>
              </w:rPr>
            </w:pPr>
            <w:r w:rsidRPr="00351077">
              <w:rPr>
                <w:rFonts w:cstheme="minorHAnsi"/>
                <w:sz w:val="28"/>
                <w:szCs w:val="28"/>
              </w:rPr>
              <w:t>PM</w:t>
            </w:r>
          </w:p>
        </w:tc>
        <w:tc>
          <w:tcPr>
            <w:tcW w:w="1503" w:type="dxa"/>
          </w:tcPr>
          <w:p w14:paraId="7885B088" w14:textId="77777777" w:rsidR="00B73DAC" w:rsidRPr="00351077" w:rsidRDefault="00B73DAC" w:rsidP="00B73DAC">
            <w:pPr>
              <w:ind w:right="-57"/>
              <w:rPr>
                <w:rFonts w:cstheme="minorHAnsi"/>
                <w:sz w:val="28"/>
                <w:szCs w:val="28"/>
              </w:rPr>
            </w:pPr>
            <w:r w:rsidRPr="00351077">
              <w:rPr>
                <w:rFonts w:cstheme="minorHAnsi"/>
                <w:sz w:val="28"/>
                <w:szCs w:val="28"/>
              </w:rPr>
              <w:t>AM&amp;PM</w:t>
            </w:r>
          </w:p>
        </w:tc>
        <w:tc>
          <w:tcPr>
            <w:tcW w:w="1503" w:type="dxa"/>
          </w:tcPr>
          <w:p w14:paraId="3BD23AAE" w14:textId="77777777" w:rsidR="00B73DAC" w:rsidRPr="00351077" w:rsidRDefault="00B73DAC" w:rsidP="00B73DAC">
            <w:pPr>
              <w:ind w:right="-57"/>
              <w:rPr>
                <w:rFonts w:cstheme="minorHAnsi"/>
                <w:sz w:val="28"/>
                <w:szCs w:val="28"/>
              </w:rPr>
            </w:pPr>
            <w:r w:rsidRPr="00351077">
              <w:rPr>
                <w:rFonts w:cstheme="minorHAnsi"/>
                <w:sz w:val="28"/>
                <w:szCs w:val="28"/>
              </w:rPr>
              <w:t>AM&amp;PM</w:t>
            </w:r>
          </w:p>
        </w:tc>
      </w:tr>
      <w:tr w:rsidR="00B73DAC" w:rsidRPr="00351077" w14:paraId="716CB652" w14:textId="77777777" w:rsidTr="00B73DAC">
        <w:tc>
          <w:tcPr>
            <w:tcW w:w="1502" w:type="dxa"/>
          </w:tcPr>
          <w:p w14:paraId="337319B0"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BGH</w:t>
            </w:r>
          </w:p>
        </w:tc>
        <w:tc>
          <w:tcPr>
            <w:tcW w:w="1502" w:type="dxa"/>
          </w:tcPr>
          <w:p w14:paraId="61AD3F7D" w14:textId="77777777" w:rsidR="00B73DAC" w:rsidRPr="00351077" w:rsidRDefault="00B73DAC" w:rsidP="00B73DAC">
            <w:pPr>
              <w:ind w:right="-57"/>
              <w:rPr>
                <w:rFonts w:cstheme="minorHAnsi"/>
                <w:sz w:val="28"/>
                <w:szCs w:val="28"/>
              </w:rPr>
            </w:pPr>
            <w:r w:rsidRPr="00351077">
              <w:rPr>
                <w:rFonts w:cstheme="minorHAnsi"/>
                <w:sz w:val="28"/>
                <w:szCs w:val="28"/>
              </w:rPr>
              <w:t>AM</w:t>
            </w:r>
          </w:p>
        </w:tc>
        <w:tc>
          <w:tcPr>
            <w:tcW w:w="1503" w:type="dxa"/>
          </w:tcPr>
          <w:p w14:paraId="4E699459" w14:textId="77777777" w:rsidR="00B73DAC" w:rsidRPr="00351077" w:rsidRDefault="00B73DAC" w:rsidP="00B73DAC">
            <w:pPr>
              <w:ind w:right="-57"/>
              <w:rPr>
                <w:rFonts w:cstheme="minorHAnsi"/>
                <w:sz w:val="28"/>
                <w:szCs w:val="28"/>
              </w:rPr>
            </w:pPr>
            <w:r w:rsidRPr="00351077">
              <w:rPr>
                <w:rFonts w:cstheme="minorHAnsi"/>
                <w:sz w:val="28"/>
                <w:szCs w:val="28"/>
              </w:rPr>
              <w:t>AM</w:t>
            </w:r>
          </w:p>
        </w:tc>
        <w:tc>
          <w:tcPr>
            <w:tcW w:w="1503" w:type="dxa"/>
          </w:tcPr>
          <w:p w14:paraId="436CF06D" w14:textId="77777777" w:rsidR="00B73DAC" w:rsidRPr="00351077" w:rsidRDefault="00B73DAC" w:rsidP="00B73DAC">
            <w:pPr>
              <w:ind w:right="-57"/>
              <w:rPr>
                <w:rFonts w:cstheme="minorHAnsi"/>
                <w:sz w:val="28"/>
                <w:szCs w:val="28"/>
              </w:rPr>
            </w:pPr>
          </w:p>
        </w:tc>
        <w:tc>
          <w:tcPr>
            <w:tcW w:w="1503" w:type="dxa"/>
          </w:tcPr>
          <w:p w14:paraId="4550541F" w14:textId="77777777" w:rsidR="00B73DAC" w:rsidRPr="00351077" w:rsidRDefault="00B73DAC" w:rsidP="00B73DAC">
            <w:pPr>
              <w:ind w:right="-57"/>
              <w:rPr>
                <w:rFonts w:cstheme="minorHAnsi"/>
                <w:sz w:val="28"/>
                <w:szCs w:val="28"/>
              </w:rPr>
            </w:pPr>
            <w:r w:rsidRPr="00351077">
              <w:rPr>
                <w:rFonts w:cstheme="minorHAnsi"/>
                <w:sz w:val="28"/>
                <w:szCs w:val="28"/>
              </w:rPr>
              <w:t>AM&amp;PM</w:t>
            </w:r>
          </w:p>
        </w:tc>
        <w:tc>
          <w:tcPr>
            <w:tcW w:w="1503" w:type="dxa"/>
          </w:tcPr>
          <w:p w14:paraId="35B810E3" w14:textId="77777777" w:rsidR="00B73DAC" w:rsidRPr="00351077" w:rsidRDefault="00B73DAC" w:rsidP="00B73DAC">
            <w:pPr>
              <w:ind w:right="-57"/>
              <w:rPr>
                <w:rFonts w:cstheme="minorHAnsi"/>
                <w:sz w:val="28"/>
                <w:szCs w:val="28"/>
              </w:rPr>
            </w:pPr>
          </w:p>
        </w:tc>
      </w:tr>
      <w:tr w:rsidR="00B73DAC" w:rsidRPr="00351077" w14:paraId="0538ECDB" w14:textId="77777777" w:rsidTr="00B73DAC">
        <w:tc>
          <w:tcPr>
            <w:tcW w:w="1502" w:type="dxa"/>
          </w:tcPr>
          <w:p w14:paraId="729B4A2B"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PPH</w:t>
            </w:r>
          </w:p>
        </w:tc>
        <w:tc>
          <w:tcPr>
            <w:tcW w:w="1502" w:type="dxa"/>
          </w:tcPr>
          <w:p w14:paraId="4A79407E" w14:textId="77777777" w:rsidR="00B73DAC" w:rsidRPr="00351077" w:rsidRDefault="00B73DAC" w:rsidP="00B73DAC">
            <w:pPr>
              <w:ind w:right="-57"/>
              <w:rPr>
                <w:rFonts w:cstheme="minorHAnsi"/>
                <w:sz w:val="28"/>
                <w:szCs w:val="28"/>
              </w:rPr>
            </w:pPr>
          </w:p>
        </w:tc>
        <w:tc>
          <w:tcPr>
            <w:tcW w:w="1503" w:type="dxa"/>
          </w:tcPr>
          <w:p w14:paraId="28ABF8C4" w14:textId="77777777" w:rsidR="00B73DAC" w:rsidRPr="00351077" w:rsidRDefault="00B73DAC" w:rsidP="00B73DAC">
            <w:pPr>
              <w:ind w:right="-57"/>
              <w:rPr>
                <w:rFonts w:cstheme="minorHAnsi"/>
                <w:sz w:val="28"/>
                <w:szCs w:val="28"/>
              </w:rPr>
            </w:pPr>
            <w:r w:rsidRPr="00351077">
              <w:rPr>
                <w:rFonts w:cstheme="minorHAnsi"/>
                <w:sz w:val="28"/>
                <w:szCs w:val="28"/>
              </w:rPr>
              <w:t>AM&amp;PM</w:t>
            </w:r>
          </w:p>
        </w:tc>
        <w:tc>
          <w:tcPr>
            <w:tcW w:w="1503" w:type="dxa"/>
          </w:tcPr>
          <w:p w14:paraId="68734C9F" w14:textId="77777777" w:rsidR="00B73DAC" w:rsidRPr="00351077" w:rsidRDefault="00B73DAC" w:rsidP="00B73DAC">
            <w:pPr>
              <w:ind w:right="-57"/>
              <w:rPr>
                <w:rFonts w:cstheme="minorHAnsi"/>
                <w:sz w:val="28"/>
                <w:szCs w:val="28"/>
              </w:rPr>
            </w:pPr>
            <w:r w:rsidRPr="00351077">
              <w:rPr>
                <w:rFonts w:cstheme="minorHAnsi"/>
                <w:sz w:val="28"/>
                <w:szCs w:val="28"/>
              </w:rPr>
              <w:t>AM&amp;PM</w:t>
            </w:r>
          </w:p>
        </w:tc>
        <w:tc>
          <w:tcPr>
            <w:tcW w:w="1503" w:type="dxa"/>
          </w:tcPr>
          <w:p w14:paraId="2A4F4C4D" w14:textId="77777777" w:rsidR="00B73DAC" w:rsidRPr="00351077" w:rsidRDefault="00B73DAC" w:rsidP="00B73DAC">
            <w:pPr>
              <w:ind w:right="-57"/>
              <w:rPr>
                <w:rFonts w:cstheme="minorHAnsi"/>
                <w:sz w:val="28"/>
                <w:szCs w:val="28"/>
              </w:rPr>
            </w:pPr>
            <w:r w:rsidRPr="00351077">
              <w:rPr>
                <w:rFonts w:cstheme="minorHAnsi"/>
                <w:sz w:val="28"/>
                <w:szCs w:val="28"/>
              </w:rPr>
              <w:t>AM&amp;PM</w:t>
            </w:r>
          </w:p>
        </w:tc>
        <w:tc>
          <w:tcPr>
            <w:tcW w:w="1503" w:type="dxa"/>
          </w:tcPr>
          <w:p w14:paraId="3F2EE5F6" w14:textId="77777777" w:rsidR="00B73DAC" w:rsidRPr="00351077" w:rsidRDefault="00B73DAC" w:rsidP="00B73DAC">
            <w:pPr>
              <w:ind w:right="-57"/>
              <w:rPr>
                <w:rFonts w:cstheme="minorHAnsi"/>
                <w:sz w:val="28"/>
                <w:szCs w:val="28"/>
              </w:rPr>
            </w:pPr>
          </w:p>
        </w:tc>
      </w:tr>
      <w:tr w:rsidR="00B73DAC" w:rsidRPr="00351077" w14:paraId="26825D4D" w14:textId="77777777" w:rsidTr="00B73DAC">
        <w:tc>
          <w:tcPr>
            <w:tcW w:w="1502" w:type="dxa"/>
          </w:tcPr>
          <w:p w14:paraId="73E342E8" w14:textId="77777777" w:rsidR="00B73DAC" w:rsidRPr="00351077" w:rsidRDefault="00B73DAC" w:rsidP="00B73DAC">
            <w:pPr>
              <w:ind w:right="-57"/>
              <w:rPr>
                <w:rFonts w:cstheme="minorHAnsi"/>
                <w:color w:val="4472C4" w:themeColor="accent1"/>
                <w:sz w:val="28"/>
                <w:szCs w:val="28"/>
              </w:rPr>
            </w:pPr>
            <w:r w:rsidRPr="00351077">
              <w:rPr>
                <w:rFonts w:cstheme="minorHAnsi"/>
                <w:color w:val="4472C4" w:themeColor="accent1"/>
                <w:sz w:val="28"/>
                <w:szCs w:val="28"/>
              </w:rPr>
              <w:t>WBH</w:t>
            </w:r>
          </w:p>
        </w:tc>
        <w:tc>
          <w:tcPr>
            <w:tcW w:w="1502" w:type="dxa"/>
          </w:tcPr>
          <w:p w14:paraId="708AA4B5" w14:textId="77777777" w:rsidR="00B73DAC" w:rsidRPr="00351077" w:rsidRDefault="00B73DAC" w:rsidP="00B73DAC">
            <w:pPr>
              <w:ind w:right="-57"/>
              <w:rPr>
                <w:rFonts w:cstheme="minorHAnsi"/>
                <w:sz w:val="28"/>
                <w:szCs w:val="28"/>
              </w:rPr>
            </w:pPr>
            <w:r w:rsidRPr="00351077">
              <w:rPr>
                <w:rFonts w:cstheme="minorHAnsi"/>
                <w:sz w:val="28"/>
                <w:szCs w:val="28"/>
              </w:rPr>
              <w:t>PM</w:t>
            </w:r>
          </w:p>
        </w:tc>
        <w:tc>
          <w:tcPr>
            <w:tcW w:w="1503" w:type="dxa"/>
          </w:tcPr>
          <w:p w14:paraId="11DD9949" w14:textId="77777777" w:rsidR="00B73DAC" w:rsidRPr="00351077" w:rsidRDefault="00B73DAC" w:rsidP="00B73DAC">
            <w:pPr>
              <w:ind w:right="-57"/>
              <w:rPr>
                <w:rFonts w:cstheme="minorHAnsi"/>
                <w:sz w:val="28"/>
                <w:szCs w:val="28"/>
              </w:rPr>
            </w:pPr>
            <w:r w:rsidRPr="00351077">
              <w:rPr>
                <w:rFonts w:cstheme="minorHAnsi"/>
                <w:sz w:val="28"/>
                <w:szCs w:val="28"/>
              </w:rPr>
              <w:t>AM&amp;PM</w:t>
            </w:r>
          </w:p>
        </w:tc>
        <w:tc>
          <w:tcPr>
            <w:tcW w:w="1503" w:type="dxa"/>
          </w:tcPr>
          <w:p w14:paraId="7D4E3DCA" w14:textId="77777777" w:rsidR="00B73DAC" w:rsidRPr="00351077" w:rsidRDefault="00B73DAC" w:rsidP="00B73DAC">
            <w:pPr>
              <w:ind w:right="-57"/>
              <w:rPr>
                <w:rFonts w:cstheme="minorHAnsi"/>
                <w:sz w:val="28"/>
                <w:szCs w:val="28"/>
              </w:rPr>
            </w:pPr>
            <w:r w:rsidRPr="00351077">
              <w:rPr>
                <w:rFonts w:cstheme="minorHAnsi"/>
                <w:sz w:val="28"/>
                <w:szCs w:val="28"/>
              </w:rPr>
              <w:t>AM&amp;PM</w:t>
            </w:r>
          </w:p>
        </w:tc>
        <w:tc>
          <w:tcPr>
            <w:tcW w:w="1503" w:type="dxa"/>
          </w:tcPr>
          <w:p w14:paraId="3DA55808" w14:textId="77777777" w:rsidR="00B73DAC" w:rsidRPr="00351077" w:rsidRDefault="00B73DAC" w:rsidP="00B73DAC">
            <w:pPr>
              <w:ind w:right="-57"/>
              <w:rPr>
                <w:rFonts w:cstheme="minorHAnsi"/>
                <w:sz w:val="28"/>
                <w:szCs w:val="28"/>
              </w:rPr>
            </w:pPr>
            <w:r w:rsidRPr="00351077">
              <w:rPr>
                <w:rFonts w:cstheme="minorHAnsi"/>
                <w:sz w:val="28"/>
                <w:szCs w:val="28"/>
              </w:rPr>
              <w:t>AM</w:t>
            </w:r>
          </w:p>
        </w:tc>
        <w:tc>
          <w:tcPr>
            <w:tcW w:w="1503" w:type="dxa"/>
          </w:tcPr>
          <w:p w14:paraId="0B2F093F" w14:textId="77777777" w:rsidR="00B73DAC" w:rsidRPr="00351077" w:rsidRDefault="00B73DAC" w:rsidP="00B73DAC">
            <w:pPr>
              <w:ind w:right="-57"/>
              <w:rPr>
                <w:rFonts w:cstheme="minorHAnsi"/>
                <w:sz w:val="28"/>
                <w:szCs w:val="28"/>
              </w:rPr>
            </w:pPr>
            <w:r w:rsidRPr="00351077">
              <w:rPr>
                <w:rFonts w:cstheme="minorHAnsi"/>
                <w:sz w:val="28"/>
                <w:szCs w:val="28"/>
              </w:rPr>
              <w:t>AM</w:t>
            </w:r>
          </w:p>
        </w:tc>
      </w:tr>
    </w:tbl>
    <w:p w14:paraId="4CEC2378" w14:textId="77777777" w:rsidR="00B05262" w:rsidRPr="00351077" w:rsidRDefault="00B05262" w:rsidP="00B64142">
      <w:pPr>
        <w:spacing w:before="120" w:after="120" w:line="360" w:lineRule="auto"/>
        <w:rPr>
          <w:rFonts w:cstheme="minorHAnsi"/>
          <w:color w:val="000000"/>
          <w:sz w:val="28"/>
          <w:szCs w:val="28"/>
        </w:rPr>
      </w:pPr>
    </w:p>
    <w:p w14:paraId="63667663" w14:textId="77777777" w:rsidR="00B05262" w:rsidRPr="00351077" w:rsidRDefault="00B05262" w:rsidP="00B64142">
      <w:pPr>
        <w:spacing w:before="120" w:after="120" w:line="360" w:lineRule="auto"/>
        <w:rPr>
          <w:rFonts w:cstheme="minorHAnsi"/>
          <w:color w:val="000000"/>
          <w:sz w:val="28"/>
          <w:szCs w:val="28"/>
        </w:rPr>
      </w:pPr>
    </w:p>
    <w:p w14:paraId="434F089E" w14:textId="77777777" w:rsidR="00B05262" w:rsidRPr="00351077" w:rsidRDefault="00B05262" w:rsidP="00B64142">
      <w:pPr>
        <w:spacing w:before="120" w:after="120" w:line="360" w:lineRule="auto"/>
        <w:rPr>
          <w:rFonts w:cstheme="minorHAnsi"/>
          <w:color w:val="000000"/>
          <w:sz w:val="28"/>
          <w:szCs w:val="28"/>
        </w:rPr>
      </w:pPr>
    </w:p>
    <w:p w14:paraId="0E431E5C" w14:textId="77777777" w:rsidR="00B05262" w:rsidRPr="00351077" w:rsidRDefault="00B05262" w:rsidP="00B64142">
      <w:pPr>
        <w:spacing w:before="120" w:after="120" w:line="360" w:lineRule="auto"/>
        <w:rPr>
          <w:rFonts w:cstheme="minorHAnsi"/>
          <w:color w:val="000000"/>
          <w:sz w:val="28"/>
          <w:szCs w:val="28"/>
        </w:rPr>
      </w:pPr>
    </w:p>
    <w:p w14:paraId="35B19F1C" w14:textId="0AEB5B85" w:rsidR="00613352" w:rsidRPr="00C270F4" w:rsidRDefault="00613352" w:rsidP="00613352">
      <w:pPr>
        <w:spacing w:after="0"/>
        <w:ind w:right="-57"/>
        <w:rPr>
          <w:rFonts w:cstheme="minorHAnsi"/>
          <w:sz w:val="24"/>
          <w:szCs w:val="24"/>
        </w:rPr>
      </w:pPr>
      <w:r w:rsidRPr="00C270F4">
        <w:rPr>
          <w:rFonts w:cstheme="minorHAnsi"/>
          <w:sz w:val="24"/>
          <w:szCs w:val="24"/>
        </w:rPr>
        <w:t>Ideally, we would like to propose allocated slots daily for each hospital. One</w:t>
      </w:r>
      <w:r w:rsidR="00165562" w:rsidRPr="00C270F4">
        <w:rPr>
          <w:rFonts w:cstheme="minorHAnsi"/>
          <w:sz w:val="24"/>
          <w:szCs w:val="24"/>
        </w:rPr>
        <w:t xml:space="preserve"> </w:t>
      </w:r>
      <w:r w:rsidRPr="00C270F4">
        <w:rPr>
          <w:rFonts w:cstheme="minorHAnsi"/>
          <w:sz w:val="24"/>
          <w:szCs w:val="24"/>
        </w:rPr>
        <w:t xml:space="preserve">slot per day I believe would be ample. If these slots are not utilised by </w:t>
      </w:r>
      <w:r w:rsidR="00773253" w:rsidRPr="00C270F4">
        <w:rPr>
          <w:rFonts w:cstheme="minorHAnsi"/>
          <w:sz w:val="24"/>
          <w:szCs w:val="24"/>
        </w:rPr>
        <w:t>16.00,</w:t>
      </w:r>
      <w:r w:rsidR="00734AAD" w:rsidRPr="00C270F4">
        <w:rPr>
          <w:rFonts w:cstheme="minorHAnsi"/>
          <w:sz w:val="24"/>
          <w:szCs w:val="24"/>
        </w:rPr>
        <w:t xml:space="preserve"> they could then be used at emergency outpatient slots</w:t>
      </w:r>
      <w:r w:rsidR="003E08B0" w:rsidRPr="00C270F4">
        <w:rPr>
          <w:rFonts w:cstheme="minorHAnsi"/>
          <w:sz w:val="24"/>
          <w:szCs w:val="24"/>
        </w:rPr>
        <w:t xml:space="preserve"> or inpatient slots.</w:t>
      </w:r>
    </w:p>
    <w:p w14:paraId="2B0A660B" w14:textId="77777777" w:rsidR="005C28CC" w:rsidRPr="00C270F4" w:rsidRDefault="005C28CC" w:rsidP="00613352">
      <w:pPr>
        <w:spacing w:after="0"/>
        <w:ind w:right="-57"/>
        <w:rPr>
          <w:rFonts w:cstheme="minorHAnsi"/>
          <w:sz w:val="24"/>
          <w:szCs w:val="24"/>
        </w:rPr>
      </w:pPr>
    </w:p>
    <w:p w14:paraId="26A3D4DC" w14:textId="77777777" w:rsidR="005C28CC" w:rsidRPr="00C270F4" w:rsidRDefault="005C28CC" w:rsidP="00613352">
      <w:pPr>
        <w:spacing w:after="0"/>
        <w:ind w:right="-57"/>
        <w:rPr>
          <w:rFonts w:cstheme="minorHAnsi"/>
          <w:sz w:val="24"/>
          <w:szCs w:val="24"/>
        </w:rPr>
      </w:pPr>
    </w:p>
    <w:p w14:paraId="39E6FA75" w14:textId="77777777" w:rsidR="005C28CC" w:rsidRPr="00C270F4" w:rsidRDefault="005C28CC" w:rsidP="00613352">
      <w:pPr>
        <w:spacing w:after="0"/>
        <w:ind w:right="-57"/>
        <w:rPr>
          <w:rFonts w:cstheme="minorHAnsi"/>
          <w:sz w:val="24"/>
          <w:szCs w:val="24"/>
        </w:rPr>
      </w:pPr>
    </w:p>
    <w:p w14:paraId="09271EF0" w14:textId="77777777" w:rsidR="003E08B0" w:rsidRPr="00C270F4" w:rsidRDefault="003E08B0" w:rsidP="00613352">
      <w:pPr>
        <w:spacing w:after="0"/>
        <w:ind w:right="-57"/>
        <w:rPr>
          <w:rFonts w:cstheme="minorHAnsi"/>
          <w:sz w:val="24"/>
          <w:szCs w:val="24"/>
        </w:rPr>
      </w:pPr>
    </w:p>
    <w:p w14:paraId="4F74F7D3" w14:textId="7E33B89A" w:rsidR="007C2D89" w:rsidRDefault="007C2D89" w:rsidP="00613352">
      <w:pPr>
        <w:spacing w:after="0"/>
        <w:ind w:right="-57"/>
        <w:rPr>
          <w:rFonts w:cstheme="minorHAnsi"/>
          <w:sz w:val="24"/>
          <w:szCs w:val="24"/>
        </w:rPr>
      </w:pPr>
      <w:r w:rsidRPr="00C270F4">
        <w:rPr>
          <w:rFonts w:cstheme="minorHAnsi"/>
          <w:sz w:val="24"/>
          <w:szCs w:val="24"/>
        </w:rPr>
        <w:t xml:space="preserve">Below is a table demonstrating how many patients </w:t>
      </w:r>
      <w:r w:rsidR="00513717">
        <w:rPr>
          <w:rFonts w:cstheme="minorHAnsi"/>
          <w:sz w:val="24"/>
          <w:szCs w:val="24"/>
        </w:rPr>
        <w:t>were scoped last</w:t>
      </w:r>
      <w:r w:rsidRPr="00C270F4">
        <w:rPr>
          <w:rFonts w:cstheme="minorHAnsi"/>
          <w:sz w:val="24"/>
          <w:szCs w:val="24"/>
        </w:rPr>
        <w:t xml:space="preserve"> year </w:t>
      </w:r>
      <w:r w:rsidR="000B05C9" w:rsidRPr="00C270F4">
        <w:rPr>
          <w:rFonts w:cstheme="minorHAnsi"/>
          <w:sz w:val="24"/>
          <w:szCs w:val="24"/>
        </w:rPr>
        <w:t>in their local hospitals</w:t>
      </w:r>
      <w:r w:rsidR="00513717">
        <w:rPr>
          <w:rFonts w:cstheme="minorHAnsi"/>
          <w:sz w:val="24"/>
          <w:szCs w:val="24"/>
        </w:rPr>
        <w:t xml:space="preserve"> who had a confirmed cancer diagnosis. </w:t>
      </w:r>
    </w:p>
    <w:p w14:paraId="213DE81B" w14:textId="77777777" w:rsidR="00513717" w:rsidRPr="00C270F4" w:rsidRDefault="00513717" w:rsidP="00613352">
      <w:pPr>
        <w:spacing w:after="0"/>
        <w:ind w:right="-57"/>
        <w:rPr>
          <w:rFonts w:cstheme="minorHAnsi"/>
          <w:sz w:val="24"/>
          <w:szCs w:val="24"/>
        </w:rPr>
      </w:pPr>
    </w:p>
    <w:p w14:paraId="31CE4134" w14:textId="77777777" w:rsidR="009604AF" w:rsidRPr="00351077" w:rsidRDefault="009604AF" w:rsidP="00613352">
      <w:pPr>
        <w:spacing w:after="0"/>
        <w:ind w:right="-57"/>
        <w:rPr>
          <w:rFonts w:cstheme="minorHAnsi"/>
          <w:sz w:val="28"/>
          <w:szCs w:val="28"/>
        </w:rPr>
      </w:pPr>
    </w:p>
    <w:tbl>
      <w:tblPr>
        <w:tblW w:w="3338" w:type="dxa"/>
        <w:tblInd w:w="3060" w:type="dxa"/>
        <w:tblCellMar>
          <w:left w:w="0" w:type="dxa"/>
          <w:right w:w="0" w:type="dxa"/>
        </w:tblCellMar>
        <w:tblLook w:val="0420" w:firstRow="1" w:lastRow="0" w:firstColumn="0" w:lastColumn="0" w:noHBand="0" w:noVBand="1"/>
      </w:tblPr>
      <w:tblGrid>
        <w:gridCol w:w="1637"/>
        <w:gridCol w:w="1701"/>
      </w:tblGrid>
      <w:tr w:rsidR="00FA55FE" w:rsidRPr="00FA55FE" w14:paraId="4DB25E21" w14:textId="77777777" w:rsidTr="00E94500">
        <w:trPr>
          <w:trHeight w:val="194"/>
        </w:trPr>
        <w:tc>
          <w:tcPr>
            <w:tcW w:w="1637" w:type="dxa"/>
            <w:tcBorders>
              <w:top w:val="single" w:sz="8" w:space="0" w:color="FFFFFF"/>
              <w:left w:val="single" w:sz="8" w:space="0" w:color="FFFFFF"/>
              <w:bottom w:val="single" w:sz="24" w:space="0" w:color="FFFFFF"/>
              <w:right w:val="single" w:sz="8" w:space="0" w:color="FFFFFF"/>
            </w:tcBorders>
            <w:shd w:val="clear" w:color="auto" w:fill="24BCC0"/>
            <w:tcMar>
              <w:top w:w="72" w:type="dxa"/>
              <w:left w:w="144" w:type="dxa"/>
              <w:bottom w:w="72" w:type="dxa"/>
              <w:right w:w="144" w:type="dxa"/>
            </w:tcMar>
            <w:hideMark/>
          </w:tcPr>
          <w:p w14:paraId="32CA5566" w14:textId="77777777" w:rsidR="00FA55FE" w:rsidRPr="00FA55FE" w:rsidRDefault="00FA55FE" w:rsidP="00FA55FE">
            <w:pPr>
              <w:spacing w:after="0" w:line="240" w:lineRule="auto"/>
              <w:rPr>
                <w:rFonts w:eastAsia="Times New Roman" w:cstheme="minorHAnsi"/>
                <w:sz w:val="24"/>
                <w:szCs w:val="24"/>
                <w:lang w:eastAsia="en-GB"/>
              </w:rPr>
            </w:pPr>
            <w:r w:rsidRPr="00FA55FE">
              <w:rPr>
                <w:rFonts w:eastAsia="Times New Roman" w:cstheme="minorHAnsi"/>
                <w:b/>
                <w:bCs/>
                <w:color w:val="0070C0"/>
                <w:kern w:val="24"/>
                <w:sz w:val="24"/>
                <w:szCs w:val="24"/>
                <w:lang w:eastAsia="en-GB"/>
              </w:rPr>
              <w:t>SITE</w:t>
            </w:r>
          </w:p>
        </w:tc>
        <w:tc>
          <w:tcPr>
            <w:tcW w:w="1701" w:type="dxa"/>
            <w:tcBorders>
              <w:top w:val="single" w:sz="8" w:space="0" w:color="FFFFFF"/>
              <w:left w:val="single" w:sz="8" w:space="0" w:color="FFFFFF"/>
              <w:bottom w:val="single" w:sz="24" w:space="0" w:color="FFFFFF"/>
              <w:right w:val="single" w:sz="8" w:space="0" w:color="FFFFFF"/>
            </w:tcBorders>
            <w:shd w:val="clear" w:color="auto" w:fill="24BCC0"/>
            <w:tcMar>
              <w:top w:w="72" w:type="dxa"/>
              <w:left w:w="144" w:type="dxa"/>
              <w:bottom w:w="72" w:type="dxa"/>
              <w:right w:w="144" w:type="dxa"/>
            </w:tcMar>
            <w:hideMark/>
          </w:tcPr>
          <w:p w14:paraId="173B016D" w14:textId="77777777" w:rsidR="00FA55FE" w:rsidRPr="00FA55FE" w:rsidRDefault="00FA55FE" w:rsidP="00FA55FE">
            <w:pPr>
              <w:spacing w:after="0" w:line="240" w:lineRule="auto"/>
              <w:jc w:val="right"/>
              <w:rPr>
                <w:rFonts w:eastAsia="Times New Roman" w:cstheme="minorHAnsi"/>
                <w:sz w:val="24"/>
                <w:szCs w:val="24"/>
                <w:lang w:eastAsia="en-GB"/>
              </w:rPr>
            </w:pPr>
            <w:r w:rsidRPr="00FA55FE">
              <w:rPr>
                <w:rFonts w:eastAsia="Times New Roman" w:cstheme="minorHAnsi"/>
                <w:b/>
                <w:bCs/>
                <w:color w:val="0070C0"/>
                <w:kern w:val="24"/>
                <w:sz w:val="24"/>
                <w:szCs w:val="24"/>
                <w:lang w:eastAsia="en-GB"/>
              </w:rPr>
              <w:t>NUMBERS</w:t>
            </w:r>
          </w:p>
        </w:tc>
      </w:tr>
      <w:tr w:rsidR="00FA55FE" w:rsidRPr="00FA55FE" w14:paraId="6277DC7A" w14:textId="77777777" w:rsidTr="00E94500">
        <w:trPr>
          <w:trHeight w:val="132"/>
        </w:trPr>
        <w:tc>
          <w:tcPr>
            <w:tcW w:w="1637" w:type="dxa"/>
            <w:tcBorders>
              <w:top w:val="single" w:sz="24"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4ED20648" w14:textId="77777777" w:rsidR="00FA55FE" w:rsidRPr="00FA55FE" w:rsidRDefault="00FA55FE" w:rsidP="00FA55FE">
            <w:pPr>
              <w:spacing w:after="0" w:line="240" w:lineRule="auto"/>
              <w:rPr>
                <w:rFonts w:eastAsia="Times New Roman" w:cstheme="minorHAnsi"/>
                <w:sz w:val="24"/>
                <w:szCs w:val="24"/>
                <w:lang w:eastAsia="en-GB"/>
              </w:rPr>
            </w:pPr>
            <w:r w:rsidRPr="00FA55FE">
              <w:rPr>
                <w:rFonts w:eastAsia="Times New Roman" w:cstheme="minorHAnsi"/>
                <w:color w:val="0070C0"/>
                <w:kern w:val="24"/>
                <w:sz w:val="24"/>
                <w:szCs w:val="24"/>
                <w:lang w:eastAsia="en-GB"/>
              </w:rPr>
              <w:t>GGH</w:t>
            </w:r>
          </w:p>
        </w:tc>
        <w:tc>
          <w:tcPr>
            <w:tcW w:w="1701" w:type="dxa"/>
            <w:tcBorders>
              <w:top w:val="single" w:sz="24"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6A47E061" w14:textId="77777777" w:rsidR="00FA55FE" w:rsidRPr="00FA55FE" w:rsidRDefault="00FA55FE" w:rsidP="00FA55FE">
            <w:pPr>
              <w:spacing w:after="0" w:line="240" w:lineRule="auto"/>
              <w:jc w:val="right"/>
              <w:rPr>
                <w:rFonts w:eastAsia="Times New Roman" w:cstheme="minorHAnsi"/>
                <w:sz w:val="24"/>
                <w:szCs w:val="24"/>
                <w:lang w:eastAsia="en-GB"/>
              </w:rPr>
            </w:pPr>
            <w:r w:rsidRPr="00FA55FE">
              <w:rPr>
                <w:rFonts w:eastAsia="Times New Roman" w:cstheme="minorHAnsi"/>
                <w:color w:val="0070C0"/>
                <w:kern w:val="24"/>
                <w:sz w:val="24"/>
                <w:szCs w:val="24"/>
                <w:lang w:eastAsia="en-GB"/>
              </w:rPr>
              <w:t>39</w:t>
            </w:r>
          </w:p>
        </w:tc>
      </w:tr>
      <w:tr w:rsidR="00FA55FE" w:rsidRPr="00FA55FE" w14:paraId="6A75DFBA" w14:textId="77777777" w:rsidTr="00E94500">
        <w:trPr>
          <w:trHeight w:val="236"/>
        </w:trPr>
        <w:tc>
          <w:tcPr>
            <w:tcW w:w="1637"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2B521C19" w14:textId="77777777" w:rsidR="00FA55FE" w:rsidRPr="00FA55FE" w:rsidRDefault="00FA55FE" w:rsidP="00FA55FE">
            <w:pPr>
              <w:spacing w:after="0" w:line="240" w:lineRule="auto"/>
              <w:rPr>
                <w:rFonts w:eastAsia="Times New Roman" w:cstheme="minorHAnsi"/>
                <w:sz w:val="24"/>
                <w:szCs w:val="24"/>
                <w:lang w:eastAsia="en-GB"/>
              </w:rPr>
            </w:pPr>
            <w:r w:rsidRPr="00FA55FE">
              <w:rPr>
                <w:rFonts w:eastAsia="Times New Roman" w:cstheme="minorHAnsi"/>
                <w:color w:val="0070C0"/>
                <w:kern w:val="24"/>
                <w:sz w:val="24"/>
                <w:szCs w:val="24"/>
                <w:lang w:eastAsia="en-GB"/>
              </w:rPr>
              <w:t>BGH</w:t>
            </w:r>
          </w:p>
        </w:tc>
        <w:tc>
          <w:tcPr>
            <w:tcW w:w="1701"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080CB484" w14:textId="77777777" w:rsidR="00FA55FE" w:rsidRPr="00FA55FE" w:rsidRDefault="00FA55FE" w:rsidP="00FA55FE">
            <w:pPr>
              <w:spacing w:after="0" w:line="240" w:lineRule="auto"/>
              <w:jc w:val="right"/>
              <w:rPr>
                <w:rFonts w:eastAsia="Times New Roman" w:cstheme="minorHAnsi"/>
                <w:sz w:val="24"/>
                <w:szCs w:val="24"/>
                <w:lang w:eastAsia="en-GB"/>
              </w:rPr>
            </w:pPr>
            <w:r w:rsidRPr="00FA55FE">
              <w:rPr>
                <w:rFonts w:eastAsia="Times New Roman" w:cstheme="minorHAnsi"/>
                <w:color w:val="0070C0"/>
                <w:kern w:val="24"/>
                <w:sz w:val="24"/>
                <w:szCs w:val="24"/>
                <w:lang w:eastAsia="en-GB"/>
              </w:rPr>
              <w:t>24</w:t>
            </w:r>
          </w:p>
        </w:tc>
      </w:tr>
      <w:tr w:rsidR="00FA55FE" w:rsidRPr="00FA55FE" w14:paraId="5DE3C98F" w14:textId="77777777" w:rsidTr="00E94500">
        <w:trPr>
          <w:trHeight w:val="214"/>
        </w:trPr>
        <w:tc>
          <w:tcPr>
            <w:tcW w:w="1637"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4714D01E" w14:textId="77777777" w:rsidR="00FA55FE" w:rsidRPr="00FA55FE" w:rsidRDefault="00FA55FE" w:rsidP="00FA55FE">
            <w:pPr>
              <w:spacing w:after="0" w:line="240" w:lineRule="auto"/>
              <w:rPr>
                <w:rFonts w:eastAsia="Times New Roman" w:cstheme="minorHAnsi"/>
                <w:sz w:val="24"/>
                <w:szCs w:val="24"/>
                <w:lang w:eastAsia="en-GB"/>
              </w:rPr>
            </w:pPr>
            <w:r w:rsidRPr="00FA55FE">
              <w:rPr>
                <w:rFonts w:eastAsia="Times New Roman" w:cstheme="minorHAnsi"/>
                <w:color w:val="0070C0"/>
                <w:kern w:val="24"/>
                <w:sz w:val="24"/>
                <w:szCs w:val="24"/>
                <w:lang w:eastAsia="en-GB"/>
              </w:rPr>
              <w:t>PPH</w:t>
            </w:r>
          </w:p>
        </w:tc>
        <w:tc>
          <w:tcPr>
            <w:tcW w:w="1701"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0480D7CF" w14:textId="77777777" w:rsidR="00FA55FE" w:rsidRPr="00FA55FE" w:rsidRDefault="00FA55FE" w:rsidP="00FA55FE">
            <w:pPr>
              <w:spacing w:after="0" w:line="240" w:lineRule="auto"/>
              <w:jc w:val="right"/>
              <w:rPr>
                <w:rFonts w:eastAsia="Times New Roman" w:cstheme="minorHAnsi"/>
                <w:sz w:val="24"/>
                <w:szCs w:val="24"/>
                <w:lang w:eastAsia="en-GB"/>
              </w:rPr>
            </w:pPr>
            <w:r w:rsidRPr="00FA55FE">
              <w:rPr>
                <w:rFonts w:eastAsia="Times New Roman" w:cstheme="minorHAnsi"/>
                <w:color w:val="0070C0"/>
                <w:kern w:val="24"/>
                <w:sz w:val="24"/>
                <w:szCs w:val="24"/>
                <w:lang w:eastAsia="en-GB"/>
              </w:rPr>
              <w:t>18</w:t>
            </w:r>
          </w:p>
        </w:tc>
      </w:tr>
      <w:tr w:rsidR="00FA55FE" w:rsidRPr="00FA55FE" w14:paraId="7F583A9A" w14:textId="77777777" w:rsidTr="00E94500">
        <w:trPr>
          <w:trHeight w:val="179"/>
        </w:trPr>
        <w:tc>
          <w:tcPr>
            <w:tcW w:w="1637"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06B856FB" w14:textId="77777777" w:rsidR="00FA55FE" w:rsidRPr="00FA55FE" w:rsidRDefault="00FA55FE" w:rsidP="00FA55FE">
            <w:pPr>
              <w:spacing w:after="0" w:line="240" w:lineRule="auto"/>
              <w:rPr>
                <w:rFonts w:eastAsia="Times New Roman" w:cstheme="minorHAnsi"/>
                <w:sz w:val="24"/>
                <w:szCs w:val="24"/>
                <w:lang w:eastAsia="en-GB"/>
              </w:rPr>
            </w:pPr>
            <w:r w:rsidRPr="00FA55FE">
              <w:rPr>
                <w:rFonts w:eastAsia="Times New Roman" w:cstheme="minorHAnsi"/>
                <w:color w:val="0070C0"/>
                <w:kern w:val="24"/>
                <w:sz w:val="24"/>
                <w:szCs w:val="24"/>
                <w:lang w:eastAsia="en-GB"/>
              </w:rPr>
              <w:t>WBH</w:t>
            </w:r>
          </w:p>
        </w:tc>
        <w:tc>
          <w:tcPr>
            <w:tcW w:w="1701"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68EDA177" w14:textId="77777777" w:rsidR="00FA55FE" w:rsidRPr="00FA55FE" w:rsidRDefault="00FA55FE" w:rsidP="00FA55FE">
            <w:pPr>
              <w:spacing w:after="0" w:line="240" w:lineRule="auto"/>
              <w:jc w:val="right"/>
              <w:rPr>
                <w:rFonts w:eastAsia="Times New Roman" w:cstheme="minorHAnsi"/>
                <w:sz w:val="24"/>
                <w:szCs w:val="24"/>
                <w:lang w:eastAsia="en-GB"/>
              </w:rPr>
            </w:pPr>
            <w:r w:rsidRPr="00FA55FE">
              <w:rPr>
                <w:rFonts w:eastAsia="Times New Roman" w:cstheme="minorHAnsi"/>
                <w:color w:val="0070C0"/>
                <w:kern w:val="24"/>
                <w:sz w:val="24"/>
                <w:szCs w:val="24"/>
                <w:lang w:eastAsia="en-GB"/>
              </w:rPr>
              <w:t>36</w:t>
            </w:r>
          </w:p>
        </w:tc>
      </w:tr>
      <w:tr w:rsidR="00FA55FE" w:rsidRPr="00FA55FE" w14:paraId="5FFEEF5D" w14:textId="77777777" w:rsidTr="00E94500">
        <w:trPr>
          <w:trHeight w:val="18"/>
        </w:trPr>
        <w:tc>
          <w:tcPr>
            <w:tcW w:w="1637"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76CD271E" w14:textId="77777777" w:rsidR="00FA55FE" w:rsidRPr="00FA55FE" w:rsidRDefault="00FA55FE" w:rsidP="00FA55FE">
            <w:pPr>
              <w:spacing w:after="0" w:line="240" w:lineRule="auto"/>
              <w:rPr>
                <w:rFonts w:eastAsia="Times New Roman" w:cstheme="minorHAnsi"/>
                <w:sz w:val="24"/>
                <w:szCs w:val="24"/>
                <w:lang w:eastAsia="en-GB"/>
              </w:rPr>
            </w:pPr>
            <w:r w:rsidRPr="00FA55FE">
              <w:rPr>
                <w:rFonts w:eastAsia="Times New Roman" w:cstheme="minorHAnsi"/>
                <w:color w:val="0070C0"/>
                <w:kern w:val="24"/>
                <w:sz w:val="24"/>
                <w:szCs w:val="24"/>
                <w:lang w:eastAsia="en-GB"/>
              </w:rPr>
              <w:t>TOTALS</w:t>
            </w:r>
          </w:p>
        </w:tc>
        <w:tc>
          <w:tcPr>
            <w:tcW w:w="1701" w:type="dxa"/>
            <w:tcBorders>
              <w:top w:val="single" w:sz="8" w:space="0" w:color="FFFFFF"/>
              <w:left w:val="single" w:sz="8" w:space="0" w:color="FFFFFF"/>
              <w:bottom w:val="single" w:sz="8" w:space="0" w:color="FFFFFF"/>
              <w:right w:val="single" w:sz="8" w:space="0" w:color="FFFFFF"/>
            </w:tcBorders>
            <w:shd w:val="clear" w:color="auto" w:fill="24BCC0"/>
            <w:tcMar>
              <w:top w:w="72" w:type="dxa"/>
              <w:left w:w="144" w:type="dxa"/>
              <w:bottom w:w="72" w:type="dxa"/>
              <w:right w:w="144" w:type="dxa"/>
            </w:tcMar>
            <w:hideMark/>
          </w:tcPr>
          <w:p w14:paraId="3762AFCC" w14:textId="77777777" w:rsidR="00FA55FE" w:rsidRPr="00FA55FE" w:rsidRDefault="00FA55FE" w:rsidP="00FA55FE">
            <w:pPr>
              <w:spacing w:after="0" w:line="240" w:lineRule="auto"/>
              <w:jc w:val="right"/>
              <w:rPr>
                <w:rFonts w:eastAsia="Times New Roman" w:cstheme="minorHAnsi"/>
                <w:sz w:val="24"/>
                <w:szCs w:val="24"/>
                <w:lang w:eastAsia="en-GB"/>
              </w:rPr>
            </w:pPr>
            <w:r w:rsidRPr="00FA55FE">
              <w:rPr>
                <w:rFonts w:eastAsia="Times New Roman" w:cstheme="minorHAnsi"/>
                <w:color w:val="0070C0"/>
                <w:kern w:val="24"/>
                <w:sz w:val="24"/>
                <w:szCs w:val="24"/>
                <w:lang w:eastAsia="en-GB"/>
              </w:rPr>
              <w:t>117</w:t>
            </w:r>
          </w:p>
        </w:tc>
      </w:tr>
    </w:tbl>
    <w:p w14:paraId="524D8E7C" w14:textId="77777777" w:rsidR="00513717" w:rsidRDefault="00513717" w:rsidP="00B64142">
      <w:pPr>
        <w:spacing w:before="120" w:after="120" w:line="360" w:lineRule="auto"/>
        <w:rPr>
          <w:rFonts w:cstheme="minorHAnsi"/>
          <w:color w:val="000000"/>
          <w:sz w:val="24"/>
          <w:szCs w:val="24"/>
        </w:rPr>
      </w:pPr>
    </w:p>
    <w:p w14:paraId="05B57038" w14:textId="6973D300" w:rsidR="00B05262" w:rsidRPr="00C270F4" w:rsidRDefault="006A1D66" w:rsidP="00B64142">
      <w:pPr>
        <w:spacing w:before="120" w:after="120" w:line="360" w:lineRule="auto"/>
        <w:rPr>
          <w:rFonts w:cstheme="minorHAnsi"/>
          <w:color w:val="000000"/>
          <w:sz w:val="24"/>
          <w:szCs w:val="24"/>
        </w:rPr>
      </w:pPr>
      <w:r w:rsidRPr="00C270F4">
        <w:rPr>
          <w:rFonts w:cstheme="minorHAnsi"/>
          <w:color w:val="000000"/>
          <w:sz w:val="24"/>
          <w:szCs w:val="24"/>
        </w:rPr>
        <w:t xml:space="preserve">These are quite small numbers of patients that would need the same day CT scan. </w:t>
      </w:r>
      <w:r w:rsidR="00D67DFA" w:rsidRPr="00C270F4">
        <w:rPr>
          <w:rFonts w:cstheme="minorHAnsi"/>
          <w:color w:val="000000"/>
          <w:sz w:val="24"/>
          <w:szCs w:val="24"/>
        </w:rPr>
        <w:t>Actually,</w:t>
      </w:r>
      <w:r w:rsidRPr="00C270F4">
        <w:rPr>
          <w:rFonts w:cstheme="minorHAnsi"/>
          <w:color w:val="000000"/>
          <w:sz w:val="24"/>
          <w:szCs w:val="24"/>
        </w:rPr>
        <w:t xml:space="preserve"> equalling less than one per day per site</w:t>
      </w:r>
      <w:r w:rsidR="00513717">
        <w:rPr>
          <w:rFonts w:cstheme="minorHAnsi"/>
          <w:color w:val="000000"/>
          <w:sz w:val="24"/>
          <w:szCs w:val="24"/>
        </w:rPr>
        <w:t xml:space="preserve"> on average. </w:t>
      </w:r>
    </w:p>
    <w:p w14:paraId="174BF5A9" w14:textId="77777777" w:rsidR="00513717" w:rsidRDefault="00513717" w:rsidP="00B64142">
      <w:pPr>
        <w:spacing w:before="120" w:after="120" w:line="360" w:lineRule="auto"/>
        <w:rPr>
          <w:rFonts w:cstheme="minorHAnsi"/>
          <w:color w:val="000000"/>
          <w:sz w:val="28"/>
          <w:szCs w:val="28"/>
        </w:rPr>
      </w:pPr>
    </w:p>
    <w:p w14:paraId="4EE6B9EA" w14:textId="1B729F0A" w:rsidR="00B05262" w:rsidRPr="00C270F4" w:rsidRDefault="003E08B0" w:rsidP="00B64142">
      <w:pPr>
        <w:spacing w:before="120" w:after="120" w:line="360" w:lineRule="auto"/>
        <w:rPr>
          <w:rFonts w:cstheme="minorHAnsi"/>
          <w:color w:val="000000"/>
          <w:sz w:val="24"/>
          <w:szCs w:val="24"/>
        </w:rPr>
      </w:pPr>
      <w:r w:rsidRPr="00C270F4">
        <w:rPr>
          <w:rFonts w:cstheme="minorHAnsi"/>
          <w:color w:val="000000"/>
          <w:sz w:val="24"/>
          <w:szCs w:val="24"/>
        </w:rPr>
        <w:lastRenderedPageBreak/>
        <w:t>Here</w:t>
      </w:r>
      <w:r w:rsidR="00B05262" w:rsidRPr="00C270F4">
        <w:rPr>
          <w:rFonts w:cstheme="minorHAnsi"/>
          <w:color w:val="000000"/>
          <w:sz w:val="24"/>
          <w:szCs w:val="24"/>
        </w:rPr>
        <w:t xml:space="preserve"> is an algorithm of a typical patient’s journey if they have a confirmed cancer diagnosis.</w:t>
      </w:r>
    </w:p>
    <w:p w14:paraId="5B0A59B1" w14:textId="77777777" w:rsidR="00387DF7" w:rsidRDefault="00B05262" w:rsidP="00B64142">
      <w:pPr>
        <w:spacing w:before="120" w:after="120" w:line="360" w:lineRule="auto"/>
        <w:rPr>
          <w:rFonts w:cstheme="minorHAnsi"/>
          <w:color w:val="000000"/>
          <w:sz w:val="28"/>
          <w:szCs w:val="28"/>
        </w:rPr>
      </w:pPr>
      <w:r w:rsidRPr="00351077">
        <w:rPr>
          <w:rFonts w:cstheme="minorHAnsi"/>
          <w:noProof/>
          <w:color w:val="000000"/>
          <w:sz w:val="28"/>
          <w:szCs w:val="28"/>
          <w:lang w:eastAsia="en-GB"/>
        </w:rPr>
        <w:drawing>
          <wp:inline distT="0" distB="0" distL="0" distR="0" wp14:anchorId="038A7B57" wp14:editId="71FDF16C">
            <wp:extent cx="6121400" cy="7429500"/>
            <wp:effectExtent l="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803F9F0" w14:textId="1A2F4E84" w:rsidR="009E52A3" w:rsidRPr="00C270F4" w:rsidRDefault="00C70729" w:rsidP="00B64142">
      <w:pPr>
        <w:spacing w:before="120" w:after="120" w:line="360" w:lineRule="auto"/>
        <w:rPr>
          <w:rFonts w:cstheme="minorHAnsi"/>
          <w:color w:val="000000"/>
          <w:sz w:val="24"/>
          <w:szCs w:val="24"/>
        </w:rPr>
      </w:pPr>
      <w:r w:rsidRPr="00C270F4">
        <w:rPr>
          <w:rFonts w:cstheme="minorHAnsi"/>
          <w:color w:val="000000"/>
          <w:sz w:val="24"/>
          <w:szCs w:val="24"/>
        </w:rPr>
        <w:t>I have been looking closely at this algorithm</w:t>
      </w:r>
      <w:r w:rsidR="00513717">
        <w:rPr>
          <w:rFonts w:cstheme="minorHAnsi"/>
          <w:color w:val="000000"/>
          <w:sz w:val="24"/>
          <w:szCs w:val="24"/>
        </w:rPr>
        <w:t>,</w:t>
      </w:r>
      <w:r w:rsidRPr="00C270F4">
        <w:rPr>
          <w:rFonts w:cstheme="minorHAnsi"/>
          <w:color w:val="000000"/>
          <w:sz w:val="24"/>
          <w:szCs w:val="24"/>
        </w:rPr>
        <w:t xml:space="preserve"> as the patients wait from test to surgery can be </w:t>
      </w:r>
      <w:r w:rsidR="00667C26" w:rsidRPr="00C270F4">
        <w:rPr>
          <w:rFonts w:cstheme="minorHAnsi"/>
          <w:color w:val="000000"/>
          <w:sz w:val="24"/>
          <w:szCs w:val="24"/>
        </w:rPr>
        <w:t>up to 20 weeks</w:t>
      </w:r>
      <w:r w:rsidR="00D348A1">
        <w:rPr>
          <w:rFonts w:cstheme="minorHAnsi"/>
          <w:color w:val="000000"/>
          <w:sz w:val="24"/>
          <w:szCs w:val="24"/>
        </w:rPr>
        <w:t>. F</w:t>
      </w:r>
      <w:r w:rsidR="00667C26" w:rsidRPr="00C270F4">
        <w:rPr>
          <w:rFonts w:cstheme="minorHAnsi"/>
          <w:color w:val="000000"/>
          <w:sz w:val="24"/>
          <w:szCs w:val="24"/>
        </w:rPr>
        <w:t>rom</w:t>
      </w:r>
      <w:r w:rsidR="000E2C63" w:rsidRPr="00C270F4">
        <w:rPr>
          <w:rFonts w:cstheme="minorHAnsi"/>
          <w:color w:val="000000"/>
          <w:sz w:val="24"/>
          <w:szCs w:val="24"/>
        </w:rPr>
        <w:t xml:space="preserve"> </w:t>
      </w:r>
      <w:r w:rsidR="009172B6" w:rsidRPr="00C270F4">
        <w:rPr>
          <w:rFonts w:cstheme="minorHAnsi"/>
          <w:color w:val="000000"/>
          <w:sz w:val="24"/>
          <w:szCs w:val="24"/>
        </w:rPr>
        <w:t>GP assessment to STT-Straight to test</w:t>
      </w:r>
      <w:r w:rsidR="00D348A1">
        <w:rPr>
          <w:rFonts w:cstheme="minorHAnsi"/>
          <w:color w:val="000000"/>
          <w:sz w:val="24"/>
          <w:szCs w:val="24"/>
        </w:rPr>
        <w:t xml:space="preserve"> can take two weeks. </w:t>
      </w:r>
      <w:r w:rsidR="009172B6" w:rsidRPr="00C270F4">
        <w:rPr>
          <w:rFonts w:cstheme="minorHAnsi"/>
          <w:color w:val="000000"/>
          <w:sz w:val="24"/>
          <w:szCs w:val="24"/>
          <w:shd w:val="clear" w:color="auto" w:fill="FFFFFF"/>
        </w:rPr>
        <w:t>Straight to Test (STT) pathways (where a diagnostic procedure is arranged as the first episode of care), enable patients to be given a diagnostic appointment within 2</w:t>
      </w:r>
      <w:r w:rsidR="00D348A1">
        <w:rPr>
          <w:rFonts w:cstheme="minorHAnsi"/>
          <w:color w:val="000000"/>
          <w:sz w:val="24"/>
          <w:szCs w:val="24"/>
          <w:shd w:val="clear" w:color="auto" w:fill="FFFFFF"/>
        </w:rPr>
        <w:t xml:space="preserve"> working weeks</w:t>
      </w:r>
      <w:r w:rsidR="009172B6" w:rsidRPr="00C270F4">
        <w:rPr>
          <w:rFonts w:cstheme="minorHAnsi"/>
          <w:color w:val="000000"/>
          <w:sz w:val="24"/>
          <w:szCs w:val="24"/>
          <w:shd w:val="clear" w:color="auto" w:fill="FFFFFF"/>
        </w:rPr>
        <w:t xml:space="preserve"> in place of an outpatient appointment.</w:t>
      </w:r>
      <w:r w:rsidR="001321FA" w:rsidRPr="00C270F4">
        <w:rPr>
          <w:rFonts w:cstheme="minorHAnsi"/>
          <w:color w:val="000000"/>
          <w:sz w:val="24"/>
          <w:szCs w:val="24"/>
          <w:shd w:val="clear" w:color="auto" w:fill="FFFFFF"/>
        </w:rPr>
        <w:t xml:space="preserve"> The advantage of an STT pathway is that</w:t>
      </w:r>
      <w:r w:rsidR="001321FA">
        <w:rPr>
          <w:rFonts w:ascii="Arial" w:hAnsi="Arial" w:cs="Arial"/>
          <w:color w:val="000000"/>
          <w:sz w:val="30"/>
          <w:szCs w:val="30"/>
          <w:shd w:val="clear" w:color="auto" w:fill="FFFFFF"/>
        </w:rPr>
        <w:t xml:space="preserve"> </w:t>
      </w:r>
      <w:r w:rsidR="001321FA" w:rsidRPr="00C270F4">
        <w:rPr>
          <w:rFonts w:cstheme="minorHAnsi"/>
          <w:color w:val="000000"/>
          <w:sz w:val="24"/>
          <w:szCs w:val="24"/>
          <w:shd w:val="clear" w:color="auto" w:fill="FFFFFF"/>
        </w:rPr>
        <w:t>it can reduce the time period from referral to diagnosis, and also enable earlier treatment (for example with STT endoscopy)</w:t>
      </w:r>
      <w:r w:rsidR="009E4859" w:rsidRPr="00C270F4">
        <w:rPr>
          <w:rFonts w:cstheme="minorHAnsi"/>
          <w:sz w:val="24"/>
          <w:szCs w:val="24"/>
        </w:rPr>
        <w:t xml:space="preserve"> (Smyth et al., 2016)</w:t>
      </w:r>
    </w:p>
    <w:p w14:paraId="05A43F13" w14:textId="1BC10575" w:rsidR="00B64142" w:rsidRPr="00C270F4" w:rsidRDefault="008B4625" w:rsidP="00B64142">
      <w:pPr>
        <w:spacing w:before="120" w:after="120" w:line="360" w:lineRule="auto"/>
        <w:rPr>
          <w:rFonts w:cstheme="minorHAnsi"/>
          <w:color w:val="000000"/>
          <w:sz w:val="24"/>
          <w:szCs w:val="24"/>
        </w:rPr>
      </w:pPr>
      <w:r w:rsidRPr="00C270F4">
        <w:rPr>
          <w:rFonts w:cstheme="minorHAnsi"/>
          <w:color w:val="000000"/>
          <w:sz w:val="24"/>
          <w:szCs w:val="24"/>
        </w:rPr>
        <w:lastRenderedPageBreak/>
        <w:t xml:space="preserve">Some </w:t>
      </w:r>
      <w:r w:rsidR="00964036" w:rsidRPr="00C270F4">
        <w:rPr>
          <w:rFonts w:cstheme="minorHAnsi"/>
          <w:color w:val="000000"/>
          <w:sz w:val="24"/>
          <w:szCs w:val="24"/>
        </w:rPr>
        <w:t xml:space="preserve">things such as, </w:t>
      </w:r>
      <w:r w:rsidR="00A85B20" w:rsidRPr="00C270F4">
        <w:rPr>
          <w:rFonts w:cstheme="minorHAnsi"/>
          <w:color w:val="000000"/>
          <w:sz w:val="24"/>
          <w:szCs w:val="24"/>
        </w:rPr>
        <w:t xml:space="preserve">awaiting </w:t>
      </w:r>
      <w:r w:rsidR="0078509E" w:rsidRPr="00C270F4">
        <w:rPr>
          <w:rFonts w:cstheme="minorHAnsi"/>
          <w:color w:val="000000"/>
          <w:sz w:val="24"/>
          <w:szCs w:val="24"/>
        </w:rPr>
        <w:t xml:space="preserve">an EUS (endoscopic ultrasound) </w:t>
      </w:r>
      <w:r w:rsidR="005C1515" w:rsidRPr="00C270F4">
        <w:rPr>
          <w:rFonts w:cstheme="minorHAnsi"/>
          <w:color w:val="000000"/>
          <w:sz w:val="24"/>
          <w:szCs w:val="24"/>
        </w:rPr>
        <w:t>cannot be expedited as there is only the one doctor able to complete them</w:t>
      </w:r>
      <w:r w:rsidR="00BD1361" w:rsidRPr="00C270F4">
        <w:rPr>
          <w:rFonts w:cstheme="minorHAnsi"/>
          <w:color w:val="000000"/>
          <w:sz w:val="24"/>
          <w:szCs w:val="24"/>
        </w:rPr>
        <w:t xml:space="preserve"> and only allocated days they are performed on. The same reason for oncology and </w:t>
      </w:r>
      <w:r w:rsidR="00935CB9" w:rsidRPr="00C270F4">
        <w:rPr>
          <w:rFonts w:cstheme="minorHAnsi"/>
          <w:color w:val="000000"/>
          <w:sz w:val="24"/>
          <w:szCs w:val="24"/>
        </w:rPr>
        <w:t xml:space="preserve">surgeon outpatient appointments, these are on set clinic days </w:t>
      </w:r>
      <w:r w:rsidR="00E62032" w:rsidRPr="00C270F4">
        <w:rPr>
          <w:rFonts w:cstheme="minorHAnsi"/>
          <w:color w:val="000000"/>
          <w:sz w:val="24"/>
          <w:szCs w:val="24"/>
        </w:rPr>
        <w:t>with allocated consultants.</w:t>
      </w:r>
      <w:r w:rsidR="005C1515" w:rsidRPr="00C270F4">
        <w:rPr>
          <w:rFonts w:cstheme="minorHAnsi"/>
          <w:color w:val="000000"/>
          <w:sz w:val="24"/>
          <w:szCs w:val="24"/>
        </w:rPr>
        <w:t xml:space="preserve"> </w:t>
      </w:r>
      <w:r w:rsidR="00E048E4" w:rsidRPr="00C270F4">
        <w:rPr>
          <w:rFonts w:cstheme="minorHAnsi"/>
          <w:color w:val="000000"/>
          <w:sz w:val="24"/>
          <w:szCs w:val="24"/>
        </w:rPr>
        <w:t>This led me to look into patients having a CT scan the same day as their endoscopy. Th</w:t>
      </w:r>
      <w:r w:rsidR="002969C6" w:rsidRPr="00C270F4">
        <w:rPr>
          <w:rFonts w:cstheme="minorHAnsi"/>
          <w:color w:val="000000"/>
          <w:sz w:val="24"/>
          <w:szCs w:val="24"/>
        </w:rPr>
        <w:t>i</w:t>
      </w:r>
      <w:r w:rsidR="00E048E4" w:rsidRPr="00C270F4">
        <w:rPr>
          <w:rFonts w:cstheme="minorHAnsi"/>
          <w:color w:val="000000"/>
          <w:sz w:val="24"/>
          <w:szCs w:val="24"/>
        </w:rPr>
        <w:t xml:space="preserve">s would </w:t>
      </w:r>
      <w:r w:rsidR="002757B0" w:rsidRPr="00C270F4">
        <w:rPr>
          <w:rFonts w:cstheme="minorHAnsi"/>
          <w:color w:val="000000"/>
          <w:sz w:val="24"/>
          <w:szCs w:val="24"/>
        </w:rPr>
        <w:t>cut the wait by two weeks, sometimes more</w:t>
      </w:r>
      <w:r w:rsidR="002969C6" w:rsidRPr="00C270F4">
        <w:rPr>
          <w:rFonts w:cstheme="minorHAnsi"/>
          <w:color w:val="000000"/>
          <w:sz w:val="24"/>
          <w:szCs w:val="24"/>
        </w:rPr>
        <w:t xml:space="preserve">, </w:t>
      </w:r>
      <w:r w:rsidR="002757B0" w:rsidRPr="00C270F4">
        <w:rPr>
          <w:rFonts w:cstheme="minorHAnsi"/>
          <w:color w:val="000000"/>
          <w:sz w:val="24"/>
          <w:szCs w:val="24"/>
        </w:rPr>
        <w:t>depending on waiting lists</w:t>
      </w:r>
      <w:r w:rsidR="00012407" w:rsidRPr="00C270F4">
        <w:rPr>
          <w:rFonts w:cstheme="minorHAnsi"/>
          <w:color w:val="000000"/>
          <w:sz w:val="24"/>
          <w:szCs w:val="24"/>
        </w:rPr>
        <w:t xml:space="preserve"> and back log</w:t>
      </w:r>
      <w:r w:rsidR="002757B0" w:rsidRPr="00C270F4">
        <w:rPr>
          <w:rFonts w:cstheme="minorHAnsi"/>
          <w:color w:val="000000"/>
          <w:sz w:val="24"/>
          <w:szCs w:val="24"/>
        </w:rPr>
        <w:t xml:space="preserve">. </w:t>
      </w:r>
      <w:r w:rsidR="00774D90" w:rsidRPr="00C270F4">
        <w:rPr>
          <w:rFonts w:cstheme="minorHAnsi"/>
          <w:color w:val="000000"/>
          <w:sz w:val="24"/>
          <w:szCs w:val="24"/>
        </w:rPr>
        <w:t xml:space="preserve">I believe this would be most beneficial to the patient as they are already in the hospital setting. </w:t>
      </w:r>
      <w:r w:rsidR="006E6698" w:rsidRPr="00C270F4">
        <w:rPr>
          <w:rFonts w:cstheme="minorHAnsi"/>
          <w:color w:val="000000"/>
          <w:sz w:val="24"/>
          <w:szCs w:val="24"/>
        </w:rPr>
        <w:t xml:space="preserve">They have already trawled the car park for a space, they have </w:t>
      </w:r>
      <w:r w:rsidR="00E62032" w:rsidRPr="00C270F4">
        <w:rPr>
          <w:rFonts w:cstheme="minorHAnsi"/>
          <w:color w:val="000000"/>
          <w:sz w:val="24"/>
          <w:szCs w:val="24"/>
        </w:rPr>
        <w:t xml:space="preserve">also </w:t>
      </w:r>
      <w:r w:rsidR="006E6698" w:rsidRPr="00C270F4">
        <w:rPr>
          <w:rFonts w:cstheme="minorHAnsi"/>
          <w:color w:val="000000"/>
          <w:sz w:val="24"/>
          <w:szCs w:val="24"/>
        </w:rPr>
        <w:t xml:space="preserve">already, possibly, taken the day off work to attend. </w:t>
      </w:r>
      <w:r w:rsidR="00D348A1">
        <w:rPr>
          <w:rFonts w:cstheme="minorHAnsi"/>
          <w:color w:val="000000"/>
          <w:sz w:val="24"/>
          <w:szCs w:val="24"/>
        </w:rPr>
        <w:t xml:space="preserve">The patient, by this point could be extremely anxious regarding a possible cancer diagnosis so having a CT the same day as opposed to waiting for weeks will hopefully eliminate some of that anxiousness for them. </w:t>
      </w:r>
    </w:p>
    <w:p w14:paraId="420565D4" w14:textId="71E8EEF9" w:rsidR="00681CC2" w:rsidRPr="00C270F4" w:rsidRDefault="00681CC2" w:rsidP="00B64142">
      <w:pPr>
        <w:spacing w:before="120" w:after="120" w:line="360" w:lineRule="auto"/>
        <w:rPr>
          <w:rFonts w:cstheme="minorHAnsi"/>
          <w:color w:val="000000"/>
          <w:sz w:val="24"/>
          <w:szCs w:val="24"/>
        </w:rPr>
      </w:pPr>
      <w:r w:rsidRPr="00C270F4">
        <w:rPr>
          <w:rFonts w:cstheme="minorHAnsi"/>
          <w:color w:val="000000"/>
          <w:sz w:val="24"/>
          <w:szCs w:val="24"/>
        </w:rPr>
        <w:t xml:space="preserve">Several factors I will need to take into consideration for this to be implemented. The first being, blood tests. The patient will have needed to have had a </w:t>
      </w:r>
      <w:r w:rsidR="005C55A4" w:rsidRPr="00C270F4">
        <w:rPr>
          <w:rFonts w:cstheme="minorHAnsi"/>
          <w:color w:val="000000"/>
          <w:sz w:val="24"/>
          <w:szCs w:val="24"/>
        </w:rPr>
        <w:t xml:space="preserve">blood test, testing the </w:t>
      </w:r>
      <w:r w:rsidR="008B2B9D" w:rsidRPr="00C270F4">
        <w:rPr>
          <w:rFonts w:cstheme="minorHAnsi"/>
          <w:color w:val="000000"/>
          <w:sz w:val="24"/>
          <w:szCs w:val="24"/>
        </w:rPr>
        <w:t>patient’s</w:t>
      </w:r>
      <w:r w:rsidR="005C55A4" w:rsidRPr="00C270F4">
        <w:rPr>
          <w:rFonts w:cstheme="minorHAnsi"/>
          <w:color w:val="000000"/>
          <w:sz w:val="24"/>
          <w:szCs w:val="24"/>
        </w:rPr>
        <w:t xml:space="preserve"> creatinine</w:t>
      </w:r>
      <w:r w:rsidR="00A67372" w:rsidRPr="00C270F4">
        <w:rPr>
          <w:rFonts w:cstheme="minorHAnsi"/>
          <w:color w:val="000000"/>
          <w:sz w:val="24"/>
          <w:szCs w:val="24"/>
        </w:rPr>
        <w:t xml:space="preserve"> </w:t>
      </w:r>
      <w:r w:rsidR="007B6842" w:rsidRPr="00C270F4">
        <w:rPr>
          <w:rFonts w:cstheme="minorHAnsi"/>
          <w:color w:val="000000"/>
          <w:sz w:val="24"/>
          <w:szCs w:val="24"/>
        </w:rPr>
        <w:t xml:space="preserve">level </w:t>
      </w:r>
      <w:r w:rsidR="00A67372" w:rsidRPr="00C270F4">
        <w:rPr>
          <w:rFonts w:cstheme="minorHAnsi"/>
          <w:color w:val="000000"/>
          <w:sz w:val="24"/>
          <w:szCs w:val="24"/>
        </w:rPr>
        <w:t>and liver function</w:t>
      </w:r>
      <w:r w:rsidR="005C55A4" w:rsidRPr="00C270F4">
        <w:rPr>
          <w:rFonts w:cstheme="minorHAnsi"/>
          <w:color w:val="000000"/>
          <w:sz w:val="24"/>
          <w:szCs w:val="24"/>
        </w:rPr>
        <w:t>, as during the CT scan the patients are injected with a dye</w:t>
      </w:r>
      <w:r w:rsidR="008B2B9D" w:rsidRPr="00C270F4">
        <w:rPr>
          <w:rFonts w:cstheme="minorHAnsi"/>
          <w:color w:val="000000"/>
          <w:sz w:val="24"/>
          <w:szCs w:val="24"/>
        </w:rPr>
        <w:t>, w</w:t>
      </w:r>
      <w:r w:rsidR="005C55A4" w:rsidRPr="00C270F4">
        <w:rPr>
          <w:rFonts w:cstheme="minorHAnsi"/>
          <w:color w:val="000000"/>
          <w:sz w:val="24"/>
          <w:szCs w:val="24"/>
        </w:rPr>
        <w:t>e need to ensure the patients liver and kidneys are in good working order to be able to process this dye/contrast.</w:t>
      </w:r>
      <w:r w:rsidR="0074048F" w:rsidRPr="00C270F4">
        <w:rPr>
          <w:rFonts w:cstheme="minorHAnsi"/>
          <w:color w:val="000000"/>
          <w:sz w:val="24"/>
          <w:szCs w:val="24"/>
        </w:rPr>
        <w:t xml:space="preserve"> The radiologists can work with a creatinine and liver function test taken within the last eight weeks. </w:t>
      </w:r>
      <w:r w:rsidR="003B7856" w:rsidRPr="00C270F4">
        <w:rPr>
          <w:rFonts w:cstheme="minorHAnsi"/>
          <w:color w:val="000000"/>
          <w:sz w:val="24"/>
          <w:szCs w:val="24"/>
        </w:rPr>
        <w:t>Therefore,</w:t>
      </w:r>
      <w:r w:rsidR="00A67372" w:rsidRPr="00C270F4">
        <w:rPr>
          <w:rFonts w:cstheme="minorHAnsi"/>
          <w:color w:val="000000"/>
          <w:sz w:val="24"/>
          <w:szCs w:val="24"/>
        </w:rPr>
        <w:t xml:space="preserve"> we need to work closely with endoscopy staff to ensure the patients that have a possible cancer diagnosis during the procedure have an </w:t>
      </w:r>
      <w:r w:rsidR="003B7856" w:rsidRPr="00C270F4">
        <w:rPr>
          <w:rFonts w:cstheme="minorHAnsi"/>
          <w:color w:val="000000"/>
          <w:sz w:val="24"/>
          <w:szCs w:val="24"/>
        </w:rPr>
        <w:t>up-to-date</w:t>
      </w:r>
      <w:r w:rsidR="00A67372" w:rsidRPr="00C270F4">
        <w:rPr>
          <w:rFonts w:cstheme="minorHAnsi"/>
          <w:color w:val="000000"/>
          <w:sz w:val="24"/>
          <w:szCs w:val="24"/>
        </w:rPr>
        <w:t xml:space="preserve"> </w:t>
      </w:r>
      <w:r w:rsidR="006E2997" w:rsidRPr="00C270F4">
        <w:rPr>
          <w:rFonts w:cstheme="minorHAnsi"/>
          <w:color w:val="000000"/>
          <w:sz w:val="24"/>
          <w:szCs w:val="24"/>
        </w:rPr>
        <w:t>blood test</w:t>
      </w:r>
      <w:r w:rsidR="00D348A1">
        <w:rPr>
          <w:rFonts w:cstheme="minorHAnsi"/>
          <w:color w:val="000000"/>
          <w:sz w:val="24"/>
          <w:szCs w:val="24"/>
        </w:rPr>
        <w:t>,</w:t>
      </w:r>
      <w:r w:rsidR="006E2997" w:rsidRPr="00C270F4">
        <w:rPr>
          <w:rFonts w:cstheme="minorHAnsi"/>
          <w:color w:val="000000"/>
          <w:sz w:val="24"/>
          <w:szCs w:val="24"/>
        </w:rPr>
        <w:t xml:space="preserve"> testing their levels. </w:t>
      </w:r>
      <w:r w:rsidR="00CB06B9" w:rsidRPr="00C270F4">
        <w:rPr>
          <w:rFonts w:cstheme="minorHAnsi"/>
          <w:color w:val="000000"/>
          <w:sz w:val="24"/>
          <w:szCs w:val="24"/>
        </w:rPr>
        <w:t xml:space="preserve">If not, endoscopy staff are all fully trained in phlebotomy and can take the blood following the procedure. </w:t>
      </w:r>
      <w:r w:rsidR="003A2E50" w:rsidRPr="00C270F4">
        <w:rPr>
          <w:rFonts w:cstheme="minorHAnsi"/>
          <w:color w:val="000000"/>
          <w:sz w:val="24"/>
          <w:szCs w:val="24"/>
        </w:rPr>
        <w:t xml:space="preserve">It is a simple </w:t>
      </w:r>
      <w:r w:rsidR="000063AC" w:rsidRPr="00C270F4">
        <w:rPr>
          <w:rFonts w:cstheme="minorHAnsi"/>
          <w:color w:val="000000"/>
          <w:sz w:val="24"/>
          <w:szCs w:val="24"/>
        </w:rPr>
        <w:t>fifteen-minute</w:t>
      </w:r>
      <w:r w:rsidR="003A2E50" w:rsidRPr="00C270F4">
        <w:rPr>
          <w:rFonts w:cstheme="minorHAnsi"/>
          <w:color w:val="000000"/>
          <w:sz w:val="24"/>
          <w:szCs w:val="24"/>
        </w:rPr>
        <w:t xml:space="preserve"> wait for the patient for the blood sample to be processed</w:t>
      </w:r>
      <w:r w:rsidR="00D348A1">
        <w:rPr>
          <w:rFonts w:cstheme="minorHAnsi"/>
          <w:color w:val="000000"/>
          <w:sz w:val="24"/>
          <w:szCs w:val="24"/>
        </w:rPr>
        <w:t xml:space="preserve"> in our laboratory. </w:t>
      </w:r>
      <w:r w:rsidR="00D03F80" w:rsidRPr="00C270F4">
        <w:rPr>
          <w:rFonts w:cstheme="minorHAnsi"/>
          <w:color w:val="000000"/>
          <w:sz w:val="24"/>
          <w:szCs w:val="24"/>
        </w:rPr>
        <w:t xml:space="preserve">This will allow us the time to take the CT request to the CT department, which is a short walk from endoscopy. </w:t>
      </w:r>
    </w:p>
    <w:p w14:paraId="4F62A693" w14:textId="2240FE63" w:rsidR="006E2997" w:rsidRPr="00C270F4" w:rsidRDefault="006E2997" w:rsidP="00B64142">
      <w:pPr>
        <w:spacing w:before="120" w:after="120" w:line="360" w:lineRule="auto"/>
        <w:rPr>
          <w:rFonts w:cstheme="minorHAnsi"/>
          <w:sz w:val="24"/>
          <w:szCs w:val="24"/>
        </w:rPr>
      </w:pPr>
      <w:r w:rsidRPr="00C270F4">
        <w:rPr>
          <w:rFonts w:cstheme="minorHAnsi"/>
          <w:color w:val="000000"/>
          <w:sz w:val="24"/>
          <w:szCs w:val="24"/>
        </w:rPr>
        <w:t xml:space="preserve">Another factor to consider is consent. A patient is likely to have sedation during their procedure so </w:t>
      </w:r>
      <w:r w:rsidR="004336DF" w:rsidRPr="00C270F4">
        <w:rPr>
          <w:rFonts w:cstheme="minorHAnsi"/>
          <w:color w:val="000000"/>
          <w:sz w:val="24"/>
          <w:szCs w:val="24"/>
        </w:rPr>
        <w:t>we would have to gain consent for CT prior to the endoscopy procedure</w:t>
      </w:r>
      <w:r w:rsidR="007104D5" w:rsidRPr="00C270F4">
        <w:rPr>
          <w:rFonts w:cstheme="minorHAnsi"/>
          <w:color w:val="000000"/>
          <w:sz w:val="24"/>
          <w:szCs w:val="24"/>
        </w:rPr>
        <w:t xml:space="preserve"> as the patient needs to have full capacity when agreeing to a medical procedure. </w:t>
      </w:r>
      <w:r w:rsidR="004336DF" w:rsidRPr="00C270F4">
        <w:rPr>
          <w:rFonts w:cstheme="minorHAnsi"/>
          <w:color w:val="000000"/>
          <w:sz w:val="24"/>
          <w:szCs w:val="24"/>
        </w:rPr>
        <w:t xml:space="preserve">This is where we will get the Doctors on board to </w:t>
      </w:r>
      <w:r w:rsidR="003B7856" w:rsidRPr="00C270F4">
        <w:rPr>
          <w:rFonts w:cstheme="minorHAnsi"/>
          <w:color w:val="000000"/>
          <w:sz w:val="24"/>
          <w:szCs w:val="24"/>
        </w:rPr>
        <w:t xml:space="preserve">discuss the need for a possible CT scan during the consent process. </w:t>
      </w:r>
      <w:r w:rsidR="002F75AE" w:rsidRPr="00C270F4">
        <w:rPr>
          <w:rFonts w:cstheme="minorHAnsi"/>
          <w:color w:val="000000"/>
          <w:sz w:val="24"/>
          <w:szCs w:val="24"/>
        </w:rPr>
        <w:t xml:space="preserve">Patient consent to treatment </w:t>
      </w:r>
      <w:r w:rsidR="00E359F4" w:rsidRPr="00C270F4">
        <w:rPr>
          <w:rFonts w:cstheme="minorHAnsi"/>
          <w:color w:val="000000"/>
          <w:sz w:val="24"/>
          <w:szCs w:val="24"/>
        </w:rPr>
        <w:t>is a legal requirement for medical care</w:t>
      </w:r>
      <w:r w:rsidR="005F67D5" w:rsidRPr="00C270F4">
        <w:rPr>
          <w:rFonts w:cstheme="minorHAnsi"/>
          <w:color w:val="000000"/>
          <w:sz w:val="24"/>
          <w:szCs w:val="24"/>
        </w:rPr>
        <w:t>. It is good practice t</w:t>
      </w:r>
      <w:r w:rsidR="00016E9A" w:rsidRPr="00C270F4">
        <w:rPr>
          <w:rFonts w:cstheme="minorHAnsi"/>
          <w:color w:val="000000"/>
          <w:sz w:val="24"/>
          <w:szCs w:val="24"/>
        </w:rPr>
        <w:t>hat we</w:t>
      </w:r>
      <w:r w:rsidR="005F67D5" w:rsidRPr="00C270F4">
        <w:rPr>
          <w:rFonts w:cstheme="minorHAnsi"/>
          <w:color w:val="000000"/>
          <w:sz w:val="24"/>
          <w:szCs w:val="24"/>
        </w:rPr>
        <w:t xml:space="preserve"> </w:t>
      </w:r>
      <w:r w:rsidR="00FC147D" w:rsidRPr="00C270F4">
        <w:rPr>
          <w:rFonts w:cstheme="minorHAnsi"/>
          <w:color w:val="000000"/>
          <w:sz w:val="24"/>
          <w:szCs w:val="24"/>
        </w:rPr>
        <w:t>ensure consent is given in the appropriate environment</w:t>
      </w:r>
      <w:r w:rsidR="000E11DA" w:rsidRPr="00C270F4">
        <w:rPr>
          <w:rFonts w:cstheme="minorHAnsi"/>
          <w:color w:val="000000"/>
          <w:sz w:val="24"/>
          <w:szCs w:val="24"/>
        </w:rPr>
        <w:t>, in the proper manner and in the presence of appropriate and relevant information.</w:t>
      </w:r>
      <w:r w:rsidR="00FF3318" w:rsidRPr="00C270F4">
        <w:rPr>
          <w:rFonts w:cstheme="minorHAnsi"/>
          <w:sz w:val="24"/>
          <w:szCs w:val="24"/>
        </w:rPr>
        <w:t xml:space="preserve"> (Appelbaum et al., 1987)</w:t>
      </w:r>
    </w:p>
    <w:p w14:paraId="5670B4FC" w14:textId="77777777" w:rsidR="006B4D4A" w:rsidRPr="00C270F4" w:rsidRDefault="006B4D4A" w:rsidP="00B64142">
      <w:pPr>
        <w:spacing w:before="120" w:after="120" w:line="360" w:lineRule="auto"/>
        <w:rPr>
          <w:rFonts w:cstheme="minorHAnsi"/>
          <w:sz w:val="24"/>
          <w:szCs w:val="24"/>
        </w:rPr>
      </w:pPr>
    </w:p>
    <w:p w14:paraId="1025173E" w14:textId="1ACC413D" w:rsidR="00B204D9" w:rsidRPr="00C270F4" w:rsidRDefault="008C3784" w:rsidP="008C3784">
      <w:pPr>
        <w:spacing w:line="288" w:lineRule="auto"/>
        <w:rPr>
          <w:rFonts w:eastAsia="Calibri" w:cstheme="minorHAnsi"/>
          <w:kern w:val="24"/>
          <w:sz w:val="24"/>
          <w:szCs w:val="24"/>
        </w:rPr>
      </w:pPr>
      <w:r w:rsidRPr="00C270F4">
        <w:rPr>
          <w:rFonts w:eastAsia="Calibri" w:cstheme="minorHAnsi"/>
          <w:kern w:val="24"/>
          <w:sz w:val="24"/>
          <w:szCs w:val="24"/>
        </w:rPr>
        <w:t xml:space="preserve">The </w:t>
      </w:r>
      <w:r w:rsidR="00D348A1">
        <w:rPr>
          <w:rFonts w:eastAsia="Calibri" w:cstheme="minorHAnsi"/>
          <w:kern w:val="24"/>
          <w:sz w:val="24"/>
          <w:szCs w:val="24"/>
        </w:rPr>
        <w:t xml:space="preserve">same day CT scan </w:t>
      </w:r>
      <w:r w:rsidRPr="00C270F4">
        <w:rPr>
          <w:rFonts w:eastAsia="Calibri" w:cstheme="minorHAnsi"/>
          <w:kern w:val="24"/>
          <w:sz w:val="24"/>
          <w:szCs w:val="24"/>
        </w:rPr>
        <w:t>project aims to remove unnecessary delay by ensuring that patients have their scan immediately following their endoscopy, or within the next working day.</w:t>
      </w:r>
      <w:r w:rsidR="006D70F7" w:rsidRPr="00C270F4">
        <w:rPr>
          <w:rFonts w:eastAsia="Calibri" w:cstheme="minorHAnsi"/>
          <w:kern w:val="24"/>
          <w:sz w:val="24"/>
          <w:szCs w:val="24"/>
        </w:rPr>
        <w:t xml:space="preserve"> </w:t>
      </w:r>
    </w:p>
    <w:p w14:paraId="6D738B32" w14:textId="77777777" w:rsidR="00B204D9" w:rsidRPr="00C270F4" w:rsidRDefault="00B204D9" w:rsidP="008C3784">
      <w:pPr>
        <w:spacing w:line="288" w:lineRule="auto"/>
        <w:rPr>
          <w:rFonts w:eastAsia="Calibri" w:cstheme="minorHAnsi"/>
          <w:kern w:val="24"/>
          <w:sz w:val="24"/>
          <w:szCs w:val="24"/>
        </w:rPr>
      </w:pPr>
    </w:p>
    <w:p w14:paraId="37202982" w14:textId="28EF8CB1" w:rsidR="008C3784" w:rsidRPr="00C270F4" w:rsidRDefault="006D70F7" w:rsidP="008C3784">
      <w:pPr>
        <w:spacing w:line="288" w:lineRule="auto"/>
        <w:rPr>
          <w:rFonts w:eastAsia="Calibri" w:cstheme="minorHAnsi"/>
          <w:kern w:val="24"/>
          <w:sz w:val="24"/>
          <w:szCs w:val="24"/>
        </w:rPr>
      </w:pPr>
      <w:r w:rsidRPr="00C270F4">
        <w:rPr>
          <w:rFonts w:eastAsia="Calibri" w:cstheme="minorHAnsi"/>
          <w:kern w:val="24"/>
          <w:sz w:val="24"/>
          <w:szCs w:val="24"/>
        </w:rPr>
        <w:t xml:space="preserve">The objectives </w:t>
      </w:r>
      <w:r w:rsidR="00266A4F" w:rsidRPr="00C270F4">
        <w:rPr>
          <w:rFonts w:eastAsia="Calibri" w:cstheme="minorHAnsi"/>
          <w:kern w:val="24"/>
          <w:sz w:val="24"/>
          <w:szCs w:val="24"/>
        </w:rPr>
        <w:t xml:space="preserve">of this project </w:t>
      </w:r>
      <w:r w:rsidRPr="00C270F4">
        <w:rPr>
          <w:rFonts w:eastAsia="Calibri" w:cstheme="minorHAnsi"/>
          <w:kern w:val="24"/>
          <w:sz w:val="24"/>
          <w:szCs w:val="24"/>
        </w:rPr>
        <w:t xml:space="preserve">being that patients </w:t>
      </w:r>
      <w:r w:rsidR="00B204D9" w:rsidRPr="00C270F4">
        <w:rPr>
          <w:rFonts w:eastAsia="Calibri" w:cstheme="minorHAnsi"/>
          <w:kern w:val="24"/>
          <w:sz w:val="24"/>
          <w:szCs w:val="24"/>
        </w:rPr>
        <w:t xml:space="preserve">are kept in their best nutritional state. If a patient </w:t>
      </w:r>
      <w:r w:rsidR="00A66358" w:rsidRPr="00C270F4">
        <w:rPr>
          <w:rFonts w:eastAsia="Calibri" w:cstheme="minorHAnsi"/>
          <w:kern w:val="24"/>
          <w:sz w:val="24"/>
          <w:szCs w:val="24"/>
        </w:rPr>
        <w:t>was to be kept waiting for scans for a long period of time their dysphagic symptom</w:t>
      </w:r>
      <w:r w:rsidR="00D348A1">
        <w:rPr>
          <w:rFonts w:eastAsia="Calibri" w:cstheme="minorHAnsi"/>
          <w:kern w:val="24"/>
          <w:sz w:val="24"/>
          <w:szCs w:val="24"/>
        </w:rPr>
        <w:t>s</w:t>
      </w:r>
      <w:r w:rsidR="00A66358" w:rsidRPr="00C270F4">
        <w:rPr>
          <w:rFonts w:eastAsia="Calibri" w:cstheme="minorHAnsi"/>
          <w:kern w:val="24"/>
          <w:sz w:val="24"/>
          <w:szCs w:val="24"/>
        </w:rPr>
        <w:t xml:space="preserve"> would become worse and we would then have to think about artificial feeding</w:t>
      </w:r>
      <w:r w:rsidR="00C317D8" w:rsidRPr="00C270F4">
        <w:rPr>
          <w:rFonts w:eastAsia="Calibri" w:cstheme="minorHAnsi"/>
          <w:kern w:val="24"/>
          <w:sz w:val="24"/>
          <w:szCs w:val="24"/>
        </w:rPr>
        <w:t xml:space="preserve"> or stent placement allowing the patient to be able to eat and drink. If a stent is placed the patient would then be deemed as non-operable as our surgeons cannot </w:t>
      </w:r>
      <w:r w:rsidR="00C317D8" w:rsidRPr="00C270F4">
        <w:rPr>
          <w:rFonts w:eastAsia="Calibri" w:cstheme="minorHAnsi"/>
          <w:kern w:val="24"/>
          <w:sz w:val="24"/>
          <w:szCs w:val="24"/>
        </w:rPr>
        <w:lastRenderedPageBreak/>
        <w:t xml:space="preserve">operate with a stent in place. </w:t>
      </w:r>
      <w:r w:rsidR="002A5939" w:rsidRPr="00C270F4">
        <w:rPr>
          <w:rFonts w:eastAsia="Calibri" w:cstheme="minorHAnsi"/>
          <w:kern w:val="24"/>
          <w:sz w:val="24"/>
          <w:szCs w:val="24"/>
        </w:rPr>
        <w:t xml:space="preserve">If patient was to be artificially fed this can be extremely </w:t>
      </w:r>
      <w:r w:rsidR="002D29AC" w:rsidRPr="00C270F4">
        <w:rPr>
          <w:rFonts w:eastAsia="Calibri" w:cstheme="minorHAnsi"/>
          <w:kern w:val="24"/>
          <w:sz w:val="24"/>
          <w:szCs w:val="24"/>
        </w:rPr>
        <w:t>troublesome and stressful for a patient that could, in fact be palliative</w:t>
      </w:r>
      <w:r w:rsidR="0083040E" w:rsidRPr="00C270F4">
        <w:rPr>
          <w:rFonts w:eastAsia="Calibri" w:cstheme="minorHAnsi"/>
          <w:kern w:val="24"/>
          <w:sz w:val="24"/>
          <w:szCs w:val="24"/>
        </w:rPr>
        <w:t xml:space="preserve"> (non-curable). We need this project to be actioned as patients are managed in a time appropriate manner and are kept at the best performance status for potential</w:t>
      </w:r>
      <w:r w:rsidR="006806EA" w:rsidRPr="00C270F4">
        <w:rPr>
          <w:rFonts w:eastAsia="Calibri" w:cstheme="minorHAnsi"/>
          <w:kern w:val="24"/>
          <w:sz w:val="24"/>
          <w:szCs w:val="24"/>
        </w:rPr>
        <w:t xml:space="preserve">ly curable surgery options. </w:t>
      </w:r>
    </w:p>
    <w:p w14:paraId="3C73A686" w14:textId="7EAA4C94" w:rsidR="005373A4" w:rsidRPr="00C270F4" w:rsidRDefault="00656598" w:rsidP="005373A4">
      <w:pPr>
        <w:spacing w:line="288" w:lineRule="auto"/>
        <w:rPr>
          <w:rFonts w:eastAsia="Times New Roman" w:cstheme="minorHAnsi"/>
          <w:sz w:val="24"/>
          <w:szCs w:val="24"/>
        </w:rPr>
      </w:pPr>
      <w:r w:rsidRPr="00C270F4">
        <w:rPr>
          <w:rFonts w:eastAsia="Calibri" w:cstheme="minorHAnsi"/>
          <w:kern w:val="24"/>
          <w:sz w:val="24"/>
          <w:szCs w:val="24"/>
        </w:rPr>
        <w:t xml:space="preserve">The outcome of this project could </w:t>
      </w:r>
      <w:r w:rsidR="005373A4" w:rsidRPr="00C270F4">
        <w:rPr>
          <w:rFonts w:eastAsia="Calibri" w:cstheme="minorHAnsi"/>
          <w:kern w:val="24"/>
          <w:sz w:val="24"/>
          <w:szCs w:val="24"/>
        </w:rPr>
        <w:t xml:space="preserve">result in: </w:t>
      </w:r>
    </w:p>
    <w:p w14:paraId="4CC078E3" w14:textId="3DF35E41" w:rsidR="00656598" w:rsidRPr="00C270F4" w:rsidRDefault="00656598" w:rsidP="00656598">
      <w:pPr>
        <w:pStyle w:val="ListParagraph"/>
        <w:numPr>
          <w:ilvl w:val="0"/>
          <w:numId w:val="2"/>
        </w:numPr>
        <w:spacing w:line="288" w:lineRule="auto"/>
        <w:rPr>
          <w:rFonts w:asciiTheme="minorHAnsi" w:hAnsiTheme="minorHAnsi" w:cstheme="minorHAnsi"/>
        </w:rPr>
      </w:pPr>
      <w:r w:rsidRPr="00C270F4">
        <w:rPr>
          <w:rFonts w:asciiTheme="minorHAnsi" w:eastAsia="+mn-ea" w:hAnsiTheme="minorHAnsi" w:cstheme="minorHAnsi"/>
          <w:kern w:val="24"/>
        </w:rPr>
        <w:t>Reduction in the time to diagnosis for upper GI patients and improved compliance with national optimal pathways</w:t>
      </w:r>
    </w:p>
    <w:p w14:paraId="0EEA6E84" w14:textId="77777777" w:rsidR="00656598" w:rsidRPr="00C270F4" w:rsidRDefault="00656598" w:rsidP="00656598">
      <w:pPr>
        <w:pStyle w:val="ListParagraph"/>
        <w:numPr>
          <w:ilvl w:val="0"/>
          <w:numId w:val="2"/>
        </w:numPr>
        <w:spacing w:line="288" w:lineRule="auto"/>
        <w:rPr>
          <w:rFonts w:asciiTheme="minorHAnsi" w:hAnsiTheme="minorHAnsi" w:cstheme="minorHAnsi"/>
        </w:rPr>
      </w:pPr>
      <w:r w:rsidRPr="00C270F4">
        <w:rPr>
          <w:rFonts w:asciiTheme="minorHAnsi" w:eastAsia="+mn-ea" w:hAnsiTheme="minorHAnsi" w:cstheme="minorHAnsi"/>
          <w:kern w:val="24"/>
        </w:rPr>
        <w:t xml:space="preserve">Reduction in the average waiting time from endoscopy to staging CT from 14+ days to 1 day. </w:t>
      </w:r>
    </w:p>
    <w:p w14:paraId="529E6D75" w14:textId="7A24E378" w:rsidR="00656598" w:rsidRPr="00C270F4" w:rsidRDefault="00656598" w:rsidP="00656598">
      <w:pPr>
        <w:pStyle w:val="ListParagraph"/>
        <w:numPr>
          <w:ilvl w:val="0"/>
          <w:numId w:val="2"/>
        </w:numPr>
        <w:spacing w:line="288" w:lineRule="auto"/>
        <w:rPr>
          <w:rFonts w:asciiTheme="minorHAnsi" w:hAnsiTheme="minorHAnsi" w:cstheme="minorHAnsi"/>
        </w:rPr>
      </w:pPr>
      <w:r w:rsidRPr="00C270F4">
        <w:rPr>
          <w:rFonts w:asciiTheme="minorHAnsi" w:eastAsia="+mn-ea" w:hAnsiTheme="minorHAnsi" w:cstheme="minorHAnsi"/>
          <w:kern w:val="24"/>
        </w:rPr>
        <w:t xml:space="preserve">Early diagnosis of metastatic disease/confined cancer resulting in </w:t>
      </w:r>
      <w:r w:rsidR="005373A4" w:rsidRPr="00C270F4">
        <w:rPr>
          <w:rFonts w:asciiTheme="minorHAnsi" w:eastAsia="+mn-ea" w:hAnsiTheme="minorHAnsi" w:cstheme="minorHAnsi"/>
          <w:kern w:val="24"/>
        </w:rPr>
        <w:t>patients’</w:t>
      </w:r>
      <w:r w:rsidRPr="00C270F4">
        <w:rPr>
          <w:rFonts w:asciiTheme="minorHAnsi" w:eastAsia="+mn-ea" w:hAnsiTheme="minorHAnsi" w:cstheme="minorHAnsi"/>
          <w:kern w:val="24"/>
        </w:rPr>
        <w:t xml:space="preserve"> general health and nutrition being kept as best it can</w:t>
      </w:r>
    </w:p>
    <w:p w14:paraId="029BCF42" w14:textId="796F9E06" w:rsidR="00364629" w:rsidRPr="00C270F4" w:rsidRDefault="00364629" w:rsidP="00656598">
      <w:pPr>
        <w:pStyle w:val="ListParagraph"/>
        <w:numPr>
          <w:ilvl w:val="0"/>
          <w:numId w:val="2"/>
        </w:numPr>
        <w:spacing w:line="288" w:lineRule="auto"/>
        <w:rPr>
          <w:rFonts w:asciiTheme="minorHAnsi" w:hAnsiTheme="minorHAnsi" w:cstheme="minorHAnsi"/>
        </w:rPr>
      </w:pPr>
      <w:r w:rsidRPr="00C270F4">
        <w:rPr>
          <w:rFonts w:asciiTheme="minorHAnsi" w:eastAsia="+mn-ea" w:hAnsiTheme="minorHAnsi" w:cstheme="minorHAnsi"/>
          <w:kern w:val="24"/>
        </w:rPr>
        <w:t>Reducing anxiety waiting for a potential cancer diagnosis</w:t>
      </w:r>
    </w:p>
    <w:p w14:paraId="58BC037B" w14:textId="08F51960" w:rsidR="00EE3DDE" w:rsidRPr="00D348A1" w:rsidRDefault="00EE3DDE" w:rsidP="00656598">
      <w:pPr>
        <w:pStyle w:val="ListParagraph"/>
        <w:numPr>
          <w:ilvl w:val="0"/>
          <w:numId w:val="2"/>
        </w:numPr>
        <w:spacing w:line="288" w:lineRule="auto"/>
        <w:rPr>
          <w:rFonts w:asciiTheme="minorHAnsi" w:hAnsiTheme="minorHAnsi" w:cstheme="minorHAnsi"/>
        </w:rPr>
      </w:pPr>
      <w:r w:rsidRPr="00C270F4">
        <w:rPr>
          <w:rFonts w:asciiTheme="minorHAnsi" w:eastAsia="+mn-ea" w:hAnsiTheme="minorHAnsi" w:cstheme="minorHAnsi"/>
          <w:kern w:val="24"/>
        </w:rPr>
        <w:t>Fewer visits to hospital</w:t>
      </w:r>
    </w:p>
    <w:p w14:paraId="172774E0" w14:textId="5FBB75A9" w:rsidR="00D348A1" w:rsidRDefault="00D348A1" w:rsidP="00D348A1">
      <w:pPr>
        <w:spacing w:line="288" w:lineRule="auto"/>
        <w:ind w:left="360"/>
        <w:rPr>
          <w:rFonts w:cstheme="minorHAnsi"/>
        </w:rPr>
      </w:pPr>
    </w:p>
    <w:p w14:paraId="359DCEC1" w14:textId="52ED2644" w:rsidR="00D348A1" w:rsidRPr="00D348A1" w:rsidRDefault="00D348A1" w:rsidP="00D348A1">
      <w:pPr>
        <w:spacing w:line="288" w:lineRule="auto"/>
        <w:ind w:left="360"/>
        <w:rPr>
          <w:rFonts w:cstheme="minorHAnsi"/>
        </w:rPr>
      </w:pPr>
      <w:r>
        <w:rPr>
          <w:rFonts w:cstheme="minorHAnsi"/>
        </w:rPr>
        <w:t xml:space="preserve">Once implemented, our cancer services tracking team will audit the patient figures across the pathway to enable us to see how much the wait is reduced. </w:t>
      </w:r>
    </w:p>
    <w:p w14:paraId="1E5FAB6A" w14:textId="22DA017D" w:rsidR="006806EA" w:rsidRPr="00C270F4" w:rsidRDefault="006806EA" w:rsidP="008C3784">
      <w:pPr>
        <w:spacing w:line="288" w:lineRule="auto"/>
        <w:rPr>
          <w:rFonts w:cstheme="minorHAnsi"/>
          <w:sz w:val="24"/>
          <w:szCs w:val="24"/>
        </w:rPr>
      </w:pPr>
    </w:p>
    <w:p w14:paraId="56968694" w14:textId="77777777" w:rsidR="00DF6DB7" w:rsidRPr="00C270F4" w:rsidRDefault="00DF6DB7" w:rsidP="008C3784">
      <w:pPr>
        <w:spacing w:line="288" w:lineRule="auto"/>
        <w:rPr>
          <w:rFonts w:cstheme="minorHAnsi"/>
          <w:sz w:val="24"/>
          <w:szCs w:val="24"/>
        </w:rPr>
      </w:pPr>
    </w:p>
    <w:p w14:paraId="20BBC480" w14:textId="67E54035" w:rsidR="001D6EFC" w:rsidRPr="00C270F4" w:rsidRDefault="001D6EFC" w:rsidP="00B64142">
      <w:pPr>
        <w:spacing w:before="120" w:after="120" w:line="360" w:lineRule="auto"/>
        <w:rPr>
          <w:rFonts w:cstheme="minorHAnsi"/>
          <w:sz w:val="24"/>
          <w:szCs w:val="24"/>
        </w:rPr>
      </w:pPr>
    </w:p>
    <w:p w14:paraId="278012F1" w14:textId="77777777" w:rsidR="003B7856" w:rsidRPr="00C270F4" w:rsidRDefault="003B7856" w:rsidP="00B64142">
      <w:pPr>
        <w:spacing w:before="120" w:after="120" w:line="360" w:lineRule="auto"/>
        <w:rPr>
          <w:rFonts w:cstheme="minorHAnsi"/>
          <w:sz w:val="24"/>
          <w:szCs w:val="24"/>
        </w:rPr>
      </w:pPr>
    </w:p>
    <w:p w14:paraId="1B858465" w14:textId="77777777" w:rsidR="003B7856" w:rsidRPr="005373A4" w:rsidRDefault="003B7856" w:rsidP="00B64142">
      <w:pPr>
        <w:spacing w:before="120" w:after="120" w:line="360" w:lineRule="auto"/>
        <w:rPr>
          <w:rFonts w:cstheme="minorHAnsi"/>
          <w:sz w:val="24"/>
          <w:szCs w:val="24"/>
        </w:rPr>
      </w:pPr>
    </w:p>
    <w:p w14:paraId="09146EDB" w14:textId="77777777" w:rsidR="00B64142" w:rsidRPr="005373A4" w:rsidRDefault="00B64142" w:rsidP="00B64142">
      <w:pPr>
        <w:spacing w:before="120" w:after="120" w:line="360" w:lineRule="auto"/>
        <w:rPr>
          <w:rFonts w:cstheme="minorHAnsi"/>
          <w:sz w:val="24"/>
          <w:szCs w:val="24"/>
        </w:rPr>
      </w:pPr>
    </w:p>
    <w:p w14:paraId="6FED8ED0" w14:textId="77777777" w:rsidR="00B64142" w:rsidRDefault="00B64142" w:rsidP="00B64142">
      <w:pPr>
        <w:spacing w:before="120" w:after="120" w:line="360" w:lineRule="auto"/>
        <w:rPr>
          <w:rFonts w:ascii="Tahoma" w:hAnsi="Tahoma" w:cs="Tahoma"/>
          <w:color w:val="000000"/>
          <w:sz w:val="24"/>
          <w:szCs w:val="24"/>
        </w:rPr>
      </w:pPr>
    </w:p>
    <w:p w14:paraId="078CB7CE" w14:textId="77777777" w:rsidR="00B64142" w:rsidRDefault="00B64142" w:rsidP="00B64142">
      <w:pPr>
        <w:spacing w:before="120" w:after="120" w:line="360" w:lineRule="auto"/>
        <w:rPr>
          <w:rFonts w:ascii="Tahoma" w:hAnsi="Tahoma" w:cs="Tahoma"/>
          <w:color w:val="000000"/>
          <w:sz w:val="24"/>
          <w:szCs w:val="24"/>
        </w:rPr>
      </w:pPr>
    </w:p>
    <w:p w14:paraId="72B8AA93" w14:textId="77777777" w:rsidR="00C270F4" w:rsidRDefault="00C270F4" w:rsidP="00B64142">
      <w:pPr>
        <w:spacing w:before="120" w:after="120" w:line="360" w:lineRule="auto"/>
        <w:rPr>
          <w:rFonts w:ascii="Tahoma" w:hAnsi="Tahoma" w:cs="Tahoma"/>
          <w:color w:val="000000"/>
          <w:sz w:val="24"/>
          <w:szCs w:val="24"/>
          <w:u w:val="single"/>
        </w:rPr>
      </w:pPr>
    </w:p>
    <w:p w14:paraId="6436E15E" w14:textId="77777777" w:rsidR="00C270F4" w:rsidRDefault="00C270F4" w:rsidP="00B64142">
      <w:pPr>
        <w:spacing w:before="120" w:after="120" w:line="360" w:lineRule="auto"/>
        <w:rPr>
          <w:rFonts w:ascii="Tahoma" w:hAnsi="Tahoma" w:cs="Tahoma"/>
          <w:color w:val="000000"/>
          <w:sz w:val="24"/>
          <w:szCs w:val="24"/>
          <w:u w:val="single"/>
        </w:rPr>
      </w:pPr>
    </w:p>
    <w:p w14:paraId="08133BC8" w14:textId="77777777" w:rsidR="00C270F4" w:rsidRDefault="00C270F4" w:rsidP="00B64142">
      <w:pPr>
        <w:spacing w:before="120" w:after="120" w:line="360" w:lineRule="auto"/>
        <w:rPr>
          <w:rFonts w:ascii="Tahoma" w:hAnsi="Tahoma" w:cs="Tahoma"/>
          <w:color w:val="000000"/>
          <w:sz w:val="24"/>
          <w:szCs w:val="24"/>
          <w:u w:val="single"/>
        </w:rPr>
      </w:pPr>
    </w:p>
    <w:p w14:paraId="5D24A023" w14:textId="77777777" w:rsidR="00C270F4" w:rsidRDefault="00C270F4" w:rsidP="00B64142">
      <w:pPr>
        <w:spacing w:before="120" w:after="120" w:line="360" w:lineRule="auto"/>
        <w:rPr>
          <w:rFonts w:ascii="Tahoma" w:hAnsi="Tahoma" w:cs="Tahoma"/>
          <w:color w:val="000000"/>
          <w:sz w:val="24"/>
          <w:szCs w:val="24"/>
          <w:u w:val="single"/>
        </w:rPr>
      </w:pPr>
    </w:p>
    <w:p w14:paraId="2B8E181D" w14:textId="77777777" w:rsidR="00C270F4" w:rsidRDefault="00C270F4" w:rsidP="00B64142">
      <w:pPr>
        <w:spacing w:before="120" w:after="120" w:line="360" w:lineRule="auto"/>
        <w:rPr>
          <w:rFonts w:ascii="Tahoma" w:hAnsi="Tahoma" w:cs="Tahoma"/>
          <w:color w:val="000000"/>
          <w:sz w:val="24"/>
          <w:szCs w:val="24"/>
          <w:u w:val="single"/>
        </w:rPr>
      </w:pPr>
    </w:p>
    <w:p w14:paraId="7E3AABA0" w14:textId="77777777" w:rsidR="00C270F4" w:rsidRDefault="00C270F4" w:rsidP="00B64142">
      <w:pPr>
        <w:spacing w:before="120" w:after="120" w:line="360" w:lineRule="auto"/>
        <w:rPr>
          <w:rFonts w:ascii="Tahoma" w:hAnsi="Tahoma" w:cs="Tahoma"/>
          <w:color w:val="000000"/>
          <w:sz w:val="24"/>
          <w:szCs w:val="24"/>
          <w:u w:val="single"/>
        </w:rPr>
      </w:pPr>
    </w:p>
    <w:p w14:paraId="7310BE92" w14:textId="77777777" w:rsidR="00C270F4" w:rsidRDefault="00C270F4" w:rsidP="00B64142">
      <w:pPr>
        <w:spacing w:before="120" w:after="120" w:line="360" w:lineRule="auto"/>
        <w:rPr>
          <w:rFonts w:ascii="Tahoma" w:hAnsi="Tahoma" w:cs="Tahoma"/>
          <w:color w:val="000000"/>
          <w:sz w:val="24"/>
          <w:szCs w:val="24"/>
          <w:u w:val="single"/>
        </w:rPr>
      </w:pPr>
    </w:p>
    <w:p w14:paraId="1A56AA10" w14:textId="77777777" w:rsidR="00C270F4" w:rsidRDefault="00C270F4" w:rsidP="00B64142">
      <w:pPr>
        <w:spacing w:before="120" w:after="120" w:line="360" w:lineRule="auto"/>
        <w:rPr>
          <w:rFonts w:ascii="Tahoma" w:hAnsi="Tahoma" w:cs="Tahoma"/>
          <w:color w:val="000000"/>
          <w:sz w:val="24"/>
          <w:szCs w:val="24"/>
          <w:u w:val="single"/>
        </w:rPr>
      </w:pPr>
    </w:p>
    <w:p w14:paraId="04B62058" w14:textId="77777777" w:rsidR="00D348A1" w:rsidRDefault="00D348A1" w:rsidP="00C270F4">
      <w:pPr>
        <w:spacing w:before="120" w:after="120" w:line="360" w:lineRule="auto"/>
        <w:rPr>
          <w:rFonts w:ascii="Tahoma" w:hAnsi="Tahoma" w:cs="Tahoma"/>
          <w:color w:val="000000"/>
          <w:sz w:val="24"/>
          <w:szCs w:val="24"/>
          <w:u w:val="single"/>
        </w:rPr>
      </w:pPr>
    </w:p>
    <w:p w14:paraId="7072075E" w14:textId="4C842617" w:rsidR="00C270F4" w:rsidRDefault="00C270F4" w:rsidP="00C270F4">
      <w:pPr>
        <w:spacing w:before="120" w:after="120" w:line="360" w:lineRule="auto"/>
        <w:rPr>
          <w:rFonts w:cstheme="minorHAnsi"/>
          <w:color w:val="000000"/>
          <w:sz w:val="24"/>
          <w:szCs w:val="24"/>
        </w:rPr>
      </w:pPr>
      <w:r>
        <w:rPr>
          <w:rFonts w:ascii="Tahoma" w:hAnsi="Tahoma" w:cs="Tahoma"/>
          <w:color w:val="000000"/>
          <w:sz w:val="24"/>
          <w:szCs w:val="24"/>
        </w:rPr>
        <w:lastRenderedPageBreak/>
        <w:t xml:space="preserve"> </w:t>
      </w:r>
      <w:r w:rsidR="00AA01A6" w:rsidRPr="00C270F4">
        <w:rPr>
          <w:rFonts w:cstheme="minorHAnsi"/>
          <w:color w:val="000000"/>
          <w:sz w:val="24"/>
          <w:szCs w:val="24"/>
        </w:rPr>
        <w:t xml:space="preserve">References </w:t>
      </w:r>
    </w:p>
    <w:p w14:paraId="04E2D8D1" w14:textId="77777777" w:rsidR="00C270F4" w:rsidRDefault="00C270F4" w:rsidP="00C270F4">
      <w:pPr>
        <w:spacing w:before="120" w:after="120" w:line="360" w:lineRule="auto"/>
        <w:rPr>
          <w:rFonts w:cstheme="minorHAnsi"/>
        </w:rPr>
      </w:pPr>
      <w:r>
        <w:rPr>
          <w:rFonts w:cstheme="minorHAnsi"/>
          <w:color w:val="000000"/>
          <w:sz w:val="24"/>
          <w:szCs w:val="24"/>
        </w:rPr>
        <w:t xml:space="preserve">             </w:t>
      </w:r>
      <w:r w:rsidR="00304D71" w:rsidRPr="00C270F4">
        <w:rPr>
          <w:rFonts w:cstheme="minorHAnsi"/>
        </w:rPr>
        <w:t>Abnet, C. C., Corley, D. A., Freedman, N. D., &amp; Kamangar, F. (2015). Diet and Upper Gastrointestinal</w:t>
      </w:r>
      <w:r w:rsidRPr="00C270F4">
        <w:rPr>
          <w:rFonts w:cstheme="minorHAnsi"/>
        </w:rPr>
        <w:t xml:space="preserve"> </w:t>
      </w:r>
      <w:r>
        <w:rPr>
          <w:rFonts w:cstheme="minorHAnsi"/>
        </w:rPr>
        <w:t xml:space="preserve">               </w:t>
      </w:r>
    </w:p>
    <w:p w14:paraId="0BACCAC5" w14:textId="208463BE" w:rsidR="00304D71" w:rsidRPr="00C270F4" w:rsidRDefault="00C270F4" w:rsidP="00C270F4">
      <w:pPr>
        <w:spacing w:before="120" w:after="120" w:line="360" w:lineRule="auto"/>
        <w:rPr>
          <w:rFonts w:cstheme="minorHAnsi"/>
          <w:color w:val="000000"/>
          <w:sz w:val="24"/>
          <w:szCs w:val="24"/>
        </w:rPr>
      </w:pPr>
      <w:r>
        <w:rPr>
          <w:rFonts w:cstheme="minorHAnsi"/>
        </w:rPr>
        <w:t xml:space="preserve">              </w:t>
      </w:r>
      <w:r w:rsidR="00304D71" w:rsidRPr="00C270F4">
        <w:rPr>
          <w:rFonts w:cstheme="minorHAnsi"/>
        </w:rPr>
        <w:t>Malignancies. Gastroenterology, 148(6), 1234-1243.e4</w:t>
      </w:r>
      <w:r w:rsidRPr="00C270F4">
        <w:rPr>
          <w:rFonts w:cstheme="minorHAnsi"/>
        </w:rPr>
        <w:t xml:space="preserve"> </w:t>
      </w:r>
      <w:r w:rsidR="00304D71" w:rsidRPr="00C270F4">
        <w:rPr>
          <w:rFonts w:cstheme="minorHAnsi"/>
        </w:rPr>
        <w:t>https://doi.org/10.1053/j.gastro.2015.02.007</w:t>
      </w:r>
    </w:p>
    <w:p w14:paraId="4B950153" w14:textId="77777777" w:rsidR="00C270F4" w:rsidRPr="00C270F4" w:rsidRDefault="00C270F4" w:rsidP="00C270F4">
      <w:pPr>
        <w:pStyle w:val="NormalWeb"/>
        <w:spacing w:before="0" w:beforeAutospacing="0" w:after="0" w:afterAutospacing="0" w:line="480" w:lineRule="auto"/>
        <w:rPr>
          <w:rFonts w:asciiTheme="minorHAnsi" w:hAnsiTheme="minorHAnsi" w:cstheme="minorHAnsi"/>
        </w:rPr>
      </w:pPr>
      <w:r w:rsidRPr="00C270F4">
        <w:rPr>
          <w:rFonts w:asciiTheme="minorHAnsi" w:hAnsiTheme="minorHAnsi" w:cstheme="minorHAnsi"/>
        </w:rPr>
        <w:t xml:space="preserve">             </w:t>
      </w:r>
      <w:r w:rsidR="00C6420A" w:rsidRPr="00C270F4">
        <w:rPr>
          <w:rFonts w:asciiTheme="minorHAnsi" w:hAnsiTheme="minorHAnsi" w:cstheme="minorHAnsi"/>
        </w:rPr>
        <w:t>Pennathur, A., Gibson, M. K., Jobe, B. A., &amp; Luketich, J. D. (2013). Oesophageal carcinoma.</w:t>
      </w:r>
    </w:p>
    <w:p w14:paraId="101AF64C" w14:textId="345CF6CA" w:rsidR="00C270F4" w:rsidRPr="00C270F4" w:rsidRDefault="00C270F4" w:rsidP="00C270F4">
      <w:pPr>
        <w:pStyle w:val="NormalWeb"/>
        <w:spacing w:before="0" w:beforeAutospacing="0" w:after="0" w:afterAutospacing="0" w:line="480" w:lineRule="auto"/>
        <w:rPr>
          <w:rFonts w:asciiTheme="minorHAnsi" w:hAnsiTheme="minorHAnsi" w:cstheme="minorHAnsi"/>
        </w:rPr>
      </w:pPr>
      <w:r w:rsidRPr="00C270F4">
        <w:rPr>
          <w:rFonts w:asciiTheme="minorHAnsi" w:hAnsiTheme="minorHAnsi" w:cstheme="minorHAnsi"/>
        </w:rPr>
        <w:t xml:space="preserve">           </w:t>
      </w:r>
      <w:r w:rsidR="00C6420A" w:rsidRPr="00C270F4">
        <w:rPr>
          <w:rFonts w:asciiTheme="minorHAnsi" w:hAnsiTheme="minorHAnsi" w:cstheme="minorHAnsi"/>
        </w:rPr>
        <w:t xml:space="preserve"> </w:t>
      </w:r>
      <w:r w:rsidRPr="00C270F4">
        <w:rPr>
          <w:rFonts w:asciiTheme="minorHAnsi" w:hAnsiTheme="minorHAnsi" w:cstheme="minorHAnsi"/>
        </w:rPr>
        <w:t xml:space="preserve"> </w:t>
      </w:r>
      <w:r w:rsidR="00C6420A" w:rsidRPr="00C270F4">
        <w:rPr>
          <w:rFonts w:asciiTheme="minorHAnsi" w:hAnsiTheme="minorHAnsi" w:cstheme="minorHAnsi"/>
        </w:rPr>
        <w:t xml:space="preserve">The Lancet, 381(9864), 400–412. </w:t>
      </w:r>
      <w:hyperlink r:id="rId15" w:history="1">
        <w:r w:rsidRPr="00C270F4">
          <w:rPr>
            <w:rStyle w:val="Hyperlink"/>
            <w:rFonts w:asciiTheme="minorHAnsi" w:hAnsiTheme="minorHAnsi" w:cstheme="minorHAnsi"/>
            <w:color w:val="auto"/>
            <w:u w:val="none"/>
          </w:rPr>
          <w:t>https://doi.org/10.1016/s0140-6736(12)60643-6</w:t>
        </w:r>
      </w:hyperlink>
    </w:p>
    <w:p w14:paraId="5DBF42CB" w14:textId="77777777" w:rsidR="00C270F4" w:rsidRPr="00C270F4" w:rsidRDefault="00C270F4" w:rsidP="00C270F4">
      <w:pPr>
        <w:pStyle w:val="NormalWeb"/>
        <w:spacing w:before="0" w:beforeAutospacing="0" w:after="0" w:afterAutospacing="0" w:line="480" w:lineRule="auto"/>
        <w:rPr>
          <w:rFonts w:asciiTheme="minorHAnsi" w:hAnsiTheme="minorHAnsi" w:cstheme="minorHAnsi"/>
        </w:rPr>
      </w:pPr>
      <w:r w:rsidRPr="00C270F4">
        <w:rPr>
          <w:rFonts w:asciiTheme="minorHAnsi" w:hAnsiTheme="minorHAnsi" w:cstheme="minorHAnsi"/>
        </w:rPr>
        <w:t xml:space="preserve">             </w:t>
      </w:r>
      <w:r w:rsidR="006555C3" w:rsidRPr="00C270F4">
        <w:rPr>
          <w:rFonts w:asciiTheme="minorHAnsi" w:hAnsiTheme="minorHAnsi" w:cstheme="minorHAnsi"/>
        </w:rPr>
        <w:t xml:space="preserve">Standards for patient consent particular to Radiology, second edition. (n.d.). </w:t>
      </w:r>
      <w:r w:rsidRPr="00C270F4">
        <w:rPr>
          <w:rFonts w:asciiTheme="minorHAnsi" w:hAnsiTheme="minorHAnsi" w:cstheme="minorHAnsi"/>
        </w:rPr>
        <w:t xml:space="preserve">                  </w:t>
      </w:r>
    </w:p>
    <w:p w14:paraId="12714C1D" w14:textId="3E6AC794" w:rsidR="006555C3" w:rsidRPr="00C270F4" w:rsidRDefault="00C270F4" w:rsidP="00C270F4">
      <w:pPr>
        <w:pStyle w:val="NormalWeb"/>
        <w:spacing w:before="0" w:beforeAutospacing="0" w:after="0" w:afterAutospacing="0" w:line="480" w:lineRule="auto"/>
        <w:rPr>
          <w:rFonts w:asciiTheme="minorHAnsi" w:hAnsiTheme="minorHAnsi" w:cstheme="minorHAnsi"/>
        </w:rPr>
      </w:pPr>
      <w:r w:rsidRPr="00C270F4">
        <w:rPr>
          <w:rFonts w:asciiTheme="minorHAnsi" w:hAnsiTheme="minorHAnsi" w:cstheme="minorHAnsi"/>
        </w:rPr>
        <w:t xml:space="preserve">             </w:t>
      </w:r>
      <w:r w:rsidR="006555C3" w:rsidRPr="00C270F4">
        <w:rPr>
          <w:rFonts w:asciiTheme="minorHAnsi" w:hAnsiTheme="minorHAnsi" w:cstheme="minorHAnsi"/>
        </w:rPr>
        <w:t xml:space="preserve">https://www.rcr.ac.uk/sites/default/files/publication/BFCR%2812%298_consent.pdf </w:t>
      </w:r>
    </w:p>
    <w:p w14:paraId="613F2246" w14:textId="5533D4D0" w:rsidR="00B76725" w:rsidRPr="00C270F4" w:rsidRDefault="00C270F4" w:rsidP="00C270F4">
      <w:pPr>
        <w:pStyle w:val="NormalWeb"/>
        <w:spacing w:before="0" w:beforeAutospacing="0" w:after="0" w:afterAutospacing="0" w:line="480" w:lineRule="auto"/>
        <w:ind w:left="720" w:hanging="720"/>
        <w:rPr>
          <w:rFonts w:asciiTheme="minorHAnsi" w:hAnsiTheme="minorHAnsi" w:cstheme="minorHAnsi"/>
        </w:rPr>
      </w:pPr>
      <w:r w:rsidRPr="00C270F4">
        <w:rPr>
          <w:rFonts w:asciiTheme="minorHAnsi" w:hAnsiTheme="minorHAnsi" w:cstheme="minorHAnsi"/>
        </w:rPr>
        <w:t xml:space="preserve">             </w:t>
      </w:r>
      <w:r w:rsidR="00B76725" w:rsidRPr="00C270F4">
        <w:rPr>
          <w:rFonts w:asciiTheme="minorHAnsi" w:hAnsiTheme="minorHAnsi" w:cstheme="minorHAnsi"/>
        </w:rPr>
        <w:t>Smyth, E., Verheij, M., Allum, W. H., Cunningham, D., Cervantes, A., &amp; Arnold, D. L. (2016). Gastric cancer: ESMO Clinical Practice Guidelines for diagnosis, treatment and follow-up. Annals of Oncology, 27, v38–v49. https://doi.org/10.1093/annonc/mdw350</w:t>
      </w:r>
    </w:p>
    <w:p w14:paraId="739FBB32" w14:textId="02ED934C" w:rsidR="003C0B83" w:rsidRPr="00C270F4" w:rsidRDefault="00C270F4" w:rsidP="00C270F4">
      <w:pPr>
        <w:pStyle w:val="NormalWeb"/>
        <w:spacing w:before="0" w:beforeAutospacing="0" w:after="0" w:afterAutospacing="0" w:line="480" w:lineRule="auto"/>
        <w:ind w:left="720" w:hanging="720"/>
        <w:rPr>
          <w:rFonts w:asciiTheme="minorHAnsi" w:hAnsiTheme="minorHAnsi" w:cstheme="minorHAnsi"/>
        </w:rPr>
      </w:pPr>
      <w:r w:rsidRPr="00C270F4">
        <w:rPr>
          <w:rFonts w:asciiTheme="minorHAnsi" w:hAnsiTheme="minorHAnsi" w:cstheme="minorHAnsi"/>
        </w:rPr>
        <w:t xml:space="preserve">             </w:t>
      </w:r>
      <w:r w:rsidR="003C0B83" w:rsidRPr="00C270F4">
        <w:rPr>
          <w:rFonts w:asciiTheme="minorHAnsi" w:hAnsiTheme="minorHAnsi" w:cstheme="minorHAnsi"/>
        </w:rPr>
        <w:t>Grocott, M. P., Plumb, J., Edwards, M. J., Fecher-Jones, I., &amp; Levett, D. Z. H. (2017). Re-designing the pathway to surgery: better care and added value. Perioperative Medicine, 6(1). https://doi.org/10.1186/s13741-017-0065-4</w:t>
      </w:r>
    </w:p>
    <w:p w14:paraId="0CB41DFC" w14:textId="524B2AF3" w:rsidR="00973837" w:rsidRPr="00C270F4" w:rsidRDefault="00C270F4" w:rsidP="00C270F4">
      <w:pPr>
        <w:pStyle w:val="NormalWeb"/>
        <w:spacing w:before="0" w:beforeAutospacing="0" w:after="0" w:afterAutospacing="0" w:line="480" w:lineRule="auto"/>
        <w:ind w:left="720" w:hanging="720"/>
        <w:rPr>
          <w:rFonts w:asciiTheme="minorHAnsi" w:hAnsiTheme="minorHAnsi" w:cstheme="minorHAnsi"/>
        </w:rPr>
      </w:pPr>
      <w:r w:rsidRPr="00C270F4">
        <w:rPr>
          <w:rFonts w:asciiTheme="minorHAnsi" w:hAnsiTheme="minorHAnsi" w:cstheme="minorHAnsi"/>
        </w:rPr>
        <w:t xml:space="preserve">             </w:t>
      </w:r>
      <w:r w:rsidR="00973837" w:rsidRPr="00C270F4">
        <w:rPr>
          <w:rFonts w:asciiTheme="minorHAnsi" w:hAnsiTheme="minorHAnsi" w:cstheme="minorHAnsi"/>
        </w:rPr>
        <w:t>Wilkinson, E. (2002). Cancer Research UK. Lancet Oncology, 3(5), 321. https://doi.org/10.1016/s1470-2045(02)00737-4</w:t>
      </w:r>
    </w:p>
    <w:p w14:paraId="09ECDBF9" w14:textId="77777777" w:rsidR="00B64142" w:rsidRPr="00C270F4" w:rsidRDefault="00B64142" w:rsidP="00C270F4">
      <w:pPr>
        <w:rPr>
          <w:rFonts w:cstheme="minorHAnsi"/>
        </w:rPr>
      </w:pPr>
    </w:p>
    <w:sectPr w:rsidR="00B64142" w:rsidRPr="00C270F4" w:rsidSect="0027644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4A52C5" w14:textId="77777777" w:rsidR="00B061A0" w:rsidRDefault="00B061A0" w:rsidP="00B061A0">
      <w:pPr>
        <w:spacing w:after="0" w:line="240" w:lineRule="auto"/>
      </w:pPr>
      <w:r>
        <w:separator/>
      </w:r>
    </w:p>
  </w:endnote>
  <w:endnote w:type="continuationSeparator" w:id="0">
    <w:p w14:paraId="36BDC929" w14:textId="77777777" w:rsidR="00B061A0" w:rsidRDefault="00B061A0" w:rsidP="00B06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4E9D91" w14:textId="77777777" w:rsidR="00B061A0" w:rsidRDefault="00B061A0" w:rsidP="00B061A0">
      <w:pPr>
        <w:spacing w:after="0" w:line="240" w:lineRule="auto"/>
      </w:pPr>
      <w:r>
        <w:separator/>
      </w:r>
    </w:p>
  </w:footnote>
  <w:footnote w:type="continuationSeparator" w:id="0">
    <w:p w14:paraId="27102B20" w14:textId="77777777" w:rsidR="00B061A0" w:rsidRDefault="00B061A0" w:rsidP="00B06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8124D1"/>
    <w:multiLevelType w:val="hybridMultilevel"/>
    <w:tmpl w:val="3BBAC826"/>
    <w:lvl w:ilvl="0" w:tplc="E5047F42">
      <w:start w:val="1"/>
      <w:numFmt w:val="bullet"/>
      <w:lvlText w:val="•"/>
      <w:lvlJc w:val="left"/>
      <w:pPr>
        <w:tabs>
          <w:tab w:val="num" w:pos="720"/>
        </w:tabs>
        <w:ind w:left="720" w:hanging="360"/>
      </w:pPr>
      <w:rPr>
        <w:rFonts w:ascii="Arial" w:hAnsi="Arial" w:hint="default"/>
      </w:rPr>
    </w:lvl>
    <w:lvl w:ilvl="1" w:tplc="9E78FFAE" w:tentative="1">
      <w:start w:val="1"/>
      <w:numFmt w:val="bullet"/>
      <w:lvlText w:val="•"/>
      <w:lvlJc w:val="left"/>
      <w:pPr>
        <w:tabs>
          <w:tab w:val="num" w:pos="1440"/>
        </w:tabs>
        <w:ind w:left="1440" w:hanging="360"/>
      </w:pPr>
      <w:rPr>
        <w:rFonts w:ascii="Arial" w:hAnsi="Arial" w:hint="default"/>
      </w:rPr>
    </w:lvl>
    <w:lvl w:ilvl="2" w:tplc="3A42516A" w:tentative="1">
      <w:start w:val="1"/>
      <w:numFmt w:val="bullet"/>
      <w:lvlText w:val="•"/>
      <w:lvlJc w:val="left"/>
      <w:pPr>
        <w:tabs>
          <w:tab w:val="num" w:pos="2160"/>
        </w:tabs>
        <w:ind w:left="2160" w:hanging="360"/>
      </w:pPr>
      <w:rPr>
        <w:rFonts w:ascii="Arial" w:hAnsi="Arial" w:hint="default"/>
      </w:rPr>
    </w:lvl>
    <w:lvl w:ilvl="3" w:tplc="E6E0AD2C" w:tentative="1">
      <w:start w:val="1"/>
      <w:numFmt w:val="bullet"/>
      <w:lvlText w:val="•"/>
      <w:lvlJc w:val="left"/>
      <w:pPr>
        <w:tabs>
          <w:tab w:val="num" w:pos="2880"/>
        </w:tabs>
        <w:ind w:left="2880" w:hanging="360"/>
      </w:pPr>
      <w:rPr>
        <w:rFonts w:ascii="Arial" w:hAnsi="Arial" w:hint="default"/>
      </w:rPr>
    </w:lvl>
    <w:lvl w:ilvl="4" w:tplc="EA14C21C" w:tentative="1">
      <w:start w:val="1"/>
      <w:numFmt w:val="bullet"/>
      <w:lvlText w:val="•"/>
      <w:lvlJc w:val="left"/>
      <w:pPr>
        <w:tabs>
          <w:tab w:val="num" w:pos="3600"/>
        </w:tabs>
        <w:ind w:left="3600" w:hanging="360"/>
      </w:pPr>
      <w:rPr>
        <w:rFonts w:ascii="Arial" w:hAnsi="Arial" w:hint="default"/>
      </w:rPr>
    </w:lvl>
    <w:lvl w:ilvl="5" w:tplc="5BA0905E" w:tentative="1">
      <w:start w:val="1"/>
      <w:numFmt w:val="bullet"/>
      <w:lvlText w:val="•"/>
      <w:lvlJc w:val="left"/>
      <w:pPr>
        <w:tabs>
          <w:tab w:val="num" w:pos="4320"/>
        </w:tabs>
        <w:ind w:left="4320" w:hanging="360"/>
      </w:pPr>
      <w:rPr>
        <w:rFonts w:ascii="Arial" w:hAnsi="Arial" w:hint="default"/>
      </w:rPr>
    </w:lvl>
    <w:lvl w:ilvl="6" w:tplc="E176148C" w:tentative="1">
      <w:start w:val="1"/>
      <w:numFmt w:val="bullet"/>
      <w:lvlText w:val="•"/>
      <w:lvlJc w:val="left"/>
      <w:pPr>
        <w:tabs>
          <w:tab w:val="num" w:pos="5040"/>
        </w:tabs>
        <w:ind w:left="5040" w:hanging="360"/>
      </w:pPr>
      <w:rPr>
        <w:rFonts w:ascii="Arial" w:hAnsi="Arial" w:hint="default"/>
      </w:rPr>
    </w:lvl>
    <w:lvl w:ilvl="7" w:tplc="83C0EF80" w:tentative="1">
      <w:start w:val="1"/>
      <w:numFmt w:val="bullet"/>
      <w:lvlText w:val="•"/>
      <w:lvlJc w:val="left"/>
      <w:pPr>
        <w:tabs>
          <w:tab w:val="num" w:pos="5760"/>
        </w:tabs>
        <w:ind w:left="5760" w:hanging="360"/>
      </w:pPr>
      <w:rPr>
        <w:rFonts w:ascii="Arial" w:hAnsi="Arial" w:hint="default"/>
      </w:rPr>
    </w:lvl>
    <w:lvl w:ilvl="8" w:tplc="BB82FB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25071BE"/>
    <w:multiLevelType w:val="hybridMultilevel"/>
    <w:tmpl w:val="C8EA695A"/>
    <w:lvl w:ilvl="0" w:tplc="169A98B2">
      <w:start w:val="1"/>
      <w:numFmt w:val="bullet"/>
      <w:lvlText w:val="•"/>
      <w:lvlJc w:val="left"/>
      <w:pPr>
        <w:tabs>
          <w:tab w:val="num" w:pos="720"/>
        </w:tabs>
        <w:ind w:left="720" w:hanging="360"/>
      </w:pPr>
      <w:rPr>
        <w:rFonts w:ascii="Arial" w:hAnsi="Arial" w:hint="default"/>
      </w:rPr>
    </w:lvl>
    <w:lvl w:ilvl="1" w:tplc="4C6A180E" w:tentative="1">
      <w:start w:val="1"/>
      <w:numFmt w:val="bullet"/>
      <w:lvlText w:val="•"/>
      <w:lvlJc w:val="left"/>
      <w:pPr>
        <w:tabs>
          <w:tab w:val="num" w:pos="1440"/>
        </w:tabs>
        <w:ind w:left="1440" w:hanging="360"/>
      </w:pPr>
      <w:rPr>
        <w:rFonts w:ascii="Arial" w:hAnsi="Arial" w:hint="default"/>
      </w:rPr>
    </w:lvl>
    <w:lvl w:ilvl="2" w:tplc="316C5644" w:tentative="1">
      <w:start w:val="1"/>
      <w:numFmt w:val="bullet"/>
      <w:lvlText w:val="•"/>
      <w:lvlJc w:val="left"/>
      <w:pPr>
        <w:tabs>
          <w:tab w:val="num" w:pos="2160"/>
        </w:tabs>
        <w:ind w:left="2160" w:hanging="360"/>
      </w:pPr>
      <w:rPr>
        <w:rFonts w:ascii="Arial" w:hAnsi="Arial" w:hint="default"/>
      </w:rPr>
    </w:lvl>
    <w:lvl w:ilvl="3" w:tplc="DA6AAEAC" w:tentative="1">
      <w:start w:val="1"/>
      <w:numFmt w:val="bullet"/>
      <w:lvlText w:val="•"/>
      <w:lvlJc w:val="left"/>
      <w:pPr>
        <w:tabs>
          <w:tab w:val="num" w:pos="2880"/>
        </w:tabs>
        <w:ind w:left="2880" w:hanging="360"/>
      </w:pPr>
      <w:rPr>
        <w:rFonts w:ascii="Arial" w:hAnsi="Arial" w:hint="default"/>
      </w:rPr>
    </w:lvl>
    <w:lvl w:ilvl="4" w:tplc="7C008830" w:tentative="1">
      <w:start w:val="1"/>
      <w:numFmt w:val="bullet"/>
      <w:lvlText w:val="•"/>
      <w:lvlJc w:val="left"/>
      <w:pPr>
        <w:tabs>
          <w:tab w:val="num" w:pos="3600"/>
        </w:tabs>
        <w:ind w:left="3600" w:hanging="360"/>
      </w:pPr>
      <w:rPr>
        <w:rFonts w:ascii="Arial" w:hAnsi="Arial" w:hint="default"/>
      </w:rPr>
    </w:lvl>
    <w:lvl w:ilvl="5" w:tplc="11600766" w:tentative="1">
      <w:start w:val="1"/>
      <w:numFmt w:val="bullet"/>
      <w:lvlText w:val="•"/>
      <w:lvlJc w:val="left"/>
      <w:pPr>
        <w:tabs>
          <w:tab w:val="num" w:pos="4320"/>
        </w:tabs>
        <w:ind w:left="4320" w:hanging="360"/>
      </w:pPr>
      <w:rPr>
        <w:rFonts w:ascii="Arial" w:hAnsi="Arial" w:hint="default"/>
      </w:rPr>
    </w:lvl>
    <w:lvl w:ilvl="6" w:tplc="5164E484" w:tentative="1">
      <w:start w:val="1"/>
      <w:numFmt w:val="bullet"/>
      <w:lvlText w:val="•"/>
      <w:lvlJc w:val="left"/>
      <w:pPr>
        <w:tabs>
          <w:tab w:val="num" w:pos="5040"/>
        </w:tabs>
        <w:ind w:left="5040" w:hanging="360"/>
      </w:pPr>
      <w:rPr>
        <w:rFonts w:ascii="Arial" w:hAnsi="Arial" w:hint="default"/>
      </w:rPr>
    </w:lvl>
    <w:lvl w:ilvl="7" w:tplc="19AAD064" w:tentative="1">
      <w:start w:val="1"/>
      <w:numFmt w:val="bullet"/>
      <w:lvlText w:val="•"/>
      <w:lvlJc w:val="left"/>
      <w:pPr>
        <w:tabs>
          <w:tab w:val="num" w:pos="5760"/>
        </w:tabs>
        <w:ind w:left="5760" w:hanging="360"/>
      </w:pPr>
      <w:rPr>
        <w:rFonts w:ascii="Arial" w:hAnsi="Arial" w:hint="default"/>
      </w:rPr>
    </w:lvl>
    <w:lvl w:ilvl="8" w:tplc="192AD6F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142"/>
    <w:rsid w:val="000063AC"/>
    <w:rsid w:val="00012407"/>
    <w:rsid w:val="00016E9A"/>
    <w:rsid w:val="000B05C9"/>
    <w:rsid w:val="000E11DA"/>
    <w:rsid w:val="000E2C63"/>
    <w:rsid w:val="001321FA"/>
    <w:rsid w:val="00165562"/>
    <w:rsid w:val="0017498D"/>
    <w:rsid w:val="001C4E34"/>
    <w:rsid w:val="001D5DB7"/>
    <w:rsid w:val="001D6EFC"/>
    <w:rsid w:val="002034CB"/>
    <w:rsid w:val="00266A4F"/>
    <w:rsid w:val="002757B0"/>
    <w:rsid w:val="00276449"/>
    <w:rsid w:val="002969C6"/>
    <w:rsid w:val="002A3406"/>
    <w:rsid w:val="002A5939"/>
    <w:rsid w:val="002D29AC"/>
    <w:rsid w:val="002F75AE"/>
    <w:rsid w:val="00304D71"/>
    <w:rsid w:val="00351077"/>
    <w:rsid w:val="00364629"/>
    <w:rsid w:val="00373880"/>
    <w:rsid w:val="00381EBE"/>
    <w:rsid w:val="00387DF7"/>
    <w:rsid w:val="003A2E50"/>
    <w:rsid w:val="003B7856"/>
    <w:rsid w:val="003C0B83"/>
    <w:rsid w:val="003E08B0"/>
    <w:rsid w:val="004336DF"/>
    <w:rsid w:val="00447554"/>
    <w:rsid w:val="0047647A"/>
    <w:rsid w:val="00486B2B"/>
    <w:rsid w:val="00513717"/>
    <w:rsid w:val="005373A4"/>
    <w:rsid w:val="00586971"/>
    <w:rsid w:val="005C1515"/>
    <w:rsid w:val="005C28CC"/>
    <w:rsid w:val="005C55A4"/>
    <w:rsid w:val="005D35F4"/>
    <w:rsid w:val="005E13E2"/>
    <w:rsid w:val="005F43B4"/>
    <w:rsid w:val="005F67D5"/>
    <w:rsid w:val="00613352"/>
    <w:rsid w:val="006555C3"/>
    <w:rsid w:val="00656598"/>
    <w:rsid w:val="00667C26"/>
    <w:rsid w:val="006806EA"/>
    <w:rsid w:val="00681CC2"/>
    <w:rsid w:val="0069647D"/>
    <w:rsid w:val="006A1D66"/>
    <w:rsid w:val="006B4D4A"/>
    <w:rsid w:val="006D70F7"/>
    <w:rsid w:val="006E2997"/>
    <w:rsid w:val="006E6698"/>
    <w:rsid w:val="007104D5"/>
    <w:rsid w:val="00734AAD"/>
    <w:rsid w:val="0074048F"/>
    <w:rsid w:val="0074758E"/>
    <w:rsid w:val="00773253"/>
    <w:rsid w:val="00774D90"/>
    <w:rsid w:val="0078509E"/>
    <w:rsid w:val="007B6842"/>
    <w:rsid w:val="007C2D89"/>
    <w:rsid w:val="0081775B"/>
    <w:rsid w:val="0083040E"/>
    <w:rsid w:val="00834BC3"/>
    <w:rsid w:val="008B2B9D"/>
    <w:rsid w:val="008B4625"/>
    <w:rsid w:val="008C3784"/>
    <w:rsid w:val="009172B6"/>
    <w:rsid w:val="00923ECF"/>
    <w:rsid w:val="00935CB9"/>
    <w:rsid w:val="009604AF"/>
    <w:rsid w:val="00963DDB"/>
    <w:rsid w:val="00964036"/>
    <w:rsid w:val="00973837"/>
    <w:rsid w:val="009E4859"/>
    <w:rsid w:val="009E52A3"/>
    <w:rsid w:val="00A13C65"/>
    <w:rsid w:val="00A304E6"/>
    <w:rsid w:val="00A571F5"/>
    <w:rsid w:val="00A66358"/>
    <w:rsid w:val="00A67372"/>
    <w:rsid w:val="00A85B20"/>
    <w:rsid w:val="00AA01A6"/>
    <w:rsid w:val="00B05262"/>
    <w:rsid w:val="00B061A0"/>
    <w:rsid w:val="00B1326E"/>
    <w:rsid w:val="00B204D9"/>
    <w:rsid w:val="00B64142"/>
    <w:rsid w:val="00B73DAC"/>
    <w:rsid w:val="00B76725"/>
    <w:rsid w:val="00BD1361"/>
    <w:rsid w:val="00BE250E"/>
    <w:rsid w:val="00C26E03"/>
    <w:rsid w:val="00C270F4"/>
    <w:rsid w:val="00C317D8"/>
    <w:rsid w:val="00C50028"/>
    <w:rsid w:val="00C6420A"/>
    <w:rsid w:val="00C70729"/>
    <w:rsid w:val="00C734AB"/>
    <w:rsid w:val="00C90994"/>
    <w:rsid w:val="00CB06B9"/>
    <w:rsid w:val="00D03F80"/>
    <w:rsid w:val="00D348A1"/>
    <w:rsid w:val="00D6433C"/>
    <w:rsid w:val="00D67DFA"/>
    <w:rsid w:val="00DE5812"/>
    <w:rsid w:val="00DF6DB7"/>
    <w:rsid w:val="00DF7AFF"/>
    <w:rsid w:val="00E048E4"/>
    <w:rsid w:val="00E359F4"/>
    <w:rsid w:val="00E62032"/>
    <w:rsid w:val="00E73CF6"/>
    <w:rsid w:val="00E94500"/>
    <w:rsid w:val="00EC7B89"/>
    <w:rsid w:val="00EE3DDE"/>
    <w:rsid w:val="00F10D81"/>
    <w:rsid w:val="00F63E2F"/>
    <w:rsid w:val="00F852E2"/>
    <w:rsid w:val="00FA55FE"/>
    <w:rsid w:val="00FC147D"/>
    <w:rsid w:val="00FF3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F87D9C"/>
  <w15:chartTrackingRefBased/>
  <w15:docId w15:val="{E0E413B8-EE5F-42B1-AFEA-35F0744EA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ublishwithline">
    <w:name w:val="Publish with line"/>
    <w:semiHidden/>
    <w:qFormat/>
    <w:rsid w:val="00B64142"/>
    <w:pPr>
      <w:spacing w:after="0" w:line="240" w:lineRule="auto"/>
    </w:pPr>
    <w:rPr>
      <w:rFonts w:asciiTheme="majorHAnsi" w:eastAsiaTheme="majorEastAsia" w:hAnsiTheme="majorHAnsi" w:cstheme="majorBidi"/>
      <w:b/>
      <w:bCs/>
      <w:color w:val="262626"/>
      <w:sz w:val="32"/>
      <w:szCs w:val="38"/>
      <w:lang w:eastAsia="en-GB"/>
    </w:rPr>
  </w:style>
  <w:style w:type="paragraph" w:styleId="NormalWeb">
    <w:name w:val="Normal (Web)"/>
    <w:basedOn w:val="Normal"/>
    <w:uiPriority w:val="99"/>
    <w:semiHidden/>
    <w:unhideWhenUsed/>
    <w:rsid w:val="006555C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86B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6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1A0"/>
  </w:style>
  <w:style w:type="paragraph" w:styleId="Footer">
    <w:name w:val="footer"/>
    <w:basedOn w:val="Normal"/>
    <w:link w:val="FooterChar"/>
    <w:uiPriority w:val="99"/>
    <w:unhideWhenUsed/>
    <w:rsid w:val="00B06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1A0"/>
  </w:style>
  <w:style w:type="paragraph" w:styleId="ListParagraph">
    <w:name w:val="List Paragraph"/>
    <w:basedOn w:val="Normal"/>
    <w:uiPriority w:val="34"/>
    <w:qFormat/>
    <w:rsid w:val="008C378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270F4"/>
    <w:rPr>
      <w:color w:val="0563C1" w:themeColor="hyperlink"/>
      <w:u w:val="single"/>
    </w:rPr>
  </w:style>
  <w:style w:type="character" w:customStyle="1" w:styleId="UnresolvedMention">
    <w:name w:val="Unresolved Mention"/>
    <w:basedOn w:val="DefaultParagraphFont"/>
    <w:uiPriority w:val="99"/>
    <w:semiHidden/>
    <w:unhideWhenUsed/>
    <w:rsid w:val="00C270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104643">
      <w:bodyDiv w:val="1"/>
      <w:marLeft w:val="0"/>
      <w:marRight w:val="0"/>
      <w:marTop w:val="0"/>
      <w:marBottom w:val="0"/>
      <w:divBdr>
        <w:top w:val="none" w:sz="0" w:space="0" w:color="auto"/>
        <w:left w:val="none" w:sz="0" w:space="0" w:color="auto"/>
        <w:bottom w:val="none" w:sz="0" w:space="0" w:color="auto"/>
        <w:right w:val="none" w:sz="0" w:space="0" w:color="auto"/>
      </w:divBdr>
    </w:div>
    <w:div w:id="205139250">
      <w:bodyDiv w:val="1"/>
      <w:marLeft w:val="0"/>
      <w:marRight w:val="0"/>
      <w:marTop w:val="0"/>
      <w:marBottom w:val="0"/>
      <w:divBdr>
        <w:top w:val="none" w:sz="0" w:space="0" w:color="auto"/>
        <w:left w:val="none" w:sz="0" w:space="0" w:color="auto"/>
        <w:bottom w:val="none" w:sz="0" w:space="0" w:color="auto"/>
        <w:right w:val="none" w:sz="0" w:space="0" w:color="auto"/>
      </w:divBdr>
    </w:div>
    <w:div w:id="248806232">
      <w:bodyDiv w:val="1"/>
      <w:marLeft w:val="0"/>
      <w:marRight w:val="0"/>
      <w:marTop w:val="0"/>
      <w:marBottom w:val="0"/>
      <w:divBdr>
        <w:top w:val="none" w:sz="0" w:space="0" w:color="auto"/>
        <w:left w:val="none" w:sz="0" w:space="0" w:color="auto"/>
        <w:bottom w:val="none" w:sz="0" w:space="0" w:color="auto"/>
        <w:right w:val="none" w:sz="0" w:space="0" w:color="auto"/>
      </w:divBdr>
    </w:div>
    <w:div w:id="522474052">
      <w:bodyDiv w:val="1"/>
      <w:marLeft w:val="0"/>
      <w:marRight w:val="0"/>
      <w:marTop w:val="0"/>
      <w:marBottom w:val="0"/>
      <w:divBdr>
        <w:top w:val="none" w:sz="0" w:space="0" w:color="auto"/>
        <w:left w:val="none" w:sz="0" w:space="0" w:color="auto"/>
        <w:bottom w:val="none" w:sz="0" w:space="0" w:color="auto"/>
        <w:right w:val="none" w:sz="0" w:space="0" w:color="auto"/>
      </w:divBdr>
    </w:div>
    <w:div w:id="915014860">
      <w:bodyDiv w:val="1"/>
      <w:marLeft w:val="0"/>
      <w:marRight w:val="0"/>
      <w:marTop w:val="0"/>
      <w:marBottom w:val="0"/>
      <w:divBdr>
        <w:top w:val="none" w:sz="0" w:space="0" w:color="auto"/>
        <w:left w:val="none" w:sz="0" w:space="0" w:color="auto"/>
        <w:bottom w:val="none" w:sz="0" w:space="0" w:color="auto"/>
        <w:right w:val="none" w:sz="0" w:space="0" w:color="auto"/>
      </w:divBdr>
    </w:div>
    <w:div w:id="1286039104">
      <w:bodyDiv w:val="1"/>
      <w:marLeft w:val="0"/>
      <w:marRight w:val="0"/>
      <w:marTop w:val="0"/>
      <w:marBottom w:val="0"/>
      <w:divBdr>
        <w:top w:val="none" w:sz="0" w:space="0" w:color="auto"/>
        <w:left w:val="none" w:sz="0" w:space="0" w:color="auto"/>
        <w:bottom w:val="none" w:sz="0" w:space="0" w:color="auto"/>
        <w:right w:val="none" w:sz="0" w:space="0" w:color="auto"/>
      </w:divBdr>
    </w:div>
    <w:div w:id="1370841495">
      <w:bodyDiv w:val="1"/>
      <w:marLeft w:val="0"/>
      <w:marRight w:val="0"/>
      <w:marTop w:val="0"/>
      <w:marBottom w:val="0"/>
      <w:divBdr>
        <w:top w:val="none" w:sz="0" w:space="0" w:color="auto"/>
        <w:left w:val="none" w:sz="0" w:space="0" w:color="auto"/>
        <w:bottom w:val="none" w:sz="0" w:space="0" w:color="auto"/>
        <w:right w:val="none" w:sz="0" w:space="0" w:color="auto"/>
      </w:divBdr>
      <w:divsChild>
        <w:div w:id="586231606">
          <w:marLeft w:val="360"/>
          <w:marRight w:val="0"/>
          <w:marTop w:val="200"/>
          <w:marBottom w:val="0"/>
          <w:divBdr>
            <w:top w:val="none" w:sz="0" w:space="0" w:color="auto"/>
            <w:left w:val="none" w:sz="0" w:space="0" w:color="auto"/>
            <w:bottom w:val="none" w:sz="0" w:space="0" w:color="auto"/>
            <w:right w:val="none" w:sz="0" w:space="0" w:color="auto"/>
          </w:divBdr>
        </w:div>
      </w:divsChild>
    </w:div>
    <w:div w:id="1402022578">
      <w:bodyDiv w:val="1"/>
      <w:marLeft w:val="0"/>
      <w:marRight w:val="0"/>
      <w:marTop w:val="0"/>
      <w:marBottom w:val="0"/>
      <w:divBdr>
        <w:top w:val="none" w:sz="0" w:space="0" w:color="auto"/>
        <w:left w:val="none" w:sz="0" w:space="0" w:color="auto"/>
        <w:bottom w:val="none" w:sz="0" w:space="0" w:color="auto"/>
        <w:right w:val="none" w:sz="0" w:space="0" w:color="auto"/>
      </w:divBdr>
      <w:divsChild>
        <w:div w:id="1358462796">
          <w:marLeft w:val="360"/>
          <w:marRight w:val="0"/>
          <w:marTop w:val="200"/>
          <w:marBottom w:val="0"/>
          <w:divBdr>
            <w:top w:val="none" w:sz="0" w:space="0" w:color="auto"/>
            <w:left w:val="none" w:sz="0" w:space="0" w:color="auto"/>
            <w:bottom w:val="none" w:sz="0" w:space="0" w:color="auto"/>
            <w:right w:val="none" w:sz="0" w:space="0" w:color="auto"/>
          </w:divBdr>
        </w:div>
        <w:div w:id="160127721">
          <w:marLeft w:val="360"/>
          <w:marRight w:val="0"/>
          <w:marTop w:val="200"/>
          <w:marBottom w:val="0"/>
          <w:divBdr>
            <w:top w:val="none" w:sz="0" w:space="0" w:color="auto"/>
            <w:left w:val="none" w:sz="0" w:space="0" w:color="auto"/>
            <w:bottom w:val="none" w:sz="0" w:space="0" w:color="auto"/>
            <w:right w:val="none" w:sz="0" w:space="0" w:color="auto"/>
          </w:divBdr>
        </w:div>
        <w:div w:id="1392926305">
          <w:marLeft w:val="360"/>
          <w:marRight w:val="0"/>
          <w:marTop w:val="200"/>
          <w:marBottom w:val="0"/>
          <w:divBdr>
            <w:top w:val="none" w:sz="0" w:space="0" w:color="auto"/>
            <w:left w:val="none" w:sz="0" w:space="0" w:color="auto"/>
            <w:bottom w:val="none" w:sz="0" w:space="0" w:color="auto"/>
            <w:right w:val="none" w:sz="0" w:space="0" w:color="auto"/>
          </w:divBdr>
        </w:div>
      </w:divsChild>
    </w:div>
    <w:div w:id="1609433154">
      <w:bodyDiv w:val="1"/>
      <w:marLeft w:val="0"/>
      <w:marRight w:val="0"/>
      <w:marTop w:val="0"/>
      <w:marBottom w:val="0"/>
      <w:divBdr>
        <w:top w:val="none" w:sz="0" w:space="0" w:color="auto"/>
        <w:left w:val="none" w:sz="0" w:space="0" w:color="auto"/>
        <w:bottom w:val="none" w:sz="0" w:space="0" w:color="auto"/>
        <w:right w:val="none" w:sz="0" w:space="0" w:color="auto"/>
      </w:divBdr>
    </w:div>
    <w:div w:id="1634289590">
      <w:bodyDiv w:val="1"/>
      <w:marLeft w:val="0"/>
      <w:marRight w:val="0"/>
      <w:marTop w:val="0"/>
      <w:marBottom w:val="0"/>
      <w:divBdr>
        <w:top w:val="none" w:sz="0" w:space="0" w:color="auto"/>
        <w:left w:val="none" w:sz="0" w:space="0" w:color="auto"/>
        <w:bottom w:val="none" w:sz="0" w:space="0" w:color="auto"/>
        <w:right w:val="none" w:sz="0" w:space="0" w:color="auto"/>
      </w:divBdr>
    </w:div>
    <w:div w:id="1653827595">
      <w:bodyDiv w:val="1"/>
      <w:marLeft w:val="0"/>
      <w:marRight w:val="0"/>
      <w:marTop w:val="0"/>
      <w:marBottom w:val="0"/>
      <w:divBdr>
        <w:top w:val="none" w:sz="0" w:space="0" w:color="auto"/>
        <w:left w:val="none" w:sz="0" w:space="0" w:color="auto"/>
        <w:bottom w:val="none" w:sz="0" w:space="0" w:color="auto"/>
        <w:right w:val="none" w:sz="0" w:space="0" w:color="auto"/>
      </w:divBdr>
    </w:div>
    <w:div w:id="2100834489">
      <w:bodyDiv w:val="1"/>
      <w:marLeft w:val="0"/>
      <w:marRight w:val="0"/>
      <w:marTop w:val="0"/>
      <w:marBottom w:val="0"/>
      <w:divBdr>
        <w:top w:val="none" w:sz="0" w:space="0" w:color="auto"/>
        <w:left w:val="none" w:sz="0" w:space="0" w:color="auto"/>
        <w:bottom w:val="none" w:sz="0" w:space="0" w:color="auto"/>
        <w:right w:val="none" w:sz="0" w:space="0" w:color="auto"/>
      </w:divBdr>
    </w:div>
    <w:div w:id="2143688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doi.org/10.1016/s0140-6736(12)60643-6" TargetMode="Externa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883EBE-BD48-4DB6-BD90-D153DE5CAE2E}" type="doc">
      <dgm:prSet loTypeId="urn:microsoft.com/office/officeart/2005/8/layout/bProcess3" loCatId="process" qsTypeId="urn:microsoft.com/office/officeart/2005/8/quickstyle/simple1" qsCatId="simple" csTypeId="urn:microsoft.com/office/officeart/2005/8/colors/accent1_2" csCatId="accent1" phldr="1"/>
      <dgm:spPr/>
    </dgm:pt>
    <dgm:pt modelId="{BAD6B038-53B5-431C-B9CE-BD378796C50E}">
      <dgm:prSet phldrT="[Text]" custT="1"/>
      <dgm:spPr>
        <a:xfrm>
          <a:off x="4602" y="219212"/>
          <a:ext cx="6104373" cy="108438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2400">
              <a:solidFill>
                <a:sysClr val="window" lastClr="FFFFFF"/>
              </a:solidFill>
              <a:latin typeface="Calibri" panose="020F0502020204030204"/>
              <a:ea typeface="+mn-ea"/>
              <a:cs typeface="+mn-cs"/>
            </a:rPr>
            <a:t>Attend GP with dysphagia/weight loss</a:t>
          </a:r>
        </a:p>
      </dgm:t>
    </dgm:pt>
    <dgm:pt modelId="{F09CB8AC-0C05-4932-8FD4-3FA2D6A23EB5}" type="parTrans" cxnId="{26E44285-FAEC-497C-BD31-FAF7896D53CD}">
      <dgm:prSet/>
      <dgm:spPr/>
      <dgm:t>
        <a:bodyPr/>
        <a:lstStyle/>
        <a:p>
          <a:pPr algn="ctr"/>
          <a:endParaRPr lang="en-GB"/>
        </a:p>
      </dgm:t>
    </dgm:pt>
    <dgm:pt modelId="{9A672FD1-14E5-404F-9831-D2A0B0D12BF9}" type="sibTrans" cxnId="{26E44285-FAEC-497C-BD31-FAF7896D53CD}">
      <dgm:prSet/>
      <dgm:spPr>
        <a:xfrm>
          <a:off x="779925" y="1301794"/>
          <a:ext cx="2276863" cy="197414"/>
        </a:xfrm>
        <a:custGeom>
          <a:avLst/>
          <a:gdLst/>
          <a:ahLst/>
          <a:cxnLst/>
          <a:rect l="0" t="0" r="0" b="0"/>
          <a:pathLst>
            <a:path>
              <a:moveTo>
                <a:pt x="2276863" y="0"/>
              </a:moveTo>
              <a:lnTo>
                <a:pt x="2276863" y="115807"/>
              </a:lnTo>
              <a:lnTo>
                <a:pt x="0" y="115807"/>
              </a:lnTo>
              <a:lnTo>
                <a:pt x="0" y="197414"/>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83278924-6477-4FF9-AEC3-309DF1B6B4E0}">
      <dgm:prSet phldrT="[Text]" custT="1"/>
      <dgm:spPr>
        <a:xfrm>
          <a:off x="4602" y="1531608"/>
          <a:ext cx="1550647" cy="128841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000">
              <a:solidFill>
                <a:sysClr val="window" lastClr="FFFFFF"/>
              </a:solidFill>
              <a:latin typeface="Calibri" panose="020F0502020204030204"/>
              <a:ea typeface="+mn-ea"/>
              <a:cs typeface="+mn-cs"/>
            </a:rPr>
            <a:t>STT (Straight to test)</a:t>
          </a:r>
        </a:p>
        <a:p>
          <a:pPr algn="ctr">
            <a:buNone/>
          </a:pPr>
          <a:r>
            <a:rPr lang="en-GB" sz="1000">
              <a:solidFill>
                <a:sysClr val="window" lastClr="FFFFFF"/>
              </a:solidFill>
              <a:latin typeface="Calibri" panose="020F0502020204030204"/>
              <a:ea typeface="+mn-ea"/>
              <a:cs typeface="+mn-cs"/>
            </a:rPr>
            <a:t>Endoscopy</a:t>
          </a:r>
        </a:p>
        <a:p>
          <a:pPr algn="ctr">
            <a:buNone/>
          </a:pPr>
          <a:r>
            <a:rPr lang="en-GB" sz="1000">
              <a:solidFill>
                <a:srgbClr val="002060"/>
              </a:solidFill>
              <a:latin typeface="Calibri" panose="020F0502020204030204"/>
              <a:ea typeface="+mn-ea"/>
              <a:cs typeface="+mn-cs"/>
            </a:rPr>
            <a:t>within two weeks from referral </a:t>
          </a:r>
        </a:p>
      </dgm:t>
    </dgm:pt>
    <dgm:pt modelId="{B733B1A3-396E-4B0F-950B-7D5766913747}" type="parTrans" cxnId="{C1602140-D4BD-4164-BFF3-0164C28514BB}">
      <dgm:prSet/>
      <dgm:spPr/>
      <dgm:t>
        <a:bodyPr/>
        <a:lstStyle/>
        <a:p>
          <a:pPr algn="ctr"/>
          <a:endParaRPr lang="en-GB"/>
        </a:p>
      </dgm:t>
    </dgm:pt>
    <dgm:pt modelId="{B1EFE904-C836-4AB8-BDB1-8514E19EF187}" type="sibTrans" cxnId="{C1602140-D4BD-4164-BFF3-0164C28514BB}">
      <dgm:prSet/>
      <dgm:spPr>
        <a:xfrm>
          <a:off x="1553449" y="2130093"/>
          <a:ext cx="197414" cy="91440"/>
        </a:xfrm>
        <a:custGeom>
          <a:avLst/>
          <a:gdLst/>
          <a:ahLst/>
          <a:cxnLst/>
          <a:rect l="0" t="0" r="0" b="0"/>
          <a:pathLst>
            <a:path>
              <a:moveTo>
                <a:pt x="0" y="45720"/>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4DAFA8CA-1C83-4559-B226-237EFAC572D3}">
      <dgm:prSet phldrT="[Text]" custT="1"/>
      <dgm:spPr>
        <a:xfrm>
          <a:off x="1783263" y="1613670"/>
          <a:ext cx="1870006" cy="112428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a:solidFill>
                <a:sysClr val="window" lastClr="FFFFFF"/>
              </a:solidFill>
              <a:latin typeface="Calibri" panose="020F0502020204030204"/>
              <a:ea typeface="+mn-ea"/>
              <a:cs typeface="+mn-cs"/>
            </a:rPr>
            <a:t>Order CT Scan and await histology</a:t>
          </a:r>
        </a:p>
        <a:p>
          <a:pPr algn="ctr">
            <a:buNone/>
          </a:pPr>
          <a:r>
            <a:rPr lang="en-GB" sz="1100">
              <a:solidFill>
                <a:srgbClr val="002060"/>
              </a:solidFill>
              <a:latin typeface="Calibri" panose="020F0502020204030204"/>
              <a:ea typeface="+mn-ea"/>
              <a:cs typeface="+mn-cs"/>
            </a:rPr>
            <a:t>within two weeks from endoscopy</a:t>
          </a:r>
        </a:p>
      </dgm:t>
    </dgm:pt>
    <dgm:pt modelId="{4D033E01-D2B7-4D28-9D69-C71BCA07E844}" type="parTrans" cxnId="{3BBEC4FB-7476-4532-8DA0-5375B4A73542}">
      <dgm:prSet/>
      <dgm:spPr/>
      <dgm:t>
        <a:bodyPr/>
        <a:lstStyle/>
        <a:p>
          <a:pPr algn="ctr"/>
          <a:endParaRPr lang="en-GB"/>
        </a:p>
      </dgm:t>
    </dgm:pt>
    <dgm:pt modelId="{566BC063-3C92-43BF-B2E3-9B6D2A15B28E}" type="sibTrans" cxnId="{3BBEC4FB-7476-4532-8DA0-5375B4A73542}">
      <dgm:prSet/>
      <dgm:spPr>
        <a:xfrm>
          <a:off x="3651469" y="2130093"/>
          <a:ext cx="197414" cy="91440"/>
        </a:xfrm>
        <a:custGeom>
          <a:avLst/>
          <a:gdLst/>
          <a:ahLst/>
          <a:cxnLst/>
          <a:rect l="0" t="0" r="0" b="0"/>
          <a:pathLst>
            <a:path>
              <a:moveTo>
                <a:pt x="0" y="45720"/>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5755F51E-6641-4D1D-8149-62A77AC31DD6}">
      <dgm:prSet custT="1"/>
      <dgm:spPr>
        <a:xfrm>
          <a:off x="4602" y="3048033"/>
          <a:ext cx="1453384" cy="109050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200">
              <a:solidFill>
                <a:sysClr val="window" lastClr="FFFFFF"/>
              </a:solidFill>
              <a:latin typeface="Calibri" panose="020F0502020204030204"/>
              <a:ea typeface="+mn-ea"/>
              <a:cs typeface="+mn-cs"/>
            </a:rPr>
            <a:t>Order EUS and PET Scan</a:t>
          </a:r>
        </a:p>
        <a:p>
          <a:pPr algn="ctr">
            <a:buNone/>
          </a:pPr>
          <a:r>
            <a:rPr lang="en-GB" sz="1200">
              <a:solidFill>
                <a:srgbClr val="002060"/>
              </a:solidFill>
              <a:latin typeface="Calibri" panose="020F0502020204030204"/>
              <a:ea typeface="+mn-ea"/>
              <a:cs typeface="+mn-cs"/>
            </a:rPr>
            <a:t>two weeks from MDT</a:t>
          </a:r>
        </a:p>
      </dgm:t>
    </dgm:pt>
    <dgm:pt modelId="{927CC4A9-8FB7-4F4D-9FB8-446B0B68A48B}" type="parTrans" cxnId="{B7584F56-3F8A-43B0-A31F-6809223D2A44}">
      <dgm:prSet/>
      <dgm:spPr/>
      <dgm:t>
        <a:bodyPr/>
        <a:lstStyle/>
        <a:p>
          <a:pPr algn="ctr"/>
          <a:endParaRPr lang="en-GB"/>
        </a:p>
      </dgm:t>
    </dgm:pt>
    <dgm:pt modelId="{460D9FD9-5DB9-4A15-B448-B7775832EE17}" type="sibTrans" cxnId="{B7584F56-3F8A-43B0-A31F-6809223D2A44}">
      <dgm:prSet/>
      <dgm:spPr>
        <a:xfrm>
          <a:off x="1456186" y="3547564"/>
          <a:ext cx="197414" cy="91440"/>
        </a:xfrm>
        <a:custGeom>
          <a:avLst/>
          <a:gdLst/>
          <a:ahLst/>
          <a:cxnLst/>
          <a:rect l="0" t="0" r="0" b="0"/>
          <a:pathLst>
            <a:path>
              <a:moveTo>
                <a:pt x="0" y="45720"/>
              </a:moveTo>
              <a:lnTo>
                <a:pt x="93006" y="45719"/>
              </a:lnTo>
            </a:path>
            <a:path>
              <a:moveTo>
                <a:pt x="104407" y="45719"/>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a:p>
          <a:pPr algn="ctr">
            <a:buNone/>
          </a:pPr>
          <a:endParaRPr lang="en-GB">
            <a:solidFill>
              <a:sysClr val="windowText" lastClr="000000">
                <a:hueOff val="0"/>
                <a:satOff val="0"/>
                <a:lumOff val="0"/>
                <a:alphaOff val="0"/>
              </a:sysClr>
            </a:solidFill>
            <a:latin typeface="Calibri" panose="020F0502020204030204"/>
            <a:ea typeface="+mn-ea"/>
            <a:cs typeface="+mn-cs"/>
          </a:endParaRPr>
        </a:p>
        <a:p>
          <a:pPr algn="ctr">
            <a:buNone/>
          </a:pPr>
          <a:endParaRPr lang="en-GB">
            <a:solidFill>
              <a:sysClr val="windowText" lastClr="000000">
                <a:hueOff val="0"/>
                <a:satOff val="0"/>
                <a:lumOff val="0"/>
                <a:alphaOff val="0"/>
              </a:sysClr>
            </a:solidFill>
            <a:latin typeface="Calibri" panose="020F0502020204030204"/>
            <a:ea typeface="+mn-ea"/>
            <a:cs typeface="+mn-cs"/>
          </a:endParaRPr>
        </a:p>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97B7E336-8B4D-4C78-AFA5-1DA1C02AC70C}">
      <dgm:prSet custT="1"/>
      <dgm:spPr>
        <a:xfrm>
          <a:off x="3881284" y="1622003"/>
          <a:ext cx="1890329" cy="110762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200">
              <a:solidFill>
                <a:sysClr val="window" lastClr="FFFFFF"/>
              </a:solidFill>
              <a:latin typeface="Calibri" panose="020F0502020204030204"/>
              <a:ea typeface="+mn-ea"/>
              <a:cs typeface="+mn-cs"/>
            </a:rPr>
            <a:t>Discuss on MDT </a:t>
          </a:r>
        </a:p>
        <a:p>
          <a:pPr algn="ctr">
            <a:buNone/>
          </a:pPr>
          <a:r>
            <a:rPr lang="en-GB" sz="1200">
              <a:solidFill>
                <a:srgbClr val="002060"/>
              </a:solidFill>
              <a:latin typeface="Calibri" panose="020F0502020204030204"/>
              <a:ea typeface="+mn-ea"/>
              <a:cs typeface="+mn-cs"/>
            </a:rPr>
            <a:t>up to two weeks from endoscopy</a:t>
          </a:r>
        </a:p>
      </dgm:t>
    </dgm:pt>
    <dgm:pt modelId="{A60D7E75-D6FF-419B-A162-79EACF7DFC2B}" type="parTrans" cxnId="{07D6E809-FB67-4C73-A737-A525670AB3FA}">
      <dgm:prSet/>
      <dgm:spPr/>
      <dgm:t>
        <a:bodyPr/>
        <a:lstStyle/>
        <a:p>
          <a:pPr algn="ctr"/>
          <a:endParaRPr lang="en-GB"/>
        </a:p>
      </dgm:t>
    </dgm:pt>
    <dgm:pt modelId="{6A8AC550-F598-4515-8DD7-8A8CFDF5ACC7}" type="sibTrans" cxnId="{07D6E809-FB67-4C73-A737-A525670AB3FA}">
      <dgm:prSet/>
      <dgm:spPr>
        <a:xfrm>
          <a:off x="731294" y="2727824"/>
          <a:ext cx="4095154" cy="287809"/>
        </a:xfrm>
        <a:custGeom>
          <a:avLst/>
          <a:gdLst/>
          <a:ahLst/>
          <a:cxnLst/>
          <a:rect l="0" t="0" r="0" b="0"/>
          <a:pathLst>
            <a:path>
              <a:moveTo>
                <a:pt x="4095154" y="0"/>
              </a:moveTo>
              <a:lnTo>
                <a:pt x="4095154" y="161004"/>
              </a:lnTo>
              <a:lnTo>
                <a:pt x="0" y="161004"/>
              </a:lnTo>
              <a:lnTo>
                <a:pt x="0" y="287809"/>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F3F65473-479C-4185-B6F5-DC0075DA4718}">
      <dgm:prSet custT="1"/>
      <dgm:spPr>
        <a:xfrm>
          <a:off x="1686000" y="3061497"/>
          <a:ext cx="2089574" cy="10635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050">
              <a:solidFill>
                <a:sysClr val="window" lastClr="FFFFFF"/>
              </a:solidFill>
              <a:latin typeface="Calibri" panose="020F0502020204030204"/>
              <a:ea typeface="+mn-ea"/>
              <a:cs typeface="+mn-cs"/>
            </a:rPr>
            <a:t>Discuss in Cardiff MDT</a:t>
          </a:r>
        </a:p>
        <a:p>
          <a:pPr algn="ctr">
            <a:buNone/>
          </a:pPr>
          <a:r>
            <a:rPr lang="en-GB" sz="1050">
              <a:solidFill>
                <a:srgbClr val="002060"/>
              </a:solidFill>
              <a:latin typeface="Calibri" panose="020F0502020204030204"/>
              <a:ea typeface="+mn-ea"/>
              <a:cs typeface="+mn-cs"/>
            </a:rPr>
            <a:t>two weeks from EUS and PET</a:t>
          </a:r>
        </a:p>
      </dgm:t>
    </dgm:pt>
    <dgm:pt modelId="{46C1AC9C-85FE-4CDD-B015-52332FD4F152}" type="parTrans" cxnId="{3DFF482E-2557-48D2-9E34-5EBE0C470F77}">
      <dgm:prSet/>
      <dgm:spPr/>
      <dgm:t>
        <a:bodyPr/>
        <a:lstStyle/>
        <a:p>
          <a:pPr algn="ctr"/>
          <a:endParaRPr lang="en-GB"/>
        </a:p>
      </dgm:t>
    </dgm:pt>
    <dgm:pt modelId="{2BFF54FC-4B54-4643-A1BF-477270191ABF}" type="sibTrans" cxnId="{3DFF482E-2557-48D2-9E34-5EBE0C470F77}">
      <dgm:prSet/>
      <dgm:spPr>
        <a:xfrm>
          <a:off x="3773774" y="3547564"/>
          <a:ext cx="197414" cy="91440"/>
        </a:xfrm>
        <a:custGeom>
          <a:avLst/>
          <a:gdLst/>
          <a:ahLst/>
          <a:cxnLst/>
          <a:rect l="0" t="0" r="0" b="0"/>
          <a:pathLst>
            <a:path>
              <a:moveTo>
                <a:pt x="0" y="45720"/>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8BAD0D41-6C29-43F4-9F72-D50B57543592}">
      <dgm:prSet custT="1"/>
      <dgm:spPr>
        <a:xfrm>
          <a:off x="4003589" y="3054764"/>
          <a:ext cx="1811446" cy="107704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000">
              <a:solidFill>
                <a:sysClr val="window" lastClr="FFFFFF"/>
              </a:solidFill>
              <a:latin typeface="Calibri" panose="020F0502020204030204"/>
              <a:ea typeface="+mn-ea"/>
              <a:cs typeface="+mn-cs"/>
            </a:rPr>
            <a:t>Outpatient appointment with Surgeon</a:t>
          </a:r>
        </a:p>
        <a:p>
          <a:pPr algn="ctr">
            <a:buNone/>
          </a:pPr>
          <a:r>
            <a:rPr lang="en-GB" sz="1000">
              <a:solidFill>
                <a:srgbClr val="002060"/>
              </a:solidFill>
              <a:latin typeface="Calibri" panose="020F0502020204030204"/>
              <a:ea typeface="+mn-ea"/>
              <a:cs typeface="+mn-cs"/>
            </a:rPr>
            <a:t>one week following MDT</a:t>
          </a:r>
        </a:p>
      </dgm:t>
    </dgm:pt>
    <dgm:pt modelId="{4BE8B11D-B03D-4FDD-9ECE-AF789ECE1003}" type="parTrans" cxnId="{C41371DB-A5D1-4173-BC38-02416989F717}">
      <dgm:prSet/>
      <dgm:spPr/>
      <dgm:t>
        <a:bodyPr/>
        <a:lstStyle/>
        <a:p>
          <a:pPr algn="ctr"/>
          <a:endParaRPr lang="en-GB"/>
        </a:p>
      </dgm:t>
    </dgm:pt>
    <dgm:pt modelId="{F4EAC730-1A73-4E3E-928A-E9DE0DAC529C}" type="sibTrans" cxnId="{C41371DB-A5D1-4173-BC38-02416989F717}">
      <dgm:prSet/>
      <dgm:spPr>
        <a:xfrm>
          <a:off x="1975470" y="4130005"/>
          <a:ext cx="2933842" cy="217180"/>
        </a:xfrm>
        <a:custGeom>
          <a:avLst/>
          <a:gdLst/>
          <a:ahLst/>
          <a:cxnLst/>
          <a:rect l="0" t="0" r="0" b="0"/>
          <a:pathLst>
            <a:path>
              <a:moveTo>
                <a:pt x="2933842" y="0"/>
              </a:moveTo>
              <a:lnTo>
                <a:pt x="2933842" y="125690"/>
              </a:lnTo>
              <a:lnTo>
                <a:pt x="0" y="125690"/>
              </a:lnTo>
              <a:lnTo>
                <a:pt x="0" y="217180"/>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C3B283E7-76FE-4894-B146-606E1D6ED8F2}">
      <dgm:prSet custT="1"/>
      <dgm:spPr>
        <a:xfrm>
          <a:off x="11333" y="4379585"/>
          <a:ext cx="3928272" cy="115781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400">
              <a:solidFill>
                <a:sysClr val="window" lastClr="FFFFFF"/>
              </a:solidFill>
              <a:latin typeface="Calibri" panose="020F0502020204030204"/>
              <a:ea typeface="+mn-ea"/>
              <a:cs typeface="+mn-cs"/>
            </a:rPr>
            <a:t>Outpatient appointment with Oncologist</a:t>
          </a:r>
        </a:p>
        <a:p>
          <a:pPr algn="ctr">
            <a:buNone/>
          </a:pPr>
          <a:r>
            <a:rPr lang="en-GB" sz="1400">
              <a:solidFill>
                <a:srgbClr val="002060"/>
              </a:solidFill>
              <a:latin typeface="Calibri" panose="020F0502020204030204"/>
              <a:ea typeface="+mn-ea"/>
              <a:cs typeface="+mn-cs"/>
            </a:rPr>
            <a:t>one week following surical outpatient appointment</a:t>
          </a:r>
        </a:p>
      </dgm:t>
    </dgm:pt>
    <dgm:pt modelId="{390C2F2B-5DAC-40AC-8B76-8B8ED0453302}" type="parTrans" cxnId="{7C5F11F7-A307-40CE-9743-0943A4658C18}">
      <dgm:prSet/>
      <dgm:spPr/>
      <dgm:t>
        <a:bodyPr/>
        <a:lstStyle/>
        <a:p>
          <a:pPr algn="ctr"/>
          <a:endParaRPr lang="en-GB"/>
        </a:p>
      </dgm:t>
    </dgm:pt>
    <dgm:pt modelId="{531A5619-1330-4B31-86D9-16AC1B06A157}" type="sibTrans" cxnId="{7C5F11F7-A307-40CE-9743-0943A4658C18}">
      <dgm:prSet/>
      <dgm:spPr>
        <a:xfrm>
          <a:off x="3937806" y="4912774"/>
          <a:ext cx="190683" cy="91440"/>
        </a:xfrm>
        <a:custGeom>
          <a:avLst/>
          <a:gdLst/>
          <a:ahLst/>
          <a:cxnLst/>
          <a:rect l="0" t="0" r="0" b="0"/>
          <a:pathLst>
            <a:path>
              <a:moveTo>
                <a:pt x="0" y="45720"/>
              </a:moveTo>
              <a:lnTo>
                <a:pt x="112441" y="45720"/>
              </a:lnTo>
              <a:lnTo>
                <a:pt x="112441" y="106302"/>
              </a:lnTo>
              <a:lnTo>
                <a:pt x="190683" y="106302"/>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5AF3579E-FD52-4307-AF91-8B35102C2684}">
      <dgm:prSet custT="1"/>
      <dgm:spPr>
        <a:xfrm>
          <a:off x="4160889" y="4366550"/>
          <a:ext cx="1525942" cy="130505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200">
              <a:solidFill>
                <a:sysClr val="window" lastClr="FFFFFF"/>
              </a:solidFill>
              <a:latin typeface="Calibri" panose="020F0502020204030204"/>
              <a:ea typeface="+mn-ea"/>
              <a:cs typeface="+mn-cs"/>
            </a:rPr>
            <a:t>Neoadjuvant Chemotherapy</a:t>
          </a:r>
        </a:p>
        <a:p>
          <a:pPr algn="ctr">
            <a:buNone/>
          </a:pPr>
          <a:r>
            <a:rPr lang="en-GB" sz="1200">
              <a:solidFill>
                <a:srgbClr val="002060"/>
              </a:solidFill>
              <a:latin typeface="Calibri" panose="020F0502020204030204"/>
              <a:ea typeface="+mn-ea"/>
              <a:cs typeface="+mn-cs"/>
            </a:rPr>
            <a:t>two weeks from oncology appointment</a:t>
          </a:r>
        </a:p>
        <a:p>
          <a:pPr algn="ctr">
            <a:buNone/>
          </a:pPr>
          <a:endParaRPr lang="en-GB" sz="700">
            <a:solidFill>
              <a:sysClr val="window" lastClr="FFFFFF"/>
            </a:solidFill>
            <a:latin typeface="Calibri" panose="020F0502020204030204"/>
            <a:ea typeface="+mn-ea"/>
            <a:cs typeface="+mn-cs"/>
          </a:endParaRPr>
        </a:p>
      </dgm:t>
    </dgm:pt>
    <dgm:pt modelId="{503B24F5-6EAF-4A30-ABA9-9EA993695934}" type="parTrans" cxnId="{2D6D1FB5-71C1-479D-84C0-0AC3DFC803AC}">
      <dgm:prSet/>
      <dgm:spPr/>
      <dgm:t>
        <a:bodyPr/>
        <a:lstStyle/>
        <a:p>
          <a:pPr algn="ctr"/>
          <a:endParaRPr lang="en-GB"/>
        </a:p>
      </dgm:t>
    </dgm:pt>
    <dgm:pt modelId="{6D07E3DB-03D1-46AF-8006-7227AFF414E1}" type="sibTrans" cxnId="{2D6D1FB5-71C1-479D-84C0-0AC3DFC803AC}">
      <dgm:prSet/>
      <dgm:spPr>
        <a:xfrm>
          <a:off x="3060700" y="5669803"/>
          <a:ext cx="1863160" cy="197414"/>
        </a:xfrm>
        <a:custGeom>
          <a:avLst/>
          <a:gdLst/>
          <a:ahLst/>
          <a:cxnLst/>
          <a:rect l="0" t="0" r="0" b="0"/>
          <a:pathLst>
            <a:path>
              <a:moveTo>
                <a:pt x="1863160" y="0"/>
              </a:moveTo>
              <a:lnTo>
                <a:pt x="1863160" y="115807"/>
              </a:lnTo>
              <a:lnTo>
                <a:pt x="0" y="115807"/>
              </a:lnTo>
              <a:lnTo>
                <a:pt x="0" y="197414"/>
              </a:lnTo>
            </a:path>
          </a:pathLst>
        </a:custGeom>
        <a:noFill/>
        <a:ln w="6350" cap="flat" cmpd="sng" algn="ctr">
          <a:solidFill>
            <a:srgbClr val="4472C4">
              <a:hueOff val="0"/>
              <a:satOff val="0"/>
              <a:lumOff val="0"/>
              <a:alphaOff val="0"/>
            </a:srgbClr>
          </a:solidFill>
          <a:prstDash val="solid"/>
          <a:miter lim="800000"/>
          <a:tailEnd type="arrow"/>
        </a:ln>
        <a:effectLst/>
      </dgm:spPr>
      <dgm:t>
        <a:bodyPr/>
        <a:lstStyle/>
        <a:p>
          <a:pPr algn="ctr">
            <a:buNone/>
          </a:pPr>
          <a:endParaRPr lang="en-GB">
            <a:solidFill>
              <a:sysClr val="windowText" lastClr="000000">
                <a:hueOff val="0"/>
                <a:satOff val="0"/>
                <a:lumOff val="0"/>
                <a:alphaOff val="0"/>
              </a:sysClr>
            </a:solidFill>
            <a:latin typeface="Calibri" panose="020F0502020204030204"/>
            <a:ea typeface="+mn-ea"/>
            <a:cs typeface="+mn-cs"/>
          </a:endParaRPr>
        </a:p>
      </dgm:t>
    </dgm:pt>
    <dgm:pt modelId="{64467BE0-5357-4AA1-B9C4-81CF0616FC49}">
      <dgm:prSet custT="1"/>
      <dgm:spPr>
        <a:xfrm>
          <a:off x="4602" y="5899618"/>
          <a:ext cx="6112195" cy="1310668"/>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800">
              <a:solidFill>
                <a:sysClr val="window" lastClr="FFFFFF"/>
              </a:solidFill>
              <a:latin typeface="Calibri" panose="020F0502020204030204"/>
              <a:ea typeface="+mn-ea"/>
              <a:cs typeface="+mn-cs"/>
            </a:rPr>
            <a:t>Surgery</a:t>
          </a:r>
        </a:p>
        <a:p>
          <a:pPr algn="ctr">
            <a:buNone/>
          </a:pPr>
          <a:r>
            <a:rPr lang="en-GB" sz="1800">
              <a:solidFill>
                <a:srgbClr val="002060"/>
              </a:solidFill>
              <a:latin typeface="Calibri" panose="020F0502020204030204"/>
              <a:ea typeface="+mn-ea"/>
              <a:cs typeface="+mn-cs"/>
            </a:rPr>
            <a:t>eight weeks following end of neoadjuvant chemotherapy</a:t>
          </a:r>
        </a:p>
      </dgm:t>
    </dgm:pt>
    <dgm:pt modelId="{67BFA73F-A04A-49E2-81ED-7C20ABE47437}" type="parTrans" cxnId="{307ACA87-26A4-4D5B-B592-B4ED4A2BA62F}">
      <dgm:prSet/>
      <dgm:spPr/>
      <dgm:t>
        <a:bodyPr/>
        <a:lstStyle/>
        <a:p>
          <a:pPr algn="ctr"/>
          <a:endParaRPr lang="en-GB"/>
        </a:p>
      </dgm:t>
    </dgm:pt>
    <dgm:pt modelId="{0EB27227-206E-46DA-8CFC-323E9D7609BD}" type="sibTrans" cxnId="{307ACA87-26A4-4D5B-B592-B4ED4A2BA62F}">
      <dgm:prSet/>
      <dgm:spPr/>
      <dgm:t>
        <a:bodyPr/>
        <a:lstStyle/>
        <a:p>
          <a:pPr algn="ctr"/>
          <a:endParaRPr lang="en-GB"/>
        </a:p>
      </dgm:t>
    </dgm:pt>
    <dgm:pt modelId="{7A442DBD-945A-4FBA-A6B3-7244FA24953C}" type="pres">
      <dgm:prSet presAssocID="{DC883EBE-BD48-4DB6-BD90-D153DE5CAE2E}" presName="Name0" presStyleCnt="0">
        <dgm:presLayoutVars>
          <dgm:dir/>
          <dgm:resizeHandles val="exact"/>
        </dgm:presLayoutVars>
      </dgm:prSet>
      <dgm:spPr/>
    </dgm:pt>
    <dgm:pt modelId="{A4ABE8E9-1CE3-4F90-BB7B-6B22D12AD20E}" type="pres">
      <dgm:prSet presAssocID="{BAD6B038-53B5-431C-B9CE-BD378796C50E}" presName="node" presStyleLbl="node1" presStyleIdx="0" presStyleCnt="10" custScaleX="615753" custScaleY="182304">
        <dgm:presLayoutVars>
          <dgm:bulletEnabled val="1"/>
        </dgm:presLayoutVars>
      </dgm:prSet>
      <dgm:spPr/>
      <dgm:t>
        <a:bodyPr/>
        <a:lstStyle/>
        <a:p>
          <a:endParaRPr lang="en-US"/>
        </a:p>
      </dgm:t>
    </dgm:pt>
    <dgm:pt modelId="{BBD46EA8-9946-4F60-91F7-1318C44C47BF}" type="pres">
      <dgm:prSet presAssocID="{9A672FD1-14E5-404F-9831-D2A0B0D12BF9}" presName="sibTrans" presStyleLbl="sibTrans1D1" presStyleIdx="0" presStyleCnt="9"/>
      <dgm:spPr/>
      <dgm:t>
        <a:bodyPr/>
        <a:lstStyle/>
        <a:p>
          <a:endParaRPr lang="en-US"/>
        </a:p>
      </dgm:t>
    </dgm:pt>
    <dgm:pt modelId="{E249C9A0-9334-4321-A9AE-F21211FB28DB}" type="pres">
      <dgm:prSet presAssocID="{9A672FD1-14E5-404F-9831-D2A0B0D12BF9}" presName="connectorText" presStyleLbl="sibTrans1D1" presStyleIdx="0" presStyleCnt="9"/>
      <dgm:spPr/>
      <dgm:t>
        <a:bodyPr/>
        <a:lstStyle/>
        <a:p>
          <a:endParaRPr lang="en-US"/>
        </a:p>
      </dgm:t>
    </dgm:pt>
    <dgm:pt modelId="{3D14A647-CA96-420C-9915-D808B4F4E90B}" type="pres">
      <dgm:prSet presAssocID="{83278924-6477-4FF9-AEC3-309DF1B6B4E0}" presName="node" presStyleLbl="node1" presStyleIdx="1" presStyleCnt="10" custScaleX="156415" custScaleY="216605">
        <dgm:presLayoutVars>
          <dgm:bulletEnabled val="1"/>
        </dgm:presLayoutVars>
      </dgm:prSet>
      <dgm:spPr/>
      <dgm:t>
        <a:bodyPr/>
        <a:lstStyle/>
        <a:p>
          <a:endParaRPr lang="en-US"/>
        </a:p>
      </dgm:t>
    </dgm:pt>
    <dgm:pt modelId="{FBAA3B07-C07C-49FB-8A6D-27EF49B3A8E6}" type="pres">
      <dgm:prSet presAssocID="{B1EFE904-C836-4AB8-BDB1-8514E19EF187}" presName="sibTrans" presStyleLbl="sibTrans1D1" presStyleIdx="1" presStyleCnt="9"/>
      <dgm:spPr/>
      <dgm:t>
        <a:bodyPr/>
        <a:lstStyle/>
        <a:p>
          <a:endParaRPr lang="en-US"/>
        </a:p>
      </dgm:t>
    </dgm:pt>
    <dgm:pt modelId="{74F728A9-BFE2-4D9C-BBFD-ED0E8661ECE2}" type="pres">
      <dgm:prSet presAssocID="{B1EFE904-C836-4AB8-BDB1-8514E19EF187}" presName="connectorText" presStyleLbl="sibTrans1D1" presStyleIdx="1" presStyleCnt="9"/>
      <dgm:spPr/>
      <dgm:t>
        <a:bodyPr/>
        <a:lstStyle/>
        <a:p>
          <a:endParaRPr lang="en-US"/>
        </a:p>
      </dgm:t>
    </dgm:pt>
    <dgm:pt modelId="{3439C11B-A47A-4C7F-AD66-6C660C96F252}" type="pres">
      <dgm:prSet presAssocID="{4DAFA8CA-1C83-4559-B226-237EFAC572D3}" presName="node" presStyleLbl="node1" presStyleIdx="2" presStyleCnt="10" custScaleX="188629" custScaleY="189013">
        <dgm:presLayoutVars>
          <dgm:bulletEnabled val="1"/>
        </dgm:presLayoutVars>
      </dgm:prSet>
      <dgm:spPr/>
      <dgm:t>
        <a:bodyPr/>
        <a:lstStyle/>
        <a:p>
          <a:endParaRPr lang="en-US"/>
        </a:p>
      </dgm:t>
    </dgm:pt>
    <dgm:pt modelId="{6F96FDC7-E71E-49B7-9A2E-9EBF293EDCDC}" type="pres">
      <dgm:prSet presAssocID="{566BC063-3C92-43BF-B2E3-9B6D2A15B28E}" presName="sibTrans" presStyleLbl="sibTrans1D1" presStyleIdx="2" presStyleCnt="9"/>
      <dgm:spPr/>
      <dgm:t>
        <a:bodyPr/>
        <a:lstStyle/>
        <a:p>
          <a:endParaRPr lang="en-US"/>
        </a:p>
      </dgm:t>
    </dgm:pt>
    <dgm:pt modelId="{765D6D70-805F-4774-8AF4-30FD4FA672D9}" type="pres">
      <dgm:prSet presAssocID="{566BC063-3C92-43BF-B2E3-9B6D2A15B28E}" presName="connectorText" presStyleLbl="sibTrans1D1" presStyleIdx="2" presStyleCnt="9"/>
      <dgm:spPr/>
      <dgm:t>
        <a:bodyPr/>
        <a:lstStyle/>
        <a:p>
          <a:endParaRPr lang="en-US"/>
        </a:p>
      </dgm:t>
    </dgm:pt>
    <dgm:pt modelId="{13A188F0-CCB4-49C2-8F77-336C1A130DC7}" type="pres">
      <dgm:prSet presAssocID="{97B7E336-8B4D-4C78-AFA5-1DA1C02AC70C}" presName="node" presStyleLbl="node1" presStyleIdx="3" presStyleCnt="10" custScaleX="190679" custScaleY="186211">
        <dgm:presLayoutVars>
          <dgm:bulletEnabled val="1"/>
        </dgm:presLayoutVars>
      </dgm:prSet>
      <dgm:spPr/>
      <dgm:t>
        <a:bodyPr/>
        <a:lstStyle/>
        <a:p>
          <a:endParaRPr lang="en-US"/>
        </a:p>
      </dgm:t>
    </dgm:pt>
    <dgm:pt modelId="{13FF1881-4084-449B-8FBF-0E2923BEFD07}" type="pres">
      <dgm:prSet presAssocID="{6A8AC550-F598-4515-8DD7-8A8CFDF5ACC7}" presName="sibTrans" presStyleLbl="sibTrans1D1" presStyleIdx="3" presStyleCnt="9"/>
      <dgm:spPr/>
      <dgm:t>
        <a:bodyPr/>
        <a:lstStyle/>
        <a:p>
          <a:endParaRPr lang="en-US"/>
        </a:p>
      </dgm:t>
    </dgm:pt>
    <dgm:pt modelId="{229B2FA9-96A3-467A-9312-A4DAF58F4463}" type="pres">
      <dgm:prSet presAssocID="{6A8AC550-F598-4515-8DD7-8A8CFDF5ACC7}" presName="connectorText" presStyleLbl="sibTrans1D1" presStyleIdx="3" presStyleCnt="9"/>
      <dgm:spPr/>
      <dgm:t>
        <a:bodyPr/>
        <a:lstStyle/>
        <a:p>
          <a:endParaRPr lang="en-US"/>
        </a:p>
      </dgm:t>
    </dgm:pt>
    <dgm:pt modelId="{E5BF3273-EC60-4A6C-A5AC-8D89CFCFCB67}" type="pres">
      <dgm:prSet presAssocID="{5755F51E-6641-4D1D-8149-62A77AC31DD6}" presName="node" presStyleLbl="node1" presStyleIdx="4" presStyleCnt="10" custScaleX="146604" custScaleY="183333">
        <dgm:presLayoutVars>
          <dgm:bulletEnabled val="1"/>
        </dgm:presLayoutVars>
      </dgm:prSet>
      <dgm:spPr/>
      <dgm:t>
        <a:bodyPr/>
        <a:lstStyle/>
        <a:p>
          <a:endParaRPr lang="en-US"/>
        </a:p>
      </dgm:t>
    </dgm:pt>
    <dgm:pt modelId="{B7C6A6A7-CF6E-4214-A405-A59A9251BA24}" type="pres">
      <dgm:prSet presAssocID="{460D9FD9-5DB9-4A15-B448-B7775832EE17}" presName="sibTrans" presStyleLbl="sibTrans1D1" presStyleIdx="4" presStyleCnt="9"/>
      <dgm:spPr/>
      <dgm:t>
        <a:bodyPr/>
        <a:lstStyle/>
        <a:p>
          <a:endParaRPr lang="en-US"/>
        </a:p>
      </dgm:t>
    </dgm:pt>
    <dgm:pt modelId="{932BC89A-5D2F-4F58-8F5D-74C9234DDF68}" type="pres">
      <dgm:prSet presAssocID="{460D9FD9-5DB9-4A15-B448-B7775832EE17}" presName="connectorText" presStyleLbl="sibTrans1D1" presStyleIdx="4" presStyleCnt="9"/>
      <dgm:spPr/>
      <dgm:t>
        <a:bodyPr/>
        <a:lstStyle/>
        <a:p>
          <a:endParaRPr lang="en-US"/>
        </a:p>
      </dgm:t>
    </dgm:pt>
    <dgm:pt modelId="{A1A57B07-C44F-4E50-89B1-914DC18B3E3B}" type="pres">
      <dgm:prSet presAssocID="{F3F65473-479C-4185-B6F5-DC0075DA4718}" presName="node" presStyleLbl="node1" presStyleIdx="5" presStyleCnt="10" custScaleX="210777" custScaleY="178806">
        <dgm:presLayoutVars>
          <dgm:bulletEnabled val="1"/>
        </dgm:presLayoutVars>
      </dgm:prSet>
      <dgm:spPr/>
      <dgm:t>
        <a:bodyPr/>
        <a:lstStyle/>
        <a:p>
          <a:endParaRPr lang="en-US"/>
        </a:p>
      </dgm:t>
    </dgm:pt>
    <dgm:pt modelId="{3821636B-F121-4FE3-BB56-1683AD5A2611}" type="pres">
      <dgm:prSet presAssocID="{2BFF54FC-4B54-4643-A1BF-477270191ABF}" presName="sibTrans" presStyleLbl="sibTrans1D1" presStyleIdx="5" presStyleCnt="9"/>
      <dgm:spPr/>
      <dgm:t>
        <a:bodyPr/>
        <a:lstStyle/>
        <a:p>
          <a:endParaRPr lang="en-US"/>
        </a:p>
      </dgm:t>
    </dgm:pt>
    <dgm:pt modelId="{7D4483E5-82DE-47FB-92C5-1EB868D9350E}" type="pres">
      <dgm:prSet presAssocID="{2BFF54FC-4B54-4643-A1BF-477270191ABF}" presName="connectorText" presStyleLbl="sibTrans1D1" presStyleIdx="5" presStyleCnt="9"/>
      <dgm:spPr/>
      <dgm:t>
        <a:bodyPr/>
        <a:lstStyle/>
        <a:p>
          <a:endParaRPr lang="en-US"/>
        </a:p>
      </dgm:t>
    </dgm:pt>
    <dgm:pt modelId="{0DA4D30B-D216-461A-AC69-B79B94C8FE29}" type="pres">
      <dgm:prSet presAssocID="{8BAD0D41-6C29-43F4-9F72-D50B57543592}" presName="node" presStyleLbl="node1" presStyleIdx="6" presStyleCnt="10" custScaleX="182722" custScaleY="181070">
        <dgm:presLayoutVars>
          <dgm:bulletEnabled val="1"/>
        </dgm:presLayoutVars>
      </dgm:prSet>
      <dgm:spPr/>
      <dgm:t>
        <a:bodyPr/>
        <a:lstStyle/>
        <a:p>
          <a:endParaRPr lang="en-US"/>
        </a:p>
      </dgm:t>
    </dgm:pt>
    <dgm:pt modelId="{DC45E047-FB3B-4372-9468-315994EC9991}" type="pres">
      <dgm:prSet presAssocID="{F4EAC730-1A73-4E3E-928A-E9DE0DAC529C}" presName="sibTrans" presStyleLbl="sibTrans1D1" presStyleIdx="6" presStyleCnt="9"/>
      <dgm:spPr/>
      <dgm:t>
        <a:bodyPr/>
        <a:lstStyle/>
        <a:p>
          <a:endParaRPr lang="en-US"/>
        </a:p>
      </dgm:t>
    </dgm:pt>
    <dgm:pt modelId="{34C87A7B-D9F7-457E-9FE6-37D4D6FFDA9E}" type="pres">
      <dgm:prSet presAssocID="{F4EAC730-1A73-4E3E-928A-E9DE0DAC529C}" presName="connectorText" presStyleLbl="sibTrans1D1" presStyleIdx="6" presStyleCnt="9"/>
      <dgm:spPr/>
      <dgm:t>
        <a:bodyPr/>
        <a:lstStyle/>
        <a:p>
          <a:endParaRPr lang="en-US"/>
        </a:p>
      </dgm:t>
    </dgm:pt>
    <dgm:pt modelId="{F8AF4A24-FE69-48CF-A7B9-1ACE6D6FF7E8}" type="pres">
      <dgm:prSet presAssocID="{C3B283E7-76FE-4894-B146-606E1D6ED8F2}" presName="node" presStyleLbl="node1" presStyleIdx="7" presStyleCnt="10" custScaleX="396248" custScaleY="194650" custLinFactNeighborX="679" custLinFactNeighborY="-10185">
        <dgm:presLayoutVars>
          <dgm:bulletEnabled val="1"/>
        </dgm:presLayoutVars>
      </dgm:prSet>
      <dgm:spPr/>
      <dgm:t>
        <a:bodyPr/>
        <a:lstStyle/>
        <a:p>
          <a:endParaRPr lang="en-US"/>
        </a:p>
      </dgm:t>
    </dgm:pt>
    <dgm:pt modelId="{A229AE13-8F5E-42FD-ADA7-D705CA74D8A1}" type="pres">
      <dgm:prSet presAssocID="{531A5619-1330-4B31-86D9-16AC1B06A157}" presName="sibTrans" presStyleLbl="sibTrans1D1" presStyleIdx="7" presStyleCnt="9"/>
      <dgm:spPr/>
      <dgm:t>
        <a:bodyPr/>
        <a:lstStyle/>
        <a:p>
          <a:endParaRPr lang="en-US"/>
        </a:p>
      </dgm:t>
    </dgm:pt>
    <dgm:pt modelId="{323B50FF-3CB8-4FEA-B9C8-5CCB727A9F98}" type="pres">
      <dgm:prSet presAssocID="{531A5619-1330-4B31-86D9-16AC1B06A157}" presName="connectorText" presStyleLbl="sibTrans1D1" presStyleIdx="7" presStyleCnt="9"/>
      <dgm:spPr/>
      <dgm:t>
        <a:bodyPr/>
        <a:lstStyle/>
        <a:p>
          <a:endParaRPr lang="en-US"/>
        </a:p>
      </dgm:t>
    </dgm:pt>
    <dgm:pt modelId="{F6C0F996-589E-4BC5-98D5-8AFAC826B567}" type="pres">
      <dgm:prSet presAssocID="{5AF3579E-FD52-4307-AF91-8B35102C2684}" presName="node" presStyleLbl="node1" presStyleIdx="8" presStyleCnt="10" custScaleX="153923" custScaleY="219403">
        <dgm:presLayoutVars>
          <dgm:bulletEnabled val="1"/>
        </dgm:presLayoutVars>
      </dgm:prSet>
      <dgm:spPr/>
      <dgm:t>
        <a:bodyPr/>
        <a:lstStyle/>
        <a:p>
          <a:endParaRPr lang="en-US"/>
        </a:p>
      </dgm:t>
    </dgm:pt>
    <dgm:pt modelId="{D6AB729F-87E0-4261-85C1-0F901F177F15}" type="pres">
      <dgm:prSet presAssocID="{6D07E3DB-03D1-46AF-8006-7227AFF414E1}" presName="sibTrans" presStyleLbl="sibTrans1D1" presStyleIdx="8" presStyleCnt="9"/>
      <dgm:spPr/>
      <dgm:t>
        <a:bodyPr/>
        <a:lstStyle/>
        <a:p>
          <a:endParaRPr lang="en-US"/>
        </a:p>
      </dgm:t>
    </dgm:pt>
    <dgm:pt modelId="{5FCDC40F-A065-44D6-A5EE-59AC1CEE7AAD}" type="pres">
      <dgm:prSet presAssocID="{6D07E3DB-03D1-46AF-8006-7227AFF414E1}" presName="connectorText" presStyleLbl="sibTrans1D1" presStyleIdx="8" presStyleCnt="9"/>
      <dgm:spPr/>
      <dgm:t>
        <a:bodyPr/>
        <a:lstStyle/>
        <a:p>
          <a:endParaRPr lang="en-US"/>
        </a:p>
      </dgm:t>
    </dgm:pt>
    <dgm:pt modelId="{575313CD-BDFB-46C7-B2BD-DEB726D8C312}" type="pres">
      <dgm:prSet presAssocID="{64467BE0-5357-4AA1-B9C4-81CF0616FC49}" presName="node" presStyleLbl="node1" presStyleIdx="9" presStyleCnt="10" custScaleX="616542" custScaleY="220347">
        <dgm:presLayoutVars>
          <dgm:bulletEnabled val="1"/>
        </dgm:presLayoutVars>
      </dgm:prSet>
      <dgm:spPr/>
      <dgm:t>
        <a:bodyPr/>
        <a:lstStyle/>
        <a:p>
          <a:endParaRPr lang="en-US"/>
        </a:p>
      </dgm:t>
    </dgm:pt>
  </dgm:ptLst>
  <dgm:cxnLst>
    <dgm:cxn modelId="{71A15713-DB05-439C-8884-83FF878FD5A1}" type="presOf" srcId="{8BAD0D41-6C29-43F4-9F72-D50B57543592}" destId="{0DA4D30B-D216-461A-AC69-B79B94C8FE29}" srcOrd="0" destOrd="0" presId="urn:microsoft.com/office/officeart/2005/8/layout/bProcess3"/>
    <dgm:cxn modelId="{7C5F11F7-A307-40CE-9743-0943A4658C18}" srcId="{DC883EBE-BD48-4DB6-BD90-D153DE5CAE2E}" destId="{C3B283E7-76FE-4894-B146-606E1D6ED8F2}" srcOrd="7" destOrd="0" parTransId="{390C2F2B-5DAC-40AC-8B76-8B8ED0453302}" sibTransId="{531A5619-1330-4B31-86D9-16AC1B06A157}"/>
    <dgm:cxn modelId="{5382A9AD-9819-4328-986E-E6E28933B4A7}" type="presOf" srcId="{F4EAC730-1A73-4E3E-928A-E9DE0DAC529C}" destId="{34C87A7B-D9F7-457E-9FE6-37D4D6FFDA9E}" srcOrd="1" destOrd="0" presId="urn:microsoft.com/office/officeart/2005/8/layout/bProcess3"/>
    <dgm:cxn modelId="{5A6085DB-D77D-4D18-9881-8756911E5ACF}" type="presOf" srcId="{B1EFE904-C836-4AB8-BDB1-8514E19EF187}" destId="{74F728A9-BFE2-4D9C-BBFD-ED0E8661ECE2}" srcOrd="1" destOrd="0" presId="urn:microsoft.com/office/officeart/2005/8/layout/bProcess3"/>
    <dgm:cxn modelId="{39B5117C-E245-46CE-AEC4-B8A08002A3CE}" type="presOf" srcId="{4DAFA8CA-1C83-4559-B226-237EFAC572D3}" destId="{3439C11B-A47A-4C7F-AD66-6C660C96F252}" srcOrd="0" destOrd="0" presId="urn:microsoft.com/office/officeart/2005/8/layout/bProcess3"/>
    <dgm:cxn modelId="{816BDE87-CABC-49B6-806A-0895E73D02DD}" type="presOf" srcId="{5755F51E-6641-4D1D-8149-62A77AC31DD6}" destId="{E5BF3273-EC60-4A6C-A5AC-8D89CFCFCB67}" srcOrd="0" destOrd="0" presId="urn:microsoft.com/office/officeart/2005/8/layout/bProcess3"/>
    <dgm:cxn modelId="{B7584F56-3F8A-43B0-A31F-6809223D2A44}" srcId="{DC883EBE-BD48-4DB6-BD90-D153DE5CAE2E}" destId="{5755F51E-6641-4D1D-8149-62A77AC31DD6}" srcOrd="4" destOrd="0" parTransId="{927CC4A9-8FB7-4F4D-9FB8-446B0B68A48B}" sibTransId="{460D9FD9-5DB9-4A15-B448-B7775832EE17}"/>
    <dgm:cxn modelId="{91ADA2F2-612B-4ADB-8E09-67B70590FF70}" type="presOf" srcId="{BAD6B038-53B5-431C-B9CE-BD378796C50E}" destId="{A4ABE8E9-1CE3-4F90-BB7B-6B22D12AD20E}" srcOrd="0" destOrd="0" presId="urn:microsoft.com/office/officeart/2005/8/layout/bProcess3"/>
    <dgm:cxn modelId="{864EC058-B931-4381-B264-35AD84311B7F}" type="presOf" srcId="{531A5619-1330-4B31-86D9-16AC1B06A157}" destId="{323B50FF-3CB8-4FEA-B9C8-5CCB727A9F98}" srcOrd="1" destOrd="0" presId="urn:microsoft.com/office/officeart/2005/8/layout/bProcess3"/>
    <dgm:cxn modelId="{C16FAAD3-2573-46AD-B413-9F602A17D473}" type="presOf" srcId="{F3F65473-479C-4185-B6F5-DC0075DA4718}" destId="{A1A57B07-C44F-4E50-89B1-914DC18B3E3B}" srcOrd="0" destOrd="0" presId="urn:microsoft.com/office/officeart/2005/8/layout/bProcess3"/>
    <dgm:cxn modelId="{5F94F8E7-2BC6-4B8A-95FE-FBF9A009EC71}" type="presOf" srcId="{531A5619-1330-4B31-86D9-16AC1B06A157}" destId="{A229AE13-8F5E-42FD-ADA7-D705CA74D8A1}" srcOrd="0" destOrd="0" presId="urn:microsoft.com/office/officeart/2005/8/layout/bProcess3"/>
    <dgm:cxn modelId="{4D3CD088-BDA4-4AC4-9E22-4875EF76AD91}" type="presOf" srcId="{6A8AC550-F598-4515-8DD7-8A8CFDF5ACC7}" destId="{13FF1881-4084-449B-8FBF-0E2923BEFD07}" srcOrd="0" destOrd="0" presId="urn:microsoft.com/office/officeart/2005/8/layout/bProcess3"/>
    <dgm:cxn modelId="{B62CC56A-801D-4F99-B1EB-46931F47F281}" type="presOf" srcId="{DC883EBE-BD48-4DB6-BD90-D153DE5CAE2E}" destId="{7A442DBD-945A-4FBA-A6B3-7244FA24953C}" srcOrd="0" destOrd="0" presId="urn:microsoft.com/office/officeart/2005/8/layout/bProcess3"/>
    <dgm:cxn modelId="{8F18C12F-5616-4A87-83F5-4A57841F3B0B}" type="presOf" srcId="{9A672FD1-14E5-404F-9831-D2A0B0D12BF9}" destId="{BBD46EA8-9946-4F60-91F7-1318C44C47BF}" srcOrd="0" destOrd="0" presId="urn:microsoft.com/office/officeart/2005/8/layout/bProcess3"/>
    <dgm:cxn modelId="{07D6E809-FB67-4C73-A737-A525670AB3FA}" srcId="{DC883EBE-BD48-4DB6-BD90-D153DE5CAE2E}" destId="{97B7E336-8B4D-4C78-AFA5-1DA1C02AC70C}" srcOrd="3" destOrd="0" parTransId="{A60D7E75-D6FF-419B-A162-79EACF7DFC2B}" sibTransId="{6A8AC550-F598-4515-8DD7-8A8CFDF5ACC7}"/>
    <dgm:cxn modelId="{BBB3BDBA-5FCE-43D0-8F40-034CB3E08980}" type="presOf" srcId="{6A8AC550-F598-4515-8DD7-8A8CFDF5ACC7}" destId="{229B2FA9-96A3-467A-9312-A4DAF58F4463}" srcOrd="1" destOrd="0" presId="urn:microsoft.com/office/officeart/2005/8/layout/bProcess3"/>
    <dgm:cxn modelId="{E420990B-03A1-4B85-9DB2-7D6F71EED1EC}" type="presOf" srcId="{460D9FD9-5DB9-4A15-B448-B7775832EE17}" destId="{932BC89A-5D2F-4F58-8F5D-74C9234DDF68}" srcOrd="1" destOrd="0" presId="urn:microsoft.com/office/officeart/2005/8/layout/bProcess3"/>
    <dgm:cxn modelId="{C41371DB-A5D1-4173-BC38-02416989F717}" srcId="{DC883EBE-BD48-4DB6-BD90-D153DE5CAE2E}" destId="{8BAD0D41-6C29-43F4-9F72-D50B57543592}" srcOrd="6" destOrd="0" parTransId="{4BE8B11D-B03D-4FDD-9ECE-AF789ECE1003}" sibTransId="{F4EAC730-1A73-4E3E-928A-E9DE0DAC529C}"/>
    <dgm:cxn modelId="{2D254019-FA5E-42D1-8424-96DD71C17D59}" type="presOf" srcId="{97B7E336-8B4D-4C78-AFA5-1DA1C02AC70C}" destId="{13A188F0-CCB4-49C2-8F77-336C1A130DC7}" srcOrd="0" destOrd="0" presId="urn:microsoft.com/office/officeart/2005/8/layout/bProcess3"/>
    <dgm:cxn modelId="{3BBEC4FB-7476-4532-8DA0-5375B4A73542}" srcId="{DC883EBE-BD48-4DB6-BD90-D153DE5CAE2E}" destId="{4DAFA8CA-1C83-4559-B226-237EFAC572D3}" srcOrd="2" destOrd="0" parTransId="{4D033E01-D2B7-4D28-9D69-C71BCA07E844}" sibTransId="{566BC063-3C92-43BF-B2E3-9B6D2A15B28E}"/>
    <dgm:cxn modelId="{95FF4057-C2F8-432D-8618-0AE3C5DFD44C}" type="presOf" srcId="{6D07E3DB-03D1-46AF-8006-7227AFF414E1}" destId="{D6AB729F-87E0-4261-85C1-0F901F177F15}" srcOrd="0" destOrd="0" presId="urn:microsoft.com/office/officeart/2005/8/layout/bProcess3"/>
    <dgm:cxn modelId="{37DB3B6F-C038-44D9-9B7E-9E245C258050}" type="presOf" srcId="{2BFF54FC-4B54-4643-A1BF-477270191ABF}" destId="{7D4483E5-82DE-47FB-92C5-1EB868D9350E}" srcOrd="1" destOrd="0" presId="urn:microsoft.com/office/officeart/2005/8/layout/bProcess3"/>
    <dgm:cxn modelId="{E09EB12D-6279-4F4F-AFD0-8CC10CE82650}" type="presOf" srcId="{9A672FD1-14E5-404F-9831-D2A0B0D12BF9}" destId="{E249C9A0-9334-4321-A9AE-F21211FB28DB}" srcOrd="1" destOrd="0" presId="urn:microsoft.com/office/officeart/2005/8/layout/bProcess3"/>
    <dgm:cxn modelId="{26E44285-FAEC-497C-BD31-FAF7896D53CD}" srcId="{DC883EBE-BD48-4DB6-BD90-D153DE5CAE2E}" destId="{BAD6B038-53B5-431C-B9CE-BD378796C50E}" srcOrd="0" destOrd="0" parTransId="{F09CB8AC-0C05-4932-8FD4-3FA2D6A23EB5}" sibTransId="{9A672FD1-14E5-404F-9831-D2A0B0D12BF9}"/>
    <dgm:cxn modelId="{A9A08436-6BFF-4E88-98BC-94E2F6EF8175}" type="presOf" srcId="{5AF3579E-FD52-4307-AF91-8B35102C2684}" destId="{F6C0F996-589E-4BC5-98D5-8AFAC826B567}" srcOrd="0" destOrd="0" presId="urn:microsoft.com/office/officeart/2005/8/layout/bProcess3"/>
    <dgm:cxn modelId="{76EAD866-6A8D-4D6D-8241-CF9D08E8D662}" type="presOf" srcId="{460D9FD9-5DB9-4A15-B448-B7775832EE17}" destId="{B7C6A6A7-CF6E-4214-A405-A59A9251BA24}" srcOrd="0" destOrd="0" presId="urn:microsoft.com/office/officeart/2005/8/layout/bProcess3"/>
    <dgm:cxn modelId="{3BF063A1-0B31-4A58-98A2-BD1F0E6D2405}" type="presOf" srcId="{566BC063-3C92-43BF-B2E3-9B6D2A15B28E}" destId="{765D6D70-805F-4774-8AF4-30FD4FA672D9}" srcOrd="1" destOrd="0" presId="urn:microsoft.com/office/officeart/2005/8/layout/bProcess3"/>
    <dgm:cxn modelId="{307ACA87-26A4-4D5B-B592-B4ED4A2BA62F}" srcId="{DC883EBE-BD48-4DB6-BD90-D153DE5CAE2E}" destId="{64467BE0-5357-4AA1-B9C4-81CF0616FC49}" srcOrd="9" destOrd="0" parTransId="{67BFA73F-A04A-49E2-81ED-7C20ABE47437}" sibTransId="{0EB27227-206E-46DA-8CFC-323E9D7609BD}"/>
    <dgm:cxn modelId="{C1602140-D4BD-4164-BFF3-0164C28514BB}" srcId="{DC883EBE-BD48-4DB6-BD90-D153DE5CAE2E}" destId="{83278924-6477-4FF9-AEC3-309DF1B6B4E0}" srcOrd="1" destOrd="0" parTransId="{B733B1A3-396E-4B0F-950B-7D5766913747}" sibTransId="{B1EFE904-C836-4AB8-BDB1-8514E19EF187}"/>
    <dgm:cxn modelId="{8891E532-372B-4228-9BE9-12E92F84FD11}" type="presOf" srcId="{2BFF54FC-4B54-4643-A1BF-477270191ABF}" destId="{3821636B-F121-4FE3-BB56-1683AD5A2611}" srcOrd="0" destOrd="0" presId="urn:microsoft.com/office/officeart/2005/8/layout/bProcess3"/>
    <dgm:cxn modelId="{018C6FC2-9350-4C21-99F8-08D0E1372D31}" type="presOf" srcId="{C3B283E7-76FE-4894-B146-606E1D6ED8F2}" destId="{F8AF4A24-FE69-48CF-A7B9-1ACE6D6FF7E8}" srcOrd="0" destOrd="0" presId="urn:microsoft.com/office/officeart/2005/8/layout/bProcess3"/>
    <dgm:cxn modelId="{2D6D1FB5-71C1-479D-84C0-0AC3DFC803AC}" srcId="{DC883EBE-BD48-4DB6-BD90-D153DE5CAE2E}" destId="{5AF3579E-FD52-4307-AF91-8B35102C2684}" srcOrd="8" destOrd="0" parTransId="{503B24F5-6EAF-4A30-ABA9-9EA993695934}" sibTransId="{6D07E3DB-03D1-46AF-8006-7227AFF414E1}"/>
    <dgm:cxn modelId="{C3619859-27E3-4349-AF81-B5ADA75C10E3}" type="presOf" srcId="{64467BE0-5357-4AA1-B9C4-81CF0616FC49}" destId="{575313CD-BDFB-46C7-B2BD-DEB726D8C312}" srcOrd="0" destOrd="0" presId="urn:microsoft.com/office/officeart/2005/8/layout/bProcess3"/>
    <dgm:cxn modelId="{6A612CAA-DF39-4CD8-9910-83DFF8D8283D}" type="presOf" srcId="{83278924-6477-4FF9-AEC3-309DF1B6B4E0}" destId="{3D14A647-CA96-420C-9915-D808B4F4E90B}" srcOrd="0" destOrd="0" presId="urn:microsoft.com/office/officeart/2005/8/layout/bProcess3"/>
    <dgm:cxn modelId="{86E58A07-2772-4BF8-B8F6-2644FA0762A4}" type="presOf" srcId="{6D07E3DB-03D1-46AF-8006-7227AFF414E1}" destId="{5FCDC40F-A065-44D6-A5EE-59AC1CEE7AAD}" srcOrd="1" destOrd="0" presId="urn:microsoft.com/office/officeart/2005/8/layout/bProcess3"/>
    <dgm:cxn modelId="{3DFF482E-2557-48D2-9E34-5EBE0C470F77}" srcId="{DC883EBE-BD48-4DB6-BD90-D153DE5CAE2E}" destId="{F3F65473-479C-4185-B6F5-DC0075DA4718}" srcOrd="5" destOrd="0" parTransId="{46C1AC9C-85FE-4CDD-B015-52332FD4F152}" sibTransId="{2BFF54FC-4B54-4643-A1BF-477270191ABF}"/>
    <dgm:cxn modelId="{2D726D5C-95B7-4BD7-990C-A1B58DACF6DE}" type="presOf" srcId="{566BC063-3C92-43BF-B2E3-9B6D2A15B28E}" destId="{6F96FDC7-E71E-49B7-9A2E-9EBF293EDCDC}" srcOrd="0" destOrd="0" presId="urn:microsoft.com/office/officeart/2005/8/layout/bProcess3"/>
    <dgm:cxn modelId="{55B7E23E-9BFC-42AA-8310-8708972E7DB1}" type="presOf" srcId="{F4EAC730-1A73-4E3E-928A-E9DE0DAC529C}" destId="{DC45E047-FB3B-4372-9468-315994EC9991}" srcOrd="0" destOrd="0" presId="urn:microsoft.com/office/officeart/2005/8/layout/bProcess3"/>
    <dgm:cxn modelId="{F058A368-CE2F-48B7-8A8F-9E5B382EA239}" type="presOf" srcId="{B1EFE904-C836-4AB8-BDB1-8514E19EF187}" destId="{FBAA3B07-C07C-49FB-8A6D-27EF49B3A8E6}" srcOrd="0" destOrd="0" presId="urn:microsoft.com/office/officeart/2005/8/layout/bProcess3"/>
    <dgm:cxn modelId="{C5C2B49B-8F40-4CBF-AFFB-518E61967AFA}" type="presParOf" srcId="{7A442DBD-945A-4FBA-A6B3-7244FA24953C}" destId="{A4ABE8E9-1CE3-4F90-BB7B-6B22D12AD20E}" srcOrd="0" destOrd="0" presId="urn:microsoft.com/office/officeart/2005/8/layout/bProcess3"/>
    <dgm:cxn modelId="{E7928174-C42D-4563-99EE-26BDCD57C48B}" type="presParOf" srcId="{7A442DBD-945A-4FBA-A6B3-7244FA24953C}" destId="{BBD46EA8-9946-4F60-91F7-1318C44C47BF}" srcOrd="1" destOrd="0" presId="urn:microsoft.com/office/officeart/2005/8/layout/bProcess3"/>
    <dgm:cxn modelId="{3E919E01-12A7-4D9F-B936-578F2A0AF6C0}" type="presParOf" srcId="{BBD46EA8-9946-4F60-91F7-1318C44C47BF}" destId="{E249C9A0-9334-4321-A9AE-F21211FB28DB}" srcOrd="0" destOrd="0" presId="urn:microsoft.com/office/officeart/2005/8/layout/bProcess3"/>
    <dgm:cxn modelId="{2D1E77B1-4A29-494F-A595-3C83C3EA5F44}" type="presParOf" srcId="{7A442DBD-945A-4FBA-A6B3-7244FA24953C}" destId="{3D14A647-CA96-420C-9915-D808B4F4E90B}" srcOrd="2" destOrd="0" presId="urn:microsoft.com/office/officeart/2005/8/layout/bProcess3"/>
    <dgm:cxn modelId="{52DA1D6B-128B-4FD0-82A0-1D2B9E024135}" type="presParOf" srcId="{7A442DBD-945A-4FBA-A6B3-7244FA24953C}" destId="{FBAA3B07-C07C-49FB-8A6D-27EF49B3A8E6}" srcOrd="3" destOrd="0" presId="urn:microsoft.com/office/officeart/2005/8/layout/bProcess3"/>
    <dgm:cxn modelId="{EF1B3726-2272-4D09-B038-3791B1AEB25D}" type="presParOf" srcId="{FBAA3B07-C07C-49FB-8A6D-27EF49B3A8E6}" destId="{74F728A9-BFE2-4D9C-BBFD-ED0E8661ECE2}" srcOrd="0" destOrd="0" presId="urn:microsoft.com/office/officeart/2005/8/layout/bProcess3"/>
    <dgm:cxn modelId="{1DDADCA7-7795-4A68-8161-8D5A6FC03E26}" type="presParOf" srcId="{7A442DBD-945A-4FBA-A6B3-7244FA24953C}" destId="{3439C11B-A47A-4C7F-AD66-6C660C96F252}" srcOrd="4" destOrd="0" presId="urn:microsoft.com/office/officeart/2005/8/layout/bProcess3"/>
    <dgm:cxn modelId="{8CB2B17A-8346-4212-BB93-176AAEAD73F6}" type="presParOf" srcId="{7A442DBD-945A-4FBA-A6B3-7244FA24953C}" destId="{6F96FDC7-E71E-49B7-9A2E-9EBF293EDCDC}" srcOrd="5" destOrd="0" presId="urn:microsoft.com/office/officeart/2005/8/layout/bProcess3"/>
    <dgm:cxn modelId="{AC96ED60-C2E7-46D2-B479-24BAF4BA3664}" type="presParOf" srcId="{6F96FDC7-E71E-49B7-9A2E-9EBF293EDCDC}" destId="{765D6D70-805F-4774-8AF4-30FD4FA672D9}" srcOrd="0" destOrd="0" presId="urn:microsoft.com/office/officeart/2005/8/layout/bProcess3"/>
    <dgm:cxn modelId="{0AC7EB37-07F4-4E42-BC10-7FE305288508}" type="presParOf" srcId="{7A442DBD-945A-4FBA-A6B3-7244FA24953C}" destId="{13A188F0-CCB4-49C2-8F77-336C1A130DC7}" srcOrd="6" destOrd="0" presId="urn:microsoft.com/office/officeart/2005/8/layout/bProcess3"/>
    <dgm:cxn modelId="{1A0F07AD-30F2-4A3B-B2F9-653E471A6033}" type="presParOf" srcId="{7A442DBD-945A-4FBA-A6B3-7244FA24953C}" destId="{13FF1881-4084-449B-8FBF-0E2923BEFD07}" srcOrd="7" destOrd="0" presId="urn:microsoft.com/office/officeart/2005/8/layout/bProcess3"/>
    <dgm:cxn modelId="{3F3F5817-4785-42E3-915F-45C575A12129}" type="presParOf" srcId="{13FF1881-4084-449B-8FBF-0E2923BEFD07}" destId="{229B2FA9-96A3-467A-9312-A4DAF58F4463}" srcOrd="0" destOrd="0" presId="urn:microsoft.com/office/officeart/2005/8/layout/bProcess3"/>
    <dgm:cxn modelId="{F2BCF2FE-F572-49CD-886C-14A2ADCD5C56}" type="presParOf" srcId="{7A442DBD-945A-4FBA-A6B3-7244FA24953C}" destId="{E5BF3273-EC60-4A6C-A5AC-8D89CFCFCB67}" srcOrd="8" destOrd="0" presId="urn:microsoft.com/office/officeart/2005/8/layout/bProcess3"/>
    <dgm:cxn modelId="{DC06EC60-945B-4C5C-B5FE-88553C8DC0B1}" type="presParOf" srcId="{7A442DBD-945A-4FBA-A6B3-7244FA24953C}" destId="{B7C6A6A7-CF6E-4214-A405-A59A9251BA24}" srcOrd="9" destOrd="0" presId="urn:microsoft.com/office/officeart/2005/8/layout/bProcess3"/>
    <dgm:cxn modelId="{FCFD519B-2732-48A9-A52D-EA0C89F8C3CC}" type="presParOf" srcId="{B7C6A6A7-CF6E-4214-A405-A59A9251BA24}" destId="{932BC89A-5D2F-4F58-8F5D-74C9234DDF68}" srcOrd="0" destOrd="0" presId="urn:microsoft.com/office/officeart/2005/8/layout/bProcess3"/>
    <dgm:cxn modelId="{8E8706E7-3769-49E8-9D1F-6180BDADF10A}" type="presParOf" srcId="{7A442DBD-945A-4FBA-A6B3-7244FA24953C}" destId="{A1A57B07-C44F-4E50-89B1-914DC18B3E3B}" srcOrd="10" destOrd="0" presId="urn:microsoft.com/office/officeart/2005/8/layout/bProcess3"/>
    <dgm:cxn modelId="{8A8F1192-C576-438D-BFFE-3E5C1827E9B6}" type="presParOf" srcId="{7A442DBD-945A-4FBA-A6B3-7244FA24953C}" destId="{3821636B-F121-4FE3-BB56-1683AD5A2611}" srcOrd="11" destOrd="0" presId="urn:microsoft.com/office/officeart/2005/8/layout/bProcess3"/>
    <dgm:cxn modelId="{3C1165A3-F72A-49C7-B8D6-7ACE9C28AB25}" type="presParOf" srcId="{3821636B-F121-4FE3-BB56-1683AD5A2611}" destId="{7D4483E5-82DE-47FB-92C5-1EB868D9350E}" srcOrd="0" destOrd="0" presId="urn:microsoft.com/office/officeart/2005/8/layout/bProcess3"/>
    <dgm:cxn modelId="{ECFDD108-8459-4C76-9608-A8132D373BB3}" type="presParOf" srcId="{7A442DBD-945A-4FBA-A6B3-7244FA24953C}" destId="{0DA4D30B-D216-461A-AC69-B79B94C8FE29}" srcOrd="12" destOrd="0" presId="urn:microsoft.com/office/officeart/2005/8/layout/bProcess3"/>
    <dgm:cxn modelId="{DD5F9FDD-1585-4365-BEE5-8E0178C343E6}" type="presParOf" srcId="{7A442DBD-945A-4FBA-A6B3-7244FA24953C}" destId="{DC45E047-FB3B-4372-9468-315994EC9991}" srcOrd="13" destOrd="0" presId="urn:microsoft.com/office/officeart/2005/8/layout/bProcess3"/>
    <dgm:cxn modelId="{2C0BE594-4175-45A9-9065-2139FD0C3431}" type="presParOf" srcId="{DC45E047-FB3B-4372-9468-315994EC9991}" destId="{34C87A7B-D9F7-457E-9FE6-37D4D6FFDA9E}" srcOrd="0" destOrd="0" presId="urn:microsoft.com/office/officeart/2005/8/layout/bProcess3"/>
    <dgm:cxn modelId="{734A464C-4D31-4EC3-893F-83D48C91C8C4}" type="presParOf" srcId="{7A442DBD-945A-4FBA-A6B3-7244FA24953C}" destId="{F8AF4A24-FE69-48CF-A7B9-1ACE6D6FF7E8}" srcOrd="14" destOrd="0" presId="urn:microsoft.com/office/officeart/2005/8/layout/bProcess3"/>
    <dgm:cxn modelId="{5A5B76D1-8C93-470F-A54A-83A151D5913C}" type="presParOf" srcId="{7A442DBD-945A-4FBA-A6B3-7244FA24953C}" destId="{A229AE13-8F5E-42FD-ADA7-D705CA74D8A1}" srcOrd="15" destOrd="0" presId="urn:microsoft.com/office/officeart/2005/8/layout/bProcess3"/>
    <dgm:cxn modelId="{66863A68-9BB2-4ED0-AA16-6261F6276007}" type="presParOf" srcId="{A229AE13-8F5E-42FD-ADA7-D705CA74D8A1}" destId="{323B50FF-3CB8-4FEA-B9C8-5CCB727A9F98}" srcOrd="0" destOrd="0" presId="urn:microsoft.com/office/officeart/2005/8/layout/bProcess3"/>
    <dgm:cxn modelId="{12E9E831-8283-4F09-8704-5B551D0B9B8A}" type="presParOf" srcId="{7A442DBD-945A-4FBA-A6B3-7244FA24953C}" destId="{F6C0F996-589E-4BC5-98D5-8AFAC826B567}" srcOrd="16" destOrd="0" presId="urn:microsoft.com/office/officeart/2005/8/layout/bProcess3"/>
    <dgm:cxn modelId="{4AE84FF3-399D-4F82-9EC8-C40807B7F63E}" type="presParOf" srcId="{7A442DBD-945A-4FBA-A6B3-7244FA24953C}" destId="{D6AB729F-87E0-4261-85C1-0F901F177F15}" srcOrd="17" destOrd="0" presId="urn:microsoft.com/office/officeart/2005/8/layout/bProcess3"/>
    <dgm:cxn modelId="{B32FA54C-0955-467C-8806-EF597C545ED2}" type="presParOf" srcId="{D6AB729F-87E0-4261-85C1-0F901F177F15}" destId="{5FCDC40F-A065-44D6-A5EE-59AC1CEE7AAD}" srcOrd="0" destOrd="0" presId="urn:microsoft.com/office/officeart/2005/8/layout/bProcess3"/>
    <dgm:cxn modelId="{1BEEE1B1-ACEE-48DF-8FD7-07D5C7582867}" type="presParOf" srcId="{7A442DBD-945A-4FBA-A6B3-7244FA24953C}" destId="{575313CD-BDFB-46C7-B2BD-DEB726D8C312}" srcOrd="18" destOrd="0" presId="urn:microsoft.com/office/officeart/2005/8/layout/b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D46EA8-9946-4F60-91F7-1318C44C47BF}">
      <dsp:nvSpPr>
        <dsp:cNvPr id="0" name=""/>
        <dsp:cNvSpPr/>
      </dsp:nvSpPr>
      <dsp:spPr>
        <a:xfrm>
          <a:off x="779925" y="1301794"/>
          <a:ext cx="2276863" cy="197414"/>
        </a:xfrm>
        <a:custGeom>
          <a:avLst/>
          <a:gdLst/>
          <a:ahLst/>
          <a:cxnLst/>
          <a:rect l="0" t="0" r="0" b="0"/>
          <a:pathLst>
            <a:path>
              <a:moveTo>
                <a:pt x="2276863" y="0"/>
              </a:moveTo>
              <a:lnTo>
                <a:pt x="2276863" y="115807"/>
              </a:lnTo>
              <a:lnTo>
                <a:pt x="0" y="115807"/>
              </a:lnTo>
              <a:lnTo>
                <a:pt x="0" y="197414"/>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1861151" y="1399360"/>
        <a:ext cx="0" cy="0"/>
      </dsp:txXfrm>
    </dsp:sp>
    <dsp:sp modelId="{A4ABE8E9-1CE3-4F90-BB7B-6B22D12AD20E}">
      <dsp:nvSpPr>
        <dsp:cNvPr id="0" name=""/>
        <dsp:cNvSpPr/>
      </dsp:nvSpPr>
      <dsp:spPr>
        <a:xfrm>
          <a:off x="4602" y="219212"/>
          <a:ext cx="6104373" cy="108438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lvl="0" algn="ctr" defTabSz="1066800">
            <a:lnSpc>
              <a:spcPct val="90000"/>
            </a:lnSpc>
            <a:spcBef>
              <a:spcPct val="0"/>
            </a:spcBef>
            <a:spcAft>
              <a:spcPct val="35000"/>
            </a:spcAft>
            <a:buNone/>
          </a:pPr>
          <a:r>
            <a:rPr lang="en-GB" sz="2400" kern="1200">
              <a:solidFill>
                <a:sysClr val="window" lastClr="FFFFFF"/>
              </a:solidFill>
              <a:latin typeface="Calibri" panose="020F0502020204030204"/>
              <a:ea typeface="+mn-ea"/>
              <a:cs typeface="+mn-cs"/>
            </a:rPr>
            <a:t>Attend GP with dysphagia/weight loss</a:t>
          </a:r>
        </a:p>
      </dsp:txBody>
      <dsp:txXfrm>
        <a:off x="4602" y="219212"/>
        <a:ext cx="6104373" cy="1084381"/>
      </dsp:txXfrm>
    </dsp:sp>
    <dsp:sp modelId="{FBAA3B07-C07C-49FB-8A6D-27EF49B3A8E6}">
      <dsp:nvSpPr>
        <dsp:cNvPr id="0" name=""/>
        <dsp:cNvSpPr/>
      </dsp:nvSpPr>
      <dsp:spPr>
        <a:xfrm>
          <a:off x="1553449" y="2130093"/>
          <a:ext cx="197414" cy="91440"/>
        </a:xfrm>
        <a:custGeom>
          <a:avLst/>
          <a:gdLst/>
          <a:ahLst/>
          <a:cxnLst/>
          <a:rect l="0" t="0" r="0" b="0"/>
          <a:pathLst>
            <a:path>
              <a:moveTo>
                <a:pt x="0" y="45720"/>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1646456" y="2174672"/>
        <a:ext cx="0" cy="0"/>
      </dsp:txXfrm>
    </dsp:sp>
    <dsp:sp modelId="{3D14A647-CA96-420C-9915-D808B4F4E90B}">
      <dsp:nvSpPr>
        <dsp:cNvPr id="0" name=""/>
        <dsp:cNvSpPr/>
      </dsp:nvSpPr>
      <dsp:spPr>
        <a:xfrm>
          <a:off x="4602" y="1531608"/>
          <a:ext cx="1550647" cy="128841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STT (Straight to test)</a:t>
          </a:r>
        </a:p>
        <a:p>
          <a:pPr lvl="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Endoscopy</a:t>
          </a:r>
        </a:p>
        <a:p>
          <a:pPr lvl="0" algn="ctr" defTabSz="444500">
            <a:lnSpc>
              <a:spcPct val="90000"/>
            </a:lnSpc>
            <a:spcBef>
              <a:spcPct val="0"/>
            </a:spcBef>
            <a:spcAft>
              <a:spcPct val="35000"/>
            </a:spcAft>
            <a:buNone/>
          </a:pPr>
          <a:r>
            <a:rPr lang="en-GB" sz="1000" kern="1200">
              <a:solidFill>
                <a:srgbClr val="002060"/>
              </a:solidFill>
              <a:latin typeface="Calibri" panose="020F0502020204030204"/>
              <a:ea typeface="+mn-ea"/>
              <a:cs typeface="+mn-cs"/>
            </a:rPr>
            <a:t>within two weeks from referral </a:t>
          </a:r>
        </a:p>
      </dsp:txBody>
      <dsp:txXfrm>
        <a:off x="4602" y="1531608"/>
        <a:ext cx="1550647" cy="1288410"/>
      </dsp:txXfrm>
    </dsp:sp>
    <dsp:sp modelId="{6F96FDC7-E71E-49B7-9A2E-9EBF293EDCDC}">
      <dsp:nvSpPr>
        <dsp:cNvPr id="0" name=""/>
        <dsp:cNvSpPr/>
      </dsp:nvSpPr>
      <dsp:spPr>
        <a:xfrm>
          <a:off x="3651469" y="2130093"/>
          <a:ext cx="197414" cy="91440"/>
        </a:xfrm>
        <a:custGeom>
          <a:avLst/>
          <a:gdLst/>
          <a:ahLst/>
          <a:cxnLst/>
          <a:rect l="0" t="0" r="0" b="0"/>
          <a:pathLst>
            <a:path>
              <a:moveTo>
                <a:pt x="0" y="45720"/>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3744476" y="2174672"/>
        <a:ext cx="0" cy="0"/>
      </dsp:txXfrm>
    </dsp:sp>
    <dsp:sp modelId="{3439C11B-A47A-4C7F-AD66-6C660C96F252}">
      <dsp:nvSpPr>
        <dsp:cNvPr id="0" name=""/>
        <dsp:cNvSpPr/>
      </dsp:nvSpPr>
      <dsp:spPr>
        <a:xfrm>
          <a:off x="1783263" y="1613670"/>
          <a:ext cx="1870006" cy="112428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Order CT Scan and await histology</a:t>
          </a:r>
        </a:p>
        <a:p>
          <a:pPr lvl="0" algn="ctr" defTabSz="488950">
            <a:lnSpc>
              <a:spcPct val="90000"/>
            </a:lnSpc>
            <a:spcBef>
              <a:spcPct val="0"/>
            </a:spcBef>
            <a:spcAft>
              <a:spcPct val="35000"/>
            </a:spcAft>
            <a:buNone/>
          </a:pPr>
          <a:r>
            <a:rPr lang="en-GB" sz="1100" kern="1200">
              <a:solidFill>
                <a:srgbClr val="002060"/>
              </a:solidFill>
              <a:latin typeface="Calibri" panose="020F0502020204030204"/>
              <a:ea typeface="+mn-ea"/>
              <a:cs typeface="+mn-cs"/>
            </a:rPr>
            <a:t>within two weeks from endoscopy</a:t>
          </a:r>
        </a:p>
      </dsp:txBody>
      <dsp:txXfrm>
        <a:off x="1783263" y="1613670"/>
        <a:ext cx="1870006" cy="1124287"/>
      </dsp:txXfrm>
    </dsp:sp>
    <dsp:sp modelId="{13FF1881-4084-449B-8FBF-0E2923BEFD07}">
      <dsp:nvSpPr>
        <dsp:cNvPr id="0" name=""/>
        <dsp:cNvSpPr/>
      </dsp:nvSpPr>
      <dsp:spPr>
        <a:xfrm>
          <a:off x="731294" y="2727824"/>
          <a:ext cx="4095154" cy="287809"/>
        </a:xfrm>
        <a:custGeom>
          <a:avLst/>
          <a:gdLst/>
          <a:ahLst/>
          <a:cxnLst/>
          <a:rect l="0" t="0" r="0" b="0"/>
          <a:pathLst>
            <a:path>
              <a:moveTo>
                <a:pt x="4095154" y="0"/>
              </a:moveTo>
              <a:lnTo>
                <a:pt x="4095154" y="161004"/>
              </a:lnTo>
              <a:lnTo>
                <a:pt x="0" y="161004"/>
              </a:lnTo>
              <a:lnTo>
                <a:pt x="0" y="287809"/>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676183" y="2870587"/>
        <a:ext cx="0" cy="0"/>
      </dsp:txXfrm>
    </dsp:sp>
    <dsp:sp modelId="{13A188F0-CCB4-49C2-8F77-336C1A130DC7}">
      <dsp:nvSpPr>
        <dsp:cNvPr id="0" name=""/>
        <dsp:cNvSpPr/>
      </dsp:nvSpPr>
      <dsp:spPr>
        <a:xfrm>
          <a:off x="3881284" y="1622003"/>
          <a:ext cx="1890329" cy="110762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Discuss on MDT </a:t>
          </a:r>
        </a:p>
        <a:p>
          <a:pPr lvl="0" algn="ctr" defTabSz="533400">
            <a:lnSpc>
              <a:spcPct val="90000"/>
            </a:lnSpc>
            <a:spcBef>
              <a:spcPct val="0"/>
            </a:spcBef>
            <a:spcAft>
              <a:spcPct val="35000"/>
            </a:spcAft>
            <a:buNone/>
          </a:pPr>
          <a:r>
            <a:rPr lang="en-GB" sz="1200" kern="1200">
              <a:solidFill>
                <a:srgbClr val="002060"/>
              </a:solidFill>
              <a:latin typeface="Calibri" panose="020F0502020204030204"/>
              <a:ea typeface="+mn-ea"/>
              <a:cs typeface="+mn-cs"/>
            </a:rPr>
            <a:t>up to two weeks from endoscopy</a:t>
          </a:r>
        </a:p>
      </dsp:txBody>
      <dsp:txXfrm>
        <a:off x="3881284" y="1622003"/>
        <a:ext cx="1890329" cy="1107620"/>
      </dsp:txXfrm>
    </dsp:sp>
    <dsp:sp modelId="{B7C6A6A7-CF6E-4214-A405-A59A9251BA24}">
      <dsp:nvSpPr>
        <dsp:cNvPr id="0" name=""/>
        <dsp:cNvSpPr/>
      </dsp:nvSpPr>
      <dsp:spPr>
        <a:xfrm>
          <a:off x="1456186" y="3547564"/>
          <a:ext cx="197414" cy="91440"/>
        </a:xfrm>
        <a:custGeom>
          <a:avLst/>
          <a:gdLst/>
          <a:ahLst/>
          <a:cxnLst/>
          <a:rect l="0" t="0" r="0" b="0"/>
          <a:pathLst>
            <a:path>
              <a:moveTo>
                <a:pt x="0" y="45720"/>
              </a:moveTo>
              <a:lnTo>
                <a:pt x="93006" y="45719"/>
              </a:lnTo>
            </a:path>
            <a:path>
              <a:moveTo>
                <a:pt x="104407" y="45719"/>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1549193" y="3524813"/>
        <a:ext cx="0" cy="0"/>
      </dsp:txXfrm>
    </dsp:sp>
    <dsp:sp modelId="{E5BF3273-EC60-4A6C-A5AC-8D89CFCFCB67}">
      <dsp:nvSpPr>
        <dsp:cNvPr id="0" name=""/>
        <dsp:cNvSpPr/>
      </dsp:nvSpPr>
      <dsp:spPr>
        <a:xfrm>
          <a:off x="4602" y="3048033"/>
          <a:ext cx="1453384" cy="109050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Order EUS and PET Scan</a:t>
          </a:r>
        </a:p>
        <a:p>
          <a:pPr lvl="0" algn="ctr" defTabSz="533400">
            <a:lnSpc>
              <a:spcPct val="90000"/>
            </a:lnSpc>
            <a:spcBef>
              <a:spcPct val="0"/>
            </a:spcBef>
            <a:spcAft>
              <a:spcPct val="35000"/>
            </a:spcAft>
            <a:buNone/>
          </a:pPr>
          <a:r>
            <a:rPr lang="en-GB" sz="1200" kern="1200">
              <a:solidFill>
                <a:srgbClr val="002060"/>
              </a:solidFill>
              <a:latin typeface="Calibri" panose="020F0502020204030204"/>
              <a:ea typeface="+mn-ea"/>
              <a:cs typeface="+mn-cs"/>
            </a:rPr>
            <a:t>two weeks from MDT</a:t>
          </a:r>
        </a:p>
      </dsp:txBody>
      <dsp:txXfrm>
        <a:off x="4602" y="3048033"/>
        <a:ext cx="1453384" cy="1090501"/>
      </dsp:txXfrm>
    </dsp:sp>
    <dsp:sp modelId="{3821636B-F121-4FE3-BB56-1683AD5A2611}">
      <dsp:nvSpPr>
        <dsp:cNvPr id="0" name=""/>
        <dsp:cNvSpPr/>
      </dsp:nvSpPr>
      <dsp:spPr>
        <a:xfrm>
          <a:off x="3773774" y="3547564"/>
          <a:ext cx="197414" cy="91440"/>
        </a:xfrm>
        <a:custGeom>
          <a:avLst/>
          <a:gdLst/>
          <a:ahLst/>
          <a:cxnLst/>
          <a:rect l="0" t="0" r="0" b="0"/>
          <a:pathLst>
            <a:path>
              <a:moveTo>
                <a:pt x="0" y="45720"/>
              </a:moveTo>
              <a:lnTo>
                <a:pt x="197414" y="45720"/>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3866781" y="3592143"/>
        <a:ext cx="0" cy="0"/>
      </dsp:txXfrm>
    </dsp:sp>
    <dsp:sp modelId="{A1A57B07-C44F-4E50-89B1-914DC18B3E3B}">
      <dsp:nvSpPr>
        <dsp:cNvPr id="0" name=""/>
        <dsp:cNvSpPr/>
      </dsp:nvSpPr>
      <dsp:spPr>
        <a:xfrm>
          <a:off x="1686000" y="3061497"/>
          <a:ext cx="2089574" cy="106357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66725">
            <a:lnSpc>
              <a:spcPct val="90000"/>
            </a:lnSpc>
            <a:spcBef>
              <a:spcPct val="0"/>
            </a:spcBef>
            <a:spcAft>
              <a:spcPct val="35000"/>
            </a:spcAft>
            <a:buNone/>
          </a:pPr>
          <a:r>
            <a:rPr lang="en-GB" sz="1050" kern="1200">
              <a:solidFill>
                <a:sysClr val="window" lastClr="FFFFFF"/>
              </a:solidFill>
              <a:latin typeface="Calibri" panose="020F0502020204030204"/>
              <a:ea typeface="+mn-ea"/>
              <a:cs typeface="+mn-cs"/>
            </a:rPr>
            <a:t>Discuss in Cardiff MDT</a:t>
          </a:r>
        </a:p>
        <a:p>
          <a:pPr lvl="0" algn="ctr" defTabSz="466725">
            <a:lnSpc>
              <a:spcPct val="90000"/>
            </a:lnSpc>
            <a:spcBef>
              <a:spcPct val="0"/>
            </a:spcBef>
            <a:spcAft>
              <a:spcPct val="35000"/>
            </a:spcAft>
            <a:buNone/>
          </a:pPr>
          <a:r>
            <a:rPr lang="en-GB" sz="1050" kern="1200">
              <a:solidFill>
                <a:srgbClr val="002060"/>
              </a:solidFill>
              <a:latin typeface="Calibri" panose="020F0502020204030204"/>
              <a:ea typeface="+mn-ea"/>
              <a:cs typeface="+mn-cs"/>
            </a:rPr>
            <a:t>two weeks from EUS and PET</a:t>
          </a:r>
        </a:p>
      </dsp:txBody>
      <dsp:txXfrm>
        <a:off x="1686000" y="3061497"/>
        <a:ext cx="2089574" cy="1063574"/>
      </dsp:txXfrm>
    </dsp:sp>
    <dsp:sp modelId="{DC45E047-FB3B-4372-9468-315994EC9991}">
      <dsp:nvSpPr>
        <dsp:cNvPr id="0" name=""/>
        <dsp:cNvSpPr/>
      </dsp:nvSpPr>
      <dsp:spPr>
        <a:xfrm>
          <a:off x="1975470" y="4130005"/>
          <a:ext cx="2933842" cy="217180"/>
        </a:xfrm>
        <a:custGeom>
          <a:avLst/>
          <a:gdLst/>
          <a:ahLst/>
          <a:cxnLst/>
          <a:rect l="0" t="0" r="0" b="0"/>
          <a:pathLst>
            <a:path>
              <a:moveTo>
                <a:pt x="2933842" y="0"/>
              </a:moveTo>
              <a:lnTo>
                <a:pt x="2933842" y="125690"/>
              </a:lnTo>
              <a:lnTo>
                <a:pt x="0" y="125690"/>
              </a:lnTo>
              <a:lnTo>
                <a:pt x="0" y="217180"/>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3368784" y="4237454"/>
        <a:ext cx="0" cy="0"/>
      </dsp:txXfrm>
    </dsp:sp>
    <dsp:sp modelId="{0DA4D30B-D216-461A-AC69-B79B94C8FE29}">
      <dsp:nvSpPr>
        <dsp:cNvPr id="0" name=""/>
        <dsp:cNvSpPr/>
      </dsp:nvSpPr>
      <dsp:spPr>
        <a:xfrm>
          <a:off x="4003589" y="3054764"/>
          <a:ext cx="1811446" cy="107704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Outpatient appointment with Surgeon</a:t>
          </a:r>
        </a:p>
        <a:p>
          <a:pPr lvl="0" algn="ctr" defTabSz="444500">
            <a:lnSpc>
              <a:spcPct val="90000"/>
            </a:lnSpc>
            <a:spcBef>
              <a:spcPct val="0"/>
            </a:spcBef>
            <a:spcAft>
              <a:spcPct val="35000"/>
            </a:spcAft>
            <a:buNone/>
          </a:pPr>
          <a:r>
            <a:rPr lang="en-GB" sz="1000" kern="1200">
              <a:solidFill>
                <a:srgbClr val="002060"/>
              </a:solidFill>
              <a:latin typeface="Calibri" panose="020F0502020204030204"/>
              <a:ea typeface="+mn-ea"/>
              <a:cs typeface="+mn-cs"/>
            </a:rPr>
            <a:t>one week following MDT</a:t>
          </a:r>
        </a:p>
      </dsp:txBody>
      <dsp:txXfrm>
        <a:off x="4003589" y="3054764"/>
        <a:ext cx="1811446" cy="1077041"/>
      </dsp:txXfrm>
    </dsp:sp>
    <dsp:sp modelId="{A229AE13-8F5E-42FD-ADA7-D705CA74D8A1}">
      <dsp:nvSpPr>
        <dsp:cNvPr id="0" name=""/>
        <dsp:cNvSpPr/>
      </dsp:nvSpPr>
      <dsp:spPr>
        <a:xfrm>
          <a:off x="3937806" y="4912774"/>
          <a:ext cx="190683" cy="91440"/>
        </a:xfrm>
        <a:custGeom>
          <a:avLst/>
          <a:gdLst/>
          <a:ahLst/>
          <a:cxnLst/>
          <a:rect l="0" t="0" r="0" b="0"/>
          <a:pathLst>
            <a:path>
              <a:moveTo>
                <a:pt x="0" y="45720"/>
              </a:moveTo>
              <a:lnTo>
                <a:pt x="112441" y="45720"/>
              </a:lnTo>
              <a:lnTo>
                <a:pt x="112441" y="106302"/>
              </a:lnTo>
              <a:lnTo>
                <a:pt x="190683" y="106302"/>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4027412" y="4957353"/>
        <a:ext cx="0" cy="0"/>
      </dsp:txXfrm>
    </dsp:sp>
    <dsp:sp modelId="{F8AF4A24-FE69-48CF-A7B9-1ACE6D6FF7E8}">
      <dsp:nvSpPr>
        <dsp:cNvPr id="0" name=""/>
        <dsp:cNvSpPr/>
      </dsp:nvSpPr>
      <dsp:spPr>
        <a:xfrm>
          <a:off x="11333" y="4379585"/>
          <a:ext cx="3928272" cy="115781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Outpatient appointment with Oncologist</a:t>
          </a:r>
        </a:p>
        <a:p>
          <a:pPr lvl="0" algn="ctr" defTabSz="622300">
            <a:lnSpc>
              <a:spcPct val="90000"/>
            </a:lnSpc>
            <a:spcBef>
              <a:spcPct val="0"/>
            </a:spcBef>
            <a:spcAft>
              <a:spcPct val="35000"/>
            </a:spcAft>
            <a:buNone/>
          </a:pPr>
          <a:r>
            <a:rPr lang="en-GB" sz="1400" kern="1200">
              <a:solidFill>
                <a:srgbClr val="002060"/>
              </a:solidFill>
              <a:latin typeface="Calibri" panose="020F0502020204030204"/>
              <a:ea typeface="+mn-ea"/>
              <a:cs typeface="+mn-cs"/>
            </a:rPr>
            <a:t>one week following surical outpatient appointment</a:t>
          </a:r>
        </a:p>
      </dsp:txBody>
      <dsp:txXfrm>
        <a:off x="11333" y="4379585"/>
        <a:ext cx="3928272" cy="1157817"/>
      </dsp:txXfrm>
    </dsp:sp>
    <dsp:sp modelId="{D6AB729F-87E0-4261-85C1-0F901F177F15}">
      <dsp:nvSpPr>
        <dsp:cNvPr id="0" name=""/>
        <dsp:cNvSpPr/>
      </dsp:nvSpPr>
      <dsp:spPr>
        <a:xfrm>
          <a:off x="3060700" y="5669803"/>
          <a:ext cx="1863160" cy="197414"/>
        </a:xfrm>
        <a:custGeom>
          <a:avLst/>
          <a:gdLst/>
          <a:ahLst/>
          <a:cxnLst/>
          <a:rect l="0" t="0" r="0" b="0"/>
          <a:pathLst>
            <a:path>
              <a:moveTo>
                <a:pt x="1863160" y="0"/>
              </a:moveTo>
              <a:lnTo>
                <a:pt x="1863160" y="115807"/>
              </a:lnTo>
              <a:lnTo>
                <a:pt x="0" y="115807"/>
              </a:lnTo>
              <a:lnTo>
                <a:pt x="0" y="197414"/>
              </a:lnTo>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3945353" y="5767369"/>
        <a:ext cx="0" cy="0"/>
      </dsp:txXfrm>
    </dsp:sp>
    <dsp:sp modelId="{F6C0F996-589E-4BC5-98D5-8AFAC826B567}">
      <dsp:nvSpPr>
        <dsp:cNvPr id="0" name=""/>
        <dsp:cNvSpPr/>
      </dsp:nvSpPr>
      <dsp:spPr>
        <a:xfrm>
          <a:off x="4160889" y="4366550"/>
          <a:ext cx="1525942" cy="130505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Neoadjuvant Chemotherapy</a:t>
          </a:r>
        </a:p>
        <a:p>
          <a:pPr lvl="0" algn="ctr" defTabSz="533400">
            <a:lnSpc>
              <a:spcPct val="90000"/>
            </a:lnSpc>
            <a:spcBef>
              <a:spcPct val="0"/>
            </a:spcBef>
            <a:spcAft>
              <a:spcPct val="35000"/>
            </a:spcAft>
            <a:buNone/>
          </a:pPr>
          <a:r>
            <a:rPr lang="en-GB" sz="1200" kern="1200">
              <a:solidFill>
                <a:srgbClr val="002060"/>
              </a:solidFill>
              <a:latin typeface="Calibri" panose="020F0502020204030204"/>
              <a:ea typeface="+mn-ea"/>
              <a:cs typeface="+mn-cs"/>
            </a:rPr>
            <a:t>two weeks from oncology appointment</a:t>
          </a:r>
        </a:p>
        <a:p>
          <a:pPr lvl="0" algn="ctr" defTabSz="53340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a:off x="4160889" y="4366550"/>
        <a:ext cx="1525942" cy="1305053"/>
      </dsp:txXfrm>
    </dsp:sp>
    <dsp:sp modelId="{575313CD-BDFB-46C7-B2BD-DEB726D8C312}">
      <dsp:nvSpPr>
        <dsp:cNvPr id="0" name=""/>
        <dsp:cNvSpPr/>
      </dsp:nvSpPr>
      <dsp:spPr>
        <a:xfrm>
          <a:off x="4602" y="5899618"/>
          <a:ext cx="6112195" cy="1310668"/>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Surgery</a:t>
          </a:r>
        </a:p>
        <a:p>
          <a:pPr lvl="0" algn="ctr" defTabSz="800100">
            <a:lnSpc>
              <a:spcPct val="90000"/>
            </a:lnSpc>
            <a:spcBef>
              <a:spcPct val="0"/>
            </a:spcBef>
            <a:spcAft>
              <a:spcPct val="35000"/>
            </a:spcAft>
            <a:buNone/>
          </a:pPr>
          <a:r>
            <a:rPr lang="en-GB" sz="1800" kern="1200">
              <a:solidFill>
                <a:srgbClr val="002060"/>
              </a:solidFill>
              <a:latin typeface="Calibri" panose="020F0502020204030204"/>
              <a:ea typeface="+mn-ea"/>
              <a:cs typeface="+mn-cs"/>
            </a:rPr>
            <a:t>eight weeks following end of neoadjuvant chemotherapy</a:t>
          </a:r>
        </a:p>
      </dsp:txBody>
      <dsp:txXfrm>
        <a:off x="4602" y="5899618"/>
        <a:ext cx="6112195" cy="1310668"/>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AD4373972A64A738A2ECE30B888A01D"/>
        <w:category>
          <w:name w:val="General"/>
          <w:gallery w:val="placeholder"/>
        </w:category>
        <w:types>
          <w:type w:val="bbPlcHdr"/>
        </w:types>
        <w:behaviors>
          <w:behavior w:val="content"/>
        </w:behaviors>
        <w:guid w:val="{9EE0B293-659C-4420-92DE-454C7B67C7BA}"/>
      </w:docPartPr>
      <w:docPartBody>
        <w:p w:rsidR="00045823" w:rsidRDefault="00931634" w:rsidP="00931634">
          <w:pPr>
            <w:pStyle w:val="AAD4373972A64A738A2ECE30B888A01D"/>
          </w:pPr>
          <w:r w:rsidRPr="00D17AEF">
            <w:rPr>
              <w:rStyle w:val="PlaceholderText"/>
            </w:rPr>
            <w:t>[Enter Post Title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1634"/>
    <w:rsid w:val="00045823"/>
    <w:rsid w:val="00931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1634"/>
    <w:rPr>
      <w:color w:val="808080"/>
    </w:rPr>
  </w:style>
  <w:style w:type="paragraph" w:customStyle="1" w:styleId="AAD4373972A64A738A2ECE30B888A01D">
    <w:name w:val="AAD4373972A64A738A2ECE30B888A01D"/>
    <w:rsid w:val="009316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b:Tag>
    <b:SourceType>JournalArticle</b:SourceType>
    <b:Guid>{0D44373D-662F-487D-93FF-3B7F9152E86B}</b:Guid>
    <b:Title>Straight to Test (STT) pathways (where a diagnostic procedure is arranged as the first episode of care), enable patients to be given a diagnostic appointment within 2WW in place of an outpatient appointment.</b:Title>
    <b:RefOrder>1</b:RefOrder>
  </b:Source>
</b:Sources>
</file>

<file path=customXml/itemProps1.xml><?xml version="1.0" encoding="utf-8"?>
<ds:datastoreItem xmlns:ds="http://schemas.openxmlformats.org/officeDocument/2006/customXml" ds:itemID="{6EE764B6-E92B-4611-A54B-26508AA9D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7</Pages>
  <Words>1659</Words>
  <Characters>8777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Howells (Hywel Dda UHB - Clerical Officer)</dc:creator>
  <cp:keywords/>
  <dc:description/>
  <cp:lastModifiedBy>Tracey Howells (Hywel Dda UHB - Clerical Officer)</cp:lastModifiedBy>
  <cp:revision>4</cp:revision>
  <dcterms:created xsi:type="dcterms:W3CDTF">2023-06-06T13:57:00Z</dcterms:created>
  <dcterms:modified xsi:type="dcterms:W3CDTF">2023-06-14T09:59:00Z</dcterms:modified>
</cp:coreProperties>
</file>