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83DCD" w14:textId="77777777" w:rsidR="00346D8A" w:rsidRDefault="00346D8A" w:rsidP="00346D8A">
      <w:pPr>
        <w:spacing w:line="360" w:lineRule="auto"/>
        <w:jc w:val="center"/>
        <w:rPr>
          <w:rFonts w:ascii="Arial" w:hAnsi="Arial" w:cs="Arial"/>
          <w:b/>
          <w:bCs/>
          <w:sz w:val="48"/>
          <w:szCs w:val="48"/>
          <w:u w:val="single"/>
        </w:rPr>
      </w:pPr>
      <w:r w:rsidRPr="00105818">
        <w:rPr>
          <w:rFonts w:ascii="Arial" w:hAnsi="Arial" w:cs="Arial"/>
          <w:b/>
          <w:bCs/>
          <w:sz w:val="48"/>
          <w:szCs w:val="48"/>
          <w:u w:val="single"/>
        </w:rPr>
        <w:t>Strategy Formulation Plan for MG Motor UK</w:t>
      </w:r>
    </w:p>
    <w:p w14:paraId="1DE7A13D" w14:textId="77777777" w:rsidR="00346D8A" w:rsidRDefault="00346D8A" w:rsidP="00346D8A">
      <w:pPr>
        <w:spacing w:line="360" w:lineRule="auto"/>
        <w:jc w:val="center"/>
        <w:rPr>
          <w:rFonts w:ascii="Arial" w:hAnsi="Arial" w:cs="Arial"/>
          <w:b/>
          <w:bCs/>
          <w:sz w:val="48"/>
          <w:szCs w:val="48"/>
          <w:u w:val="single"/>
        </w:rPr>
      </w:pPr>
    </w:p>
    <w:p w14:paraId="5A216ABD" w14:textId="77777777" w:rsidR="00346D8A" w:rsidRDefault="00346D8A" w:rsidP="00346D8A">
      <w:pPr>
        <w:spacing w:line="360" w:lineRule="auto"/>
        <w:jc w:val="center"/>
        <w:rPr>
          <w:rFonts w:ascii="Arial" w:hAnsi="Arial" w:cs="Arial"/>
          <w:b/>
          <w:bCs/>
          <w:sz w:val="48"/>
          <w:szCs w:val="48"/>
          <w:u w:val="single"/>
        </w:rPr>
      </w:pPr>
    </w:p>
    <w:p w14:paraId="4F08BCBC" w14:textId="77777777" w:rsidR="00346D8A" w:rsidRDefault="00346D8A" w:rsidP="00346D8A">
      <w:pPr>
        <w:spacing w:line="360" w:lineRule="auto"/>
        <w:jc w:val="center"/>
        <w:rPr>
          <w:rFonts w:ascii="Arial" w:hAnsi="Arial" w:cs="Arial"/>
          <w:sz w:val="32"/>
          <w:szCs w:val="32"/>
          <w:u w:val="single"/>
        </w:rPr>
      </w:pPr>
      <w:r>
        <w:rPr>
          <w:rFonts w:ascii="Arial" w:hAnsi="Arial" w:cs="Arial"/>
          <w:sz w:val="32"/>
          <w:szCs w:val="32"/>
          <w:u w:val="single"/>
        </w:rPr>
        <w:t>Student’s name and ID: Flaviu-Ioan-Costin Stefan (2212282)</w:t>
      </w:r>
    </w:p>
    <w:p w14:paraId="1D3D5D9A" w14:textId="77777777" w:rsidR="00346D8A" w:rsidRDefault="00346D8A" w:rsidP="00346D8A">
      <w:pPr>
        <w:spacing w:line="360" w:lineRule="auto"/>
        <w:jc w:val="center"/>
        <w:rPr>
          <w:rFonts w:ascii="Arial" w:hAnsi="Arial" w:cs="Arial"/>
          <w:sz w:val="32"/>
          <w:szCs w:val="32"/>
          <w:u w:val="single"/>
        </w:rPr>
      </w:pPr>
      <w:r>
        <w:rPr>
          <w:rFonts w:ascii="Arial" w:hAnsi="Arial" w:cs="Arial"/>
          <w:sz w:val="32"/>
          <w:szCs w:val="32"/>
          <w:u w:val="single"/>
        </w:rPr>
        <w:t xml:space="preserve">Module’s code and name: LCBB6015 </w:t>
      </w:r>
      <w:r w:rsidRPr="000C3752">
        <w:rPr>
          <w:rFonts w:ascii="Arial" w:hAnsi="Arial" w:cs="Arial"/>
          <w:sz w:val="32"/>
          <w:szCs w:val="32"/>
          <w:u w:val="single"/>
        </w:rPr>
        <w:t>Strategic Management and Sustainability</w:t>
      </w:r>
    </w:p>
    <w:p w14:paraId="563CA699" w14:textId="77777777" w:rsidR="00346D8A" w:rsidRPr="00105818" w:rsidRDefault="00346D8A" w:rsidP="00346D8A">
      <w:pPr>
        <w:spacing w:line="360" w:lineRule="auto"/>
        <w:jc w:val="center"/>
        <w:rPr>
          <w:rFonts w:ascii="Arial" w:hAnsi="Arial" w:cs="Arial"/>
          <w:sz w:val="32"/>
          <w:szCs w:val="32"/>
          <w:u w:val="single"/>
        </w:rPr>
      </w:pPr>
      <w:r>
        <w:rPr>
          <w:rFonts w:ascii="Arial" w:hAnsi="Arial" w:cs="Arial"/>
          <w:sz w:val="32"/>
          <w:szCs w:val="32"/>
          <w:u w:val="single"/>
        </w:rPr>
        <w:t xml:space="preserve">Lecturer’s name: </w:t>
      </w:r>
      <w:r w:rsidRPr="00916780">
        <w:rPr>
          <w:rFonts w:ascii="Arial" w:hAnsi="Arial" w:cs="Arial"/>
          <w:sz w:val="32"/>
          <w:szCs w:val="32"/>
          <w:u w:val="single"/>
        </w:rPr>
        <w:t>Mr. Nadeem Mirza</w:t>
      </w:r>
    </w:p>
    <w:p w14:paraId="6FD02AA0" w14:textId="77777777" w:rsidR="00346D8A" w:rsidRDefault="00346D8A" w:rsidP="00346D8A">
      <w:pPr>
        <w:rPr>
          <w:rFonts w:ascii="Arial" w:hAnsi="Arial" w:cs="Arial"/>
          <w:b/>
          <w:bCs/>
          <w:sz w:val="28"/>
          <w:szCs w:val="28"/>
          <w:u w:val="single"/>
        </w:rPr>
      </w:pPr>
      <w:r>
        <w:rPr>
          <w:rFonts w:ascii="Arial" w:hAnsi="Arial" w:cs="Arial"/>
          <w:b/>
          <w:bCs/>
          <w:sz w:val="28"/>
          <w:szCs w:val="28"/>
          <w:u w:val="single"/>
        </w:rPr>
        <w:br w:type="page"/>
      </w:r>
    </w:p>
    <w:p w14:paraId="20001D4F" w14:textId="77777777" w:rsidR="00346D8A" w:rsidRDefault="00346D8A" w:rsidP="00346D8A">
      <w:pPr>
        <w:spacing w:line="360" w:lineRule="auto"/>
        <w:jc w:val="center"/>
        <w:rPr>
          <w:rFonts w:ascii="Arial" w:hAnsi="Arial" w:cs="Arial"/>
          <w:b/>
          <w:bCs/>
          <w:sz w:val="40"/>
          <w:szCs w:val="40"/>
          <w:u w:val="single"/>
        </w:rPr>
      </w:pPr>
      <w:r>
        <w:rPr>
          <w:rFonts w:ascii="Arial" w:hAnsi="Arial" w:cs="Arial"/>
          <w:b/>
          <w:bCs/>
          <w:sz w:val="40"/>
          <w:szCs w:val="40"/>
          <w:u w:val="single"/>
        </w:rPr>
        <w:lastRenderedPageBreak/>
        <w:t>Table of Contents</w:t>
      </w:r>
    </w:p>
    <w:p w14:paraId="3F7129CE" w14:textId="77777777" w:rsidR="00346D8A" w:rsidRDefault="00346D8A" w:rsidP="00346D8A">
      <w:pPr>
        <w:spacing w:line="360" w:lineRule="auto"/>
        <w:jc w:val="center"/>
        <w:rPr>
          <w:rFonts w:ascii="Arial" w:hAnsi="Arial" w:cs="Arial"/>
          <w:b/>
          <w:bCs/>
          <w:sz w:val="40"/>
          <w:szCs w:val="40"/>
          <w:u w:val="single"/>
        </w:rPr>
      </w:pPr>
    </w:p>
    <w:p w14:paraId="735D8FF6" w14:textId="77777777" w:rsidR="00346D8A" w:rsidRDefault="00346D8A" w:rsidP="00346D8A">
      <w:pPr>
        <w:spacing w:line="360" w:lineRule="auto"/>
        <w:jc w:val="center"/>
        <w:rPr>
          <w:rFonts w:ascii="Arial" w:hAnsi="Arial" w:cs="Arial"/>
          <w:b/>
          <w:bCs/>
          <w:sz w:val="40"/>
          <w:szCs w:val="40"/>
          <w:u w:val="single"/>
        </w:rPr>
      </w:pPr>
    </w:p>
    <w:p w14:paraId="6768BF2F" w14:textId="77777777" w:rsidR="00346D8A" w:rsidRDefault="00346D8A" w:rsidP="00346D8A">
      <w:pPr>
        <w:spacing w:line="360" w:lineRule="auto"/>
        <w:jc w:val="both"/>
        <w:rPr>
          <w:rFonts w:ascii="Arial" w:hAnsi="Arial" w:cs="Arial"/>
        </w:rPr>
      </w:pPr>
      <w:r>
        <w:rPr>
          <w:rFonts w:ascii="Arial" w:hAnsi="Arial" w:cs="Arial"/>
        </w:rPr>
        <w:t>Executive summary………………………………………………………………………pg.2</w:t>
      </w:r>
    </w:p>
    <w:p w14:paraId="387B60CA" w14:textId="77777777" w:rsidR="00346D8A" w:rsidRDefault="00346D8A" w:rsidP="00346D8A">
      <w:pPr>
        <w:spacing w:line="360" w:lineRule="auto"/>
        <w:jc w:val="both"/>
        <w:rPr>
          <w:rFonts w:ascii="Arial" w:hAnsi="Arial" w:cs="Arial"/>
        </w:rPr>
      </w:pPr>
      <w:r>
        <w:rPr>
          <w:rFonts w:ascii="Arial" w:hAnsi="Arial" w:cs="Arial"/>
        </w:rPr>
        <w:t>Introduction……………………………………………………………………………</w:t>
      </w:r>
      <w:proofErr w:type="gramStart"/>
      <w:r>
        <w:rPr>
          <w:rFonts w:ascii="Arial" w:hAnsi="Arial" w:cs="Arial"/>
        </w:rPr>
        <w:t>….pg.</w:t>
      </w:r>
      <w:proofErr w:type="gramEnd"/>
      <w:r>
        <w:rPr>
          <w:rFonts w:ascii="Arial" w:hAnsi="Arial" w:cs="Arial"/>
        </w:rPr>
        <w:t>2</w:t>
      </w:r>
    </w:p>
    <w:p w14:paraId="703D02BE" w14:textId="77777777" w:rsidR="00346D8A" w:rsidRDefault="00346D8A" w:rsidP="00346D8A">
      <w:pPr>
        <w:spacing w:line="360" w:lineRule="auto"/>
        <w:jc w:val="both"/>
        <w:rPr>
          <w:rFonts w:ascii="Arial" w:hAnsi="Arial" w:cs="Arial"/>
        </w:rPr>
      </w:pPr>
      <w:r w:rsidRPr="000D1145">
        <w:rPr>
          <w:rFonts w:ascii="Arial" w:hAnsi="Arial" w:cs="Arial"/>
        </w:rPr>
        <w:t>Overview and Background of the Firm</w:t>
      </w:r>
      <w:r>
        <w:rPr>
          <w:rFonts w:ascii="Arial" w:hAnsi="Arial" w:cs="Arial"/>
        </w:rPr>
        <w:t>……………………………………………</w:t>
      </w:r>
      <w:proofErr w:type="gramStart"/>
      <w:r>
        <w:rPr>
          <w:rFonts w:ascii="Arial" w:hAnsi="Arial" w:cs="Arial"/>
        </w:rPr>
        <w:t>…..</w:t>
      </w:r>
      <w:proofErr w:type="gramEnd"/>
      <w:r>
        <w:rPr>
          <w:rFonts w:ascii="Arial" w:hAnsi="Arial" w:cs="Arial"/>
        </w:rPr>
        <w:t>pg.3</w:t>
      </w:r>
    </w:p>
    <w:p w14:paraId="6F9F194C" w14:textId="77777777" w:rsidR="00346D8A" w:rsidRDefault="00346D8A" w:rsidP="00346D8A">
      <w:pPr>
        <w:spacing w:line="360" w:lineRule="auto"/>
        <w:jc w:val="both"/>
        <w:rPr>
          <w:rFonts w:ascii="Arial" w:hAnsi="Arial" w:cs="Arial"/>
        </w:rPr>
      </w:pPr>
      <w:r w:rsidRPr="00053ACD">
        <w:rPr>
          <w:rFonts w:ascii="Arial" w:hAnsi="Arial" w:cs="Arial"/>
        </w:rPr>
        <w:t>Strategic Intent</w:t>
      </w:r>
      <w:r>
        <w:rPr>
          <w:rFonts w:ascii="Arial" w:hAnsi="Arial" w:cs="Arial"/>
        </w:rPr>
        <w:t>………………………………………………………………………</w:t>
      </w:r>
      <w:proofErr w:type="gramStart"/>
      <w:r>
        <w:rPr>
          <w:rFonts w:ascii="Arial" w:hAnsi="Arial" w:cs="Arial"/>
        </w:rPr>
        <w:t>…..</w:t>
      </w:r>
      <w:proofErr w:type="gramEnd"/>
      <w:r>
        <w:rPr>
          <w:rFonts w:ascii="Arial" w:hAnsi="Arial" w:cs="Arial"/>
        </w:rPr>
        <w:t>pg.4</w:t>
      </w:r>
    </w:p>
    <w:p w14:paraId="459A7690" w14:textId="77777777" w:rsidR="00346D8A" w:rsidRDefault="00346D8A" w:rsidP="00346D8A">
      <w:pPr>
        <w:spacing w:line="360" w:lineRule="auto"/>
        <w:jc w:val="both"/>
        <w:rPr>
          <w:rFonts w:ascii="Arial" w:hAnsi="Arial" w:cs="Arial"/>
        </w:rPr>
      </w:pPr>
      <w:r w:rsidRPr="00053ACD">
        <w:rPr>
          <w:rFonts w:ascii="Arial" w:hAnsi="Arial" w:cs="Arial"/>
        </w:rPr>
        <w:t>The Company's Current Performance</w:t>
      </w:r>
      <w:r>
        <w:rPr>
          <w:rFonts w:ascii="Arial" w:hAnsi="Arial" w:cs="Arial"/>
        </w:rPr>
        <w:t>……………………………………………</w:t>
      </w:r>
      <w:proofErr w:type="gramStart"/>
      <w:r>
        <w:rPr>
          <w:rFonts w:ascii="Arial" w:hAnsi="Arial" w:cs="Arial"/>
        </w:rPr>
        <w:t>…..</w:t>
      </w:r>
      <w:proofErr w:type="gramEnd"/>
      <w:r>
        <w:rPr>
          <w:rFonts w:ascii="Arial" w:hAnsi="Arial" w:cs="Arial"/>
        </w:rPr>
        <w:t>pg.4</w:t>
      </w:r>
    </w:p>
    <w:p w14:paraId="51C35930" w14:textId="77777777" w:rsidR="00346D8A" w:rsidRDefault="00346D8A" w:rsidP="00346D8A">
      <w:pPr>
        <w:spacing w:line="360" w:lineRule="auto"/>
        <w:jc w:val="both"/>
        <w:rPr>
          <w:rFonts w:ascii="Arial" w:hAnsi="Arial" w:cs="Arial"/>
        </w:rPr>
      </w:pPr>
      <w:r w:rsidRPr="00053ACD">
        <w:rPr>
          <w:rFonts w:ascii="Arial" w:hAnsi="Arial" w:cs="Arial"/>
        </w:rPr>
        <w:t>Strategy Analysis</w:t>
      </w:r>
      <w:r>
        <w:rPr>
          <w:rFonts w:ascii="Arial" w:hAnsi="Arial" w:cs="Arial"/>
        </w:rPr>
        <w:t>……………………………………………………………………</w:t>
      </w:r>
      <w:proofErr w:type="gramStart"/>
      <w:r>
        <w:rPr>
          <w:rFonts w:ascii="Arial" w:hAnsi="Arial" w:cs="Arial"/>
        </w:rPr>
        <w:t>…..</w:t>
      </w:r>
      <w:proofErr w:type="gramEnd"/>
      <w:r>
        <w:rPr>
          <w:rFonts w:ascii="Arial" w:hAnsi="Arial" w:cs="Arial"/>
        </w:rPr>
        <w:t>pg.5</w:t>
      </w:r>
    </w:p>
    <w:p w14:paraId="4E416F56" w14:textId="77777777" w:rsidR="00346D8A" w:rsidRDefault="00346D8A" w:rsidP="00346D8A">
      <w:pPr>
        <w:spacing w:line="360" w:lineRule="auto"/>
        <w:jc w:val="both"/>
        <w:rPr>
          <w:rFonts w:ascii="Arial" w:hAnsi="Arial" w:cs="Arial"/>
        </w:rPr>
      </w:pPr>
      <w:r w:rsidRPr="00053ACD">
        <w:rPr>
          <w:rFonts w:ascii="Arial" w:hAnsi="Arial" w:cs="Arial"/>
        </w:rPr>
        <w:t>External Environmental Audit</w:t>
      </w:r>
      <w:r>
        <w:rPr>
          <w:rFonts w:ascii="Arial" w:hAnsi="Arial" w:cs="Arial"/>
        </w:rPr>
        <w:t>………………………………………………………</w:t>
      </w:r>
      <w:proofErr w:type="gramStart"/>
      <w:r>
        <w:rPr>
          <w:rFonts w:ascii="Arial" w:hAnsi="Arial" w:cs="Arial"/>
        </w:rPr>
        <w:t>….pg.</w:t>
      </w:r>
      <w:proofErr w:type="gramEnd"/>
      <w:r>
        <w:rPr>
          <w:rFonts w:ascii="Arial" w:hAnsi="Arial" w:cs="Arial"/>
        </w:rPr>
        <w:t>5</w:t>
      </w:r>
    </w:p>
    <w:p w14:paraId="3F591B78" w14:textId="77777777" w:rsidR="00346D8A" w:rsidRDefault="00346D8A" w:rsidP="00346D8A">
      <w:pPr>
        <w:spacing w:line="360" w:lineRule="auto"/>
        <w:jc w:val="both"/>
        <w:rPr>
          <w:rFonts w:ascii="Arial" w:hAnsi="Arial" w:cs="Arial"/>
        </w:rPr>
      </w:pPr>
      <w:r w:rsidRPr="00053ACD">
        <w:rPr>
          <w:rFonts w:ascii="Arial" w:hAnsi="Arial" w:cs="Arial"/>
        </w:rPr>
        <w:t>Internal Environmental Audit</w:t>
      </w:r>
      <w:r>
        <w:rPr>
          <w:rFonts w:ascii="Arial" w:hAnsi="Arial" w:cs="Arial"/>
        </w:rPr>
        <w:t>………………………………………………………</w:t>
      </w:r>
      <w:proofErr w:type="gramStart"/>
      <w:r>
        <w:rPr>
          <w:rFonts w:ascii="Arial" w:hAnsi="Arial" w:cs="Arial"/>
        </w:rPr>
        <w:t>…..</w:t>
      </w:r>
      <w:proofErr w:type="gramEnd"/>
      <w:r>
        <w:rPr>
          <w:rFonts w:ascii="Arial" w:hAnsi="Arial" w:cs="Arial"/>
        </w:rPr>
        <w:t>pg.6</w:t>
      </w:r>
    </w:p>
    <w:p w14:paraId="587FB3A4" w14:textId="77777777" w:rsidR="00346D8A" w:rsidRDefault="00346D8A" w:rsidP="00346D8A">
      <w:pPr>
        <w:spacing w:line="360" w:lineRule="auto"/>
        <w:jc w:val="both"/>
        <w:rPr>
          <w:rFonts w:ascii="Arial" w:hAnsi="Arial" w:cs="Arial"/>
        </w:rPr>
      </w:pPr>
      <w:r w:rsidRPr="00053ACD">
        <w:rPr>
          <w:rFonts w:ascii="Arial" w:hAnsi="Arial" w:cs="Arial"/>
        </w:rPr>
        <w:t>Strategy Formulation: Affordable Electrified Differentiation</w:t>
      </w:r>
      <w:r>
        <w:rPr>
          <w:rFonts w:ascii="Arial" w:hAnsi="Arial" w:cs="Arial"/>
        </w:rPr>
        <w:t>……………………</w:t>
      </w:r>
      <w:proofErr w:type="gramStart"/>
      <w:r>
        <w:rPr>
          <w:rFonts w:ascii="Arial" w:hAnsi="Arial" w:cs="Arial"/>
        </w:rPr>
        <w:t>…..</w:t>
      </w:r>
      <w:proofErr w:type="gramEnd"/>
      <w:r>
        <w:rPr>
          <w:rFonts w:ascii="Arial" w:hAnsi="Arial" w:cs="Arial"/>
        </w:rPr>
        <w:t>pg.7</w:t>
      </w:r>
    </w:p>
    <w:p w14:paraId="361B8DBE" w14:textId="77777777" w:rsidR="00346D8A" w:rsidRPr="00053ACD" w:rsidRDefault="00346D8A" w:rsidP="00346D8A">
      <w:pPr>
        <w:spacing w:line="360" w:lineRule="auto"/>
        <w:jc w:val="both"/>
        <w:rPr>
          <w:rFonts w:ascii="Arial" w:hAnsi="Arial" w:cs="Arial"/>
        </w:rPr>
      </w:pPr>
      <w:r w:rsidRPr="00053ACD">
        <w:rPr>
          <w:rFonts w:ascii="Arial" w:hAnsi="Arial" w:cs="Arial"/>
        </w:rPr>
        <w:t>Conclusion and Recommendations</w:t>
      </w:r>
      <w:r>
        <w:rPr>
          <w:rFonts w:ascii="Arial" w:hAnsi="Arial" w:cs="Arial"/>
        </w:rPr>
        <w:t>………………………………………………</w:t>
      </w:r>
      <w:proofErr w:type="gramStart"/>
      <w:r>
        <w:rPr>
          <w:rFonts w:ascii="Arial" w:hAnsi="Arial" w:cs="Arial"/>
        </w:rPr>
        <w:t>….pg.</w:t>
      </w:r>
      <w:proofErr w:type="gramEnd"/>
      <w:r>
        <w:rPr>
          <w:rFonts w:ascii="Arial" w:hAnsi="Arial" w:cs="Arial"/>
        </w:rPr>
        <w:t>8</w:t>
      </w:r>
    </w:p>
    <w:p w14:paraId="5A1992D4" w14:textId="77777777" w:rsidR="00346D8A" w:rsidRDefault="00346D8A" w:rsidP="00346D8A">
      <w:pPr>
        <w:rPr>
          <w:rFonts w:ascii="Arial" w:hAnsi="Arial" w:cs="Arial"/>
          <w:b/>
          <w:bCs/>
          <w:sz w:val="28"/>
          <w:szCs w:val="28"/>
          <w:u w:val="single"/>
        </w:rPr>
      </w:pPr>
      <w:r>
        <w:rPr>
          <w:rFonts w:ascii="Arial" w:hAnsi="Arial" w:cs="Arial"/>
          <w:b/>
          <w:bCs/>
          <w:sz w:val="28"/>
          <w:szCs w:val="28"/>
          <w:u w:val="single"/>
        </w:rPr>
        <w:br w:type="page"/>
      </w:r>
    </w:p>
    <w:p w14:paraId="2222C2EF" w14:textId="77777777" w:rsidR="00346D8A" w:rsidRPr="00784B64" w:rsidRDefault="00346D8A" w:rsidP="00346D8A">
      <w:pPr>
        <w:spacing w:line="360" w:lineRule="auto"/>
        <w:jc w:val="both"/>
        <w:rPr>
          <w:rFonts w:ascii="Arial" w:hAnsi="Arial" w:cs="Arial"/>
          <w:b/>
          <w:bCs/>
          <w:sz w:val="28"/>
          <w:szCs w:val="28"/>
          <w:u w:val="single"/>
        </w:rPr>
      </w:pPr>
      <w:r w:rsidRPr="00784B64">
        <w:rPr>
          <w:rFonts w:ascii="Arial" w:hAnsi="Arial" w:cs="Arial"/>
          <w:b/>
          <w:bCs/>
          <w:sz w:val="28"/>
          <w:szCs w:val="28"/>
          <w:u w:val="single"/>
        </w:rPr>
        <w:t>Executive Summary</w:t>
      </w:r>
    </w:p>
    <w:p w14:paraId="2A9CFE3A" w14:textId="77777777" w:rsidR="00346D8A" w:rsidRPr="00784B64" w:rsidRDefault="00346D8A" w:rsidP="00346D8A">
      <w:pPr>
        <w:spacing w:line="360" w:lineRule="auto"/>
        <w:jc w:val="both"/>
        <w:rPr>
          <w:rFonts w:ascii="Arial" w:hAnsi="Arial" w:cs="Arial"/>
        </w:rPr>
      </w:pPr>
      <w:r w:rsidRPr="00784B64">
        <w:rPr>
          <w:rFonts w:ascii="Arial" w:hAnsi="Arial" w:cs="Arial"/>
        </w:rPr>
        <w:t>MG Motor UK operates in an automotive industry undergoing major strategic change as electrification, connected technologies, regulation and competition reshape the basis of competitive advantage. As part of SAIC Motor, MG benefits from significant manufacturing, financial and technological resources, while its established UK presence and value-oriented positioning provide a strong platform for further growth. However, these advantages are becoming less distinctive as Chinese and established automotive manufacturers increasingly compete through similar combinations of affordability, electrification and technology.</w:t>
      </w:r>
    </w:p>
    <w:p w14:paraId="63D1C1C6" w14:textId="77777777" w:rsidR="00346D8A" w:rsidRPr="00784B64" w:rsidRDefault="00346D8A" w:rsidP="00346D8A">
      <w:pPr>
        <w:spacing w:line="360" w:lineRule="auto"/>
        <w:jc w:val="both"/>
        <w:rPr>
          <w:rFonts w:ascii="Arial" w:hAnsi="Arial" w:cs="Arial"/>
        </w:rPr>
      </w:pPr>
      <w:r w:rsidRPr="00784B64">
        <w:rPr>
          <w:rFonts w:ascii="Arial" w:hAnsi="Arial" w:cs="Arial"/>
        </w:rPr>
        <w:t>The UK market demonstrates the importance of this transition. In 2025, almost one in four new-car registrations were battery electric vehicles (BEVs), while MG's ZS Hybrid ranked third among the UK's ten best-selling electrified models. By June 2026, MG had achieved 48,741 UK registrations and a 4.28% market share, representing growth of 14.37% compared with the corresponding period of 2025 (SMMT, 2026a; SMMT, 2026b). Nevertheless, increasing competition means that sales growth alone does not guarantee sustainable competitive advantage.</w:t>
      </w:r>
    </w:p>
    <w:p w14:paraId="0103A672" w14:textId="77777777" w:rsidR="00346D8A" w:rsidRDefault="00346D8A" w:rsidP="00346D8A">
      <w:pPr>
        <w:spacing w:line="360" w:lineRule="auto"/>
        <w:jc w:val="both"/>
        <w:rPr>
          <w:rFonts w:ascii="Arial" w:hAnsi="Arial" w:cs="Arial"/>
        </w:rPr>
      </w:pPr>
      <w:r w:rsidRPr="00784B64">
        <w:rPr>
          <w:rFonts w:ascii="Arial" w:hAnsi="Arial" w:cs="Arial"/>
        </w:rPr>
        <w:t xml:space="preserve">This report proposes an </w:t>
      </w:r>
      <w:r w:rsidRPr="00784B64">
        <w:rPr>
          <w:rFonts w:ascii="Arial" w:hAnsi="Arial" w:cs="Arial"/>
          <w:b/>
          <w:bCs/>
        </w:rPr>
        <w:t>affordable electrified differentiation strategy</w:t>
      </w:r>
      <w:r w:rsidRPr="00784B64">
        <w:rPr>
          <w:rFonts w:ascii="Arial" w:hAnsi="Arial" w:cs="Arial"/>
        </w:rPr>
        <w:t>, combining MG's existing value proposition with stronger customer experience, after-sales service, fleet capability and brand trust. This strategy would allow MG to exploit SAIC's resources while developing customer-facing capabilities that are more difficult for competitors to imitate.</w:t>
      </w:r>
    </w:p>
    <w:p w14:paraId="04150AE8" w14:textId="77777777" w:rsidR="00346D8A" w:rsidRPr="00784B64" w:rsidRDefault="00346D8A" w:rsidP="00346D8A">
      <w:pPr>
        <w:spacing w:line="360" w:lineRule="auto"/>
        <w:jc w:val="both"/>
        <w:rPr>
          <w:rFonts w:ascii="Arial" w:hAnsi="Arial" w:cs="Arial"/>
        </w:rPr>
      </w:pPr>
    </w:p>
    <w:p w14:paraId="36500F32" w14:textId="77777777" w:rsidR="00346D8A" w:rsidRPr="00784B64" w:rsidRDefault="00346D8A" w:rsidP="00346D8A">
      <w:pPr>
        <w:spacing w:line="360" w:lineRule="auto"/>
        <w:jc w:val="both"/>
        <w:rPr>
          <w:rFonts w:ascii="Arial" w:hAnsi="Arial" w:cs="Arial"/>
          <w:b/>
          <w:bCs/>
          <w:sz w:val="28"/>
          <w:szCs w:val="28"/>
          <w:u w:val="single"/>
        </w:rPr>
      </w:pPr>
      <w:r w:rsidRPr="00784B64">
        <w:rPr>
          <w:rFonts w:ascii="Arial" w:hAnsi="Arial" w:cs="Arial"/>
          <w:b/>
          <w:bCs/>
          <w:sz w:val="28"/>
          <w:szCs w:val="28"/>
          <w:u w:val="single"/>
        </w:rPr>
        <w:t>1. Introduction to Strategy</w:t>
      </w:r>
    </w:p>
    <w:p w14:paraId="3863B6E2" w14:textId="77777777" w:rsidR="00346D8A" w:rsidRPr="00784B64" w:rsidRDefault="00346D8A" w:rsidP="00346D8A">
      <w:pPr>
        <w:spacing w:line="360" w:lineRule="auto"/>
        <w:jc w:val="both"/>
        <w:rPr>
          <w:rFonts w:ascii="Arial" w:hAnsi="Arial" w:cs="Arial"/>
        </w:rPr>
      </w:pPr>
      <w:r w:rsidRPr="00784B64">
        <w:rPr>
          <w:rFonts w:ascii="Arial" w:hAnsi="Arial" w:cs="Arial"/>
        </w:rPr>
        <w:t>Strategic management concerns the long-term direction of an organisation and the way its resources and capabilities are aligned with changes in the external environment (Johnson et al., 2020). It is particularly important in industries where technological development, regulation and customer expectations can alter the basis of competition rapidly. Strategic management enables organisations to identify opportunities and threats, evaluate their resources and capabilities, and select strategies that can create competitive advantage (Grant, 2022).</w:t>
      </w:r>
    </w:p>
    <w:p w14:paraId="646BBBCA"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The automotive industry provides a clear example of this environment. The transition from internal combustion engines towards electric vehicles is changing the capabilities required for competitiveness. Recent research indicates that successful adaptation depends not only on possessing relevant technologies but also on dynamic capabilities that allow firms to recognise opportunities, understand changing consumer preferences and adjust their strategies accordingly (Loder, </w:t>
      </w:r>
      <w:proofErr w:type="spellStart"/>
      <w:r w:rsidRPr="00784B64">
        <w:rPr>
          <w:rFonts w:ascii="Arial" w:hAnsi="Arial" w:cs="Arial"/>
        </w:rPr>
        <w:t>Rinscheid</w:t>
      </w:r>
      <w:proofErr w:type="spellEnd"/>
      <w:r w:rsidRPr="00784B64">
        <w:rPr>
          <w:rFonts w:ascii="Arial" w:hAnsi="Arial" w:cs="Arial"/>
        </w:rPr>
        <w:t xml:space="preserve"> and </w:t>
      </w:r>
      <w:proofErr w:type="spellStart"/>
      <w:r w:rsidRPr="00784B64">
        <w:rPr>
          <w:rFonts w:ascii="Arial" w:hAnsi="Arial" w:cs="Arial"/>
        </w:rPr>
        <w:t>Wüstenhagen</w:t>
      </w:r>
      <w:proofErr w:type="spellEnd"/>
      <w:r w:rsidRPr="00784B64">
        <w:rPr>
          <w:rFonts w:ascii="Arial" w:hAnsi="Arial" w:cs="Arial"/>
        </w:rPr>
        <w:t>, 2024). Similarly, recent research indicates that competitiveness in EV manufacturing increasingly depends on capabilities in electronics, batteries and software rather than traditional mechanical expertise alone (Ledebur et al., 2026).</w:t>
      </w:r>
    </w:p>
    <w:p w14:paraId="14101D5C" w14:textId="77777777" w:rsidR="00346D8A" w:rsidRDefault="00346D8A" w:rsidP="00346D8A">
      <w:pPr>
        <w:spacing w:line="360" w:lineRule="auto"/>
        <w:jc w:val="both"/>
        <w:rPr>
          <w:rFonts w:ascii="Arial" w:hAnsi="Arial" w:cs="Arial"/>
        </w:rPr>
      </w:pPr>
      <w:r w:rsidRPr="00784B64">
        <w:rPr>
          <w:rFonts w:ascii="Arial" w:hAnsi="Arial" w:cs="Arial"/>
        </w:rPr>
        <w:t>The purpose of this report is therefore to evaluate MG Motor UK's current strategic position and formulate a strategy capable of supporting sustainable competitive advantage in a rapidly changing automotive market.</w:t>
      </w:r>
    </w:p>
    <w:p w14:paraId="49431841" w14:textId="77777777" w:rsidR="00346D8A" w:rsidRPr="00784B64" w:rsidRDefault="00346D8A" w:rsidP="00346D8A">
      <w:pPr>
        <w:spacing w:line="360" w:lineRule="auto"/>
        <w:jc w:val="both"/>
        <w:rPr>
          <w:rFonts w:ascii="Arial" w:hAnsi="Arial" w:cs="Arial"/>
        </w:rPr>
      </w:pPr>
    </w:p>
    <w:p w14:paraId="2E065A8B" w14:textId="77777777" w:rsidR="00346D8A" w:rsidRPr="00784B64" w:rsidRDefault="00346D8A" w:rsidP="00346D8A">
      <w:pPr>
        <w:spacing w:line="360" w:lineRule="auto"/>
        <w:jc w:val="both"/>
        <w:rPr>
          <w:rFonts w:ascii="Arial" w:hAnsi="Arial" w:cs="Arial"/>
          <w:b/>
          <w:bCs/>
          <w:sz w:val="28"/>
          <w:szCs w:val="28"/>
          <w:u w:val="single"/>
        </w:rPr>
      </w:pPr>
      <w:r w:rsidRPr="00784B64">
        <w:rPr>
          <w:rFonts w:ascii="Arial" w:hAnsi="Arial" w:cs="Arial"/>
          <w:b/>
          <w:bCs/>
          <w:sz w:val="28"/>
          <w:szCs w:val="28"/>
          <w:u w:val="single"/>
        </w:rPr>
        <w:t>2. Overview and Background of the Firm</w:t>
      </w:r>
    </w:p>
    <w:p w14:paraId="44CC53AC" w14:textId="77777777" w:rsidR="00346D8A" w:rsidRPr="00784B64" w:rsidRDefault="00346D8A" w:rsidP="00346D8A">
      <w:pPr>
        <w:spacing w:line="360" w:lineRule="auto"/>
        <w:jc w:val="both"/>
        <w:rPr>
          <w:rFonts w:ascii="Arial" w:hAnsi="Arial" w:cs="Arial"/>
        </w:rPr>
      </w:pPr>
      <w:r w:rsidRPr="00784B64">
        <w:rPr>
          <w:rFonts w:ascii="Arial" w:hAnsi="Arial" w:cs="Arial"/>
        </w:rPr>
        <w:t>MG Motor is an established automotive brand with a long association with the UK market and is currently part of SAIC Motor, one of China's major automotive groups. This ownership provides MG with access to substantial manufacturing, financial and technological resources. SAIC reported that MG sold more than 300,000 vehicles in Europe during 2025, with cumulative MG sales in Europe and the UK exceeding one million units.</w:t>
      </w:r>
    </w:p>
    <w:p w14:paraId="6DB2CAC5" w14:textId="77777777" w:rsidR="00346D8A" w:rsidRPr="00784B64" w:rsidRDefault="00346D8A" w:rsidP="00346D8A">
      <w:pPr>
        <w:spacing w:line="360" w:lineRule="auto"/>
        <w:jc w:val="both"/>
        <w:rPr>
          <w:rFonts w:ascii="Arial" w:hAnsi="Arial" w:cs="Arial"/>
        </w:rPr>
      </w:pPr>
      <w:r w:rsidRPr="00784B64">
        <w:rPr>
          <w:rFonts w:ascii="Arial" w:hAnsi="Arial" w:cs="Arial"/>
        </w:rPr>
        <w:t>MG's UK portfolio covers petrol, hybrid and battery-electric vehicles, allowing the company to address consumers at different stages of the transition towards electrified mobility. This is strategically valuable because the UK market is not moving from conventional vehicles to BEVs at a uniform rate. Hybrid and plug-in hybrid vehicles continue to provide an intermediate option for consumers who value electrification but remain concerned about charging infrastructure, range or purchase costs.</w:t>
      </w:r>
    </w:p>
    <w:p w14:paraId="7F19C6DF" w14:textId="77777777" w:rsidR="00346D8A" w:rsidRDefault="00346D8A" w:rsidP="00346D8A">
      <w:pPr>
        <w:spacing w:line="360" w:lineRule="auto"/>
        <w:jc w:val="both"/>
        <w:rPr>
          <w:rFonts w:ascii="Arial" w:hAnsi="Arial" w:cs="Arial"/>
        </w:rPr>
      </w:pPr>
      <w:r w:rsidRPr="00784B64">
        <w:rPr>
          <w:rFonts w:ascii="Arial" w:hAnsi="Arial" w:cs="Arial"/>
        </w:rPr>
        <w:t>The company's competitive positioning has traditionally emphasised value for money, providing relatively accessible vehicles with substantial equipment. However, this positioning is becoming more difficult to protect as competitors increasingly offer affordable electrified vehicles. MG's strategic challenge is therefore not simply to maintain low prices, but to convert the resources available through SAIC into a broader value proposition based on affordability, technology, reliability and customer experience.</w:t>
      </w:r>
    </w:p>
    <w:p w14:paraId="1AEF5B04" w14:textId="77777777" w:rsidR="00346D8A" w:rsidRDefault="00346D8A" w:rsidP="00346D8A">
      <w:pPr>
        <w:spacing w:line="360" w:lineRule="auto"/>
        <w:jc w:val="both"/>
        <w:rPr>
          <w:rFonts w:ascii="Arial" w:hAnsi="Arial" w:cs="Arial"/>
        </w:rPr>
      </w:pPr>
    </w:p>
    <w:p w14:paraId="6B83619F" w14:textId="77777777" w:rsidR="00346D8A" w:rsidRPr="00784B64" w:rsidRDefault="00346D8A" w:rsidP="00346D8A">
      <w:pPr>
        <w:spacing w:line="360" w:lineRule="auto"/>
        <w:jc w:val="both"/>
        <w:rPr>
          <w:rFonts w:ascii="Arial" w:hAnsi="Arial" w:cs="Arial"/>
        </w:rPr>
      </w:pPr>
      <w:r w:rsidRPr="00784B64">
        <w:rPr>
          <w:rFonts w:ascii="Arial" w:hAnsi="Arial" w:cs="Arial"/>
          <w:b/>
          <w:bCs/>
          <w:sz w:val="28"/>
          <w:szCs w:val="28"/>
          <w:u w:val="single"/>
        </w:rPr>
        <w:t>3. Strategic Intent</w:t>
      </w:r>
    </w:p>
    <w:p w14:paraId="2A45014E"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MG's strategic intent should centre on becoming a </w:t>
      </w:r>
      <w:r w:rsidRPr="00784B64">
        <w:rPr>
          <w:rFonts w:ascii="Arial" w:hAnsi="Arial" w:cs="Arial"/>
          <w:b/>
          <w:bCs/>
        </w:rPr>
        <w:t>trusted and accessible mainstream electrified automotive brand</w:t>
      </w:r>
      <w:r w:rsidRPr="00784B64">
        <w:rPr>
          <w:rFonts w:ascii="Arial" w:hAnsi="Arial" w:cs="Arial"/>
        </w:rPr>
        <w:t>, rather than being perceived primarily as a lower-priced alternative to established manufacturers.</w:t>
      </w:r>
    </w:p>
    <w:p w14:paraId="344FE095" w14:textId="77777777" w:rsidR="00346D8A" w:rsidRPr="00784B64" w:rsidRDefault="00346D8A" w:rsidP="00346D8A">
      <w:pPr>
        <w:spacing w:line="360" w:lineRule="auto"/>
        <w:jc w:val="both"/>
        <w:rPr>
          <w:rFonts w:ascii="Arial" w:hAnsi="Arial" w:cs="Arial"/>
        </w:rPr>
      </w:pPr>
      <w:r w:rsidRPr="00784B64">
        <w:rPr>
          <w:rFonts w:ascii="Arial" w:hAnsi="Arial" w:cs="Arial"/>
        </w:rPr>
        <w:t>The first objective should be to maintain a competitive electrified product portfolio. This means continuing to develop EV and hybrid vehicles while focusing on practical customer benefits such as range, charging convenience, safety, technology and total cost of ownership. This approach is consistent with research suggesting that sustainable competitive advantage in EV markets depends on technological capabilities, supply-chain management, brand development, customer orientation and strategic partnerships rather than one isolated resource (Mu, 2023).</w:t>
      </w:r>
    </w:p>
    <w:p w14:paraId="77678666" w14:textId="77777777" w:rsidR="00346D8A" w:rsidRPr="00784B64" w:rsidRDefault="00346D8A" w:rsidP="00346D8A">
      <w:pPr>
        <w:spacing w:line="360" w:lineRule="auto"/>
        <w:jc w:val="both"/>
        <w:rPr>
          <w:rFonts w:ascii="Arial" w:hAnsi="Arial" w:cs="Arial"/>
        </w:rPr>
      </w:pPr>
      <w:r w:rsidRPr="00784B64">
        <w:rPr>
          <w:rFonts w:ascii="Arial" w:hAnsi="Arial" w:cs="Arial"/>
        </w:rPr>
        <w:t>The second objective should be to strengthen customer retention. MG should improve dealer consistency, servicing, parts availability and digital customer support so that the ownership experience becomes an important component of its value proposition.</w:t>
      </w:r>
    </w:p>
    <w:p w14:paraId="599BE1D4" w14:textId="77777777" w:rsidR="00346D8A" w:rsidRPr="00784B64" w:rsidRDefault="00346D8A" w:rsidP="00346D8A">
      <w:pPr>
        <w:spacing w:line="360" w:lineRule="auto"/>
        <w:jc w:val="both"/>
        <w:rPr>
          <w:rFonts w:ascii="Arial" w:hAnsi="Arial" w:cs="Arial"/>
        </w:rPr>
      </w:pPr>
      <w:r w:rsidRPr="00784B64">
        <w:rPr>
          <w:rFonts w:ascii="Arial" w:hAnsi="Arial" w:cs="Arial"/>
        </w:rPr>
        <w:t>Third, MG should strengthen its fleet and business-market proposition. Fleet customers are strategically significant in the UK and tend to assess vehicles through operating costs, taxation, reliability, financing and total cost of ownership rather than brand image alone. This creates an opportunity for MG to use its value positioning in a market where affordability can be combined with measurable economic benefits.</w:t>
      </w:r>
    </w:p>
    <w:p w14:paraId="4C3355B6" w14:textId="77777777" w:rsidR="00346D8A" w:rsidRDefault="00346D8A" w:rsidP="00346D8A">
      <w:pPr>
        <w:spacing w:line="360" w:lineRule="auto"/>
        <w:jc w:val="both"/>
        <w:rPr>
          <w:rFonts w:ascii="Arial" w:hAnsi="Arial" w:cs="Arial"/>
        </w:rPr>
      </w:pPr>
      <w:r w:rsidRPr="00784B64">
        <w:rPr>
          <w:rFonts w:ascii="Arial" w:hAnsi="Arial" w:cs="Arial"/>
        </w:rPr>
        <w:t xml:space="preserve">These objectives support a broader strategic intention: </w:t>
      </w:r>
      <w:r w:rsidRPr="00784B64">
        <w:rPr>
          <w:rFonts w:ascii="Arial" w:hAnsi="Arial" w:cs="Arial"/>
          <w:b/>
          <w:bCs/>
        </w:rPr>
        <w:t>to transform affordability from a price-based advantage into a wider customer-value proposition</w:t>
      </w:r>
      <w:r w:rsidRPr="00784B64">
        <w:rPr>
          <w:rFonts w:ascii="Arial" w:hAnsi="Arial" w:cs="Arial"/>
        </w:rPr>
        <w:t>.</w:t>
      </w:r>
    </w:p>
    <w:p w14:paraId="686BFCD5" w14:textId="77777777" w:rsidR="00346D8A" w:rsidRPr="00784B64" w:rsidRDefault="00346D8A" w:rsidP="00346D8A">
      <w:pPr>
        <w:spacing w:line="360" w:lineRule="auto"/>
        <w:jc w:val="both"/>
        <w:rPr>
          <w:rFonts w:ascii="Arial" w:hAnsi="Arial" w:cs="Arial"/>
        </w:rPr>
      </w:pPr>
    </w:p>
    <w:p w14:paraId="11CF6FCB" w14:textId="77777777" w:rsidR="00346D8A" w:rsidRPr="00784B64" w:rsidRDefault="00346D8A" w:rsidP="00346D8A">
      <w:pPr>
        <w:spacing w:line="360" w:lineRule="auto"/>
        <w:jc w:val="both"/>
        <w:rPr>
          <w:rFonts w:ascii="Arial" w:hAnsi="Arial" w:cs="Arial"/>
          <w:b/>
          <w:bCs/>
          <w:sz w:val="28"/>
          <w:szCs w:val="28"/>
          <w:u w:val="single"/>
        </w:rPr>
      </w:pPr>
      <w:r w:rsidRPr="00784B64">
        <w:rPr>
          <w:rFonts w:ascii="Arial" w:hAnsi="Arial" w:cs="Arial"/>
          <w:b/>
          <w:bCs/>
          <w:sz w:val="28"/>
          <w:szCs w:val="28"/>
          <w:u w:val="single"/>
        </w:rPr>
        <w:t>4. The Company's Current Performance</w:t>
      </w:r>
    </w:p>
    <w:p w14:paraId="5E006E40" w14:textId="77777777" w:rsidR="00346D8A" w:rsidRPr="00784B64" w:rsidRDefault="00346D8A" w:rsidP="00346D8A">
      <w:pPr>
        <w:spacing w:line="360" w:lineRule="auto"/>
        <w:jc w:val="both"/>
        <w:rPr>
          <w:rFonts w:ascii="Arial" w:hAnsi="Arial" w:cs="Arial"/>
        </w:rPr>
      </w:pPr>
      <w:r w:rsidRPr="00784B64">
        <w:rPr>
          <w:rFonts w:ascii="Arial" w:hAnsi="Arial" w:cs="Arial"/>
        </w:rPr>
        <w:t>MG's recent performance demonstrates that the company has established a significant position in the UK market. SMMT data show that by June 2026 MG had recorded 48,741 new-car registrations, equivalent to a 4.28% market share and 14.37% growth compared with 42,617 registrations during the corresponding period of 2025 (SMMT, 2026b).</w:t>
      </w:r>
    </w:p>
    <w:p w14:paraId="51926D3B"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The performance of individual electrified models is also significant. The MG ZS Hybrid recorded 21,869 registrations in 2025, making it the </w:t>
      </w:r>
      <w:proofErr w:type="gramStart"/>
      <w:r w:rsidRPr="00784B64">
        <w:rPr>
          <w:rFonts w:ascii="Arial" w:hAnsi="Arial" w:cs="Arial"/>
        </w:rPr>
        <w:t>third-best</w:t>
      </w:r>
      <w:proofErr w:type="gramEnd"/>
      <w:r w:rsidRPr="00784B64">
        <w:rPr>
          <w:rFonts w:ascii="Arial" w:hAnsi="Arial" w:cs="Arial"/>
        </w:rPr>
        <w:t>-selling electrified model in the UK across all powertrain types in SMMT's ranking (SMMT, 2026a). The MG HS has also performed strongly, ranking seventh among UK models by year-to-date registrations in the latest SMMT data and recording 16,721 units.</w:t>
      </w:r>
    </w:p>
    <w:p w14:paraId="7975646B" w14:textId="77777777" w:rsidR="00346D8A" w:rsidRPr="00784B64" w:rsidRDefault="00346D8A" w:rsidP="00346D8A">
      <w:pPr>
        <w:spacing w:line="360" w:lineRule="auto"/>
        <w:jc w:val="both"/>
        <w:rPr>
          <w:rFonts w:ascii="Arial" w:hAnsi="Arial" w:cs="Arial"/>
        </w:rPr>
      </w:pPr>
      <w:r w:rsidRPr="00784B64">
        <w:rPr>
          <w:rFonts w:ascii="Arial" w:hAnsi="Arial" w:cs="Arial"/>
        </w:rPr>
        <w:t>These figures indicate that MG's value proposition is achieving meaningful market acceptance. However, strong sales should not be interpreted automatically as evidence of sustainable competitive advantage. The wider market is becoming more crowded, particularly as Chinese-owned manufacturers expand in Europe. SAIC itself reported that MG sold more than 300,000 vehicles in Europe during 2025, demonstrating the scale of its international position but also highlighting the increasing presence of Chinese automotive brands in European markets.</w:t>
      </w:r>
    </w:p>
    <w:p w14:paraId="279A63F8" w14:textId="77777777" w:rsidR="00346D8A" w:rsidRDefault="00346D8A" w:rsidP="00346D8A">
      <w:pPr>
        <w:spacing w:line="360" w:lineRule="auto"/>
        <w:jc w:val="both"/>
        <w:rPr>
          <w:rFonts w:ascii="Arial" w:hAnsi="Arial" w:cs="Arial"/>
        </w:rPr>
      </w:pPr>
      <w:r w:rsidRPr="00784B64">
        <w:rPr>
          <w:rFonts w:ascii="Arial" w:hAnsi="Arial" w:cs="Arial"/>
        </w:rPr>
        <w:t>Consequently, MG's current performance provides a strong platform for growth but also creates a strategic requirement to protect its position before affordability and electrification become increasingly standardised across competitors.</w:t>
      </w:r>
    </w:p>
    <w:p w14:paraId="68F9E7C0" w14:textId="77777777" w:rsidR="00346D8A" w:rsidRPr="00784B64" w:rsidRDefault="00346D8A" w:rsidP="00346D8A">
      <w:pPr>
        <w:spacing w:line="360" w:lineRule="auto"/>
        <w:jc w:val="both"/>
        <w:rPr>
          <w:rFonts w:ascii="Arial" w:hAnsi="Arial" w:cs="Arial"/>
        </w:rPr>
      </w:pPr>
    </w:p>
    <w:p w14:paraId="563C959A" w14:textId="77777777" w:rsidR="00346D8A" w:rsidRPr="00784B64" w:rsidRDefault="00346D8A" w:rsidP="00346D8A">
      <w:pPr>
        <w:spacing w:line="360" w:lineRule="auto"/>
        <w:jc w:val="both"/>
        <w:rPr>
          <w:rFonts w:ascii="Arial" w:hAnsi="Arial" w:cs="Arial"/>
          <w:b/>
          <w:bCs/>
          <w:sz w:val="28"/>
          <w:szCs w:val="28"/>
          <w:u w:val="single"/>
        </w:rPr>
      </w:pPr>
      <w:r w:rsidRPr="00784B64">
        <w:rPr>
          <w:rFonts w:ascii="Arial" w:hAnsi="Arial" w:cs="Arial"/>
          <w:b/>
          <w:bCs/>
          <w:sz w:val="28"/>
          <w:szCs w:val="28"/>
          <w:u w:val="single"/>
        </w:rPr>
        <w:t>5. Strategy Analysis</w:t>
      </w:r>
    </w:p>
    <w:p w14:paraId="6D442184" w14:textId="77777777" w:rsidR="00346D8A" w:rsidRPr="00784B64" w:rsidRDefault="00346D8A" w:rsidP="00346D8A">
      <w:pPr>
        <w:spacing w:line="360" w:lineRule="auto"/>
        <w:jc w:val="both"/>
        <w:rPr>
          <w:rFonts w:ascii="Arial" w:hAnsi="Arial" w:cs="Arial"/>
          <w:b/>
          <w:bCs/>
          <w:sz w:val="28"/>
          <w:szCs w:val="28"/>
          <w:u w:val="single"/>
        </w:rPr>
      </w:pPr>
      <w:r w:rsidRPr="00784B64">
        <w:rPr>
          <w:rFonts w:ascii="Arial" w:hAnsi="Arial" w:cs="Arial"/>
          <w:b/>
          <w:bCs/>
          <w:sz w:val="28"/>
          <w:szCs w:val="28"/>
          <w:u w:val="single"/>
        </w:rPr>
        <w:t>5.1 External Environmental Audit</w:t>
      </w:r>
    </w:p>
    <w:p w14:paraId="69C6A65C"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A PESTEL analysis indicates that </w:t>
      </w:r>
      <w:r w:rsidRPr="00784B64">
        <w:rPr>
          <w:rFonts w:ascii="Arial" w:hAnsi="Arial" w:cs="Arial"/>
          <w:b/>
          <w:bCs/>
        </w:rPr>
        <w:t>political and legal pressures</w:t>
      </w:r>
      <w:r w:rsidRPr="00784B64">
        <w:rPr>
          <w:rFonts w:ascii="Arial" w:hAnsi="Arial" w:cs="Arial"/>
        </w:rPr>
        <w:t xml:space="preserve"> strongly favour electrification. The UK's ZEV mandate requires manufacturers to achieve a 33% zero-emission share for cars in 2026, rising to 80% by 2030 (Department for Transport, 2025). This creates an opportunity for MG because it already possesses an established electrified portfolio, but it also increases the strategic importance of accelerating BEV adoption.</w:t>
      </w:r>
    </w:p>
    <w:p w14:paraId="04E8F65C" w14:textId="77777777" w:rsidR="00346D8A" w:rsidRPr="00784B64" w:rsidRDefault="00346D8A" w:rsidP="00346D8A">
      <w:pPr>
        <w:spacing w:line="360" w:lineRule="auto"/>
        <w:jc w:val="both"/>
        <w:rPr>
          <w:rFonts w:ascii="Arial" w:hAnsi="Arial" w:cs="Arial"/>
        </w:rPr>
      </w:pPr>
      <w:r w:rsidRPr="00784B64">
        <w:rPr>
          <w:rFonts w:ascii="Arial" w:hAnsi="Arial" w:cs="Arial"/>
          <w:b/>
          <w:bCs/>
        </w:rPr>
        <w:t>Economic conditions</w:t>
      </w:r>
      <w:r w:rsidRPr="00784B64">
        <w:rPr>
          <w:rFonts w:ascii="Arial" w:hAnsi="Arial" w:cs="Arial"/>
        </w:rPr>
        <w:t xml:space="preserve"> increase the importance of affordability. Vehicle purchase prices and financing costs influence consumers' willingness to adopt new technologies, meaning MG's value proposition remains relevant. However, extensive price competition can reduce margins and can be copied relatively easily. Therefore, affordability should be treated as an entry point to the customer proposition rather than the entire competitive strategy.</w:t>
      </w:r>
    </w:p>
    <w:p w14:paraId="783FE037" w14:textId="77777777" w:rsidR="00346D8A" w:rsidRPr="00784B64" w:rsidRDefault="00346D8A" w:rsidP="00346D8A">
      <w:pPr>
        <w:spacing w:line="360" w:lineRule="auto"/>
        <w:jc w:val="both"/>
        <w:rPr>
          <w:rFonts w:ascii="Arial" w:hAnsi="Arial" w:cs="Arial"/>
        </w:rPr>
      </w:pPr>
      <w:r w:rsidRPr="00784B64">
        <w:rPr>
          <w:rFonts w:ascii="Arial" w:hAnsi="Arial" w:cs="Arial"/>
          <w:b/>
          <w:bCs/>
        </w:rPr>
        <w:t>Social factors</w:t>
      </w:r>
      <w:r w:rsidRPr="00784B64">
        <w:rPr>
          <w:rFonts w:ascii="Arial" w:hAnsi="Arial" w:cs="Arial"/>
        </w:rPr>
        <w:t xml:space="preserve"> are also changing. Customers increasingly expect vehicles to combine affordability with technology, reliability, connectivity and environmental performance. Fleet and business buyers place particular importance on operating costs and practical value, making total cost of ownership an important opportunity for MG.</w:t>
      </w:r>
    </w:p>
    <w:p w14:paraId="4589920B"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The </w:t>
      </w:r>
      <w:r w:rsidRPr="00784B64">
        <w:rPr>
          <w:rFonts w:ascii="Arial" w:hAnsi="Arial" w:cs="Arial"/>
          <w:b/>
          <w:bCs/>
        </w:rPr>
        <w:t>technological environment</w:t>
      </w:r>
      <w:r w:rsidRPr="00784B64">
        <w:rPr>
          <w:rFonts w:ascii="Arial" w:hAnsi="Arial" w:cs="Arial"/>
        </w:rPr>
        <w:t xml:space="preserve"> is perhaps the most significant long-term factor. EV competitiveness increasingly requires expertise in batteries, electronics and software (Ledebur et al., 2026). Research on automotive manufacturers also indicates that successful electrification depends on firms' ability to recognise changing market conditions and adapt existing capabilities rather than simply investing in technology (Loder, </w:t>
      </w:r>
      <w:proofErr w:type="spellStart"/>
      <w:r w:rsidRPr="00784B64">
        <w:rPr>
          <w:rFonts w:ascii="Arial" w:hAnsi="Arial" w:cs="Arial"/>
        </w:rPr>
        <w:t>Rinscheid</w:t>
      </w:r>
      <w:proofErr w:type="spellEnd"/>
      <w:r w:rsidRPr="00784B64">
        <w:rPr>
          <w:rFonts w:ascii="Arial" w:hAnsi="Arial" w:cs="Arial"/>
        </w:rPr>
        <w:t xml:space="preserve"> and </w:t>
      </w:r>
      <w:proofErr w:type="spellStart"/>
      <w:r w:rsidRPr="00784B64">
        <w:rPr>
          <w:rFonts w:ascii="Arial" w:hAnsi="Arial" w:cs="Arial"/>
        </w:rPr>
        <w:t>Wüstenhagen</w:t>
      </w:r>
      <w:proofErr w:type="spellEnd"/>
      <w:r w:rsidRPr="00784B64">
        <w:rPr>
          <w:rFonts w:ascii="Arial" w:hAnsi="Arial" w:cs="Arial"/>
        </w:rPr>
        <w:t>, 2024).</w:t>
      </w:r>
    </w:p>
    <w:p w14:paraId="49B497C6"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Finally, </w:t>
      </w:r>
      <w:r w:rsidRPr="00784B64">
        <w:rPr>
          <w:rFonts w:ascii="Arial" w:hAnsi="Arial" w:cs="Arial"/>
          <w:b/>
          <w:bCs/>
        </w:rPr>
        <w:t>environmental and supply-chain pressures</w:t>
      </w:r>
      <w:r w:rsidRPr="00784B64">
        <w:rPr>
          <w:rFonts w:ascii="Arial" w:hAnsi="Arial" w:cs="Arial"/>
        </w:rPr>
        <w:t xml:space="preserve"> are interconnected with electrification. Battery production has become strategically important, and research indicates that Chinese battery competitiveness is supported by large-scale manufacturing capabilities, technological learning and geographically concentrated industrial clusters (Zhao and Luethje, 2025). This contributes to the competitive advantage available to Chinese automotive groups such as SAIC.</w:t>
      </w:r>
    </w:p>
    <w:p w14:paraId="302F505C" w14:textId="77777777" w:rsidR="00346D8A" w:rsidRDefault="00346D8A" w:rsidP="00346D8A">
      <w:pPr>
        <w:spacing w:line="360" w:lineRule="auto"/>
        <w:jc w:val="both"/>
        <w:rPr>
          <w:rFonts w:ascii="Arial" w:hAnsi="Arial" w:cs="Arial"/>
        </w:rPr>
      </w:pPr>
      <w:r w:rsidRPr="00784B64">
        <w:rPr>
          <w:rFonts w:ascii="Arial" w:hAnsi="Arial" w:cs="Arial"/>
        </w:rPr>
        <w:t>Overall, the external environment favours MG's electrified capabilities but simultaneously makes them less distinctive.</w:t>
      </w:r>
    </w:p>
    <w:p w14:paraId="222AB390" w14:textId="77777777" w:rsidR="00346D8A" w:rsidRPr="00784B64" w:rsidRDefault="00346D8A" w:rsidP="00346D8A">
      <w:pPr>
        <w:spacing w:line="360" w:lineRule="auto"/>
        <w:jc w:val="both"/>
        <w:rPr>
          <w:rFonts w:ascii="Arial" w:hAnsi="Arial" w:cs="Arial"/>
        </w:rPr>
      </w:pPr>
    </w:p>
    <w:p w14:paraId="5B37627E" w14:textId="77777777" w:rsidR="00346D8A" w:rsidRPr="00784B64" w:rsidRDefault="00346D8A" w:rsidP="00346D8A">
      <w:pPr>
        <w:spacing w:line="360" w:lineRule="auto"/>
        <w:jc w:val="both"/>
        <w:rPr>
          <w:rFonts w:ascii="Arial" w:hAnsi="Arial" w:cs="Arial"/>
          <w:b/>
          <w:bCs/>
          <w:sz w:val="28"/>
          <w:szCs w:val="28"/>
          <w:u w:val="single"/>
        </w:rPr>
      </w:pPr>
      <w:r w:rsidRPr="00784B64">
        <w:rPr>
          <w:rFonts w:ascii="Arial" w:hAnsi="Arial" w:cs="Arial"/>
          <w:b/>
          <w:bCs/>
          <w:sz w:val="28"/>
          <w:szCs w:val="28"/>
          <w:u w:val="single"/>
        </w:rPr>
        <w:t>5.2 Internal Environmental Audit</w:t>
      </w:r>
    </w:p>
    <w:p w14:paraId="76CA6B0A" w14:textId="77777777" w:rsidR="00346D8A" w:rsidRPr="00784B64" w:rsidRDefault="00346D8A" w:rsidP="00346D8A">
      <w:pPr>
        <w:spacing w:line="360" w:lineRule="auto"/>
        <w:jc w:val="both"/>
        <w:rPr>
          <w:rFonts w:ascii="Arial" w:hAnsi="Arial" w:cs="Arial"/>
        </w:rPr>
      </w:pPr>
      <w:r w:rsidRPr="00784B64">
        <w:rPr>
          <w:rFonts w:ascii="Arial" w:hAnsi="Arial" w:cs="Arial"/>
        </w:rPr>
        <w:t>The Resource-Based View suggests that competitive advantage depends on valuable resources that competitors cannot easily replicate (Barney, 1991). MG's relationship with SAIC is therefore a major strength. SAIC provides manufacturing scale, financial resources, technological knowledge and access to an extensive automotive ecosystem. However, large-scale resources are not inherently rare because major global manufacturers possess comparable resources.</w:t>
      </w:r>
    </w:p>
    <w:p w14:paraId="4E7954B8"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MG's electrification capability is similarly valuable but increasingly represents a competitive requirement rather than a unique source of advantage. Research into Chinese EV competitiveness demonstrates how manufacturing scale, </w:t>
      </w:r>
      <w:proofErr w:type="spellStart"/>
      <w:r w:rsidRPr="00784B64">
        <w:rPr>
          <w:rFonts w:ascii="Arial" w:hAnsi="Arial" w:cs="Arial"/>
        </w:rPr>
        <w:t>verticalisation</w:t>
      </w:r>
      <w:proofErr w:type="spellEnd"/>
      <w:r w:rsidRPr="00784B64">
        <w:rPr>
          <w:rFonts w:ascii="Arial" w:hAnsi="Arial" w:cs="Arial"/>
        </w:rPr>
        <w:t xml:space="preserve"> and accumulated technological knowledge can provide strong cost and production advantages (Zhao and Luethje, 2025). This means that MG cannot assume that access to competitive EV technology will remain sufficient.</w:t>
      </w:r>
    </w:p>
    <w:p w14:paraId="1FB3FAE0"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The most significant internal opportunity therefore concerns </w:t>
      </w:r>
      <w:r w:rsidRPr="00784B64">
        <w:rPr>
          <w:rFonts w:ascii="Arial" w:hAnsi="Arial" w:cs="Arial"/>
          <w:b/>
          <w:bCs/>
        </w:rPr>
        <w:t>customer-facing capabilities</w:t>
      </w:r>
      <w:r w:rsidRPr="00784B64">
        <w:rPr>
          <w:rFonts w:ascii="Arial" w:hAnsi="Arial" w:cs="Arial"/>
        </w:rPr>
        <w:t xml:space="preserve">. MG's brand recognition and value positioning provide a useful foundation, but stronger after-sales service and customer experience could create differentiation that is more difficult to replicate than temporary price reductions. </w:t>
      </w:r>
      <w:proofErr w:type="spellStart"/>
      <w:r w:rsidRPr="00784B64">
        <w:rPr>
          <w:rFonts w:ascii="Arial" w:hAnsi="Arial" w:cs="Arial"/>
        </w:rPr>
        <w:t>Balinado</w:t>
      </w:r>
      <w:proofErr w:type="spellEnd"/>
      <w:r w:rsidRPr="00784B64">
        <w:rPr>
          <w:rFonts w:ascii="Arial" w:hAnsi="Arial" w:cs="Arial"/>
        </w:rPr>
        <w:t xml:space="preserve"> et al. (2021), using automotive after-sales data, found that reliability and empathy were significantly associated with customer satisfaction, which can subsequently support trust, retention and loyalty.</w:t>
      </w:r>
    </w:p>
    <w:p w14:paraId="56AC29A8" w14:textId="77777777" w:rsidR="00346D8A" w:rsidRDefault="00346D8A" w:rsidP="00346D8A">
      <w:pPr>
        <w:spacing w:line="360" w:lineRule="auto"/>
        <w:jc w:val="both"/>
        <w:rPr>
          <w:rFonts w:ascii="Arial" w:hAnsi="Arial" w:cs="Arial"/>
        </w:rPr>
      </w:pPr>
      <w:r w:rsidRPr="00784B64">
        <w:rPr>
          <w:rFonts w:ascii="Arial" w:hAnsi="Arial" w:cs="Arial"/>
        </w:rPr>
        <w:t>The internal analysis therefore identifies a central strategic issue: MG possesses substantial resources, but it needs to develop distinctive capabilities that convert these resources into sustained customer value.</w:t>
      </w:r>
    </w:p>
    <w:p w14:paraId="25C6FA69" w14:textId="77777777" w:rsidR="00346D8A" w:rsidRPr="00784B64" w:rsidRDefault="00346D8A" w:rsidP="00346D8A">
      <w:pPr>
        <w:spacing w:line="360" w:lineRule="auto"/>
        <w:jc w:val="both"/>
        <w:rPr>
          <w:rFonts w:ascii="Arial" w:hAnsi="Arial" w:cs="Arial"/>
        </w:rPr>
      </w:pPr>
    </w:p>
    <w:p w14:paraId="5D814298" w14:textId="77777777" w:rsidR="00346D8A" w:rsidRPr="00FA1CB4" w:rsidRDefault="00346D8A" w:rsidP="00346D8A">
      <w:pPr>
        <w:spacing w:line="360" w:lineRule="auto"/>
        <w:jc w:val="both"/>
        <w:rPr>
          <w:rFonts w:ascii="Arial" w:hAnsi="Arial" w:cs="Arial"/>
          <w:b/>
          <w:bCs/>
          <w:sz w:val="28"/>
          <w:szCs w:val="28"/>
          <w:u w:val="single"/>
        </w:rPr>
      </w:pPr>
      <w:r w:rsidRPr="00FA1CB4">
        <w:rPr>
          <w:rFonts w:ascii="Arial" w:hAnsi="Arial" w:cs="Arial"/>
          <w:b/>
          <w:bCs/>
          <w:sz w:val="28"/>
          <w:szCs w:val="28"/>
          <w:u w:val="single"/>
        </w:rPr>
        <w:t>6. Strategy Formulation: Affordable Electrified Differentiation</w:t>
      </w:r>
    </w:p>
    <w:p w14:paraId="42E4A0C1"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The recommended strategy is </w:t>
      </w:r>
      <w:r w:rsidRPr="00784B64">
        <w:rPr>
          <w:rFonts w:ascii="Arial" w:hAnsi="Arial" w:cs="Arial"/>
          <w:b/>
          <w:bCs/>
        </w:rPr>
        <w:t>affordable electrified differentiation</w:t>
      </w:r>
      <w:r w:rsidRPr="00784B64">
        <w:rPr>
          <w:rFonts w:ascii="Arial" w:hAnsi="Arial" w:cs="Arial"/>
        </w:rPr>
        <w:t>. Rather than abandoning MG's established value proposition, the strategy should expand it into a broader proposition based on affordable electrification, customer experience, fleet value and brand trust.</w:t>
      </w:r>
    </w:p>
    <w:p w14:paraId="57F7D64B" w14:textId="77777777" w:rsidR="00346D8A" w:rsidRPr="00784B64" w:rsidRDefault="00346D8A" w:rsidP="00346D8A">
      <w:pPr>
        <w:spacing w:line="360" w:lineRule="auto"/>
        <w:jc w:val="both"/>
        <w:rPr>
          <w:rFonts w:ascii="Arial" w:hAnsi="Arial" w:cs="Arial"/>
        </w:rPr>
      </w:pPr>
      <w:r w:rsidRPr="00784B64">
        <w:rPr>
          <w:rFonts w:ascii="Arial" w:hAnsi="Arial" w:cs="Arial"/>
        </w:rPr>
        <w:t>First, MG should continue expanding its electrified portfolio while differentiating through practical benefits. Vehicles should emphasise useful range, charging convenience, safety, connectivity and total ownership costs rather than simply offering the lowest purchase price. This allows MG to exploit SAIC's existing technological and manufacturing capabilities.</w:t>
      </w:r>
    </w:p>
    <w:p w14:paraId="59E4CE57"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Second, MG should strengthen its </w:t>
      </w:r>
      <w:r w:rsidRPr="00784B64">
        <w:rPr>
          <w:rFonts w:ascii="Arial" w:hAnsi="Arial" w:cs="Arial"/>
          <w:b/>
          <w:bCs/>
        </w:rPr>
        <w:t>fleet and business strategy</w:t>
      </w:r>
      <w:r w:rsidRPr="00784B64">
        <w:rPr>
          <w:rFonts w:ascii="Arial" w:hAnsi="Arial" w:cs="Arial"/>
        </w:rPr>
        <w:t>. Fleet operators can provide significant volume while also offering opportunities to demonstrate the economic benefits of MG vehicles. The company should emphasise whole-life costs, competitive finance, reliability, warranty support and servicing. This would shift competition from headline purchase price towards measurable customer value.</w:t>
      </w:r>
    </w:p>
    <w:p w14:paraId="39CCCA4E"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Third, MG should make </w:t>
      </w:r>
      <w:r w:rsidRPr="00784B64">
        <w:rPr>
          <w:rFonts w:ascii="Arial" w:hAnsi="Arial" w:cs="Arial"/>
          <w:b/>
          <w:bCs/>
        </w:rPr>
        <w:t>customer experience and after-sales service</w:t>
      </w:r>
      <w:r w:rsidRPr="00784B64">
        <w:rPr>
          <w:rFonts w:ascii="Arial" w:hAnsi="Arial" w:cs="Arial"/>
        </w:rPr>
        <w:t xml:space="preserve"> a strategic capability. Dealer standards, parts availability, service reliability and digital communication should be treated as part of the product rather than secondary activities. The evidence from automotive after-sales research supports this approach because service reliability can influence customer satisfaction and loyalty (</w:t>
      </w:r>
      <w:proofErr w:type="spellStart"/>
      <w:r w:rsidRPr="00784B64">
        <w:rPr>
          <w:rFonts w:ascii="Arial" w:hAnsi="Arial" w:cs="Arial"/>
        </w:rPr>
        <w:t>Balinado</w:t>
      </w:r>
      <w:proofErr w:type="spellEnd"/>
      <w:r w:rsidRPr="00784B64">
        <w:rPr>
          <w:rFonts w:ascii="Arial" w:hAnsi="Arial" w:cs="Arial"/>
        </w:rPr>
        <w:t xml:space="preserve"> et al., 2021).</w:t>
      </w:r>
    </w:p>
    <w:p w14:paraId="0079DEFE"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Finally, MG should develop a stronger brand identity based on </w:t>
      </w:r>
      <w:r w:rsidRPr="00784B64">
        <w:rPr>
          <w:rFonts w:ascii="Arial" w:hAnsi="Arial" w:cs="Arial"/>
          <w:b/>
          <w:bCs/>
        </w:rPr>
        <w:t>accessible technology, reliability and ownership value</w:t>
      </w:r>
      <w:r w:rsidRPr="00784B64">
        <w:rPr>
          <w:rFonts w:ascii="Arial" w:hAnsi="Arial" w:cs="Arial"/>
        </w:rPr>
        <w:t>. The objective is to move away from being perceived simply as a cheaper competitor and instead become a trusted mainstream electrified brand.</w:t>
      </w:r>
    </w:p>
    <w:p w14:paraId="5E6C62C8" w14:textId="77777777" w:rsidR="00346D8A" w:rsidRDefault="00346D8A" w:rsidP="00346D8A">
      <w:pPr>
        <w:spacing w:line="360" w:lineRule="auto"/>
        <w:jc w:val="both"/>
        <w:rPr>
          <w:rFonts w:ascii="Arial" w:hAnsi="Arial" w:cs="Arial"/>
        </w:rPr>
      </w:pPr>
      <w:r w:rsidRPr="00784B64">
        <w:rPr>
          <w:rFonts w:ascii="Arial" w:hAnsi="Arial" w:cs="Arial"/>
        </w:rPr>
        <w:t xml:space="preserve">This strategy is preferable to pure cost leadership because price advantages can be imitated. It is also preferable to a technology-led strategy alone because EV technology is becoming increasingly widespread. The proposed approach instead combines MG's existing resources with customer-facing capabilities that can become more distinctive over time. This is consistent with the dynamic-capabilities perspective, which emphasises the ability to adapt resources and strategies as markets change (Loder, </w:t>
      </w:r>
      <w:proofErr w:type="spellStart"/>
      <w:r w:rsidRPr="00784B64">
        <w:rPr>
          <w:rFonts w:ascii="Arial" w:hAnsi="Arial" w:cs="Arial"/>
        </w:rPr>
        <w:t>Rinscheid</w:t>
      </w:r>
      <w:proofErr w:type="spellEnd"/>
      <w:r w:rsidRPr="00784B64">
        <w:rPr>
          <w:rFonts w:ascii="Arial" w:hAnsi="Arial" w:cs="Arial"/>
        </w:rPr>
        <w:t xml:space="preserve"> and </w:t>
      </w:r>
      <w:proofErr w:type="spellStart"/>
      <w:r w:rsidRPr="00784B64">
        <w:rPr>
          <w:rFonts w:ascii="Arial" w:hAnsi="Arial" w:cs="Arial"/>
        </w:rPr>
        <w:t>Wüstenhagen</w:t>
      </w:r>
      <w:proofErr w:type="spellEnd"/>
      <w:r w:rsidRPr="00784B64">
        <w:rPr>
          <w:rFonts w:ascii="Arial" w:hAnsi="Arial" w:cs="Arial"/>
        </w:rPr>
        <w:t>, 2024).</w:t>
      </w:r>
    </w:p>
    <w:p w14:paraId="7F166872" w14:textId="77777777" w:rsidR="00346D8A" w:rsidRPr="00784B64" w:rsidRDefault="00346D8A" w:rsidP="00346D8A">
      <w:pPr>
        <w:spacing w:line="360" w:lineRule="auto"/>
        <w:jc w:val="both"/>
        <w:rPr>
          <w:rFonts w:ascii="Arial" w:hAnsi="Arial" w:cs="Arial"/>
        </w:rPr>
      </w:pPr>
    </w:p>
    <w:p w14:paraId="19B1E842" w14:textId="77777777" w:rsidR="00346D8A" w:rsidRPr="00FA1CB4" w:rsidRDefault="00346D8A" w:rsidP="00346D8A">
      <w:pPr>
        <w:spacing w:line="360" w:lineRule="auto"/>
        <w:jc w:val="both"/>
        <w:rPr>
          <w:rFonts w:ascii="Arial" w:hAnsi="Arial" w:cs="Arial"/>
          <w:b/>
          <w:bCs/>
          <w:sz w:val="28"/>
          <w:szCs w:val="28"/>
          <w:u w:val="single"/>
        </w:rPr>
      </w:pPr>
      <w:r w:rsidRPr="00FA1CB4">
        <w:rPr>
          <w:rFonts w:ascii="Arial" w:hAnsi="Arial" w:cs="Arial"/>
          <w:b/>
          <w:bCs/>
          <w:sz w:val="28"/>
          <w:szCs w:val="28"/>
          <w:u w:val="single"/>
        </w:rPr>
        <w:t>7. Conclusion and Recommendations</w:t>
      </w:r>
    </w:p>
    <w:p w14:paraId="5927F5C8" w14:textId="77777777" w:rsidR="00346D8A" w:rsidRPr="00784B64" w:rsidRDefault="00346D8A" w:rsidP="00346D8A">
      <w:pPr>
        <w:spacing w:line="360" w:lineRule="auto"/>
        <w:jc w:val="both"/>
        <w:rPr>
          <w:rFonts w:ascii="Arial" w:hAnsi="Arial" w:cs="Arial"/>
        </w:rPr>
      </w:pPr>
      <w:r w:rsidRPr="00784B64">
        <w:rPr>
          <w:rFonts w:ascii="Arial" w:hAnsi="Arial" w:cs="Arial"/>
        </w:rPr>
        <w:t>MG Motor UK has a strong platform from which to pursue future growth. Its relationship with SAIC provides access to substantial manufacturing, financial and technological resources, while its established UK presence and competitive value proposition have enabled it to achieve meaningful market penetration. Recent UK performance, including 48,741 registrations and a 4.28% market share by June 2026, demonstrates continued commercial momentum (SMMT, 2026b).</w:t>
      </w:r>
    </w:p>
    <w:p w14:paraId="6D0CD045" w14:textId="77777777" w:rsidR="00346D8A" w:rsidRPr="00784B64" w:rsidRDefault="00346D8A" w:rsidP="00346D8A">
      <w:pPr>
        <w:spacing w:line="360" w:lineRule="auto"/>
        <w:jc w:val="both"/>
        <w:rPr>
          <w:rFonts w:ascii="Arial" w:hAnsi="Arial" w:cs="Arial"/>
        </w:rPr>
      </w:pPr>
      <w:r w:rsidRPr="00784B64">
        <w:rPr>
          <w:rFonts w:ascii="Arial" w:hAnsi="Arial" w:cs="Arial"/>
        </w:rPr>
        <w:t>However, the strategic environment is becoming more challenging. Electrification is rapidly becoming mainstream, Chinese manufacturers are expanding their European presence, and capabilities that once differentiated MG, particularly affordable EV technology, are becoming increasingly accessible to competitors. Chinese battery and EV competitiveness is supported by manufacturing scale, technological learning and integrated industrial ecosystems (Zhao and Luethje, 2025).</w:t>
      </w:r>
    </w:p>
    <w:p w14:paraId="1F9EE65F" w14:textId="77777777" w:rsidR="00346D8A" w:rsidRPr="00784B64" w:rsidRDefault="00346D8A" w:rsidP="00346D8A">
      <w:pPr>
        <w:spacing w:line="360" w:lineRule="auto"/>
        <w:jc w:val="both"/>
        <w:rPr>
          <w:rFonts w:ascii="Arial" w:hAnsi="Arial" w:cs="Arial"/>
        </w:rPr>
      </w:pPr>
      <w:r w:rsidRPr="00784B64">
        <w:rPr>
          <w:rFonts w:ascii="Arial" w:hAnsi="Arial" w:cs="Arial"/>
        </w:rPr>
        <w:t>Three recommendations therefore follow. First, MG should continue expanding affordable electrified vehicles while competing on practical customer value rather than price alone. Second, it should develop a stronger fleet and business proposition based on total cost of ownership, finance and after-sales support. Third, MG should invest in customer experience, dealer consistency, service reliability and brand trust.</w:t>
      </w:r>
    </w:p>
    <w:p w14:paraId="2DF8955E" w14:textId="77777777" w:rsidR="00346D8A" w:rsidRDefault="00346D8A" w:rsidP="00346D8A">
      <w:pPr>
        <w:spacing w:line="360" w:lineRule="auto"/>
        <w:jc w:val="both"/>
        <w:rPr>
          <w:rFonts w:ascii="Arial" w:hAnsi="Arial" w:cs="Arial"/>
        </w:rPr>
      </w:pPr>
      <w:r w:rsidRPr="00784B64">
        <w:rPr>
          <w:rFonts w:ascii="Arial" w:hAnsi="Arial" w:cs="Arial"/>
        </w:rPr>
        <w:t xml:space="preserve">Ultimately, MG should seek to become a </w:t>
      </w:r>
      <w:r w:rsidRPr="00784B64">
        <w:rPr>
          <w:rFonts w:ascii="Arial" w:hAnsi="Arial" w:cs="Arial"/>
          <w:b/>
          <w:bCs/>
        </w:rPr>
        <w:t>trusted, accessible and technologically capable mainstream electrified brand</w:t>
      </w:r>
      <w:r w:rsidRPr="00784B64">
        <w:rPr>
          <w:rFonts w:ascii="Arial" w:hAnsi="Arial" w:cs="Arial"/>
        </w:rPr>
        <w:t>. Its competitive advantage should come not simply from what it can manufacture cheaply, but from how effectively it combines SAIC's resources with capabilities that customers value and competitors find harder to imitate.</w:t>
      </w:r>
    </w:p>
    <w:p w14:paraId="3486FC3C" w14:textId="77777777" w:rsidR="00346D8A" w:rsidRDefault="00346D8A" w:rsidP="00346D8A">
      <w:pPr>
        <w:spacing w:line="360" w:lineRule="auto"/>
        <w:jc w:val="both"/>
        <w:rPr>
          <w:rFonts w:ascii="Arial" w:hAnsi="Arial" w:cs="Arial"/>
        </w:rPr>
      </w:pPr>
    </w:p>
    <w:p w14:paraId="39874F68" w14:textId="77777777" w:rsidR="00346D8A" w:rsidRDefault="00346D8A" w:rsidP="00346D8A">
      <w:pPr>
        <w:spacing w:line="360" w:lineRule="auto"/>
        <w:jc w:val="both"/>
        <w:rPr>
          <w:rFonts w:ascii="Arial" w:hAnsi="Arial" w:cs="Arial"/>
        </w:rPr>
      </w:pPr>
    </w:p>
    <w:p w14:paraId="16FE18CF" w14:textId="77777777" w:rsidR="00346D8A" w:rsidRDefault="00346D8A" w:rsidP="00346D8A">
      <w:pPr>
        <w:spacing w:line="360" w:lineRule="auto"/>
        <w:jc w:val="both"/>
        <w:rPr>
          <w:rFonts w:ascii="Arial" w:hAnsi="Arial" w:cs="Arial"/>
        </w:rPr>
      </w:pPr>
    </w:p>
    <w:p w14:paraId="2D0A7060" w14:textId="77777777" w:rsidR="00346D8A" w:rsidRDefault="00346D8A" w:rsidP="00346D8A">
      <w:pPr>
        <w:spacing w:line="360" w:lineRule="auto"/>
        <w:jc w:val="both"/>
        <w:rPr>
          <w:rFonts w:ascii="Arial" w:hAnsi="Arial" w:cs="Arial"/>
        </w:rPr>
      </w:pPr>
    </w:p>
    <w:p w14:paraId="0485EF0A" w14:textId="77777777" w:rsidR="00346D8A" w:rsidRDefault="00346D8A" w:rsidP="00346D8A">
      <w:pPr>
        <w:spacing w:line="360" w:lineRule="auto"/>
        <w:jc w:val="both"/>
        <w:rPr>
          <w:rFonts w:ascii="Arial" w:hAnsi="Arial" w:cs="Arial"/>
        </w:rPr>
      </w:pPr>
    </w:p>
    <w:p w14:paraId="21301625" w14:textId="77777777" w:rsidR="00346D8A" w:rsidRDefault="00346D8A" w:rsidP="00346D8A">
      <w:pPr>
        <w:spacing w:line="360" w:lineRule="auto"/>
        <w:jc w:val="both"/>
        <w:rPr>
          <w:rFonts w:ascii="Arial" w:hAnsi="Arial" w:cs="Arial"/>
        </w:rPr>
      </w:pPr>
    </w:p>
    <w:p w14:paraId="4CCE562B" w14:textId="77777777" w:rsidR="00346D8A" w:rsidRDefault="00346D8A" w:rsidP="00346D8A">
      <w:pPr>
        <w:spacing w:line="360" w:lineRule="auto"/>
        <w:jc w:val="both"/>
        <w:rPr>
          <w:rFonts w:ascii="Arial" w:hAnsi="Arial" w:cs="Arial"/>
        </w:rPr>
      </w:pPr>
    </w:p>
    <w:p w14:paraId="22CC8976" w14:textId="77777777" w:rsidR="00346D8A" w:rsidRDefault="00346D8A" w:rsidP="00346D8A">
      <w:pPr>
        <w:spacing w:line="360" w:lineRule="auto"/>
        <w:jc w:val="both"/>
        <w:rPr>
          <w:rFonts w:ascii="Arial" w:hAnsi="Arial" w:cs="Arial"/>
        </w:rPr>
      </w:pPr>
    </w:p>
    <w:p w14:paraId="1BC2458B" w14:textId="77777777" w:rsidR="00346D8A" w:rsidRDefault="00346D8A" w:rsidP="00346D8A">
      <w:pPr>
        <w:spacing w:line="360" w:lineRule="auto"/>
        <w:jc w:val="both"/>
        <w:rPr>
          <w:rFonts w:ascii="Arial" w:hAnsi="Arial" w:cs="Arial"/>
        </w:rPr>
      </w:pPr>
    </w:p>
    <w:p w14:paraId="06F29887" w14:textId="77777777" w:rsidR="00346D8A" w:rsidRDefault="00346D8A" w:rsidP="00346D8A">
      <w:pPr>
        <w:spacing w:line="360" w:lineRule="auto"/>
        <w:jc w:val="both"/>
        <w:rPr>
          <w:rFonts w:ascii="Arial" w:hAnsi="Arial" w:cs="Arial"/>
        </w:rPr>
      </w:pPr>
    </w:p>
    <w:p w14:paraId="23D21AE8" w14:textId="77777777" w:rsidR="00346D8A" w:rsidRDefault="00346D8A" w:rsidP="00346D8A">
      <w:pPr>
        <w:spacing w:line="360" w:lineRule="auto"/>
        <w:jc w:val="both"/>
        <w:rPr>
          <w:rFonts w:ascii="Arial" w:hAnsi="Arial" w:cs="Arial"/>
        </w:rPr>
      </w:pPr>
    </w:p>
    <w:p w14:paraId="4E5F0209" w14:textId="77777777" w:rsidR="00346D8A" w:rsidRDefault="00346D8A" w:rsidP="00346D8A">
      <w:pPr>
        <w:spacing w:line="360" w:lineRule="auto"/>
        <w:jc w:val="both"/>
        <w:rPr>
          <w:rFonts w:ascii="Arial" w:hAnsi="Arial" w:cs="Arial"/>
        </w:rPr>
      </w:pPr>
    </w:p>
    <w:p w14:paraId="2DDDDF40" w14:textId="77777777" w:rsidR="00346D8A" w:rsidRDefault="00346D8A" w:rsidP="00346D8A">
      <w:pPr>
        <w:spacing w:line="360" w:lineRule="auto"/>
        <w:jc w:val="both"/>
        <w:rPr>
          <w:rFonts w:ascii="Arial" w:hAnsi="Arial" w:cs="Arial"/>
        </w:rPr>
      </w:pPr>
    </w:p>
    <w:p w14:paraId="33CA54C5" w14:textId="77777777" w:rsidR="00346D8A" w:rsidRDefault="00346D8A" w:rsidP="00346D8A">
      <w:pPr>
        <w:spacing w:line="360" w:lineRule="auto"/>
        <w:jc w:val="both"/>
        <w:rPr>
          <w:rFonts w:ascii="Arial" w:hAnsi="Arial" w:cs="Arial"/>
        </w:rPr>
      </w:pPr>
    </w:p>
    <w:p w14:paraId="7422DE15" w14:textId="77777777" w:rsidR="00346D8A" w:rsidRDefault="00346D8A" w:rsidP="00346D8A">
      <w:pPr>
        <w:spacing w:line="360" w:lineRule="auto"/>
        <w:jc w:val="both"/>
        <w:rPr>
          <w:rFonts w:ascii="Arial" w:hAnsi="Arial" w:cs="Arial"/>
        </w:rPr>
      </w:pPr>
    </w:p>
    <w:p w14:paraId="78AEC7A2" w14:textId="77777777" w:rsidR="00346D8A" w:rsidRDefault="00346D8A" w:rsidP="00346D8A">
      <w:pPr>
        <w:spacing w:line="360" w:lineRule="auto"/>
        <w:jc w:val="center"/>
        <w:rPr>
          <w:rFonts w:ascii="Arial" w:hAnsi="Arial" w:cs="Arial"/>
        </w:rPr>
      </w:pPr>
    </w:p>
    <w:p w14:paraId="642D835E" w14:textId="77777777" w:rsidR="00346D8A" w:rsidRDefault="00346D8A" w:rsidP="00346D8A">
      <w:pPr>
        <w:spacing w:line="360" w:lineRule="auto"/>
        <w:jc w:val="center"/>
        <w:rPr>
          <w:rFonts w:ascii="Arial" w:hAnsi="Arial" w:cs="Arial"/>
          <w:b/>
          <w:bCs/>
          <w:sz w:val="40"/>
          <w:szCs w:val="40"/>
          <w:u w:val="single"/>
        </w:rPr>
      </w:pPr>
      <w:r w:rsidRPr="00FA1CB4">
        <w:rPr>
          <w:rFonts w:ascii="Arial" w:hAnsi="Arial" w:cs="Arial"/>
          <w:b/>
          <w:bCs/>
          <w:sz w:val="40"/>
          <w:szCs w:val="40"/>
          <w:u w:val="single"/>
        </w:rPr>
        <w:t>Reference List</w:t>
      </w:r>
    </w:p>
    <w:p w14:paraId="41158E2E" w14:textId="77777777" w:rsidR="00346D8A" w:rsidRDefault="00346D8A" w:rsidP="00346D8A">
      <w:pPr>
        <w:spacing w:line="360" w:lineRule="auto"/>
        <w:jc w:val="center"/>
        <w:rPr>
          <w:rFonts w:ascii="Arial" w:hAnsi="Arial" w:cs="Arial"/>
          <w:b/>
          <w:bCs/>
          <w:sz w:val="40"/>
          <w:szCs w:val="40"/>
          <w:u w:val="single"/>
        </w:rPr>
      </w:pPr>
    </w:p>
    <w:p w14:paraId="72FC5D2A" w14:textId="77777777" w:rsidR="00346D8A" w:rsidRPr="00FA1CB4" w:rsidRDefault="00346D8A" w:rsidP="00346D8A">
      <w:pPr>
        <w:spacing w:line="360" w:lineRule="auto"/>
        <w:jc w:val="center"/>
        <w:rPr>
          <w:rFonts w:ascii="Arial" w:hAnsi="Arial" w:cs="Arial"/>
          <w:b/>
          <w:bCs/>
          <w:sz w:val="40"/>
          <w:szCs w:val="40"/>
          <w:u w:val="single"/>
        </w:rPr>
      </w:pPr>
    </w:p>
    <w:p w14:paraId="568F0805"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Barney, J. (1991) 'Firm resources and sustained competitive advantage', </w:t>
      </w:r>
      <w:r w:rsidRPr="00784B64">
        <w:rPr>
          <w:rFonts w:ascii="Arial" w:hAnsi="Arial" w:cs="Arial"/>
          <w:i/>
          <w:iCs/>
        </w:rPr>
        <w:t>Journal of Management</w:t>
      </w:r>
      <w:r w:rsidRPr="00784B64">
        <w:rPr>
          <w:rFonts w:ascii="Arial" w:hAnsi="Arial" w:cs="Arial"/>
        </w:rPr>
        <w:t>, 17(1), pp. 99–120.</w:t>
      </w:r>
    </w:p>
    <w:p w14:paraId="48339A15" w14:textId="77777777" w:rsidR="00346D8A" w:rsidRPr="00784B64" w:rsidRDefault="00346D8A" w:rsidP="00346D8A">
      <w:pPr>
        <w:spacing w:line="360" w:lineRule="auto"/>
        <w:jc w:val="both"/>
        <w:rPr>
          <w:rFonts w:ascii="Arial" w:hAnsi="Arial" w:cs="Arial"/>
        </w:rPr>
      </w:pPr>
      <w:proofErr w:type="spellStart"/>
      <w:r w:rsidRPr="00784B64">
        <w:rPr>
          <w:rFonts w:ascii="Arial" w:hAnsi="Arial" w:cs="Arial"/>
        </w:rPr>
        <w:t>Balinado</w:t>
      </w:r>
      <w:proofErr w:type="spellEnd"/>
      <w:r w:rsidRPr="00784B64">
        <w:rPr>
          <w:rFonts w:ascii="Arial" w:hAnsi="Arial" w:cs="Arial"/>
        </w:rPr>
        <w:t xml:space="preserve">, J.R.O., </w:t>
      </w:r>
      <w:proofErr w:type="spellStart"/>
      <w:r w:rsidRPr="00784B64">
        <w:rPr>
          <w:rFonts w:ascii="Arial" w:hAnsi="Arial" w:cs="Arial"/>
        </w:rPr>
        <w:t>Prasetyo</w:t>
      </w:r>
      <w:proofErr w:type="spellEnd"/>
      <w:r w:rsidRPr="00784B64">
        <w:rPr>
          <w:rFonts w:ascii="Arial" w:hAnsi="Arial" w:cs="Arial"/>
        </w:rPr>
        <w:t xml:space="preserve">, Y.T., Young, M.N., </w:t>
      </w:r>
      <w:proofErr w:type="spellStart"/>
      <w:r w:rsidRPr="00784B64">
        <w:rPr>
          <w:rFonts w:ascii="Arial" w:hAnsi="Arial" w:cs="Arial"/>
        </w:rPr>
        <w:t>Persada</w:t>
      </w:r>
      <w:proofErr w:type="spellEnd"/>
      <w:r w:rsidRPr="00784B64">
        <w:rPr>
          <w:rFonts w:ascii="Arial" w:hAnsi="Arial" w:cs="Arial"/>
        </w:rPr>
        <w:t xml:space="preserve">, S.F., </w:t>
      </w:r>
      <w:proofErr w:type="spellStart"/>
      <w:r w:rsidRPr="00784B64">
        <w:rPr>
          <w:rFonts w:ascii="Arial" w:hAnsi="Arial" w:cs="Arial"/>
        </w:rPr>
        <w:t>Miraja</w:t>
      </w:r>
      <w:proofErr w:type="spellEnd"/>
      <w:r w:rsidRPr="00784B64">
        <w:rPr>
          <w:rFonts w:ascii="Arial" w:hAnsi="Arial" w:cs="Arial"/>
        </w:rPr>
        <w:t xml:space="preserve">, B.A. and Perwira Redi, A.A.N. (2021) 'The effect of service quality on customer satisfaction in an automotive after-sales service', </w:t>
      </w:r>
      <w:r w:rsidRPr="00784B64">
        <w:rPr>
          <w:rFonts w:ascii="Arial" w:hAnsi="Arial" w:cs="Arial"/>
          <w:i/>
          <w:iCs/>
        </w:rPr>
        <w:t>Journal of Open Innovation: Technology, Market, and Complexity</w:t>
      </w:r>
      <w:r w:rsidRPr="00784B64">
        <w:rPr>
          <w:rFonts w:ascii="Arial" w:hAnsi="Arial" w:cs="Arial"/>
        </w:rPr>
        <w:t>, 7(2), 116. doi:10.3390/joitmc7020116.</w:t>
      </w:r>
    </w:p>
    <w:p w14:paraId="7EAAF18A"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Beuse, M., Schmidt, T.S. and Wood, V. (2018) 'A “technology-smart” battery policy strategy for Europe', </w:t>
      </w:r>
      <w:r w:rsidRPr="00784B64">
        <w:rPr>
          <w:rFonts w:ascii="Arial" w:hAnsi="Arial" w:cs="Arial"/>
          <w:i/>
          <w:iCs/>
        </w:rPr>
        <w:t>Science</w:t>
      </w:r>
      <w:r w:rsidRPr="00784B64">
        <w:rPr>
          <w:rFonts w:ascii="Arial" w:hAnsi="Arial" w:cs="Arial"/>
        </w:rPr>
        <w:t>, 361(6407), pp. 1075–1077. doi:10.1126/</w:t>
      </w:r>
      <w:proofErr w:type="gramStart"/>
      <w:r w:rsidRPr="00784B64">
        <w:rPr>
          <w:rFonts w:ascii="Arial" w:hAnsi="Arial" w:cs="Arial"/>
        </w:rPr>
        <w:t>science.aau</w:t>
      </w:r>
      <w:proofErr w:type="gramEnd"/>
      <w:r w:rsidRPr="00784B64">
        <w:rPr>
          <w:rFonts w:ascii="Arial" w:hAnsi="Arial" w:cs="Arial"/>
        </w:rPr>
        <w:t>2516.</w:t>
      </w:r>
    </w:p>
    <w:p w14:paraId="7F013A22"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Department for Transport (2025) </w:t>
      </w:r>
      <w:r w:rsidRPr="00784B64">
        <w:rPr>
          <w:rFonts w:ascii="Arial" w:hAnsi="Arial" w:cs="Arial"/>
          <w:i/>
          <w:iCs/>
        </w:rPr>
        <w:t>Updates to the Vehicle Emissions Trading Schemes (VETS) Order 2023</w:t>
      </w:r>
      <w:r w:rsidRPr="00784B64">
        <w:rPr>
          <w:rFonts w:ascii="Arial" w:hAnsi="Arial" w:cs="Arial"/>
        </w:rPr>
        <w:t>.</w:t>
      </w:r>
    </w:p>
    <w:p w14:paraId="6D20260E"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Grant, R.M. (2022) </w:t>
      </w:r>
      <w:r w:rsidRPr="00784B64">
        <w:rPr>
          <w:rFonts w:ascii="Arial" w:hAnsi="Arial" w:cs="Arial"/>
          <w:i/>
          <w:iCs/>
        </w:rPr>
        <w:t>Contemporary Strategy Analysis</w:t>
      </w:r>
      <w:r w:rsidRPr="00784B64">
        <w:rPr>
          <w:rFonts w:ascii="Arial" w:hAnsi="Arial" w:cs="Arial"/>
        </w:rPr>
        <w:t xml:space="preserve">. 11th </w:t>
      </w:r>
      <w:proofErr w:type="spellStart"/>
      <w:r w:rsidRPr="00784B64">
        <w:rPr>
          <w:rFonts w:ascii="Arial" w:hAnsi="Arial" w:cs="Arial"/>
        </w:rPr>
        <w:t>edn</w:t>
      </w:r>
      <w:proofErr w:type="spellEnd"/>
      <w:r w:rsidRPr="00784B64">
        <w:rPr>
          <w:rFonts w:ascii="Arial" w:hAnsi="Arial" w:cs="Arial"/>
        </w:rPr>
        <w:t>. Hoboken: Wiley.</w:t>
      </w:r>
    </w:p>
    <w:p w14:paraId="0560E319"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Johnson, G., Whittington, R., Scholes, K., Angwin, D. and </w:t>
      </w:r>
      <w:proofErr w:type="spellStart"/>
      <w:r w:rsidRPr="00784B64">
        <w:rPr>
          <w:rFonts w:ascii="Arial" w:hAnsi="Arial" w:cs="Arial"/>
        </w:rPr>
        <w:t>Regnér</w:t>
      </w:r>
      <w:proofErr w:type="spellEnd"/>
      <w:r w:rsidRPr="00784B64">
        <w:rPr>
          <w:rFonts w:ascii="Arial" w:hAnsi="Arial" w:cs="Arial"/>
        </w:rPr>
        <w:t xml:space="preserve">, P. (2020) </w:t>
      </w:r>
      <w:r w:rsidRPr="00784B64">
        <w:rPr>
          <w:rFonts w:ascii="Arial" w:hAnsi="Arial" w:cs="Arial"/>
          <w:i/>
          <w:iCs/>
        </w:rPr>
        <w:t>Exploring Strategy</w:t>
      </w:r>
      <w:r w:rsidRPr="00784B64">
        <w:rPr>
          <w:rFonts w:ascii="Arial" w:hAnsi="Arial" w:cs="Arial"/>
        </w:rPr>
        <w:t xml:space="preserve">. 12th </w:t>
      </w:r>
      <w:proofErr w:type="spellStart"/>
      <w:r w:rsidRPr="00784B64">
        <w:rPr>
          <w:rFonts w:ascii="Arial" w:hAnsi="Arial" w:cs="Arial"/>
        </w:rPr>
        <w:t>edn</w:t>
      </w:r>
      <w:proofErr w:type="spellEnd"/>
      <w:r w:rsidRPr="00784B64">
        <w:rPr>
          <w:rFonts w:ascii="Arial" w:hAnsi="Arial" w:cs="Arial"/>
        </w:rPr>
        <w:t>. Harlow: Pearson.</w:t>
      </w:r>
    </w:p>
    <w:p w14:paraId="70F4DADF"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Ledebur, K., Bartuska, L., </w:t>
      </w:r>
      <w:proofErr w:type="spellStart"/>
      <w:r w:rsidRPr="00784B64">
        <w:rPr>
          <w:rFonts w:ascii="Arial" w:hAnsi="Arial" w:cs="Arial"/>
        </w:rPr>
        <w:t>Friesenbichler</w:t>
      </w:r>
      <w:proofErr w:type="spellEnd"/>
      <w:r w:rsidRPr="00784B64">
        <w:rPr>
          <w:rFonts w:ascii="Arial" w:hAnsi="Arial" w:cs="Arial"/>
        </w:rPr>
        <w:t xml:space="preserve">, K. and Klimek, P. (2026) 'Predicting the emergence of the EV industry: A product space analysis across regions and firms', </w:t>
      </w:r>
      <w:r w:rsidRPr="00784B64">
        <w:rPr>
          <w:rFonts w:ascii="Arial" w:hAnsi="Arial" w:cs="Arial"/>
          <w:i/>
          <w:iCs/>
        </w:rPr>
        <w:t>Journal of Cleaner Production</w:t>
      </w:r>
      <w:r w:rsidRPr="00784B64">
        <w:rPr>
          <w:rFonts w:ascii="Arial" w:hAnsi="Arial" w:cs="Arial"/>
        </w:rPr>
        <w:t xml:space="preserve">, 538, 147348. </w:t>
      </w:r>
      <w:proofErr w:type="gramStart"/>
      <w:r w:rsidRPr="00784B64">
        <w:rPr>
          <w:rFonts w:ascii="Arial" w:hAnsi="Arial" w:cs="Arial"/>
        </w:rPr>
        <w:t>doi:10.1016/j.jclepro</w:t>
      </w:r>
      <w:proofErr w:type="gramEnd"/>
      <w:r w:rsidRPr="00784B64">
        <w:rPr>
          <w:rFonts w:ascii="Arial" w:hAnsi="Arial" w:cs="Arial"/>
        </w:rPr>
        <w:t>.2025.147348.</w:t>
      </w:r>
    </w:p>
    <w:p w14:paraId="7C7D7DF7"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Loder, J., </w:t>
      </w:r>
      <w:proofErr w:type="spellStart"/>
      <w:r w:rsidRPr="00784B64">
        <w:rPr>
          <w:rFonts w:ascii="Arial" w:hAnsi="Arial" w:cs="Arial"/>
        </w:rPr>
        <w:t>Rinscheid</w:t>
      </w:r>
      <w:proofErr w:type="spellEnd"/>
      <w:r w:rsidRPr="00784B64">
        <w:rPr>
          <w:rFonts w:ascii="Arial" w:hAnsi="Arial" w:cs="Arial"/>
        </w:rPr>
        <w:t xml:space="preserve">, A. and </w:t>
      </w:r>
      <w:proofErr w:type="spellStart"/>
      <w:r w:rsidRPr="00784B64">
        <w:rPr>
          <w:rFonts w:ascii="Arial" w:hAnsi="Arial" w:cs="Arial"/>
        </w:rPr>
        <w:t>Wüstenhagen</w:t>
      </w:r>
      <w:proofErr w:type="spellEnd"/>
      <w:r w:rsidRPr="00784B64">
        <w:rPr>
          <w:rFonts w:ascii="Arial" w:hAnsi="Arial" w:cs="Arial"/>
        </w:rPr>
        <w:t xml:space="preserve">, R. (2024) 'Why do (some) German car manufacturers go electric? The role of dynamic capabilities and cognitive frames', </w:t>
      </w:r>
      <w:r w:rsidRPr="00784B64">
        <w:rPr>
          <w:rFonts w:ascii="Arial" w:hAnsi="Arial" w:cs="Arial"/>
          <w:i/>
          <w:iCs/>
        </w:rPr>
        <w:t>Business Strategy and the Environment</w:t>
      </w:r>
      <w:r w:rsidRPr="00784B64">
        <w:rPr>
          <w:rFonts w:ascii="Arial" w:hAnsi="Arial" w:cs="Arial"/>
        </w:rPr>
        <w:t>, 33(2), pp. 1129–1143. doi:10.1002/bse.3538.</w:t>
      </w:r>
    </w:p>
    <w:p w14:paraId="75566EBA"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Mu, Y. (2023) 'Research on sustainable competitive advantage strategy of leading electric vehicle enterprises', </w:t>
      </w:r>
      <w:r w:rsidRPr="00784B64">
        <w:rPr>
          <w:rFonts w:ascii="Arial" w:hAnsi="Arial" w:cs="Arial"/>
          <w:i/>
          <w:iCs/>
        </w:rPr>
        <w:t>Frontiers in Business, Economics and Management</w:t>
      </w:r>
      <w:r w:rsidRPr="00784B64">
        <w:rPr>
          <w:rFonts w:ascii="Arial" w:hAnsi="Arial" w:cs="Arial"/>
        </w:rPr>
        <w:t>, 9(3), pp. 193–200. doi:10.54097/</w:t>
      </w:r>
      <w:proofErr w:type="gramStart"/>
      <w:r w:rsidRPr="00784B64">
        <w:rPr>
          <w:rFonts w:ascii="Arial" w:hAnsi="Arial" w:cs="Arial"/>
        </w:rPr>
        <w:t>fbem.v</w:t>
      </w:r>
      <w:proofErr w:type="gramEnd"/>
      <w:r w:rsidRPr="00784B64">
        <w:rPr>
          <w:rFonts w:ascii="Arial" w:hAnsi="Arial" w:cs="Arial"/>
        </w:rPr>
        <w:t>9i3.9654.</w:t>
      </w:r>
    </w:p>
    <w:p w14:paraId="0FE2DB78"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Porter, M.E. (1980) </w:t>
      </w:r>
      <w:r w:rsidRPr="00784B64">
        <w:rPr>
          <w:rFonts w:ascii="Arial" w:hAnsi="Arial" w:cs="Arial"/>
          <w:i/>
          <w:iCs/>
        </w:rPr>
        <w:t>Competitive Strategy: Techniques for Analysing Industries and Competitors</w:t>
      </w:r>
      <w:r w:rsidRPr="00784B64">
        <w:rPr>
          <w:rFonts w:ascii="Arial" w:hAnsi="Arial" w:cs="Arial"/>
        </w:rPr>
        <w:t>. New York: Free Press.</w:t>
      </w:r>
    </w:p>
    <w:p w14:paraId="0D0A54DA"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SAIC Motor (2026) </w:t>
      </w:r>
      <w:r w:rsidRPr="00784B64">
        <w:rPr>
          <w:rFonts w:ascii="Arial" w:hAnsi="Arial" w:cs="Arial"/>
          <w:i/>
          <w:iCs/>
        </w:rPr>
        <w:t>SAIC Motor: Overseas Strategy and MG European Performance</w:t>
      </w:r>
      <w:r w:rsidRPr="00784B64">
        <w:rPr>
          <w:rFonts w:ascii="Arial" w:hAnsi="Arial" w:cs="Arial"/>
        </w:rPr>
        <w:t>.</w:t>
      </w:r>
    </w:p>
    <w:p w14:paraId="6065E2E5"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SMMT (2026a) </w:t>
      </w:r>
      <w:r w:rsidRPr="00784B64">
        <w:rPr>
          <w:rFonts w:ascii="Arial" w:hAnsi="Arial" w:cs="Arial"/>
          <w:i/>
          <w:iCs/>
        </w:rPr>
        <w:t>UK new car market breaches two million as almost one in four buyers go electric</w:t>
      </w:r>
      <w:r w:rsidRPr="00784B64">
        <w:rPr>
          <w:rFonts w:ascii="Arial" w:hAnsi="Arial" w:cs="Arial"/>
        </w:rPr>
        <w:t>.</w:t>
      </w:r>
    </w:p>
    <w:p w14:paraId="3FBE51C5"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SMMT (2026b) </w:t>
      </w:r>
      <w:r w:rsidRPr="00784B64">
        <w:rPr>
          <w:rFonts w:ascii="Arial" w:hAnsi="Arial" w:cs="Arial"/>
          <w:i/>
          <w:iCs/>
        </w:rPr>
        <w:t>UK New Car Registration Data</w:t>
      </w:r>
      <w:r w:rsidRPr="00784B64">
        <w:rPr>
          <w:rFonts w:ascii="Arial" w:hAnsi="Arial" w:cs="Arial"/>
        </w:rPr>
        <w:t>.</w:t>
      </w:r>
    </w:p>
    <w:p w14:paraId="0353BF99"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Teece, D.J., Pisano, G. and </w:t>
      </w:r>
      <w:proofErr w:type="spellStart"/>
      <w:r w:rsidRPr="00784B64">
        <w:rPr>
          <w:rFonts w:ascii="Arial" w:hAnsi="Arial" w:cs="Arial"/>
        </w:rPr>
        <w:t>Shuen</w:t>
      </w:r>
      <w:proofErr w:type="spellEnd"/>
      <w:r w:rsidRPr="00784B64">
        <w:rPr>
          <w:rFonts w:ascii="Arial" w:hAnsi="Arial" w:cs="Arial"/>
        </w:rPr>
        <w:t xml:space="preserve">, A. (1997) 'Dynamic capabilities and strategic management', </w:t>
      </w:r>
      <w:r w:rsidRPr="00784B64">
        <w:rPr>
          <w:rFonts w:ascii="Arial" w:hAnsi="Arial" w:cs="Arial"/>
          <w:i/>
          <w:iCs/>
        </w:rPr>
        <w:t>Strategic Management Journal</w:t>
      </w:r>
      <w:r w:rsidRPr="00784B64">
        <w:rPr>
          <w:rFonts w:ascii="Arial" w:hAnsi="Arial" w:cs="Arial"/>
        </w:rPr>
        <w:t>, 18(7), pp. 509–533.</w:t>
      </w:r>
    </w:p>
    <w:p w14:paraId="3EE9F991" w14:textId="77777777" w:rsidR="00346D8A" w:rsidRPr="00784B64" w:rsidRDefault="00346D8A" w:rsidP="00346D8A">
      <w:pPr>
        <w:spacing w:line="360" w:lineRule="auto"/>
        <w:jc w:val="both"/>
        <w:rPr>
          <w:rFonts w:ascii="Arial" w:hAnsi="Arial" w:cs="Arial"/>
        </w:rPr>
      </w:pPr>
      <w:r w:rsidRPr="00784B64">
        <w:rPr>
          <w:rFonts w:ascii="Arial" w:hAnsi="Arial" w:cs="Arial"/>
        </w:rPr>
        <w:t xml:space="preserve">Zhao, W. and Luethje, B. (2025) 'Manufacturing competency from local clusters: Roots of the competitive advantage of the Chinese electric vehicle battery industry', </w:t>
      </w:r>
      <w:r w:rsidRPr="00784B64">
        <w:rPr>
          <w:rFonts w:ascii="Arial" w:hAnsi="Arial" w:cs="Arial"/>
          <w:i/>
          <w:iCs/>
        </w:rPr>
        <w:t>World Electric Vehicle Journal</w:t>
      </w:r>
      <w:r w:rsidRPr="00784B64">
        <w:rPr>
          <w:rFonts w:ascii="Arial" w:hAnsi="Arial" w:cs="Arial"/>
        </w:rPr>
        <w:t>, 16(6), 319. doi:10.3390/wevj16060319.</w:t>
      </w:r>
    </w:p>
    <w:p w14:paraId="3118173B" w14:textId="77777777" w:rsidR="00346D8A" w:rsidRDefault="00346D8A" w:rsidP="00346D8A"/>
    <w:p w14:paraId="3541B120" w14:textId="77777777" w:rsidR="00CB3980" w:rsidRDefault="00CB3980"/>
    <w:sectPr w:rsidR="00CB3980" w:rsidSect="00346D8A">
      <w:headerReference w:type="default" r:id="rId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3294117"/>
      <w:docPartObj>
        <w:docPartGallery w:val="Page Numbers (Top of Page)"/>
        <w:docPartUnique/>
      </w:docPartObj>
    </w:sdtPr>
    <w:sdtEndPr>
      <w:rPr>
        <w:noProof/>
      </w:rPr>
    </w:sdtEndPr>
    <w:sdtContent>
      <w:p w14:paraId="043FFDF7" w14:textId="77777777" w:rsidR="00346D8A" w:rsidRDefault="00346D8A">
        <w:pPr>
          <w:pStyle w:val="Header"/>
        </w:pPr>
        <w:r>
          <w:rPr>
            <w:color w:val="7F7F7F" w:themeColor="background1" w:themeShade="7F"/>
            <w:spacing w:val="60"/>
          </w:rPr>
          <w:t>Page</w:t>
        </w:r>
        <w:r>
          <w:t xml:space="preserve"> | </w:t>
        </w:r>
        <w:r>
          <w:fldChar w:fldCharType="begin"/>
        </w:r>
        <w:r>
          <w:instrText xml:space="preserve"> PAGE   \* MERGEFORMAT </w:instrText>
        </w:r>
        <w:r>
          <w:fldChar w:fldCharType="separate"/>
        </w:r>
        <w:r>
          <w:rPr>
            <w:noProof/>
          </w:rPr>
          <w:t>2</w:t>
        </w:r>
        <w:r>
          <w:rPr>
            <w:noProof/>
          </w:rPr>
          <w:fldChar w:fldCharType="end"/>
        </w:r>
      </w:p>
    </w:sdtContent>
  </w:sdt>
  <w:p w14:paraId="25FEA3CE" w14:textId="77777777" w:rsidR="00346D8A" w:rsidRDefault="00346D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980"/>
    <w:rsid w:val="00346D8A"/>
    <w:rsid w:val="00B52813"/>
    <w:rsid w:val="00CB3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0E46B"/>
  <w15:chartTrackingRefBased/>
  <w15:docId w15:val="{06E2703C-B701-4E2F-9C20-40024C72F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D8A"/>
  </w:style>
  <w:style w:type="paragraph" w:styleId="Heading1">
    <w:name w:val="heading 1"/>
    <w:basedOn w:val="Normal"/>
    <w:next w:val="Normal"/>
    <w:link w:val="Heading1Char"/>
    <w:uiPriority w:val="9"/>
    <w:qFormat/>
    <w:rsid w:val="00CB39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39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9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9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9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9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9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9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9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9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39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9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9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9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9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9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9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980"/>
    <w:rPr>
      <w:rFonts w:eastAsiaTheme="majorEastAsia" w:cstheme="majorBidi"/>
      <w:color w:val="272727" w:themeColor="text1" w:themeTint="D8"/>
    </w:rPr>
  </w:style>
  <w:style w:type="paragraph" w:styleId="Title">
    <w:name w:val="Title"/>
    <w:basedOn w:val="Normal"/>
    <w:next w:val="Normal"/>
    <w:link w:val="TitleChar"/>
    <w:uiPriority w:val="10"/>
    <w:qFormat/>
    <w:rsid w:val="00CB39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9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9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9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980"/>
    <w:pPr>
      <w:spacing w:before="160"/>
      <w:jc w:val="center"/>
    </w:pPr>
    <w:rPr>
      <w:i/>
      <w:iCs/>
      <w:color w:val="404040" w:themeColor="text1" w:themeTint="BF"/>
    </w:rPr>
  </w:style>
  <w:style w:type="character" w:customStyle="1" w:styleId="QuoteChar">
    <w:name w:val="Quote Char"/>
    <w:basedOn w:val="DefaultParagraphFont"/>
    <w:link w:val="Quote"/>
    <w:uiPriority w:val="29"/>
    <w:rsid w:val="00CB3980"/>
    <w:rPr>
      <w:i/>
      <w:iCs/>
      <w:color w:val="404040" w:themeColor="text1" w:themeTint="BF"/>
    </w:rPr>
  </w:style>
  <w:style w:type="paragraph" w:styleId="ListParagraph">
    <w:name w:val="List Paragraph"/>
    <w:basedOn w:val="Normal"/>
    <w:uiPriority w:val="34"/>
    <w:qFormat/>
    <w:rsid w:val="00CB3980"/>
    <w:pPr>
      <w:ind w:left="720"/>
      <w:contextualSpacing/>
    </w:pPr>
  </w:style>
  <w:style w:type="character" w:styleId="IntenseEmphasis">
    <w:name w:val="Intense Emphasis"/>
    <w:basedOn w:val="DefaultParagraphFont"/>
    <w:uiPriority w:val="21"/>
    <w:qFormat/>
    <w:rsid w:val="00CB3980"/>
    <w:rPr>
      <w:i/>
      <w:iCs/>
      <w:color w:val="0F4761" w:themeColor="accent1" w:themeShade="BF"/>
    </w:rPr>
  </w:style>
  <w:style w:type="paragraph" w:styleId="IntenseQuote">
    <w:name w:val="Intense Quote"/>
    <w:basedOn w:val="Normal"/>
    <w:next w:val="Normal"/>
    <w:link w:val="IntenseQuoteChar"/>
    <w:uiPriority w:val="30"/>
    <w:qFormat/>
    <w:rsid w:val="00CB39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980"/>
    <w:rPr>
      <w:i/>
      <w:iCs/>
      <w:color w:val="0F4761" w:themeColor="accent1" w:themeShade="BF"/>
    </w:rPr>
  </w:style>
  <w:style w:type="character" w:styleId="IntenseReference">
    <w:name w:val="Intense Reference"/>
    <w:basedOn w:val="DefaultParagraphFont"/>
    <w:uiPriority w:val="32"/>
    <w:qFormat/>
    <w:rsid w:val="00CB3980"/>
    <w:rPr>
      <w:b/>
      <w:bCs/>
      <w:smallCaps/>
      <w:color w:val="0F4761" w:themeColor="accent1" w:themeShade="BF"/>
      <w:spacing w:val="5"/>
    </w:rPr>
  </w:style>
  <w:style w:type="paragraph" w:styleId="Header">
    <w:name w:val="header"/>
    <w:basedOn w:val="Normal"/>
    <w:link w:val="HeaderChar"/>
    <w:uiPriority w:val="99"/>
    <w:unhideWhenUsed/>
    <w:rsid w:val="00346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D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2817</Words>
  <Characters>16063</Characters>
  <Application>Microsoft Office Word</Application>
  <DocSecurity>0</DocSecurity>
  <Lines>133</Lines>
  <Paragraphs>37</Paragraphs>
  <ScaleCrop>false</ScaleCrop>
  <Company/>
  <LinksUpToDate>false</LinksUpToDate>
  <CharactersWithSpaces>18843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Flaviu-Ioan-Costin Stefan (2212282)</dc:creator>
  <cp:keywords/>
  <dc:description/>
  <cp:lastModifiedBy>Flaviu-Ioan-Costin Stefan (2212282)</cp:lastModifiedBy>
  <cp:revision>2</cp:revision>
  <dcterms:created xsi:type="dcterms:W3CDTF">2026-08-16T21:42:00Z</dcterms:created>
  <dcterms:modified xsi:type="dcterms:W3CDTF">2026-08-16T21:42:00Z</dcterms:modified>
</cp:coreProperties>
</file>