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26E69" w14:textId="77777777" w:rsidR="003179CD" w:rsidRDefault="00C3013C" w:rsidP="00C3013C">
      <w:pPr>
        <w:spacing w:line="480" w:lineRule="auto"/>
        <w:jc w:val="left"/>
      </w:pPr>
      <w:r>
        <w:t>David Bonagura</w:t>
      </w:r>
    </w:p>
    <w:p w14:paraId="620279B3" w14:textId="1410CDB6" w:rsidR="00C3013C" w:rsidRDefault="00C3013C" w:rsidP="00C3013C">
      <w:pPr>
        <w:spacing w:line="480" w:lineRule="auto"/>
        <w:jc w:val="left"/>
      </w:pPr>
      <w:r>
        <w:t xml:space="preserve">CLGK 7033: Xenophon’s </w:t>
      </w:r>
      <w:r>
        <w:rPr>
          <w:i/>
        </w:rPr>
        <w:t>Anabasis</w:t>
      </w:r>
      <w:bookmarkStart w:id="0" w:name="_GoBack"/>
      <w:bookmarkEnd w:id="0"/>
    </w:p>
    <w:p w14:paraId="63B06EEB" w14:textId="5F7AEAF7" w:rsidR="00C3013C" w:rsidRDefault="00C3013C" w:rsidP="00C3013C">
      <w:pPr>
        <w:spacing w:line="480" w:lineRule="auto"/>
        <w:jc w:val="left"/>
      </w:pPr>
      <w:r>
        <w:t xml:space="preserve">Commentary </w:t>
      </w:r>
      <w:r w:rsidR="00457837">
        <w:t>on</w:t>
      </w:r>
      <w:r>
        <w:t xml:space="preserve"> Book I.8.15-20.</w:t>
      </w:r>
    </w:p>
    <w:p w14:paraId="086592EB" w14:textId="6110BD70" w:rsidR="00C3013C" w:rsidRDefault="00C3013C" w:rsidP="00C3013C">
      <w:pPr>
        <w:spacing w:line="480" w:lineRule="auto"/>
        <w:jc w:val="left"/>
      </w:pPr>
      <w:r>
        <w:t>May 1, 2018</w:t>
      </w:r>
    </w:p>
    <w:p w14:paraId="5A40648D" w14:textId="735E6084" w:rsidR="00C3013C" w:rsidRDefault="00C3013C" w:rsidP="00C3013C">
      <w:pPr>
        <w:spacing w:line="480" w:lineRule="auto"/>
        <w:jc w:val="left"/>
      </w:pPr>
    </w:p>
    <w:p w14:paraId="06A9AC5B" w14:textId="0C543CD2" w:rsidR="00C3013C" w:rsidRDefault="00815FD7" w:rsidP="00C3013C">
      <w:pPr>
        <w:spacing w:line="480" w:lineRule="auto"/>
        <w:jc w:val="left"/>
        <w:rPr>
          <w:rFonts w:cs="Times New Roman"/>
        </w:rPr>
      </w:pPr>
      <w:r>
        <w:rPr>
          <w:u w:val="single"/>
        </w:rPr>
        <w:t>Commentary I.8</w:t>
      </w:r>
      <w:r w:rsidR="00543BF8">
        <w:rPr>
          <w:u w:val="single"/>
        </w:rPr>
        <w:t>.15:</w:t>
      </w:r>
      <w:r w:rsidR="00543BF8">
        <w:t xml:space="preserve"> </w:t>
      </w:r>
      <w:proofErr w:type="spellStart"/>
      <w:r w:rsidR="00543BF8">
        <w:rPr>
          <w:i/>
        </w:rPr>
        <w:t>id</w:t>
      </w:r>
      <w:r w:rsidR="00543BF8">
        <w:rPr>
          <w:rFonts w:cs="Times New Roman"/>
          <w:i/>
        </w:rPr>
        <w:t>ō</w:t>
      </w:r>
      <w:r w:rsidR="00543BF8">
        <w:rPr>
          <w:i/>
        </w:rPr>
        <w:t>n</w:t>
      </w:r>
      <w:proofErr w:type="spellEnd"/>
      <w:r w:rsidR="00543BF8">
        <w:rPr>
          <w:i/>
        </w:rPr>
        <w:t xml:space="preserve"> de</w:t>
      </w:r>
      <w:r w:rsidR="00543BF8">
        <w:t>: Xenophon often transitions between the protagonists of his narrative by us</w:t>
      </w:r>
      <w:r w:rsidR="00E07BD4">
        <w:t>ing</w:t>
      </w:r>
      <w:r w:rsidR="00543BF8">
        <w:t xml:space="preserve"> a nominative participle in the present or aorist to modify the subject of his new focus, as he does in, for example, </w:t>
      </w:r>
      <w:r w:rsidR="00E531F3">
        <w:t>I.1.7 (</w:t>
      </w:r>
      <w:r w:rsidR="00E531F3">
        <w:rPr>
          <w:i/>
        </w:rPr>
        <w:t xml:space="preserve">ho de </w:t>
      </w:r>
      <w:proofErr w:type="spellStart"/>
      <w:r w:rsidR="00E531F3">
        <w:rPr>
          <w:i/>
        </w:rPr>
        <w:t>Kuros</w:t>
      </w:r>
      <w:proofErr w:type="spellEnd"/>
      <w:r w:rsidR="00E531F3">
        <w:rPr>
          <w:i/>
        </w:rPr>
        <w:t xml:space="preserve"> </w:t>
      </w:r>
      <w:proofErr w:type="spellStart"/>
      <w:r w:rsidR="00E531F3">
        <w:rPr>
          <w:i/>
        </w:rPr>
        <w:t>hupolab</w:t>
      </w:r>
      <w:r w:rsidR="00E531F3">
        <w:rPr>
          <w:rFonts w:cs="Times New Roman"/>
          <w:i/>
        </w:rPr>
        <w:t>ō</w:t>
      </w:r>
      <w:r w:rsidR="00E531F3">
        <w:rPr>
          <w:i/>
        </w:rPr>
        <w:t>n</w:t>
      </w:r>
      <w:proofErr w:type="spellEnd"/>
      <w:r w:rsidR="00E531F3">
        <w:t xml:space="preserve">), </w:t>
      </w:r>
      <w:r w:rsidR="00543BF8">
        <w:t>I.8.3 (</w:t>
      </w:r>
      <w:proofErr w:type="spellStart"/>
      <w:r w:rsidR="00543BF8">
        <w:rPr>
          <w:i/>
        </w:rPr>
        <w:t>Kuros</w:t>
      </w:r>
      <w:proofErr w:type="spellEnd"/>
      <w:r w:rsidR="00543BF8">
        <w:rPr>
          <w:i/>
        </w:rPr>
        <w:t xml:space="preserve"> </w:t>
      </w:r>
      <w:proofErr w:type="spellStart"/>
      <w:r w:rsidR="00543BF8">
        <w:rPr>
          <w:i/>
        </w:rPr>
        <w:t>te</w:t>
      </w:r>
      <w:proofErr w:type="spellEnd"/>
      <w:r w:rsidR="00543BF8">
        <w:rPr>
          <w:i/>
        </w:rPr>
        <w:t xml:space="preserve"> </w:t>
      </w:r>
      <w:proofErr w:type="spellStart"/>
      <w:r w:rsidR="00543BF8">
        <w:rPr>
          <w:i/>
        </w:rPr>
        <w:t>katap</w:t>
      </w:r>
      <w:r w:rsidR="00543BF8">
        <w:rPr>
          <w:rFonts w:cs="Times New Roman"/>
          <w:i/>
        </w:rPr>
        <w:t>ē</w:t>
      </w:r>
      <w:r w:rsidR="00543BF8">
        <w:rPr>
          <w:i/>
        </w:rPr>
        <w:t>d</w:t>
      </w:r>
      <w:r w:rsidR="00543BF8">
        <w:rPr>
          <w:rFonts w:cs="Times New Roman"/>
          <w:i/>
        </w:rPr>
        <w:t>ē</w:t>
      </w:r>
      <w:r w:rsidR="00543BF8">
        <w:rPr>
          <w:i/>
        </w:rPr>
        <w:t>sas</w:t>
      </w:r>
      <w:proofErr w:type="spellEnd"/>
      <w:r w:rsidR="00543BF8">
        <w:t>)</w:t>
      </w:r>
      <w:r w:rsidR="0037230D">
        <w:t>,</w:t>
      </w:r>
      <w:r w:rsidR="00543BF8">
        <w:t xml:space="preserve"> and I.</w:t>
      </w:r>
      <w:r w:rsidR="00E531F3">
        <w:t>8.13 (</w:t>
      </w:r>
      <w:proofErr w:type="spellStart"/>
      <w:r w:rsidR="00E531F3">
        <w:rPr>
          <w:i/>
        </w:rPr>
        <w:t>hor</w:t>
      </w:r>
      <w:r w:rsidR="00E531F3">
        <w:rPr>
          <w:rFonts w:cs="Times New Roman"/>
          <w:i/>
        </w:rPr>
        <w:t>ō</w:t>
      </w:r>
      <w:r w:rsidR="00E531F3">
        <w:rPr>
          <w:i/>
        </w:rPr>
        <w:t>n</w:t>
      </w:r>
      <w:proofErr w:type="spellEnd"/>
      <w:r w:rsidR="00E531F3">
        <w:rPr>
          <w:i/>
        </w:rPr>
        <w:t xml:space="preserve"> de ho </w:t>
      </w:r>
      <w:proofErr w:type="spellStart"/>
      <w:r w:rsidR="00E531F3">
        <w:rPr>
          <w:i/>
        </w:rPr>
        <w:t>Klearchos</w:t>
      </w:r>
      <w:proofErr w:type="spellEnd"/>
      <w:r w:rsidR="00E531F3">
        <w:t>). Here, as Cyrus and his men are on the cusp of combat with Artaxerxes and his army at the village of Cunaxa</w:t>
      </w:r>
      <w:r w:rsidR="000525CE">
        <w:t xml:space="preserve"> in the early fall of 401 BC</w:t>
      </w:r>
      <w:r w:rsidR="00E531F3">
        <w:t>,</w:t>
      </w:r>
      <w:r w:rsidR="000525CE">
        <w:rPr>
          <w:rStyle w:val="FootnoteReference"/>
        </w:rPr>
        <w:footnoteReference w:id="1"/>
      </w:r>
      <w:r w:rsidR="00E531F3">
        <w:t xml:space="preserve"> Xenophon uses this style of t</w:t>
      </w:r>
      <w:r w:rsidR="00AD778A">
        <w:t>ransition to introduce himself—</w:t>
      </w:r>
      <w:proofErr w:type="spellStart"/>
      <w:r w:rsidR="0037230D">
        <w:rPr>
          <w:i/>
        </w:rPr>
        <w:t>id</w:t>
      </w:r>
      <w:r w:rsidR="0037230D">
        <w:rPr>
          <w:rFonts w:cs="Times New Roman"/>
          <w:i/>
        </w:rPr>
        <w:t>ō</w:t>
      </w:r>
      <w:r w:rsidR="0037230D">
        <w:rPr>
          <w:i/>
        </w:rPr>
        <w:t>n</w:t>
      </w:r>
      <w:proofErr w:type="spellEnd"/>
      <w:r w:rsidR="0037230D">
        <w:rPr>
          <w:i/>
        </w:rPr>
        <w:t xml:space="preserve"> de </w:t>
      </w:r>
      <w:proofErr w:type="spellStart"/>
      <w:r w:rsidR="00E531F3">
        <w:rPr>
          <w:i/>
        </w:rPr>
        <w:t>apo</w:t>
      </w:r>
      <w:proofErr w:type="spellEnd"/>
      <w:r w:rsidR="00E531F3">
        <w:rPr>
          <w:i/>
        </w:rPr>
        <w:t xml:space="preserve"> </w:t>
      </w:r>
      <w:proofErr w:type="spellStart"/>
      <w:r w:rsidR="00E531F3">
        <w:rPr>
          <w:i/>
        </w:rPr>
        <w:t>tou</w:t>
      </w:r>
      <w:proofErr w:type="spellEnd"/>
      <w:r w:rsidR="00E531F3">
        <w:rPr>
          <w:i/>
        </w:rPr>
        <w:t xml:space="preserve"> </w:t>
      </w:r>
      <w:proofErr w:type="spellStart"/>
      <w:r w:rsidR="00E531F3">
        <w:rPr>
          <w:i/>
        </w:rPr>
        <w:t>Hell</w:t>
      </w:r>
      <w:r w:rsidR="00E531F3">
        <w:rPr>
          <w:rFonts w:cs="Times New Roman"/>
          <w:i/>
        </w:rPr>
        <w:t>ē</w:t>
      </w:r>
      <w:r w:rsidR="00E531F3">
        <w:rPr>
          <w:i/>
        </w:rPr>
        <w:t>nikou</w:t>
      </w:r>
      <w:proofErr w:type="spellEnd"/>
      <w:r w:rsidR="00E531F3">
        <w:rPr>
          <w:i/>
        </w:rPr>
        <w:t xml:space="preserve"> </w:t>
      </w:r>
      <w:proofErr w:type="spellStart"/>
      <w:r w:rsidR="00E531F3">
        <w:rPr>
          <w:i/>
        </w:rPr>
        <w:t>Xenoph</w:t>
      </w:r>
      <w:r w:rsidR="00E531F3">
        <w:rPr>
          <w:rFonts w:cs="Times New Roman"/>
          <w:i/>
        </w:rPr>
        <w:t>ō</w:t>
      </w:r>
      <w:r w:rsidR="00E531F3">
        <w:rPr>
          <w:i/>
        </w:rPr>
        <w:t>n</w:t>
      </w:r>
      <w:proofErr w:type="spellEnd"/>
      <w:r w:rsidR="00E531F3">
        <w:rPr>
          <w:i/>
        </w:rPr>
        <w:t xml:space="preserve"> </w:t>
      </w:r>
      <w:proofErr w:type="spellStart"/>
      <w:r w:rsidR="00E531F3">
        <w:rPr>
          <w:i/>
        </w:rPr>
        <w:t>Ath</w:t>
      </w:r>
      <w:r w:rsidR="00E531F3">
        <w:rPr>
          <w:rFonts w:cs="Times New Roman"/>
          <w:i/>
        </w:rPr>
        <w:t>ē</w:t>
      </w:r>
      <w:r w:rsidR="00E531F3">
        <w:rPr>
          <w:i/>
        </w:rPr>
        <w:t>naios</w:t>
      </w:r>
      <w:proofErr w:type="spellEnd"/>
      <w:r w:rsidR="00AD778A">
        <w:t>—into</w:t>
      </w:r>
      <w:r w:rsidR="00E531F3">
        <w:t xml:space="preserve"> the narrative in the third person. </w:t>
      </w:r>
      <w:r w:rsidR="00800262">
        <w:t xml:space="preserve">With </w:t>
      </w:r>
      <w:proofErr w:type="spellStart"/>
      <w:r w:rsidR="00644DC2">
        <w:rPr>
          <w:i/>
        </w:rPr>
        <w:t>id</w:t>
      </w:r>
      <w:r w:rsidR="00644DC2">
        <w:rPr>
          <w:rFonts w:cs="Times New Roman"/>
          <w:i/>
        </w:rPr>
        <w:t>ō</w:t>
      </w:r>
      <w:r w:rsidR="00644DC2">
        <w:rPr>
          <w:i/>
        </w:rPr>
        <w:t>n</w:t>
      </w:r>
      <w:proofErr w:type="spellEnd"/>
      <w:r w:rsidR="00644DC2">
        <w:rPr>
          <w:i/>
        </w:rPr>
        <w:t xml:space="preserve"> de </w:t>
      </w:r>
      <w:proofErr w:type="spellStart"/>
      <w:r w:rsidR="00644DC2">
        <w:rPr>
          <w:i/>
        </w:rPr>
        <w:t>auton</w:t>
      </w:r>
      <w:proofErr w:type="spellEnd"/>
      <w:r w:rsidR="00644DC2">
        <w:t xml:space="preserve"> and the aorist participial phrase </w:t>
      </w:r>
      <w:proofErr w:type="spellStart"/>
      <w:r w:rsidR="00644DC2">
        <w:rPr>
          <w:i/>
        </w:rPr>
        <w:t>pelasas</w:t>
      </w:r>
      <w:proofErr w:type="spellEnd"/>
      <w:r w:rsidR="00644DC2">
        <w:rPr>
          <w:i/>
        </w:rPr>
        <w:t xml:space="preserve"> </w:t>
      </w:r>
      <w:proofErr w:type="spellStart"/>
      <w:r w:rsidR="00644DC2">
        <w:rPr>
          <w:i/>
        </w:rPr>
        <w:t>h</w:t>
      </w:r>
      <w:r w:rsidR="00644DC2">
        <w:rPr>
          <w:rFonts w:cs="Times New Roman"/>
          <w:i/>
        </w:rPr>
        <w:t>ō</w:t>
      </w:r>
      <w:r w:rsidR="00644DC2">
        <w:rPr>
          <w:i/>
        </w:rPr>
        <w:t>s</w:t>
      </w:r>
      <w:proofErr w:type="spellEnd"/>
      <w:r w:rsidR="00644DC2">
        <w:rPr>
          <w:i/>
        </w:rPr>
        <w:t xml:space="preserve"> </w:t>
      </w:r>
      <w:proofErr w:type="spellStart"/>
      <w:r w:rsidR="00644DC2">
        <w:rPr>
          <w:i/>
        </w:rPr>
        <w:t>sunant</w:t>
      </w:r>
      <w:r w:rsidR="00644DC2">
        <w:rPr>
          <w:rFonts w:cs="Times New Roman"/>
          <w:i/>
        </w:rPr>
        <w:t>ē</w:t>
      </w:r>
      <w:r w:rsidR="00644DC2">
        <w:rPr>
          <w:i/>
        </w:rPr>
        <w:t>sai</w:t>
      </w:r>
      <w:proofErr w:type="spellEnd"/>
      <w:r w:rsidR="00644DC2">
        <w:t xml:space="preserve">, Xenophon </w:t>
      </w:r>
      <w:r w:rsidR="000B62EC">
        <w:t>as</w:t>
      </w:r>
      <w:r w:rsidR="00644DC2">
        <w:t xml:space="preserve">serts himself as a man of </w:t>
      </w:r>
      <w:r w:rsidR="00CD0BD5">
        <w:t>loyalty</w:t>
      </w:r>
      <w:r w:rsidR="00644DC2">
        <w:t xml:space="preserve">: having seen his leader about to do battle, he comes forward to </w:t>
      </w:r>
      <w:r w:rsidR="00CD0BD5">
        <w:t xml:space="preserve">offer </w:t>
      </w:r>
      <w:r w:rsidR="00644DC2">
        <w:t>help</w:t>
      </w:r>
      <w:r w:rsidR="00CD0BD5">
        <w:t>. Here Xenophon uses</w:t>
      </w:r>
      <w:r w:rsidR="00644DC2">
        <w:t xml:space="preserve"> </w:t>
      </w:r>
      <w:proofErr w:type="spellStart"/>
      <w:r w:rsidR="00644DC2">
        <w:rPr>
          <w:i/>
        </w:rPr>
        <w:t>h</w:t>
      </w:r>
      <w:r w:rsidR="00644DC2">
        <w:rPr>
          <w:rFonts w:cs="Times New Roman"/>
          <w:i/>
        </w:rPr>
        <w:t>ō</w:t>
      </w:r>
      <w:r w:rsidR="00644DC2">
        <w:rPr>
          <w:i/>
        </w:rPr>
        <w:t>s</w:t>
      </w:r>
      <w:proofErr w:type="spellEnd"/>
      <w:r w:rsidR="00644DC2">
        <w:t xml:space="preserve"> with the aorist infinitive to express purpose</w:t>
      </w:r>
      <w:r w:rsidR="00CD0BD5">
        <w:t xml:space="preserve"> for the only time in Book I; typically, when using </w:t>
      </w:r>
      <w:proofErr w:type="spellStart"/>
      <w:r w:rsidR="00CD0BD5">
        <w:rPr>
          <w:i/>
        </w:rPr>
        <w:t>h</w:t>
      </w:r>
      <w:r w:rsidR="00CD0BD5">
        <w:rPr>
          <w:rFonts w:cs="Times New Roman"/>
          <w:i/>
        </w:rPr>
        <w:t>ō</w:t>
      </w:r>
      <w:r w:rsidR="00CD0BD5">
        <w:rPr>
          <w:i/>
        </w:rPr>
        <w:t>s</w:t>
      </w:r>
      <w:proofErr w:type="spellEnd"/>
      <w:r w:rsidR="00CD0BD5">
        <w:t xml:space="preserve"> to express purpose, he uses a future participle as the complement, such as in I.</w:t>
      </w:r>
      <w:r w:rsidR="00F72A96">
        <w:t>1</w:t>
      </w:r>
      <w:r w:rsidR="004072D6">
        <w:t>0</w:t>
      </w:r>
      <w:r w:rsidR="00F72A96">
        <w:t>.</w:t>
      </w:r>
      <w:r w:rsidR="004072D6">
        <w:t>6</w:t>
      </w:r>
      <w:r w:rsidR="00F72A96">
        <w:t xml:space="preserve"> (</w:t>
      </w:r>
      <w:proofErr w:type="spellStart"/>
      <w:r w:rsidR="00F72A96">
        <w:rPr>
          <w:i/>
        </w:rPr>
        <w:t>h</w:t>
      </w:r>
      <w:r w:rsidR="00F72A96">
        <w:rPr>
          <w:rFonts w:cs="Times New Roman"/>
          <w:i/>
        </w:rPr>
        <w:t>ōs</w:t>
      </w:r>
      <w:proofErr w:type="spellEnd"/>
      <w:r w:rsidR="00F72A96">
        <w:rPr>
          <w:rFonts w:cs="Times New Roman"/>
          <w:i/>
        </w:rPr>
        <w:t>…</w:t>
      </w:r>
      <w:proofErr w:type="spellStart"/>
      <w:r w:rsidR="004072D6">
        <w:rPr>
          <w:rFonts w:cs="Times New Roman"/>
          <w:i/>
        </w:rPr>
        <w:t>dexomenoi</w:t>
      </w:r>
      <w:proofErr w:type="spellEnd"/>
      <w:r w:rsidR="004072D6">
        <w:rPr>
          <w:rFonts w:cs="Times New Roman"/>
        </w:rPr>
        <w:t>)</w:t>
      </w:r>
      <w:r w:rsidR="004072D6">
        <w:rPr>
          <w:rFonts w:cs="Times New Roman"/>
          <w:i/>
        </w:rPr>
        <w:t xml:space="preserve"> </w:t>
      </w:r>
      <w:r w:rsidR="00F72A96">
        <w:t>and I.8.10 (</w:t>
      </w:r>
      <w:proofErr w:type="spellStart"/>
      <w:r w:rsidR="00F72A96">
        <w:rPr>
          <w:i/>
        </w:rPr>
        <w:t>h</w:t>
      </w:r>
      <w:r w:rsidR="00F72A96">
        <w:rPr>
          <w:rFonts w:cs="Times New Roman"/>
          <w:i/>
        </w:rPr>
        <w:t>ōs</w:t>
      </w:r>
      <w:proofErr w:type="spellEnd"/>
      <w:r w:rsidR="00F72A96">
        <w:rPr>
          <w:rFonts w:cs="Times New Roman"/>
          <w:i/>
        </w:rPr>
        <w:t>…</w:t>
      </w:r>
      <w:proofErr w:type="spellStart"/>
      <w:r w:rsidR="00F72A96">
        <w:rPr>
          <w:rFonts w:cs="Times New Roman"/>
          <w:i/>
        </w:rPr>
        <w:t>elōnta</w:t>
      </w:r>
      <w:proofErr w:type="spellEnd"/>
      <w:r w:rsidR="00F72A96">
        <w:rPr>
          <w:rFonts w:cs="Times New Roman"/>
        </w:rPr>
        <w:t>)</w:t>
      </w:r>
      <w:r w:rsidR="004072D6">
        <w:rPr>
          <w:rFonts w:cs="Times New Roman"/>
        </w:rPr>
        <w:t>. Xenophon</w:t>
      </w:r>
      <w:r w:rsidR="0037230D">
        <w:rPr>
          <w:rFonts w:cs="Times New Roman"/>
        </w:rPr>
        <w:t xml:space="preserve"> approaches Cyrus</w:t>
      </w:r>
      <w:r w:rsidR="004072D6">
        <w:rPr>
          <w:rFonts w:cs="Times New Roman"/>
        </w:rPr>
        <w:t xml:space="preserve"> to ask whether he had orders to give to his army (</w:t>
      </w:r>
      <w:proofErr w:type="spellStart"/>
      <w:r w:rsidR="004072D6">
        <w:rPr>
          <w:rFonts w:cs="Times New Roman"/>
          <w:i/>
        </w:rPr>
        <w:t>ēreto</w:t>
      </w:r>
      <w:proofErr w:type="spellEnd"/>
      <w:r w:rsidR="004072D6">
        <w:rPr>
          <w:rFonts w:cs="Times New Roman"/>
          <w:i/>
        </w:rPr>
        <w:t xml:space="preserve"> </w:t>
      </w:r>
      <w:proofErr w:type="spellStart"/>
      <w:r w:rsidR="004072D6">
        <w:rPr>
          <w:rFonts w:cs="Times New Roman"/>
          <w:i/>
        </w:rPr>
        <w:t>ei</w:t>
      </w:r>
      <w:proofErr w:type="spellEnd"/>
      <w:r w:rsidR="004072D6">
        <w:rPr>
          <w:rFonts w:cs="Times New Roman"/>
          <w:i/>
        </w:rPr>
        <w:t xml:space="preserve"> </w:t>
      </w:r>
      <w:proofErr w:type="spellStart"/>
      <w:r w:rsidR="004072D6">
        <w:rPr>
          <w:rFonts w:cs="Times New Roman"/>
          <w:i/>
        </w:rPr>
        <w:t>ti</w:t>
      </w:r>
      <w:proofErr w:type="spellEnd"/>
      <w:r w:rsidR="004072D6">
        <w:rPr>
          <w:rFonts w:cs="Times New Roman"/>
          <w:i/>
        </w:rPr>
        <w:t xml:space="preserve"> </w:t>
      </w:r>
      <w:proofErr w:type="spellStart"/>
      <w:r w:rsidR="004072D6">
        <w:rPr>
          <w:rFonts w:cs="Times New Roman"/>
          <w:i/>
        </w:rPr>
        <w:t>paraggeloi</w:t>
      </w:r>
      <w:proofErr w:type="spellEnd"/>
      <w:r w:rsidR="004072D6">
        <w:rPr>
          <w:rFonts w:cs="Times New Roman"/>
        </w:rPr>
        <w:t xml:space="preserve">); the optative is used here in secondary sequence. </w:t>
      </w:r>
      <w:r w:rsidR="000525CE">
        <w:rPr>
          <w:rFonts w:cs="Times New Roman"/>
          <w:i/>
        </w:rPr>
        <w:t xml:space="preserve">ho d’ </w:t>
      </w:r>
      <w:proofErr w:type="spellStart"/>
      <w:r w:rsidR="000525CE">
        <w:rPr>
          <w:rFonts w:cs="Times New Roman"/>
          <w:i/>
        </w:rPr>
        <w:t>e</w:t>
      </w:r>
      <w:r w:rsidR="000B62EC">
        <w:rPr>
          <w:rFonts w:cs="Times New Roman"/>
          <w:i/>
        </w:rPr>
        <w:t>p</w:t>
      </w:r>
      <w:r w:rsidR="000525CE">
        <w:rPr>
          <w:rFonts w:cs="Times New Roman"/>
          <w:i/>
        </w:rPr>
        <w:t>istēsas</w:t>
      </w:r>
      <w:proofErr w:type="spellEnd"/>
      <w:r w:rsidR="000525CE">
        <w:rPr>
          <w:rFonts w:cs="Times New Roman"/>
        </w:rPr>
        <w:t xml:space="preserve">: Again Xenophon transitions to a new subject with the use of a nominative aorist participle as he describes Cyrus’s response to Xenophon’s offer. </w:t>
      </w:r>
      <w:r w:rsidR="00F67DE3">
        <w:rPr>
          <w:rFonts w:cs="Times New Roman"/>
        </w:rPr>
        <w:t xml:space="preserve">Perhaps Xenophon, as a writer, intended some irony in Cyrus’s command to him: </w:t>
      </w:r>
      <w:proofErr w:type="spellStart"/>
      <w:r w:rsidR="00F67DE3">
        <w:rPr>
          <w:rFonts w:cs="Times New Roman"/>
          <w:i/>
        </w:rPr>
        <w:t>legein</w:t>
      </w:r>
      <w:proofErr w:type="spellEnd"/>
      <w:r w:rsidR="00F67DE3">
        <w:rPr>
          <w:rFonts w:cs="Times New Roman"/>
          <w:i/>
        </w:rPr>
        <w:t xml:space="preserve"> </w:t>
      </w:r>
      <w:proofErr w:type="spellStart"/>
      <w:r w:rsidR="00F67DE3">
        <w:rPr>
          <w:rFonts w:cs="Times New Roman"/>
          <w:i/>
        </w:rPr>
        <w:t>ekeleue</w:t>
      </w:r>
      <w:proofErr w:type="spellEnd"/>
      <w:r w:rsidR="00F67DE3">
        <w:rPr>
          <w:rFonts w:cs="Times New Roman"/>
          <w:i/>
        </w:rPr>
        <w:t xml:space="preserve"> </w:t>
      </w:r>
      <w:proofErr w:type="spellStart"/>
      <w:r w:rsidR="00F67DE3">
        <w:rPr>
          <w:rFonts w:cs="Times New Roman"/>
          <w:i/>
        </w:rPr>
        <w:t>pasin</w:t>
      </w:r>
      <w:proofErr w:type="spellEnd"/>
      <w:r w:rsidR="00F67DE3">
        <w:rPr>
          <w:rFonts w:cs="Times New Roman"/>
        </w:rPr>
        <w:t xml:space="preserve">, even if the order—to inform his fellow soldiers that the omens from the sacrifices were </w:t>
      </w:r>
      <w:r w:rsidR="00F67DE3">
        <w:rPr>
          <w:rFonts w:cs="Times New Roman"/>
        </w:rPr>
        <w:lastRenderedPageBreak/>
        <w:t>favorable—was somewhat bland</w:t>
      </w:r>
      <w:r w:rsidR="00AD778A">
        <w:rPr>
          <w:rFonts w:cs="Times New Roman"/>
        </w:rPr>
        <w:t xml:space="preserve"> in this situation</w:t>
      </w:r>
      <w:r w:rsidR="00F67DE3">
        <w:rPr>
          <w:rFonts w:cs="Times New Roman"/>
        </w:rPr>
        <w:t>, and did not involve Xenophon in the events that followed immediately</w:t>
      </w:r>
      <w:r w:rsidR="00AD778A">
        <w:rPr>
          <w:rFonts w:cs="Times New Roman"/>
        </w:rPr>
        <w:t xml:space="preserve"> thereafter</w:t>
      </w:r>
      <w:r w:rsidR="00F67DE3">
        <w:rPr>
          <w:rFonts w:cs="Times New Roman"/>
        </w:rPr>
        <w:t xml:space="preserve">. </w:t>
      </w:r>
      <w:r w:rsidR="0010168B">
        <w:rPr>
          <w:rFonts w:cs="Times New Roman"/>
        </w:rPr>
        <w:t xml:space="preserve">Boise adds that </w:t>
      </w:r>
      <w:r w:rsidR="0010168B">
        <w:rPr>
          <w:rFonts w:cs="Times New Roman"/>
          <w:i/>
        </w:rPr>
        <w:t>kala</w:t>
      </w:r>
      <w:r w:rsidR="0010168B">
        <w:rPr>
          <w:rFonts w:cs="Times New Roman"/>
        </w:rPr>
        <w:t xml:space="preserve"> is repeated twice for emphasis.</w:t>
      </w:r>
      <w:r w:rsidR="0010168B">
        <w:rPr>
          <w:rStyle w:val="FootnoteReference"/>
          <w:rFonts w:cs="Times New Roman"/>
        </w:rPr>
        <w:footnoteReference w:id="2"/>
      </w:r>
      <w:r w:rsidR="0010168B">
        <w:rPr>
          <w:rFonts w:cs="Times New Roman"/>
        </w:rPr>
        <w:t xml:space="preserve"> In the context of Xenophon telling everyone about the events of the war and the expedition of Cyrus, it is worth pausing to consider the accuracy of Xenophon’s account of the battle. </w:t>
      </w:r>
      <w:r w:rsidR="003E342D">
        <w:rPr>
          <w:rFonts w:cs="Times New Roman"/>
        </w:rPr>
        <w:t>First, b</w:t>
      </w:r>
      <w:r w:rsidR="0010168B">
        <w:rPr>
          <w:rFonts w:cs="Times New Roman"/>
        </w:rPr>
        <w:t xml:space="preserve">oth </w:t>
      </w:r>
      <w:r w:rsidR="000B62EC">
        <w:rPr>
          <w:rFonts w:cs="Times New Roman"/>
        </w:rPr>
        <w:t xml:space="preserve">J.M. </w:t>
      </w:r>
      <w:r w:rsidR="0010168B">
        <w:rPr>
          <w:rFonts w:cs="Times New Roman"/>
        </w:rPr>
        <w:t xml:space="preserve">Bigwood and </w:t>
      </w:r>
      <w:r w:rsidR="000B62EC">
        <w:rPr>
          <w:rFonts w:cs="Times New Roman"/>
        </w:rPr>
        <w:t xml:space="preserve">Graham </w:t>
      </w:r>
      <w:r w:rsidR="0010168B">
        <w:rPr>
          <w:rFonts w:cs="Times New Roman"/>
        </w:rPr>
        <w:t xml:space="preserve">Wylie </w:t>
      </w:r>
      <w:r w:rsidR="003E342D">
        <w:rPr>
          <w:rFonts w:cs="Times New Roman"/>
        </w:rPr>
        <w:t>assert that Xenophon grossly exaggerates the number of soldiers present on both sides of the b</w:t>
      </w:r>
      <w:r w:rsidR="00AD778A">
        <w:rPr>
          <w:rFonts w:cs="Times New Roman"/>
        </w:rPr>
        <w:t xml:space="preserve">attle: </w:t>
      </w:r>
      <w:proofErr w:type="gramStart"/>
      <w:r w:rsidR="00AD778A">
        <w:rPr>
          <w:rFonts w:cs="Times New Roman"/>
        </w:rPr>
        <w:t>the</w:t>
      </w:r>
      <w:proofErr w:type="gramEnd"/>
      <w:r w:rsidR="00AD778A">
        <w:rPr>
          <w:rFonts w:cs="Times New Roman"/>
        </w:rPr>
        <w:t xml:space="preserve"> Athenian claims that there are</w:t>
      </w:r>
      <w:r w:rsidR="003E342D">
        <w:rPr>
          <w:rFonts w:cs="Times New Roman"/>
        </w:rPr>
        <w:t xml:space="preserve"> 900,000 men under Artaxerxes compared to 115,000 under Cyrus (I.7.10)</w:t>
      </w:r>
      <w:r w:rsidR="000B62EC">
        <w:rPr>
          <w:rFonts w:cs="Times New Roman"/>
        </w:rPr>
        <w:t xml:space="preserve">. </w:t>
      </w:r>
      <w:r w:rsidR="003E342D">
        <w:rPr>
          <w:rFonts w:cs="Times New Roman"/>
        </w:rPr>
        <w:t xml:space="preserve">Bigwood argues the numbers were more likely 60,000 </w:t>
      </w:r>
      <w:r w:rsidR="00891707">
        <w:rPr>
          <w:rFonts w:cs="Times New Roman"/>
        </w:rPr>
        <w:t xml:space="preserve">for the king </w:t>
      </w:r>
      <w:r w:rsidR="003E342D">
        <w:rPr>
          <w:rFonts w:cs="Times New Roman"/>
        </w:rPr>
        <w:t xml:space="preserve">versus 25,000, while Wylie </w:t>
      </w:r>
      <w:r w:rsidR="00891707">
        <w:rPr>
          <w:rFonts w:cs="Times New Roman"/>
        </w:rPr>
        <w:t>asserts 40,000-50,000 versus 30,000</w:t>
      </w:r>
      <w:r w:rsidR="00BC7E07">
        <w:rPr>
          <w:rFonts w:cs="Times New Roman"/>
        </w:rPr>
        <w:t>.</w:t>
      </w:r>
      <w:r w:rsidR="00891707">
        <w:rPr>
          <w:rStyle w:val="FootnoteReference"/>
          <w:rFonts w:cs="Times New Roman"/>
        </w:rPr>
        <w:footnoteReference w:id="3"/>
      </w:r>
      <w:r w:rsidR="00891707">
        <w:rPr>
          <w:rFonts w:cs="Times New Roman"/>
        </w:rPr>
        <w:t xml:space="preserve"> </w:t>
      </w:r>
      <w:r w:rsidR="00BC7E07">
        <w:rPr>
          <w:rFonts w:cs="Times New Roman"/>
        </w:rPr>
        <w:t>This gross exaggeration is significant, because such inflated numbers “do little to inspire confidence” in the Xenophon as a reporter.</w:t>
      </w:r>
      <w:r w:rsidR="00BC7E07">
        <w:rPr>
          <w:rStyle w:val="FootnoteReference"/>
          <w:rFonts w:cs="Times New Roman"/>
        </w:rPr>
        <w:footnoteReference w:id="4"/>
      </w:r>
      <w:r w:rsidR="00BC7E07">
        <w:rPr>
          <w:rFonts w:cs="Times New Roman"/>
        </w:rPr>
        <w:t xml:space="preserve"> </w:t>
      </w:r>
      <w:r w:rsidR="00891707">
        <w:rPr>
          <w:rFonts w:cs="Times New Roman"/>
        </w:rPr>
        <w:t xml:space="preserve">Second, </w:t>
      </w:r>
      <w:r w:rsidR="00DB3EA5">
        <w:rPr>
          <w:rFonts w:cs="Times New Roman"/>
        </w:rPr>
        <w:t xml:space="preserve">Bigwood and Wylie likewise agree that Xenophon’s account of the battle is extremely limited: he was a witness to part of the battle but not the whole of it, so he would have needed information from other sources when he composed the </w:t>
      </w:r>
      <w:r w:rsidR="00DB3EA5">
        <w:rPr>
          <w:rFonts w:cs="Times New Roman"/>
          <w:i/>
        </w:rPr>
        <w:t>Anabasis</w:t>
      </w:r>
      <w:r w:rsidR="00DB3EA5">
        <w:rPr>
          <w:rFonts w:cs="Times New Roman"/>
        </w:rPr>
        <w:t xml:space="preserve"> </w:t>
      </w:r>
      <w:r w:rsidR="00AD778A">
        <w:rPr>
          <w:rFonts w:cs="Times New Roman"/>
        </w:rPr>
        <w:t xml:space="preserve">some </w:t>
      </w:r>
      <w:r w:rsidR="00DB3EA5">
        <w:rPr>
          <w:rFonts w:cs="Times New Roman"/>
        </w:rPr>
        <w:t>fifteen years after the battle.</w:t>
      </w:r>
      <w:r w:rsidR="005A14B8">
        <w:rPr>
          <w:rStyle w:val="FootnoteReference"/>
          <w:rFonts w:cs="Times New Roman"/>
        </w:rPr>
        <w:footnoteReference w:id="5"/>
      </w:r>
      <w:r w:rsidR="00DB3EA5">
        <w:rPr>
          <w:rFonts w:cs="Times New Roman"/>
        </w:rPr>
        <w:t xml:space="preserve"> Furthermore, </w:t>
      </w:r>
      <w:r w:rsidR="00C80506">
        <w:rPr>
          <w:rFonts w:cs="Times New Roman"/>
        </w:rPr>
        <w:t>Xenophon</w:t>
      </w:r>
      <w:r w:rsidR="00DB3EA5">
        <w:rPr>
          <w:rFonts w:cs="Times New Roman"/>
        </w:rPr>
        <w:t xml:space="preserve"> omits key details</w:t>
      </w:r>
      <w:r w:rsidR="00047ACF">
        <w:rPr>
          <w:rFonts w:cs="Times New Roman"/>
        </w:rPr>
        <w:t xml:space="preserve"> about how the battle progressed</w:t>
      </w:r>
      <w:r w:rsidR="00DB3EA5">
        <w:rPr>
          <w:rFonts w:cs="Times New Roman"/>
        </w:rPr>
        <w:t xml:space="preserve">, which prompts Bigwood to label </w:t>
      </w:r>
      <w:r w:rsidR="00C80506">
        <w:rPr>
          <w:rFonts w:cs="Times New Roman"/>
        </w:rPr>
        <w:t>the Athenian</w:t>
      </w:r>
      <w:r w:rsidR="00DB3EA5">
        <w:rPr>
          <w:rFonts w:cs="Times New Roman"/>
        </w:rPr>
        <w:t>’s work “a most unsatisfactory description of the battle,”</w:t>
      </w:r>
      <w:r w:rsidR="00DB3EA5">
        <w:rPr>
          <w:rStyle w:val="FootnoteReference"/>
          <w:rFonts w:cs="Times New Roman"/>
        </w:rPr>
        <w:footnoteReference w:id="6"/>
      </w:r>
      <w:r w:rsidR="00DB3EA5">
        <w:rPr>
          <w:rFonts w:cs="Times New Roman"/>
        </w:rPr>
        <w:t xml:space="preserve"> </w:t>
      </w:r>
      <w:r w:rsidR="00AD778A">
        <w:rPr>
          <w:rFonts w:cs="Times New Roman"/>
        </w:rPr>
        <w:t>whereas</w:t>
      </w:r>
      <w:r w:rsidR="00DB3EA5">
        <w:rPr>
          <w:rFonts w:cs="Times New Roman"/>
        </w:rPr>
        <w:t xml:space="preserve"> Wylie maintains that “the remoteness of the events at Cunaxa from the author in time and space, and the near-impossibility of further inquiry, would lead us to conclude </w:t>
      </w:r>
      <w:r w:rsidR="005A14B8">
        <w:rPr>
          <w:rFonts w:cs="Times New Roman"/>
        </w:rPr>
        <w:t>that the gaps here resulted from ignorance, not intent.</w:t>
      </w:r>
      <w:r w:rsidR="002F4308">
        <w:rPr>
          <w:rFonts w:cs="Times New Roman"/>
        </w:rPr>
        <w:t xml:space="preserve"> He did not give the full picture of Cunaxa because he did not know it.</w:t>
      </w:r>
      <w:r w:rsidR="005A14B8">
        <w:rPr>
          <w:rFonts w:cs="Times New Roman"/>
        </w:rPr>
        <w:t>”</w:t>
      </w:r>
      <w:r w:rsidR="005A14B8">
        <w:rPr>
          <w:rStyle w:val="FootnoteReference"/>
          <w:rFonts w:cs="Times New Roman"/>
        </w:rPr>
        <w:footnoteReference w:id="7"/>
      </w:r>
      <w:r w:rsidR="00BC7E07">
        <w:rPr>
          <w:rFonts w:cs="Times New Roman"/>
        </w:rPr>
        <w:t xml:space="preserve"> At the same time, </w:t>
      </w:r>
      <w:r w:rsidR="00C80506">
        <w:rPr>
          <w:rFonts w:cs="Times New Roman"/>
        </w:rPr>
        <w:t xml:space="preserve">however, </w:t>
      </w:r>
      <w:r w:rsidR="00BC7E07">
        <w:rPr>
          <w:rFonts w:cs="Times New Roman"/>
        </w:rPr>
        <w:t xml:space="preserve">Bigwood acknowledges that Xenophon’s account is </w:t>
      </w:r>
      <w:r w:rsidR="002F4308">
        <w:rPr>
          <w:rFonts w:cs="Times New Roman"/>
        </w:rPr>
        <w:t xml:space="preserve">better than those of </w:t>
      </w:r>
      <w:proofErr w:type="spellStart"/>
      <w:r w:rsidR="002F4308">
        <w:rPr>
          <w:rFonts w:cs="Times New Roman"/>
        </w:rPr>
        <w:t>Sophaenetus</w:t>
      </w:r>
      <w:proofErr w:type="spellEnd"/>
      <w:r w:rsidR="002F4308">
        <w:rPr>
          <w:rFonts w:cs="Times New Roman"/>
        </w:rPr>
        <w:t xml:space="preserve">, </w:t>
      </w:r>
      <w:proofErr w:type="spellStart"/>
      <w:r w:rsidR="002F4308">
        <w:rPr>
          <w:rFonts w:cs="Times New Roman"/>
        </w:rPr>
        <w:t>Ctesias</w:t>
      </w:r>
      <w:proofErr w:type="spellEnd"/>
      <w:r w:rsidR="002F4308">
        <w:rPr>
          <w:rFonts w:cs="Times New Roman"/>
        </w:rPr>
        <w:t xml:space="preserve">, and </w:t>
      </w:r>
      <w:proofErr w:type="spellStart"/>
      <w:r w:rsidR="002F4308">
        <w:rPr>
          <w:rFonts w:cs="Times New Roman"/>
        </w:rPr>
        <w:t>Diodorus</w:t>
      </w:r>
      <w:proofErr w:type="spellEnd"/>
      <w:r w:rsidR="002F4308">
        <w:rPr>
          <w:rFonts w:cs="Times New Roman"/>
        </w:rPr>
        <w:t xml:space="preserve"> </w:t>
      </w:r>
      <w:proofErr w:type="spellStart"/>
      <w:r w:rsidR="002F4308">
        <w:rPr>
          <w:rFonts w:cs="Times New Roman"/>
        </w:rPr>
        <w:t>Siculus</w:t>
      </w:r>
      <w:proofErr w:type="spellEnd"/>
      <w:r w:rsidR="002F4308">
        <w:rPr>
          <w:rFonts w:cs="Times New Roman"/>
        </w:rPr>
        <w:t xml:space="preserve">: while </w:t>
      </w:r>
      <w:proofErr w:type="spellStart"/>
      <w:r w:rsidR="002F4308">
        <w:rPr>
          <w:rFonts w:cs="Times New Roman"/>
        </w:rPr>
        <w:lastRenderedPageBreak/>
        <w:t>Sophaenetus’s</w:t>
      </w:r>
      <w:proofErr w:type="spellEnd"/>
      <w:r w:rsidR="002F4308">
        <w:rPr>
          <w:rFonts w:cs="Times New Roman"/>
        </w:rPr>
        <w:t xml:space="preserve"> account does not survive, the other two accounts, though differing from Xenophon’s in many key details, are too laden with the respective authors’ idiosyncrasies to be relied upon.</w:t>
      </w:r>
      <w:r w:rsidR="002F4308">
        <w:rPr>
          <w:rStyle w:val="FootnoteReference"/>
          <w:rFonts w:cs="Times New Roman"/>
        </w:rPr>
        <w:footnoteReference w:id="8"/>
      </w:r>
      <w:r w:rsidR="00AD778A">
        <w:rPr>
          <w:rFonts w:cs="Times New Roman"/>
        </w:rPr>
        <w:t xml:space="preserve"> Yet</w:t>
      </w:r>
      <w:r w:rsidR="002F4308">
        <w:rPr>
          <w:rFonts w:cs="Times New Roman"/>
        </w:rPr>
        <w:t xml:space="preserve"> it seems that Wylie overstates his case: even though Xenophon’s access to specific information about the battle</w:t>
      </w:r>
      <w:r w:rsidR="00AD778A">
        <w:rPr>
          <w:rFonts w:cs="Times New Roman"/>
        </w:rPr>
        <w:t>, like his</w:t>
      </w:r>
      <w:r w:rsidR="00892D01">
        <w:rPr>
          <w:rFonts w:cs="Times New Roman"/>
        </w:rPr>
        <w:t xml:space="preserve"> account itself,</w:t>
      </w:r>
      <w:r w:rsidR="002F4308">
        <w:rPr>
          <w:rFonts w:cs="Times New Roman"/>
        </w:rPr>
        <w:t xml:space="preserve"> might have been limited</w:t>
      </w:r>
      <w:r w:rsidR="00892D01">
        <w:rPr>
          <w:rFonts w:cs="Times New Roman"/>
        </w:rPr>
        <w:t>, i</w:t>
      </w:r>
      <w:r w:rsidR="00C80506">
        <w:rPr>
          <w:rFonts w:cs="Times New Roman"/>
        </w:rPr>
        <w:t>gnorance many not be the sole cause for limitation</w:t>
      </w:r>
      <w:r w:rsidR="00892D01">
        <w:rPr>
          <w:rFonts w:cs="Times New Roman"/>
        </w:rPr>
        <w:t xml:space="preserve">. For, in writing a work more dedicated to his own role in the return from Cunaxa, and with his paean to Cyrus (I.9) written despite the fifteen years Xenophon had to reflect on the upstart’s failures as a general, </w:t>
      </w:r>
      <w:r w:rsidR="002B284D">
        <w:rPr>
          <w:rFonts w:cs="Times New Roman"/>
        </w:rPr>
        <w:t xml:space="preserve">he might have intentionally written a more limited account of the battle because he saw the specifics as irrelevant to his greater purpose or because he did not want to embarrass Cyrus further. </w:t>
      </w:r>
      <w:r w:rsidR="00C80506">
        <w:rPr>
          <w:rFonts w:cs="Times New Roman"/>
        </w:rPr>
        <w:t xml:space="preserve">In other words, intention might well have contributed to Xenophon’s limited retelling of the battle. </w:t>
      </w:r>
      <w:r w:rsidR="002B284D">
        <w:rPr>
          <w:rFonts w:cs="Times New Roman"/>
        </w:rPr>
        <w:t>After all, as Robin Waterfield argues, “[a]s far as Cyrus was concerned, the battle was little more than single combat, massively multiplied, between him and his brother.”</w:t>
      </w:r>
      <w:r w:rsidR="002B284D">
        <w:rPr>
          <w:rStyle w:val="FootnoteReference"/>
          <w:rFonts w:cs="Times New Roman"/>
        </w:rPr>
        <w:footnoteReference w:id="9"/>
      </w:r>
      <w:r w:rsidR="002B284D">
        <w:rPr>
          <w:rFonts w:cs="Times New Roman"/>
        </w:rPr>
        <w:t xml:space="preserve"> Xenophon’s entire telling of the journey east in Book I, as well as the battle itself, b</w:t>
      </w:r>
      <w:r w:rsidR="00C80506">
        <w:rPr>
          <w:rFonts w:cs="Times New Roman"/>
        </w:rPr>
        <w:t>ears witness to Waterfield’s assessment</w:t>
      </w:r>
      <w:r w:rsidR="002B284D">
        <w:rPr>
          <w:rFonts w:cs="Times New Roman"/>
        </w:rPr>
        <w:t>.</w:t>
      </w:r>
    </w:p>
    <w:p w14:paraId="6D4ED5FE" w14:textId="05E1A43B" w:rsidR="002B284D" w:rsidRDefault="002B284D" w:rsidP="00C3013C">
      <w:pPr>
        <w:spacing w:line="480" w:lineRule="auto"/>
        <w:jc w:val="left"/>
        <w:rPr>
          <w:rFonts w:cs="Times New Roman"/>
        </w:rPr>
      </w:pPr>
      <w:r>
        <w:rPr>
          <w:u w:val="single"/>
        </w:rPr>
        <w:t>Commentary I.8.16:</w:t>
      </w:r>
      <w:r>
        <w:t xml:space="preserve"> </w:t>
      </w:r>
      <w:proofErr w:type="spellStart"/>
      <w:r w:rsidR="0034652F" w:rsidRPr="0034652F">
        <w:rPr>
          <w:i/>
        </w:rPr>
        <w:t>tauta</w:t>
      </w:r>
      <w:proofErr w:type="spellEnd"/>
      <w:r w:rsidR="0034652F" w:rsidRPr="0034652F">
        <w:rPr>
          <w:i/>
        </w:rPr>
        <w:t xml:space="preserve"> de</w:t>
      </w:r>
      <w:r w:rsidR="0034652F">
        <w:t xml:space="preserve"> </w:t>
      </w:r>
      <w:proofErr w:type="spellStart"/>
      <w:r w:rsidR="000A3CC3">
        <w:rPr>
          <w:i/>
        </w:rPr>
        <w:t>leg</w:t>
      </w:r>
      <w:r w:rsidR="000A3CC3">
        <w:rPr>
          <w:rFonts w:cs="Times New Roman"/>
          <w:i/>
        </w:rPr>
        <w:t>ō</w:t>
      </w:r>
      <w:r w:rsidR="0034652F">
        <w:rPr>
          <w:i/>
        </w:rPr>
        <w:t>n</w:t>
      </w:r>
      <w:proofErr w:type="spellEnd"/>
      <w:r w:rsidR="0034652F">
        <w:rPr>
          <w:i/>
        </w:rPr>
        <w:t xml:space="preserve"> </w:t>
      </w:r>
      <w:proofErr w:type="spellStart"/>
      <w:r w:rsidR="0034652F">
        <w:rPr>
          <w:i/>
        </w:rPr>
        <w:t>thorubou</w:t>
      </w:r>
      <w:proofErr w:type="spellEnd"/>
      <w:r w:rsidR="0034652F">
        <w:rPr>
          <w:i/>
        </w:rPr>
        <w:t xml:space="preserve"> </w:t>
      </w:r>
      <w:proofErr w:type="spellStart"/>
      <w:r w:rsidR="0082779A">
        <w:rPr>
          <w:rFonts w:cs="Times New Roman"/>
          <w:i/>
        </w:rPr>
        <w:t>ē</w:t>
      </w:r>
      <w:r w:rsidR="0082779A">
        <w:rPr>
          <w:i/>
        </w:rPr>
        <w:t>kouse</w:t>
      </w:r>
      <w:proofErr w:type="spellEnd"/>
      <w:r w:rsidR="0082779A">
        <w:t>: Xenophon underscores the sudden</w:t>
      </w:r>
      <w:r w:rsidR="00C80506">
        <w:t>ness</w:t>
      </w:r>
      <w:r w:rsidR="0082779A">
        <w:t xml:space="preserve"> of Cyrus’s hearing </w:t>
      </w:r>
      <w:r w:rsidR="0034652F">
        <w:t xml:space="preserve">of </w:t>
      </w:r>
      <w:r w:rsidR="0082779A">
        <w:t xml:space="preserve">the uproar with the present </w:t>
      </w:r>
      <w:r w:rsidR="00AD778A">
        <w:t xml:space="preserve">active </w:t>
      </w:r>
      <w:r w:rsidR="0082779A">
        <w:t xml:space="preserve">participle preceding the aorist verb. </w:t>
      </w:r>
      <w:proofErr w:type="spellStart"/>
      <w:r w:rsidR="0082779A">
        <w:rPr>
          <w:i/>
        </w:rPr>
        <w:t>thorubou</w:t>
      </w:r>
      <w:proofErr w:type="spellEnd"/>
      <w:r w:rsidR="0082779A">
        <w:rPr>
          <w:i/>
        </w:rPr>
        <w:t>…</w:t>
      </w:r>
      <w:proofErr w:type="spellStart"/>
      <w:r w:rsidR="0082779A">
        <w:rPr>
          <w:i/>
        </w:rPr>
        <w:t>iontos</w:t>
      </w:r>
      <w:proofErr w:type="spellEnd"/>
      <w:r w:rsidR="0082779A">
        <w:t xml:space="preserve">: Paired with the participle, it is possible that this is a genitive absolute; however, it is </w:t>
      </w:r>
      <w:r w:rsidR="00AD778A">
        <w:t xml:space="preserve">also </w:t>
      </w:r>
      <w:r w:rsidR="0082779A">
        <w:t>possible that</w:t>
      </w:r>
      <w:r w:rsidR="002C4799">
        <w:t xml:space="preserve"> this phrase </w:t>
      </w:r>
      <w:r w:rsidR="0082779A">
        <w:t xml:space="preserve">is </w:t>
      </w:r>
      <w:r w:rsidR="002C4799">
        <w:t xml:space="preserve">being used as </w:t>
      </w:r>
      <w:r w:rsidR="0082779A">
        <w:t xml:space="preserve">the genitive object of </w:t>
      </w:r>
      <w:proofErr w:type="spellStart"/>
      <w:r w:rsidR="0082779A">
        <w:rPr>
          <w:rFonts w:cs="Times New Roman"/>
          <w:i/>
        </w:rPr>
        <w:t>ē</w:t>
      </w:r>
      <w:r w:rsidR="0082779A">
        <w:rPr>
          <w:i/>
        </w:rPr>
        <w:t>kouse</w:t>
      </w:r>
      <w:proofErr w:type="spellEnd"/>
      <w:r w:rsidR="0082779A">
        <w:t xml:space="preserve"> with the participle as a simple modifier, even if </w:t>
      </w:r>
      <w:proofErr w:type="spellStart"/>
      <w:r w:rsidR="0082779A">
        <w:rPr>
          <w:rFonts w:cs="Times New Roman"/>
          <w:i/>
        </w:rPr>
        <w:t>ē</w:t>
      </w:r>
      <w:r w:rsidR="0082779A">
        <w:rPr>
          <w:i/>
        </w:rPr>
        <w:t>kouse</w:t>
      </w:r>
      <w:proofErr w:type="spellEnd"/>
      <w:r w:rsidR="0082779A">
        <w:t xml:space="preserve"> normally is followed by an accusative w</w:t>
      </w:r>
      <w:r w:rsidR="002C4799">
        <w:t>hen a thing</w:t>
      </w:r>
      <w:r w:rsidR="0082779A">
        <w:t xml:space="preserve">, rather than a person, is heard, as </w:t>
      </w:r>
      <w:proofErr w:type="spellStart"/>
      <w:r w:rsidR="0082779A">
        <w:t>Antrich</w:t>
      </w:r>
      <w:proofErr w:type="spellEnd"/>
      <w:r w:rsidR="0082779A">
        <w:t xml:space="preserve"> and Usher point out.</w:t>
      </w:r>
      <w:r w:rsidR="0082779A">
        <w:rPr>
          <w:rStyle w:val="FootnoteReference"/>
        </w:rPr>
        <w:footnoteReference w:id="10"/>
      </w:r>
      <w:r w:rsidR="00C87F7D">
        <w:t xml:space="preserve"> </w:t>
      </w:r>
      <w:proofErr w:type="spellStart"/>
      <w:r w:rsidR="00456AF7">
        <w:rPr>
          <w:rFonts w:cs="Times New Roman"/>
          <w:i/>
        </w:rPr>
        <w:t>ē</w:t>
      </w:r>
      <w:r w:rsidR="00456AF7">
        <w:rPr>
          <w:i/>
        </w:rPr>
        <w:t>reto</w:t>
      </w:r>
      <w:proofErr w:type="spellEnd"/>
      <w:r w:rsidR="00456AF7">
        <w:rPr>
          <w:i/>
        </w:rPr>
        <w:t xml:space="preserve"> tis ho </w:t>
      </w:r>
      <w:proofErr w:type="spellStart"/>
      <w:r w:rsidR="00456AF7">
        <w:rPr>
          <w:i/>
        </w:rPr>
        <w:t>thorubos</w:t>
      </w:r>
      <w:proofErr w:type="spellEnd"/>
      <w:r w:rsidR="00456AF7">
        <w:t xml:space="preserve"> </w:t>
      </w:r>
      <w:proofErr w:type="spellStart"/>
      <w:r w:rsidR="00456AF7" w:rsidRPr="00456AF7">
        <w:rPr>
          <w:i/>
        </w:rPr>
        <w:t>ei</w:t>
      </w:r>
      <w:r w:rsidR="00456AF7" w:rsidRPr="00456AF7">
        <w:rPr>
          <w:rFonts w:cs="Times New Roman"/>
          <w:i/>
        </w:rPr>
        <w:t>ē</w:t>
      </w:r>
      <w:proofErr w:type="spellEnd"/>
      <w:r w:rsidR="00456AF7">
        <w:rPr>
          <w:rFonts w:cs="Times New Roman"/>
        </w:rPr>
        <w:t xml:space="preserve">: </w:t>
      </w:r>
      <w:proofErr w:type="spellStart"/>
      <w:r w:rsidR="00FC4755">
        <w:rPr>
          <w:rFonts w:cs="Times New Roman"/>
          <w:i/>
        </w:rPr>
        <w:t>eiē</w:t>
      </w:r>
      <w:proofErr w:type="spellEnd"/>
      <w:r w:rsidR="00FC4755">
        <w:rPr>
          <w:rFonts w:cs="Times New Roman"/>
        </w:rPr>
        <w:t xml:space="preserve"> is in the optative in an indirect question following the imperfect main verb. </w:t>
      </w:r>
      <w:proofErr w:type="spellStart"/>
      <w:r w:rsidR="004D7998">
        <w:rPr>
          <w:rFonts w:cs="Times New Roman"/>
          <w:i/>
        </w:rPr>
        <w:t>sunthēma</w:t>
      </w:r>
      <w:proofErr w:type="spellEnd"/>
      <w:r w:rsidR="004D7998">
        <w:rPr>
          <w:rFonts w:cs="Times New Roman"/>
        </w:rPr>
        <w:t xml:space="preserve">: </w:t>
      </w:r>
      <w:proofErr w:type="spellStart"/>
      <w:r w:rsidR="004D7998">
        <w:rPr>
          <w:rFonts w:cs="Times New Roman"/>
        </w:rPr>
        <w:t>Antrich</w:t>
      </w:r>
      <w:proofErr w:type="spellEnd"/>
      <w:r w:rsidR="004D7998">
        <w:rPr>
          <w:rFonts w:cs="Times New Roman"/>
        </w:rPr>
        <w:t xml:space="preserve"> and Usher define this as “war-cry,” and explain that “the commander normally decided </w:t>
      </w:r>
      <w:r w:rsidR="004D7998">
        <w:rPr>
          <w:rFonts w:cs="Times New Roman"/>
        </w:rPr>
        <w:lastRenderedPageBreak/>
        <w:t>on and issued the war-cry, which was then passed along the lines and back (</w:t>
      </w:r>
      <w:r w:rsidR="004D7998">
        <w:rPr>
          <w:rFonts w:cs="Times New Roman"/>
          <w:i/>
        </w:rPr>
        <w:t>deuteron</w:t>
      </w:r>
      <w:r w:rsidR="004D7998">
        <w:rPr>
          <w:rFonts w:cs="Times New Roman"/>
        </w:rPr>
        <w:t xml:space="preserve">) as a double check… At night a </w:t>
      </w:r>
      <w:proofErr w:type="spellStart"/>
      <w:r w:rsidR="004D7998">
        <w:rPr>
          <w:rFonts w:cs="Times New Roman"/>
          <w:i/>
        </w:rPr>
        <w:t>sunthēma</w:t>
      </w:r>
      <w:proofErr w:type="spellEnd"/>
      <w:r w:rsidR="004D7998">
        <w:rPr>
          <w:rFonts w:cs="Times New Roman"/>
        </w:rPr>
        <w:t xml:space="preserve"> was the password which sentries demanded from anyone trying to enter the camp.”</w:t>
      </w:r>
      <w:r w:rsidR="004D7998">
        <w:rPr>
          <w:rStyle w:val="FootnoteReference"/>
          <w:rFonts w:cs="Times New Roman"/>
        </w:rPr>
        <w:footnoteReference w:id="11"/>
      </w:r>
      <w:r w:rsidR="00FC4755">
        <w:rPr>
          <w:rFonts w:cs="Times New Roman"/>
        </w:rPr>
        <w:t xml:space="preserve"> </w:t>
      </w:r>
      <w:r w:rsidR="004D7998">
        <w:rPr>
          <w:rFonts w:cs="Times New Roman"/>
        </w:rPr>
        <w:t xml:space="preserve">Boise identifies </w:t>
      </w:r>
      <w:proofErr w:type="spellStart"/>
      <w:r w:rsidR="00AD7018">
        <w:rPr>
          <w:rFonts w:cs="Times New Roman"/>
          <w:i/>
        </w:rPr>
        <w:t>sunthēma</w:t>
      </w:r>
      <w:proofErr w:type="spellEnd"/>
      <w:r w:rsidR="00AD7018">
        <w:rPr>
          <w:rFonts w:cs="Times New Roman"/>
        </w:rPr>
        <w:t xml:space="preserve"> as both </w:t>
      </w:r>
      <w:r w:rsidR="00AD7018" w:rsidRPr="00AD7018">
        <w:rPr>
          <w:rFonts w:cs="Times New Roman"/>
          <w:i/>
        </w:rPr>
        <w:t>war-cry</w:t>
      </w:r>
      <w:r w:rsidR="00AD7018">
        <w:rPr>
          <w:rFonts w:cs="Times New Roman"/>
        </w:rPr>
        <w:t xml:space="preserve"> and </w:t>
      </w:r>
      <w:r w:rsidR="00AD7018">
        <w:rPr>
          <w:rFonts w:cs="Times New Roman"/>
          <w:i/>
        </w:rPr>
        <w:t>watchword</w:t>
      </w:r>
      <w:r w:rsidR="004D7998">
        <w:rPr>
          <w:rFonts w:cs="Times New Roman"/>
        </w:rPr>
        <w:t xml:space="preserve">, but </w:t>
      </w:r>
      <w:r w:rsidR="00AD7018">
        <w:rPr>
          <w:rFonts w:cs="Times New Roman"/>
        </w:rPr>
        <w:t xml:space="preserve">he </w:t>
      </w:r>
      <w:r w:rsidR="004D7998">
        <w:rPr>
          <w:rFonts w:cs="Times New Roman"/>
        </w:rPr>
        <w:t xml:space="preserve">notes that the </w:t>
      </w:r>
      <w:r w:rsidR="00AD7018">
        <w:rPr>
          <w:rFonts w:cs="Times New Roman"/>
        </w:rPr>
        <w:t xml:space="preserve">latter </w:t>
      </w:r>
      <w:r w:rsidR="004D7998">
        <w:rPr>
          <w:rFonts w:cs="Times New Roman"/>
        </w:rPr>
        <w:t>was used “in the engagement if the different ranks of the same army at any time came in collision with one another.”</w:t>
      </w:r>
      <w:r w:rsidR="004D7998">
        <w:rPr>
          <w:rStyle w:val="FootnoteReference"/>
          <w:rFonts w:cs="Times New Roman"/>
        </w:rPr>
        <w:footnoteReference w:id="12"/>
      </w:r>
      <w:r w:rsidR="00FC4755">
        <w:rPr>
          <w:rFonts w:cs="Times New Roman"/>
        </w:rPr>
        <w:t xml:space="preserve"> </w:t>
      </w:r>
      <w:proofErr w:type="spellStart"/>
      <w:r w:rsidR="000422C9">
        <w:rPr>
          <w:rFonts w:cs="Times New Roman"/>
        </w:rPr>
        <w:t>Lendle</w:t>
      </w:r>
      <w:proofErr w:type="spellEnd"/>
      <w:r w:rsidR="000422C9">
        <w:rPr>
          <w:rFonts w:cs="Times New Roman"/>
        </w:rPr>
        <w:t xml:space="preserve"> prefers </w:t>
      </w:r>
      <w:r w:rsidR="000422C9">
        <w:rPr>
          <w:rFonts w:cs="Times New Roman"/>
          <w:i/>
        </w:rPr>
        <w:t>watchword</w:t>
      </w:r>
      <w:r w:rsidR="000422C9">
        <w:rPr>
          <w:rFonts w:cs="Times New Roman"/>
        </w:rPr>
        <w:t>, and agrees with Boise in emphasizing that the word’s purpose was primarily to rouse the spirits of the soldiers preparing for combat and only secondarily as a form of identification.</w:t>
      </w:r>
      <w:r w:rsidR="000422C9">
        <w:rPr>
          <w:rStyle w:val="FootnoteReference"/>
          <w:rFonts w:cs="Times New Roman"/>
        </w:rPr>
        <w:footnoteReference w:id="13"/>
      </w:r>
      <w:r w:rsidR="000422C9">
        <w:rPr>
          <w:rFonts w:cs="Times New Roman"/>
        </w:rPr>
        <w:t xml:space="preserve"> Yet, if the </w:t>
      </w:r>
      <w:proofErr w:type="spellStart"/>
      <w:r w:rsidR="000422C9">
        <w:rPr>
          <w:rFonts w:cs="Times New Roman"/>
          <w:i/>
        </w:rPr>
        <w:t>sunthēma</w:t>
      </w:r>
      <w:proofErr w:type="spellEnd"/>
      <w:r w:rsidR="000422C9">
        <w:rPr>
          <w:rFonts w:cs="Times New Roman"/>
        </w:rPr>
        <w:t xml:space="preserve"> was used to rally the troops, </w:t>
      </w:r>
      <w:r w:rsidR="000422C9">
        <w:rPr>
          <w:rFonts w:cs="Times New Roman"/>
          <w:i/>
        </w:rPr>
        <w:t>war-cry</w:t>
      </w:r>
      <w:r w:rsidR="000422C9">
        <w:rPr>
          <w:rFonts w:cs="Times New Roman"/>
        </w:rPr>
        <w:t xml:space="preserve"> </w:t>
      </w:r>
      <w:r w:rsidR="0034652F">
        <w:rPr>
          <w:rFonts w:cs="Times New Roman"/>
        </w:rPr>
        <w:t xml:space="preserve">cannot be excluded </w:t>
      </w:r>
      <w:r w:rsidR="000422C9">
        <w:rPr>
          <w:rFonts w:cs="Times New Roman"/>
        </w:rPr>
        <w:t>as a possible meaning in this context</w:t>
      </w:r>
      <w:r w:rsidR="00813A05">
        <w:rPr>
          <w:rFonts w:cs="Times New Roman"/>
        </w:rPr>
        <w:t>: this is especially true given that Cyrus’s army knows it is about to engage battle</w:t>
      </w:r>
      <w:r w:rsidR="00AD778A">
        <w:rPr>
          <w:rFonts w:cs="Times New Roman"/>
        </w:rPr>
        <w:t xml:space="preserve"> imminently</w:t>
      </w:r>
      <w:r w:rsidR="00813A05">
        <w:rPr>
          <w:rFonts w:cs="Times New Roman"/>
        </w:rPr>
        <w:t xml:space="preserve">. </w:t>
      </w:r>
      <w:r w:rsidR="00813A05">
        <w:rPr>
          <w:rFonts w:cs="Times New Roman"/>
          <w:i/>
        </w:rPr>
        <w:t>kai</w:t>
      </w:r>
      <w:r w:rsidR="006C248B">
        <w:rPr>
          <w:rFonts w:cs="Times New Roman"/>
          <w:i/>
        </w:rPr>
        <w:t xml:space="preserve"> hos </w:t>
      </w:r>
      <w:proofErr w:type="spellStart"/>
      <w:r w:rsidR="006C248B">
        <w:rPr>
          <w:rFonts w:cs="Times New Roman"/>
          <w:i/>
        </w:rPr>
        <w:t>ethaumase</w:t>
      </w:r>
      <w:proofErr w:type="spellEnd"/>
      <w:r w:rsidR="006C248B">
        <w:rPr>
          <w:rFonts w:cs="Times New Roman"/>
        </w:rPr>
        <w:t>: Xenophon shifts to Cyrus as his subject, this time with the relative pronoun and an aorist active verb rather than a participle.</w:t>
      </w:r>
      <w:r w:rsidR="006C248B">
        <w:rPr>
          <w:rFonts w:cs="Times New Roman"/>
          <w:i/>
        </w:rPr>
        <w:t xml:space="preserve"> tis </w:t>
      </w:r>
      <w:proofErr w:type="spellStart"/>
      <w:r w:rsidR="006C248B">
        <w:rPr>
          <w:rFonts w:cs="Times New Roman"/>
          <w:i/>
        </w:rPr>
        <w:t>paraggelei</w:t>
      </w:r>
      <w:proofErr w:type="spellEnd"/>
      <w:r w:rsidR="006C248B">
        <w:rPr>
          <w:rFonts w:cs="Times New Roman"/>
          <w:i/>
        </w:rPr>
        <w:t xml:space="preserve"> kai </w:t>
      </w:r>
      <w:proofErr w:type="spellStart"/>
      <w:r w:rsidR="006C248B">
        <w:rPr>
          <w:rFonts w:cs="Times New Roman"/>
          <w:i/>
        </w:rPr>
        <w:t>ēreto</w:t>
      </w:r>
      <w:proofErr w:type="spellEnd"/>
      <w:r w:rsidR="006C248B">
        <w:rPr>
          <w:rFonts w:cs="Times New Roman"/>
          <w:i/>
        </w:rPr>
        <w:t xml:space="preserve"> ho </w:t>
      </w:r>
      <w:proofErr w:type="spellStart"/>
      <w:r w:rsidR="006C248B">
        <w:rPr>
          <w:rFonts w:cs="Times New Roman"/>
          <w:i/>
        </w:rPr>
        <w:t>ti</w:t>
      </w:r>
      <w:proofErr w:type="spellEnd"/>
      <w:r w:rsidR="006C248B">
        <w:rPr>
          <w:rFonts w:cs="Times New Roman"/>
          <w:i/>
        </w:rPr>
        <w:t xml:space="preserve"> </w:t>
      </w:r>
      <w:proofErr w:type="spellStart"/>
      <w:r w:rsidR="006C248B">
        <w:rPr>
          <w:rFonts w:cs="Times New Roman"/>
          <w:i/>
        </w:rPr>
        <w:t>eiē</w:t>
      </w:r>
      <w:proofErr w:type="spellEnd"/>
      <w:r w:rsidR="006C248B">
        <w:rPr>
          <w:rFonts w:cs="Times New Roman"/>
          <w:i/>
        </w:rPr>
        <w:t xml:space="preserve"> to </w:t>
      </w:r>
      <w:proofErr w:type="spellStart"/>
      <w:r w:rsidR="006C248B">
        <w:rPr>
          <w:rFonts w:cs="Times New Roman"/>
          <w:i/>
        </w:rPr>
        <w:t>sunthēma</w:t>
      </w:r>
      <w:proofErr w:type="spellEnd"/>
      <w:r w:rsidR="006C248B">
        <w:rPr>
          <w:rFonts w:cs="Times New Roman"/>
          <w:i/>
        </w:rPr>
        <w:t>:</w:t>
      </w:r>
      <w:r w:rsidR="006C248B">
        <w:rPr>
          <w:rFonts w:cs="Times New Roman"/>
        </w:rPr>
        <w:t xml:space="preserve"> It is striking here that Cyrus</w:t>
      </w:r>
      <w:r w:rsidR="00EA4133">
        <w:rPr>
          <w:rFonts w:cs="Times New Roman"/>
        </w:rPr>
        <w:t>,</w:t>
      </w:r>
      <w:r w:rsidR="006C248B">
        <w:rPr>
          <w:rFonts w:cs="Times New Roman"/>
        </w:rPr>
        <w:t xml:space="preserve"> as the commander-in-chief of the army</w:t>
      </w:r>
      <w:r w:rsidR="00EA4133">
        <w:rPr>
          <w:rFonts w:cs="Times New Roman"/>
        </w:rPr>
        <w:t>,</w:t>
      </w:r>
      <w:r w:rsidR="006C248B">
        <w:rPr>
          <w:rFonts w:cs="Times New Roman"/>
        </w:rPr>
        <w:t xml:space="preserve"> is both surprised by the </w:t>
      </w:r>
      <w:proofErr w:type="spellStart"/>
      <w:r w:rsidR="006C248B">
        <w:rPr>
          <w:rFonts w:cs="Times New Roman"/>
          <w:i/>
        </w:rPr>
        <w:t>sunthēma</w:t>
      </w:r>
      <w:proofErr w:type="spellEnd"/>
      <w:r w:rsidR="006C248B">
        <w:rPr>
          <w:rFonts w:cs="Times New Roman"/>
        </w:rPr>
        <w:t xml:space="preserve"> and unaware of what it was. </w:t>
      </w:r>
      <w:r w:rsidR="00C925D8">
        <w:rPr>
          <w:rFonts w:cs="Times New Roman"/>
        </w:rPr>
        <w:t>Steadman asserts plainly that “Cyrus normally gives the word, so someone has usurped Cyrus’s privilege,” but he does not elaborate further</w:t>
      </w:r>
      <w:r w:rsidR="00CE4894">
        <w:rPr>
          <w:rFonts w:cs="Times New Roman"/>
        </w:rPr>
        <w:t xml:space="preserve"> as to why this might have occurred</w:t>
      </w:r>
      <w:r w:rsidR="00C925D8">
        <w:rPr>
          <w:rFonts w:cs="Times New Roman"/>
        </w:rPr>
        <w:t>.</w:t>
      </w:r>
      <w:r w:rsidR="00C925D8">
        <w:rPr>
          <w:rStyle w:val="FootnoteReference"/>
          <w:rFonts w:cs="Times New Roman"/>
        </w:rPr>
        <w:footnoteReference w:id="14"/>
      </w:r>
      <w:r w:rsidR="00C925D8">
        <w:rPr>
          <w:rFonts w:cs="Times New Roman"/>
        </w:rPr>
        <w:t xml:space="preserve"> </w:t>
      </w:r>
      <w:proofErr w:type="spellStart"/>
      <w:r w:rsidR="006C248B">
        <w:rPr>
          <w:rFonts w:cs="Times New Roman"/>
        </w:rPr>
        <w:t>Lendle</w:t>
      </w:r>
      <w:proofErr w:type="spellEnd"/>
      <w:r w:rsidR="006C248B">
        <w:rPr>
          <w:rFonts w:cs="Times New Roman"/>
        </w:rPr>
        <w:t xml:space="preserve"> argues that Cyrus was surprised both because he </w:t>
      </w:r>
      <w:r w:rsidR="00282AB9">
        <w:rPr>
          <w:rFonts w:cs="Times New Roman"/>
        </w:rPr>
        <w:t xml:space="preserve">did not think the fighting would take place so soon and because he assumed he would have a role to play in creating the </w:t>
      </w:r>
      <w:proofErr w:type="spellStart"/>
      <w:r w:rsidR="00282AB9">
        <w:rPr>
          <w:rFonts w:cs="Times New Roman"/>
          <w:i/>
        </w:rPr>
        <w:t>sunthēma</w:t>
      </w:r>
      <w:proofErr w:type="spellEnd"/>
      <w:r w:rsidR="00EA4133">
        <w:rPr>
          <w:rFonts w:cs="Times New Roman"/>
        </w:rPr>
        <w:t xml:space="preserve">; he adds that it was likely worrisome for Cyrus that the </w:t>
      </w:r>
      <w:proofErr w:type="spellStart"/>
      <w:r w:rsidR="00EA4133">
        <w:rPr>
          <w:rFonts w:cs="Times New Roman"/>
          <w:i/>
        </w:rPr>
        <w:t>sunthēma</w:t>
      </w:r>
      <w:proofErr w:type="spellEnd"/>
      <w:r w:rsidR="00EA4133">
        <w:rPr>
          <w:rFonts w:cs="Times New Roman"/>
        </w:rPr>
        <w:t xml:space="preserve"> was determined without his input</w:t>
      </w:r>
      <w:r w:rsidR="00282AB9">
        <w:rPr>
          <w:rFonts w:cs="Times New Roman"/>
        </w:rPr>
        <w:t>.</w:t>
      </w:r>
      <w:r w:rsidR="00282AB9">
        <w:rPr>
          <w:rStyle w:val="FootnoteReference"/>
          <w:rFonts w:cs="Times New Roman"/>
        </w:rPr>
        <w:footnoteReference w:id="15"/>
      </w:r>
      <w:r w:rsidR="00EA4133">
        <w:rPr>
          <w:rFonts w:cs="Times New Roman"/>
        </w:rPr>
        <w:t xml:space="preserve"> While it is possible that, as </w:t>
      </w:r>
      <w:proofErr w:type="spellStart"/>
      <w:r w:rsidR="00EA4133">
        <w:rPr>
          <w:rFonts w:cs="Times New Roman"/>
        </w:rPr>
        <w:t>Lendle</w:t>
      </w:r>
      <w:proofErr w:type="spellEnd"/>
      <w:r w:rsidR="00EA4133">
        <w:rPr>
          <w:rFonts w:cs="Times New Roman"/>
        </w:rPr>
        <w:t xml:space="preserve"> suggests, the emergence of the </w:t>
      </w:r>
      <w:proofErr w:type="spellStart"/>
      <w:r w:rsidR="00EA4133">
        <w:rPr>
          <w:rFonts w:cs="Times New Roman"/>
          <w:i/>
        </w:rPr>
        <w:t>sunthēma</w:t>
      </w:r>
      <w:proofErr w:type="spellEnd"/>
      <w:r w:rsidR="00EA4133">
        <w:rPr>
          <w:rFonts w:cs="Times New Roman"/>
        </w:rPr>
        <w:t xml:space="preserve"> without Cyrus’s involvement could point to the fact that the Greek phalanx was developing strongly </w:t>
      </w:r>
      <w:r w:rsidR="0034652F">
        <w:rPr>
          <w:rFonts w:cs="Times New Roman"/>
        </w:rPr>
        <w:t xml:space="preserve">at this stage in history </w:t>
      </w:r>
      <w:r w:rsidR="00EA4133">
        <w:rPr>
          <w:rFonts w:cs="Times New Roman"/>
        </w:rPr>
        <w:t xml:space="preserve">as independent units, it also could be the case that </w:t>
      </w:r>
      <w:r w:rsidR="00EA4133">
        <w:rPr>
          <w:rFonts w:cs="Times New Roman"/>
        </w:rPr>
        <w:lastRenderedPageBreak/>
        <w:t xml:space="preserve">Cyrus’s control over his army is not as strong as Xenophon suggests it was earlier in their march as described in I.5.7-8. </w:t>
      </w:r>
    </w:p>
    <w:p w14:paraId="0D9CB7E8" w14:textId="0CC107A8" w:rsidR="00EA4133" w:rsidRDefault="00EA4133" w:rsidP="00C3013C">
      <w:pPr>
        <w:spacing w:line="480" w:lineRule="auto"/>
        <w:jc w:val="left"/>
        <w:rPr>
          <w:rFonts w:cs="Times New Roman"/>
        </w:rPr>
      </w:pPr>
      <w:r>
        <w:rPr>
          <w:rFonts w:cs="Times New Roman"/>
          <w:u w:val="single"/>
        </w:rPr>
        <w:t>Commentary I.8.17:</w:t>
      </w:r>
      <w:r>
        <w:rPr>
          <w:rFonts w:cs="Times New Roman"/>
        </w:rPr>
        <w:t xml:space="preserve"> </w:t>
      </w:r>
      <w:r>
        <w:rPr>
          <w:rFonts w:cs="Times New Roman"/>
          <w:i/>
        </w:rPr>
        <w:t xml:space="preserve">ho de </w:t>
      </w:r>
      <w:proofErr w:type="spellStart"/>
      <w:r>
        <w:rPr>
          <w:rFonts w:cs="Times New Roman"/>
          <w:i/>
        </w:rPr>
        <w:t>Kuros</w:t>
      </w:r>
      <w:proofErr w:type="spellEnd"/>
      <w:r>
        <w:rPr>
          <w:rFonts w:cs="Times New Roman"/>
          <w:i/>
        </w:rPr>
        <w:t xml:space="preserve"> </w:t>
      </w:r>
      <w:proofErr w:type="spellStart"/>
      <w:r>
        <w:rPr>
          <w:rFonts w:cs="Times New Roman"/>
          <w:i/>
        </w:rPr>
        <w:t>akousas</w:t>
      </w:r>
      <w:proofErr w:type="spellEnd"/>
      <w:r>
        <w:rPr>
          <w:rFonts w:cs="Times New Roman"/>
        </w:rPr>
        <w:t xml:space="preserve">: Xenophon returns to his practice of changing subjects in his narrative with an aorist active participle. </w:t>
      </w:r>
      <w:r>
        <w:rPr>
          <w:rFonts w:cs="Times New Roman"/>
          <w:i/>
        </w:rPr>
        <w:t>“</w:t>
      </w:r>
      <w:proofErr w:type="spellStart"/>
      <w:r>
        <w:rPr>
          <w:rFonts w:cs="Times New Roman"/>
          <w:i/>
        </w:rPr>
        <w:t>alla</w:t>
      </w:r>
      <w:proofErr w:type="spellEnd"/>
      <w:r>
        <w:rPr>
          <w:rFonts w:cs="Times New Roman"/>
          <w:i/>
        </w:rPr>
        <w:t xml:space="preserve"> </w:t>
      </w:r>
      <w:proofErr w:type="spellStart"/>
      <w:r>
        <w:rPr>
          <w:rFonts w:cs="Times New Roman"/>
          <w:i/>
        </w:rPr>
        <w:t>dexomai</w:t>
      </w:r>
      <w:proofErr w:type="spellEnd"/>
      <w:r>
        <w:rPr>
          <w:rFonts w:cs="Times New Roman"/>
          <w:i/>
        </w:rPr>
        <w:t xml:space="preserve"> </w:t>
      </w:r>
      <w:proofErr w:type="spellStart"/>
      <w:r>
        <w:rPr>
          <w:rFonts w:cs="Times New Roman"/>
          <w:i/>
        </w:rPr>
        <w:t>te</w:t>
      </w:r>
      <w:proofErr w:type="spellEnd"/>
      <w:r>
        <w:rPr>
          <w:rFonts w:cs="Times New Roman"/>
          <w:i/>
        </w:rPr>
        <w:t xml:space="preserve">,” </w:t>
      </w:r>
      <w:proofErr w:type="spellStart"/>
      <w:r>
        <w:rPr>
          <w:rFonts w:cs="Times New Roman"/>
          <w:i/>
        </w:rPr>
        <w:t>ephē</w:t>
      </w:r>
      <w:proofErr w:type="spellEnd"/>
      <w:r>
        <w:rPr>
          <w:rFonts w:cs="Times New Roman"/>
        </w:rPr>
        <w:t>, “</w:t>
      </w:r>
      <w:r w:rsidRPr="00EA4133">
        <w:rPr>
          <w:rFonts w:cs="Times New Roman"/>
          <w:i/>
        </w:rPr>
        <w:t xml:space="preserve">kai </w:t>
      </w:r>
      <w:proofErr w:type="spellStart"/>
      <w:r w:rsidRPr="00EA4133">
        <w:rPr>
          <w:rFonts w:cs="Times New Roman"/>
          <w:i/>
        </w:rPr>
        <w:t>touto</w:t>
      </w:r>
      <w:proofErr w:type="spellEnd"/>
      <w:r w:rsidRPr="00EA4133">
        <w:rPr>
          <w:rFonts w:cs="Times New Roman"/>
          <w:i/>
        </w:rPr>
        <w:t xml:space="preserve"> </w:t>
      </w:r>
      <w:proofErr w:type="spellStart"/>
      <w:r w:rsidRPr="00EA4133">
        <w:rPr>
          <w:rFonts w:cs="Times New Roman"/>
          <w:i/>
        </w:rPr>
        <w:t>estō</w:t>
      </w:r>
      <w:proofErr w:type="spellEnd"/>
      <w:r>
        <w:rPr>
          <w:rFonts w:cs="Times New Roman"/>
        </w:rPr>
        <w:t xml:space="preserve">”: </w:t>
      </w:r>
      <w:r w:rsidR="00E72B03">
        <w:rPr>
          <w:rFonts w:cs="Times New Roman"/>
        </w:rPr>
        <w:t>Boise comments that “</w:t>
      </w:r>
      <w:proofErr w:type="spellStart"/>
      <w:r w:rsidR="00E72B03">
        <w:rPr>
          <w:rFonts w:cs="Times New Roman"/>
          <w:i/>
        </w:rPr>
        <w:t>alla</w:t>
      </w:r>
      <w:proofErr w:type="spellEnd"/>
      <w:r w:rsidR="00E72B03">
        <w:rPr>
          <w:rFonts w:cs="Times New Roman"/>
        </w:rPr>
        <w:t xml:space="preserve"> denotes the sudden change in [Cyrus’s] thoughts, from the doubt which filled his mind when he asked ‘</w:t>
      </w:r>
      <w:r w:rsidR="00E72B03">
        <w:rPr>
          <w:rFonts w:cs="Times New Roman"/>
          <w:i/>
        </w:rPr>
        <w:t>what the noise was</w:t>
      </w:r>
      <w:r w:rsidR="00E72B03">
        <w:rPr>
          <w:rFonts w:cs="Times New Roman"/>
        </w:rPr>
        <w:t>’ in the Grecian ranks, to the animation with which he said ‘</w:t>
      </w:r>
      <w:r w:rsidR="00E72B03">
        <w:rPr>
          <w:rFonts w:cs="Times New Roman"/>
          <w:i/>
        </w:rPr>
        <w:t>I both accept it and let it be</w:t>
      </w:r>
      <w:r w:rsidR="00E72B03">
        <w:rPr>
          <w:rFonts w:cs="Times New Roman"/>
        </w:rPr>
        <w:t>’ (thus).”</w:t>
      </w:r>
      <w:r w:rsidR="00E72B03">
        <w:rPr>
          <w:rStyle w:val="FootnoteReference"/>
          <w:rFonts w:cs="Times New Roman"/>
        </w:rPr>
        <w:footnoteReference w:id="16"/>
      </w:r>
      <w:r w:rsidR="00E72B03">
        <w:rPr>
          <w:rFonts w:cs="Times New Roman"/>
        </w:rPr>
        <w:t xml:space="preserve"> Yet Cyrus’s eager acceptance of the </w:t>
      </w:r>
      <w:proofErr w:type="spellStart"/>
      <w:r w:rsidR="00E72B03">
        <w:rPr>
          <w:rFonts w:cs="Times New Roman"/>
          <w:i/>
        </w:rPr>
        <w:t>sunthēma</w:t>
      </w:r>
      <w:proofErr w:type="spellEnd"/>
      <w:r w:rsidR="00E72B03">
        <w:rPr>
          <w:rFonts w:cs="Times New Roman"/>
          <w:i/>
        </w:rPr>
        <w:t xml:space="preserve"> </w:t>
      </w:r>
      <w:r w:rsidR="00E72B03">
        <w:rPr>
          <w:rFonts w:cs="Times New Roman"/>
        </w:rPr>
        <w:t xml:space="preserve">created without him can just as easily be interpreted negatively: </w:t>
      </w:r>
      <w:proofErr w:type="spellStart"/>
      <w:r w:rsidR="00E72B03">
        <w:rPr>
          <w:rFonts w:cs="Times New Roman"/>
        </w:rPr>
        <w:t>Antrich</w:t>
      </w:r>
      <w:proofErr w:type="spellEnd"/>
      <w:r w:rsidR="00E72B03">
        <w:rPr>
          <w:rFonts w:cs="Times New Roman"/>
        </w:rPr>
        <w:t xml:space="preserve"> and Usher point out that Cyrus “had little choice but to accept it.”</w:t>
      </w:r>
      <w:r w:rsidR="00E72B03">
        <w:rPr>
          <w:rStyle w:val="FootnoteReference"/>
          <w:rFonts w:cs="Times New Roman"/>
        </w:rPr>
        <w:footnoteReference w:id="17"/>
      </w:r>
      <w:r w:rsidR="00E72B03">
        <w:rPr>
          <w:rFonts w:cs="Times New Roman"/>
        </w:rPr>
        <w:t xml:space="preserve"> </w:t>
      </w:r>
      <w:proofErr w:type="spellStart"/>
      <w:r w:rsidR="002D7759">
        <w:rPr>
          <w:rFonts w:cs="Times New Roman"/>
          <w:i/>
        </w:rPr>
        <w:t>estō</w:t>
      </w:r>
      <w:proofErr w:type="spellEnd"/>
      <w:r w:rsidR="002D7759">
        <w:rPr>
          <w:rFonts w:cs="Times New Roman"/>
        </w:rPr>
        <w:t xml:space="preserve"> is the third person singular imperative of </w:t>
      </w:r>
      <w:proofErr w:type="spellStart"/>
      <w:r w:rsidR="002D7759">
        <w:rPr>
          <w:rFonts w:cs="Times New Roman"/>
          <w:i/>
        </w:rPr>
        <w:t>eimi</w:t>
      </w:r>
      <w:proofErr w:type="spellEnd"/>
      <w:r w:rsidR="002D7759">
        <w:rPr>
          <w:rFonts w:cs="Times New Roman"/>
        </w:rPr>
        <w:t xml:space="preserve">. </w:t>
      </w:r>
      <w:r w:rsidR="00232601">
        <w:rPr>
          <w:rFonts w:cs="Times New Roman"/>
        </w:rPr>
        <w:t xml:space="preserve">The complementary insights of </w:t>
      </w:r>
      <w:proofErr w:type="spellStart"/>
      <w:r w:rsidR="00232601">
        <w:rPr>
          <w:rFonts w:cs="Times New Roman"/>
        </w:rPr>
        <w:t>Antrich</w:t>
      </w:r>
      <w:proofErr w:type="spellEnd"/>
      <w:r w:rsidR="00232601">
        <w:rPr>
          <w:rFonts w:cs="Times New Roman"/>
        </w:rPr>
        <w:t xml:space="preserve"> and Usher and Boise </w:t>
      </w:r>
      <w:r w:rsidR="00277B09">
        <w:rPr>
          <w:rFonts w:cs="Times New Roman"/>
        </w:rPr>
        <w:t xml:space="preserve">also underscore the religious dimension of the </w:t>
      </w:r>
      <w:proofErr w:type="spellStart"/>
      <w:r w:rsidR="00277B09">
        <w:rPr>
          <w:rFonts w:cs="Times New Roman"/>
          <w:i/>
        </w:rPr>
        <w:t>sunthēma</w:t>
      </w:r>
      <w:proofErr w:type="spellEnd"/>
      <w:r w:rsidR="00277B09">
        <w:rPr>
          <w:rFonts w:cs="Times New Roman"/>
        </w:rPr>
        <w:t>, “</w:t>
      </w:r>
      <w:r w:rsidR="00277B09">
        <w:rPr>
          <w:rFonts w:cs="Times New Roman"/>
          <w:i/>
        </w:rPr>
        <w:t xml:space="preserve">Zeus </w:t>
      </w:r>
      <w:proofErr w:type="spellStart"/>
      <w:r w:rsidR="00277B09">
        <w:rPr>
          <w:rFonts w:cs="Times New Roman"/>
          <w:i/>
        </w:rPr>
        <w:t>sōtēr</w:t>
      </w:r>
      <w:proofErr w:type="spellEnd"/>
      <w:r w:rsidR="00277B09">
        <w:rPr>
          <w:rFonts w:cs="Times New Roman"/>
          <w:i/>
        </w:rPr>
        <w:t xml:space="preserve"> kai </w:t>
      </w:r>
      <w:proofErr w:type="spellStart"/>
      <w:r w:rsidR="00277B09">
        <w:rPr>
          <w:rFonts w:cs="Times New Roman"/>
          <w:i/>
        </w:rPr>
        <w:t>nikē</w:t>
      </w:r>
      <w:proofErr w:type="spellEnd"/>
      <w:r w:rsidR="00277B09">
        <w:rPr>
          <w:rFonts w:cs="Times New Roman"/>
        </w:rPr>
        <w:t xml:space="preserve">.” Zeus was associated with </w:t>
      </w:r>
      <w:r w:rsidR="00813F83">
        <w:rPr>
          <w:rFonts w:cs="Times New Roman"/>
        </w:rPr>
        <w:t>Zoroastrianism’s</w:t>
      </w:r>
      <w:r w:rsidR="00277B09">
        <w:rPr>
          <w:rFonts w:cs="Times New Roman"/>
        </w:rPr>
        <w:t xml:space="preserve"> God of Light</w:t>
      </w:r>
      <w:r w:rsidR="00813F83">
        <w:rPr>
          <w:rFonts w:cs="Times New Roman"/>
        </w:rPr>
        <w:t>, “whose embodiment on earth he hoped soon to be—as king;”</w:t>
      </w:r>
      <w:r w:rsidR="00813F83">
        <w:rPr>
          <w:rStyle w:val="FootnoteReference"/>
          <w:rFonts w:cs="Times New Roman"/>
        </w:rPr>
        <w:footnoteReference w:id="18"/>
      </w:r>
      <w:r w:rsidR="00813F83">
        <w:rPr>
          <w:rFonts w:cs="Times New Roman"/>
        </w:rPr>
        <w:t xml:space="preserve"> </w:t>
      </w:r>
      <w:r w:rsidR="00232601">
        <w:rPr>
          <w:rFonts w:cs="Times New Roman"/>
        </w:rPr>
        <w:t xml:space="preserve">and </w:t>
      </w:r>
      <w:r w:rsidR="00813F83">
        <w:rPr>
          <w:rFonts w:cs="Times New Roman"/>
        </w:rPr>
        <w:t xml:space="preserve">the verb </w:t>
      </w:r>
      <w:proofErr w:type="spellStart"/>
      <w:r w:rsidR="00813F83">
        <w:rPr>
          <w:rFonts w:cs="Times New Roman"/>
          <w:i/>
        </w:rPr>
        <w:t>dexomai</w:t>
      </w:r>
      <w:proofErr w:type="spellEnd"/>
      <w:r w:rsidR="00813F83">
        <w:rPr>
          <w:rFonts w:cs="Times New Roman"/>
        </w:rPr>
        <w:t xml:space="preserve"> “is the proper expression of one who recognizes a favorable sign and appropriates it to himself.”</w:t>
      </w:r>
      <w:r w:rsidR="00813F83">
        <w:rPr>
          <w:rStyle w:val="FootnoteReference"/>
          <w:rFonts w:cs="Times New Roman"/>
        </w:rPr>
        <w:footnoteReference w:id="19"/>
      </w:r>
      <w:r w:rsidR="00813F83">
        <w:rPr>
          <w:rFonts w:cs="Times New Roman"/>
        </w:rPr>
        <w:t xml:space="preserve"> Taken together, Cyrus’s response to the </w:t>
      </w:r>
      <w:proofErr w:type="spellStart"/>
      <w:r w:rsidR="00813F83">
        <w:rPr>
          <w:rFonts w:cs="Times New Roman"/>
          <w:i/>
        </w:rPr>
        <w:t>sunthēma</w:t>
      </w:r>
      <w:proofErr w:type="spellEnd"/>
      <w:r w:rsidR="00813F83">
        <w:rPr>
          <w:rFonts w:cs="Times New Roman"/>
        </w:rPr>
        <w:t xml:space="preserve"> that he did not create shows him trying to reassert his control over the situation while portraying himself and his cause as favored by the gods.</w:t>
      </w:r>
      <w:r w:rsidR="00277B09">
        <w:rPr>
          <w:rFonts w:cs="Times New Roman"/>
        </w:rPr>
        <w:t xml:space="preserve"> </w:t>
      </w:r>
      <w:proofErr w:type="spellStart"/>
      <w:r w:rsidR="002A29DC">
        <w:rPr>
          <w:rFonts w:cs="Times New Roman"/>
          <w:i/>
        </w:rPr>
        <w:t>tauta</w:t>
      </w:r>
      <w:proofErr w:type="spellEnd"/>
      <w:r w:rsidR="002A29DC">
        <w:rPr>
          <w:rFonts w:cs="Times New Roman"/>
          <w:i/>
        </w:rPr>
        <w:t xml:space="preserve"> d’ </w:t>
      </w:r>
      <w:proofErr w:type="spellStart"/>
      <w:r w:rsidR="002A29DC">
        <w:rPr>
          <w:rFonts w:cs="Times New Roman"/>
          <w:i/>
        </w:rPr>
        <w:t>eipōn</w:t>
      </w:r>
      <w:proofErr w:type="spellEnd"/>
      <w:r w:rsidR="002A29DC">
        <w:rPr>
          <w:rFonts w:cs="Times New Roman"/>
          <w:i/>
        </w:rPr>
        <w:t xml:space="preserve"> </w:t>
      </w:r>
      <w:proofErr w:type="spellStart"/>
      <w:r w:rsidR="002D7759">
        <w:rPr>
          <w:rFonts w:cs="Times New Roman"/>
          <w:i/>
        </w:rPr>
        <w:t>eis</w:t>
      </w:r>
      <w:proofErr w:type="spellEnd"/>
      <w:r w:rsidR="002D7759">
        <w:rPr>
          <w:rFonts w:cs="Times New Roman"/>
          <w:i/>
        </w:rPr>
        <w:t xml:space="preserve"> </w:t>
      </w:r>
      <w:proofErr w:type="spellStart"/>
      <w:r w:rsidR="002D7759">
        <w:rPr>
          <w:rFonts w:cs="Times New Roman"/>
          <w:i/>
        </w:rPr>
        <w:t>tēn</w:t>
      </w:r>
      <w:proofErr w:type="spellEnd"/>
      <w:r w:rsidR="002D7759">
        <w:rPr>
          <w:rFonts w:cs="Times New Roman"/>
          <w:i/>
        </w:rPr>
        <w:t xml:space="preserve"> </w:t>
      </w:r>
      <w:proofErr w:type="spellStart"/>
      <w:r w:rsidR="002D7759">
        <w:rPr>
          <w:rFonts w:cs="Times New Roman"/>
          <w:i/>
        </w:rPr>
        <w:t>hautou</w:t>
      </w:r>
      <w:proofErr w:type="spellEnd"/>
      <w:r w:rsidR="002A29DC">
        <w:rPr>
          <w:rFonts w:cs="Times New Roman"/>
          <w:i/>
        </w:rPr>
        <w:t xml:space="preserve"> </w:t>
      </w:r>
      <w:proofErr w:type="spellStart"/>
      <w:r w:rsidR="002A29DC">
        <w:rPr>
          <w:rFonts w:cs="Times New Roman"/>
          <w:i/>
        </w:rPr>
        <w:t>xōran</w:t>
      </w:r>
      <w:proofErr w:type="spellEnd"/>
      <w:r w:rsidR="002A29DC">
        <w:rPr>
          <w:rFonts w:cs="Times New Roman"/>
          <w:i/>
        </w:rPr>
        <w:t xml:space="preserve"> </w:t>
      </w:r>
      <w:proofErr w:type="spellStart"/>
      <w:r w:rsidR="002A29DC">
        <w:rPr>
          <w:rFonts w:cs="Times New Roman"/>
          <w:i/>
        </w:rPr>
        <w:t>apēlaune</w:t>
      </w:r>
      <w:proofErr w:type="spellEnd"/>
      <w:r w:rsidR="002A29DC">
        <w:rPr>
          <w:rFonts w:cs="Times New Roman"/>
        </w:rPr>
        <w:t xml:space="preserve">: The aorist </w:t>
      </w:r>
      <w:r w:rsidR="00232601">
        <w:rPr>
          <w:rFonts w:cs="Times New Roman"/>
        </w:rPr>
        <w:t xml:space="preserve">active </w:t>
      </w:r>
      <w:r w:rsidR="002A29DC">
        <w:rPr>
          <w:rFonts w:cs="Times New Roman"/>
        </w:rPr>
        <w:t>participle allows Xenophon to complete the scene, and the imperfect a</w:t>
      </w:r>
      <w:r w:rsidR="00232601">
        <w:rPr>
          <w:rFonts w:cs="Times New Roman"/>
        </w:rPr>
        <w:t>ctive verb then serves both as the</w:t>
      </w:r>
      <w:r w:rsidR="002A29DC">
        <w:rPr>
          <w:rFonts w:cs="Times New Roman"/>
        </w:rPr>
        <w:t xml:space="preserve"> physical transition of Cyrus to the point of battle and as</w:t>
      </w:r>
      <w:r w:rsidR="00232601">
        <w:rPr>
          <w:rFonts w:cs="Times New Roman"/>
        </w:rPr>
        <w:t xml:space="preserve"> the </w:t>
      </w:r>
      <w:r w:rsidR="002A29DC">
        <w:rPr>
          <w:rFonts w:cs="Times New Roman"/>
        </w:rPr>
        <w:t xml:space="preserve">literary transition to a new topic; the former transition, as an imperfect, makes Cyrus’s movement more vivid. </w:t>
      </w:r>
      <w:proofErr w:type="spellStart"/>
      <w:r w:rsidR="0034652F">
        <w:rPr>
          <w:rFonts w:cs="Times New Roman"/>
          <w:i/>
        </w:rPr>
        <w:t>dieixetēn</w:t>
      </w:r>
      <w:proofErr w:type="spellEnd"/>
      <w:r w:rsidR="0034652F">
        <w:rPr>
          <w:rFonts w:cs="Times New Roman"/>
          <w:i/>
        </w:rPr>
        <w:t xml:space="preserve"> </w:t>
      </w:r>
      <w:proofErr w:type="spellStart"/>
      <w:r w:rsidR="0034652F">
        <w:rPr>
          <w:rFonts w:cs="Times New Roman"/>
          <w:i/>
        </w:rPr>
        <w:t>t</w:t>
      </w:r>
      <w:r w:rsidR="00B47EE6">
        <w:rPr>
          <w:rFonts w:cs="Times New Roman"/>
          <w:i/>
        </w:rPr>
        <w:t>ō</w:t>
      </w:r>
      <w:proofErr w:type="spellEnd"/>
      <w:r w:rsidR="0034652F">
        <w:rPr>
          <w:rFonts w:cs="Times New Roman"/>
          <w:i/>
        </w:rPr>
        <w:t xml:space="preserve"> </w:t>
      </w:r>
      <w:proofErr w:type="spellStart"/>
      <w:r w:rsidR="0034652F">
        <w:rPr>
          <w:rFonts w:cs="Times New Roman"/>
          <w:i/>
        </w:rPr>
        <w:t>phalagg</w:t>
      </w:r>
      <w:r w:rsidR="00B47EE6">
        <w:rPr>
          <w:rFonts w:cs="Times New Roman"/>
          <w:i/>
        </w:rPr>
        <w:t>e</w:t>
      </w:r>
      <w:proofErr w:type="spellEnd"/>
      <w:r w:rsidR="00B47EE6">
        <w:rPr>
          <w:rFonts w:cs="Times New Roman"/>
        </w:rPr>
        <w:t>: the dual nominative, together with the dual form of the accusative, here show</w:t>
      </w:r>
      <w:r w:rsidR="00813F83">
        <w:rPr>
          <w:rFonts w:cs="Times New Roman"/>
        </w:rPr>
        <w:t>s</w:t>
      </w:r>
      <w:r w:rsidR="00B47EE6">
        <w:rPr>
          <w:rFonts w:cs="Times New Roman"/>
        </w:rPr>
        <w:t xml:space="preserve"> the two armies </w:t>
      </w:r>
      <w:r w:rsidR="00232601">
        <w:rPr>
          <w:rFonts w:cs="Times New Roman"/>
        </w:rPr>
        <w:t>position</w:t>
      </w:r>
      <w:r w:rsidR="00813F83">
        <w:rPr>
          <w:rFonts w:cs="Times New Roman"/>
        </w:rPr>
        <w:t xml:space="preserve">ed against each other </w:t>
      </w:r>
      <w:r w:rsidR="00B47EE6">
        <w:rPr>
          <w:rFonts w:cs="Times New Roman"/>
        </w:rPr>
        <w:t xml:space="preserve">on the verge of battle, now just three or four stadia from </w:t>
      </w:r>
      <w:r w:rsidR="00B47EE6">
        <w:rPr>
          <w:rFonts w:cs="Times New Roman"/>
        </w:rPr>
        <w:lastRenderedPageBreak/>
        <w:t>each other, or about half a mile.</w:t>
      </w:r>
      <w:r w:rsidR="00B47EE6">
        <w:rPr>
          <w:rStyle w:val="FootnoteReference"/>
          <w:rFonts w:cs="Times New Roman"/>
        </w:rPr>
        <w:footnoteReference w:id="20"/>
      </w:r>
      <w:r w:rsidR="00B47EE6">
        <w:rPr>
          <w:rFonts w:cs="Times New Roman"/>
        </w:rPr>
        <w:t xml:space="preserve"> </w:t>
      </w:r>
      <w:proofErr w:type="spellStart"/>
      <w:r w:rsidR="00196A3E" w:rsidRPr="00196A3E">
        <w:rPr>
          <w:rFonts w:cs="Times New Roman"/>
          <w:i/>
        </w:rPr>
        <w:t>epaianizon</w:t>
      </w:r>
      <w:proofErr w:type="spellEnd"/>
      <w:r w:rsidR="00196A3E">
        <w:rPr>
          <w:rFonts w:cs="Times New Roman"/>
          <w:i/>
        </w:rPr>
        <w:t xml:space="preserve"> </w:t>
      </w:r>
      <w:proofErr w:type="spellStart"/>
      <w:r w:rsidR="00196A3E">
        <w:rPr>
          <w:rFonts w:cs="Times New Roman"/>
          <w:i/>
        </w:rPr>
        <w:t>te</w:t>
      </w:r>
      <w:proofErr w:type="spellEnd"/>
      <w:r w:rsidR="00196A3E">
        <w:rPr>
          <w:rFonts w:cs="Times New Roman"/>
          <w:i/>
        </w:rPr>
        <w:t xml:space="preserve"> hoi </w:t>
      </w:r>
      <w:proofErr w:type="spellStart"/>
      <w:r w:rsidR="00196A3E">
        <w:rPr>
          <w:rFonts w:cs="Times New Roman"/>
          <w:i/>
        </w:rPr>
        <w:t>Hellēnes</w:t>
      </w:r>
      <w:proofErr w:type="spellEnd"/>
      <w:r w:rsidR="00196A3E">
        <w:rPr>
          <w:rFonts w:cs="Times New Roman"/>
        </w:rPr>
        <w:t>:</w:t>
      </w:r>
      <w:r w:rsidR="0099032A">
        <w:rPr>
          <w:rFonts w:cs="Times New Roman"/>
        </w:rPr>
        <w:t xml:space="preserve"> Before engaging in battle Greek soldiers sang a paean to enjoin the help of Apollo and to rouse the spirits of the men </w:t>
      </w:r>
      <w:r w:rsidR="00232601">
        <w:rPr>
          <w:rFonts w:cs="Times New Roman"/>
        </w:rPr>
        <w:t>who were about to fight</w:t>
      </w:r>
      <w:r w:rsidR="0099032A">
        <w:rPr>
          <w:rFonts w:cs="Times New Roman"/>
        </w:rPr>
        <w:t>.</w:t>
      </w:r>
      <w:r w:rsidR="0099032A">
        <w:rPr>
          <w:rStyle w:val="FootnoteReference"/>
          <w:rFonts w:cs="Times New Roman"/>
        </w:rPr>
        <w:footnoteReference w:id="21"/>
      </w:r>
      <w:r w:rsidR="0099032A">
        <w:rPr>
          <w:rFonts w:cs="Times New Roman"/>
        </w:rPr>
        <w:t xml:space="preserve"> The verb is imperfect, like the others in this section</w:t>
      </w:r>
      <w:r w:rsidR="007548CE">
        <w:rPr>
          <w:rFonts w:cs="Times New Roman"/>
        </w:rPr>
        <w:t xml:space="preserve"> (including </w:t>
      </w:r>
      <w:proofErr w:type="spellStart"/>
      <w:r w:rsidR="007548CE">
        <w:rPr>
          <w:rFonts w:cs="Times New Roman"/>
          <w:i/>
        </w:rPr>
        <w:t>ēpxonto</w:t>
      </w:r>
      <w:proofErr w:type="spellEnd"/>
      <w:r w:rsidR="007548CE">
        <w:rPr>
          <w:rFonts w:cs="Times New Roman"/>
        </w:rPr>
        <w:t xml:space="preserve"> in the next clause)</w:t>
      </w:r>
      <w:r w:rsidR="0099032A">
        <w:rPr>
          <w:rFonts w:cs="Times New Roman"/>
        </w:rPr>
        <w:t xml:space="preserve">, as it allows for Xenophon to describe these events as they unfolded in real time. </w:t>
      </w:r>
    </w:p>
    <w:p w14:paraId="106E6467" w14:textId="0C75ECE4" w:rsidR="007548CE" w:rsidRDefault="007548CE" w:rsidP="00DB0927">
      <w:pPr>
        <w:spacing w:line="480" w:lineRule="auto"/>
        <w:jc w:val="left"/>
        <w:rPr>
          <w:rFonts w:cs="Times New Roman"/>
        </w:rPr>
      </w:pPr>
      <w:r>
        <w:rPr>
          <w:rFonts w:cs="Times New Roman"/>
          <w:u w:val="single"/>
        </w:rPr>
        <w:t>Commentary I.8.18:</w:t>
      </w:r>
      <w:r>
        <w:rPr>
          <w:rFonts w:cs="Times New Roman"/>
        </w:rPr>
        <w:t xml:space="preserve"> </w:t>
      </w:r>
      <w:proofErr w:type="spellStart"/>
      <w:r>
        <w:rPr>
          <w:rFonts w:cs="Times New Roman"/>
          <w:i/>
        </w:rPr>
        <w:t>poreuomenōn</w:t>
      </w:r>
      <w:proofErr w:type="spellEnd"/>
      <w:r w:rsidR="007B56F5">
        <w:rPr>
          <w:rFonts w:cs="Times New Roman"/>
        </w:rPr>
        <w:t>: This participle forms a</w:t>
      </w:r>
      <w:r>
        <w:rPr>
          <w:rFonts w:cs="Times New Roman"/>
        </w:rPr>
        <w:t xml:space="preserve"> genitive absolute with the pronoun </w:t>
      </w:r>
      <w:proofErr w:type="spellStart"/>
      <w:r>
        <w:rPr>
          <w:rFonts w:cs="Times New Roman"/>
          <w:i/>
        </w:rPr>
        <w:t>autōn</w:t>
      </w:r>
      <w:proofErr w:type="spellEnd"/>
      <w:r>
        <w:rPr>
          <w:rFonts w:cs="Times New Roman"/>
        </w:rPr>
        <w:t xml:space="preserve"> omitted. Xenophon </w:t>
      </w:r>
      <w:r w:rsidR="00AB34E6">
        <w:rPr>
          <w:rFonts w:cs="Times New Roman"/>
        </w:rPr>
        <w:t>occasionally</w:t>
      </w:r>
      <w:r>
        <w:rPr>
          <w:rFonts w:cs="Times New Roman"/>
        </w:rPr>
        <w:t xml:space="preserve"> transitions between scenes with a genitive absolute, and omits the pronoun </w:t>
      </w:r>
      <w:proofErr w:type="spellStart"/>
      <w:r>
        <w:rPr>
          <w:rFonts w:cs="Times New Roman"/>
          <w:i/>
        </w:rPr>
        <w:t>autōn</w:t>
      </w:r>
      <w:proofErr w:type="spellEnd"/>
      <w:r>
        <w:rPr>
          <w:rFonts w:cs="Times New Roman"/>
        </w:rPr>
        <w:t xml:space="preserve"> when doing so, as he does in I.6.1 (</w:t>
      </w:r>
      <w:proofErr w:type="spellStart"/>
      <w:r>
        <w:rPr>
          <w:rFonts w:cs="Times New Roman"/>
          <w:i/>
        </w:rPr>
        <w:t>proiontōn</w:t>
      </w:r>
      <w:proofErr w:type="spellEnd"/>
      <w:r>
        <w:rPr>
          <w:rFonts w:cs="Times New Roman"/>
        </w:rPr>
        <w:t xml:space="preserve">) and </w:t>
      </w:r>
      <w:r w:rsidR="005D3A2B">
        <w:rPr>
          <w:rFonts w:cs="Times New Roman"/>
        </w:rPr>
        <w:t>in I.10.6</w:t>
      </w:r>
      <w:r w:rsidR="00AB34E6">
        <w:rPr>
          <w:rFonts w:cs="Times New Roman"/>
        </w:rPr>
        <w:t xml:space="preserve"> (</w:t>
      </w:r>
      <w:proofErr w:type="spellStart"/>
      <w:r w:rsidR="00AB34E6">
        <w:rPr>
          <w:rFonts w:cs="Times New Roman"/>
          <w:i/>
        </w:rPr>
        <w:t>prosiontos</w:t>
      </w:r>
      <w:proofErr w:type="spellEnd"/>
      <w:r w:rsidR="00AB34E6">
        <w:rPr>
          <w:rFonts w:cs="Times New Roman"/>
        </w:rPr>
        <w:t xml:space="preserve">). </w:t>
      </w:r>
      <w:proofErr w:type="spellStart"/>
      <w:r w:rsidR="00AB34E6">
        <w:rPr>
          <w:rFonts w:cs="Times New Roman"/>
          <w:i/>
        </w:rPr>
        <w:t>exekumaine</w:t>
      </w:r>
      <w:proofErr w:type="spellEnd"/>
      <w:r w:rsidR="00AB34E6">
        <w:rPr>
          <w:rFonts w:cs="Times New Roman"/>
          <w:i/>
        </w:rPr>
        <w:t xml:space="preserve"> </w:t>
      </w:r>
      <w:proofErr w:type="spellStart"/>
      <w:r w:rsidR="00AB34E6">
        <w:rPr>
          <w:rFonts w:cs="Times New Roman"/>
          <w:i/>
        </w:rPr>
        <w:t>ti</w:t>
      </w:r>
      <w:proofErr w:type="spellEnd"/>
      <w:r w:rsidR="00AB34E6">
        <w:rPr>
          <w:rFonts w:cs="Times New Roman"/>
          <w:i/>
        </w:rPr>
        <w:t xml:space="preserve"> </w:t>
      </w:r>
      <w:proofErr w:type="spellStart"/>
      <w:r w:rsidR="00AB34E6">
        <w:rPr>
          <w:rFonts w:cs="Times New Roman"/>
          <w:i/>
        </w:rPr>
        <w:t>tēs</w:t>
      </w:r>
      <w:proofErr w:type="spellEnd"/>
      <w:r w:rsidR="00AB34E6">
        <w:rPr>
          <w:rFonts w:cs="Times New Roman"/>
          <w:i/>
        </w:rPr>
        <w:t xml:space="preserve"> </w:t>
      </w:r>
      <w:proofErr w:type="spellStart"/>
      <w:r w:rsidR="00AB34E6">
        <w:rPr>
          <w:rFonts w:cs="Times New Roman"/>
          <w:i/>
        </w:rPr>
        <w:t>phalaggos</w:t>
      </w:r>
      <w:proofErr w:type="spellEnd"/>
      <w:r w:rsidR="00AB34E6">
        <w:rPr>
          <w:rFonts w:cs="Times New Roman"/>
        </w:rPr>
        <w:t xml:space="preserve">: </w:t>
      </w:r>
      <w:r w:rsidR="00482F4E">
        <w:rPr>
          <w:rFonts w:cs="Times New Roman"/>
        </w:rPr>
        <w:t xml:space="preserve">“Part of the phalanx was swerving away from the battle line.” This fact suggests that this group of Cyrus’s soldiers either made a mistake, or lacked the discipline needed to remain in formation; again, the imperfect verb describes this action as it happens. </w:t>
      </w:r>
      <w:r w:rsidR="00482F4E">
        <w:rPr>
          <w:rFonts w:cs="Times New Roman"/>
          <w:i/>
        </w:rPr>
        <w:t xml:space="preserve">to </w:t>
      </w:r>
      <w:proofErr w:type="spellStart"/>
      <w:r w:rsidR="00482F4E">
        <w:rPr>
          <w:rFonts w:cs="Times New Roman"/>
          <w:i/>
        </w:rPr>
        <w:t>hupoleipomenon</w:t>
      </w:r>
      <w:proofErr w:type="spellEnd"/>
      <w:r w:rsidR="00482F4E">
        <w:rPr>
          <w:rFonts w:cs="Times New Roman"/>
          <w:i/>
        </w:rPr>
        <w:t xml:space="preserve"> </w:t>
      </w:r>
      <w:proofErr w:type="spellStart"/>
      <w:r w:rsidR="00482F4E">
        <w:rPr>
          <w:rFonts w:cs="Times New Roman"/>
          <w:i/>
        </w:rPr>
        <w:t>ērxato</w:t>
      </w:r>
      <w:proofErr w:type="spellEnd"/>
      <w:r w:rsidR="00482F4E">
        <w:rPr>
          <w:rFonts w:cs="Times New Roman"/>
        </w:rPr>
        <w:t xml:space="preserve"> </w:t>
      </w:r>
      <w:proofErr w:type="spellStart"/>
      <w:r w:rsidR="00482F4E" w:rsidRPr="00482F4E">
        <w:rPr>
          <w:rFonts w:cs="Times New Roman"/>
          <w:i/>
        </w:rPr>
        <w:t>dromō</w:t>
      </w:r>
      <w:proofErr w:type="spellEnd"/>
      <w:r w:rsidR="00482F4E" w:rsidRPr="00482F4E">
        <w:rPr>
          <w:rFonts w:cs="Times New Roman"/>
          <w:i/>
        </w:rPr>
        <w:t xml:space="preserve"> t</w:t>
      </w:r>
      <w:r w:rsidR="00482F4E">
        <w:rPr>
          <w:rFonts w:cs="Times New Roman"/>
          <w:i/>
        </w:rPr>
        <w:t>hein</w:t>
      </w:r>
      <w:r w:rsidR="00482F4E">
        <w:rPr>
          <w:rFonts w:cs="Times New Roman"/>
        </w:rPr>
        <w:t xml:space="preserve">: As part of the phalanx broke off, the remaining part of the line rushes forward </w:t>
      </w:r>
      <w:r w:rsidR="00532034">
        <w:rPr>
          <w:rFonts w:cs="Times New Roman"/>
        </w:rPr>
        <w:t>“to catch up with the others and prevent gaps appearing in the line</w:t>
      </w:r>
      <w:r w:rsidR="007B56F5">
        <w:rPr>
          <w:rFonts w:cs="Times New Roman"/>
        </w:rPr>
        <w:t>;”</w:t>
      </w:r>
      <w:r w:rsidR="00532034">
        <w:rPr>
          <w:rStyle w:val="FootnoteReference"/>
          <w:rFonts w:cs="Times New Roman"/>
        </w:rPr>
        <w:footnoteReference w:id="22"/>
      </w:r>
      <w:r w:rsidR="007B56F5">
        <w:rPr>
          <w:rFonts w:cs="Times New Roman"/>
        </w:rPr>
        <w:t xml:space="preserve"> </w:t>
      </w:r>
      <w:proofErr w:type="spellStart"/>
      <w:r w:rsidR="007B56F5" w:rsidRPr="00482F4E">
        <w:rPr>
          <w:rFonts w:cs="Times New Roman"/>
          <w:i/>
        </w:rPr>
        <w:t>dromō</w:t>
      </w:r>
      <w:proofErr w:type="spellEnd"/>
      <w:r w:rsidR="007B56F5">
        <w:rPr>
          <w:rFonts w:cs="Times New Roman"/>
        </w:rPr>
        <w:t xml:space="preserve"> here functions as the dative of manner.</w:t>
      </w:r>
      <w:r w:rsidR="00482F4E">
        <w:rPr>
          <w:rFonts w:cs="Times New Roman"/>
        </w:rPr>
        <w:t xml:space="preserve"> With</w:t>
      </w:r>
      <w:r w:rsidR="00532034">
        <w:rPr>
          <w:rFonts w:cs="Times New Roman"/>
        </w:rPr>
        <w:t xml:space="preserve"> the first aorist verb in some time, Xenophon here emphasizes the initiation of the action on the part of the main line in response to the part that had just billowed out. </w:t>
      </w:r>
      <w:proofErr w:type="spellStart"/>
      <w:r w:rsidR="00532034">
        <w:rPr>
          <w:rFonts w:cs="Times New Roman"/>
          <w:i/>
        </w:rPr>
        <w:t>ephthegzanto</w:t>
      </w:r>
      <w:proofErr w:type="spellEnd"/>
      <w:r w:rsidR="008449F0">
        <w:rPr>
          <w:rFonts w:cs="Times New Roman"/>
          <w:i/>
        </w:rPr>
        <w:t xml:space="preserve"> </w:t>
      </w:r>
      <w:proofErr w:type="spellStart"/>
      <w:r w:rsidR="008449F0">
        <w:rPr>
          <w:rFonts w:cs="Times New Roman"/>
          <w:i/>
        </w:rPr>
        <w:t>pantes</w:t>
      </w:r>
      <w:proofErr w:type="spellEnd"/>
      <w:r w:rsidR="008449F0">
        <w:rPr>
          <w:rFonts w:cs="Times New Roman"/>
          <w:i/>
        </w:rPr>
        <w:t xml:space="preserve"> </w:t>
      </w:r>
      <w:proofErr w:type="spellStart"/>
      <w:r w:rsidR="008449F0">
        <w:rPr>
          <w:rFonts w:cs="Times New Roman"/>
          <w:i/>
        </w:rPr>
        <w:t>hoion</w:t>
      </w:r>
      <w:proofErr w:type="spellEnd"/>
      <w:r w:rsidR="008449F0">
        <w:rPr>
          <w:rFonts w:cs="Times New Roman"/>
          <w:i/>
        </w:rPr>
        <w:t xml:space="preserve"> </w:t>
      </w:r>
      <w:proofErr w:type="spellStart"/>
      <w:r w:rsidR="008449F0">
        <w:rPr>
          <w:rFonts w:cs="Times New Roman"/>
          <w:i/>
        </w:rPr>
        <w:t>tō</w:t>
      </w:r>
      <w:proofErr w:type="spellEnd"/>
      <w:r w:rsidR="008449F0">
        <w:rPr>
          <w:rFonts w:cs="Times New Roman"/>
          <w:i/>
        </w:rPr>
        <w:t xml:space="preserve"> </w:t>
      </w:r>
      <w:proofErr w:type="spellStart"/>
      <w:r w:rsidR="008449F0">
        <w:rPr>
          <w:rFonts w:cs="Times New Roman"/>
          <w:i/>
        </w:rPr>
        <w:t>Enualiō</w:t>
      </w:r>
      <w:proofErr w:type="spellEnd"/>
      <w:r w:rsidR="008449F0">
        <w:rPr>
          <w:rFonts w:cs="Times New Roman"/>
          <w:i/>
        </w:rPr>
        <w:t xml:space="preserve"> </w:t>
      </w:r>
      <w:proofErr w:type="spellStart"/>
      <w:r w:rsidR="008449F0">
        <w:rPr>
          <w:rFonts w:cs="Times New Roman"/>
          <w:i/>
        </w:rPr>
        <w:t>elelizousi</w:t>
      </w:r>
      <w:proofErr w:type="spellEnd"/>
      <w:r w:rsidR="008449F0">
        <w:rPr>
          <w:rFonts w:cs="Times New Roman"/>
        </w:rPr>
        <w:t xml:space="preserve">: The hoplites let out a cry to Ares, here invoked by his title </w:t>
      </w:r>
      <w:proofErr w:type="spellStart"/>
      <w:r w:rsidR="008449F0">
        <w:rPr>
          <w:rFonts w:cs="Times New Roman"/>
        </w:rPr>
        <w:t>Enyalios</w:t>
      </w:r>
      <w:proofErr w:type="spellEnd"/>
      <w:r w:rsidR="008449F0">
        <w:rPr>
          <w:rFonts w:cs="Times New Roman"/>
        </w:rPr>
        <w:t>, “Warlike;”</w:t>
      </w:r>
      <w:r w:rsidR="008449F0">
        <w:rPr>
          <w:rStyle w:val="FootnoteReference"/>
          <w:rFonts w:cs="Times New Roman"/>
        </w:rPr>
        <w:footnoteReference w:id="23"/>
      </w:r>
      <w:r w:rsidR="008449F0">
        <w:rPr>
          <w:rFonts w:cs="Times New Roman"/>
        </w:rPr>
        <w:t xml:space="preserve"> Boise adds that these words were actually shouted in battle after the paean was sung.</w:t>
      </w:r>
      <w:r w:rsidR="008449F0">
        <w:rPr>
          <w:rStyle w:val="FootnoteReference"/>
          <w:rFonts w:cs="Times New Roman"/>
        </w:rPr>
        <w:footnoteReference w:id="24"/>
      </w:r>
      <w:r w:rsidR="00DB0927">
        <w:rPr>
          <w:rFonts w:cs="Times New Roman"/>
        </w:rPr>
        <w:t xml:space="preserve"> </w:t>
      </w:r>
      <w:proofErr w:type="spellStart"/>
      <w:r w:rsidR="00DB0927">
        <w:rPr>
          <w:rFonts w:cs="Times New Roman"/>
          <w:i/>
        </w:rPr>
        <w:t>legousi</w:t>
      </w:r>
      <w:proofErr w:type="spellEnd"/>
      <w:r w:rsidR="00DB0927">
        <w:rPr>
          <w:rFonts w:cs="Times New Roman"/>
          <w:i/>
        </w:rPr>
        <w:t xml:space="preserve"> de tines</w:t>
      </w:r>
      <w:r w:rsidR="00DB0927">
        <w:rPr>
          <w:rFonts w:cs="Times New Roman"/>
        </w:rPr>
        <w:t>: Xenophon breaks his imperfect tense narrative to cite the reports of others in the present tense; he does this just once prior in I.8.6, but in the passive with an infinitive (</w:t>
      </w:r>
      <w:proofErr w:type="spellStart"/>
      <w:r w:rsidR="00DB0927">
        <w:rPr>
          <w:rFonts w:cs="Times New Roman"/>
          <w:i/>
        </w:rPr>
        <w:t>legetai</w:t>
      </w:r>
      <w:proofErr w:type="spellEnd"/>
      <w:r w:rsidR="00DB0927">
        <w:rPr>
          <w:rFonts w:cs="Times New Roman"/>
        </w:rPr>
        <w:t>…</w:t>
      </w:r>
      <w:proofErr w:type="spellStart"/>
      <w:r w:rsidR="00DB0927">
        <w:rPr>
          <w:rFonts w:cs="Times New Roman"/>
          <w:i/>
        </w:rPr>
        <w:t>diakinduneuein</w:t>
      </w:r>
      <w:proofErr w:type="spellEnd"/>
      <w:r w:rsidR="00DB0927">
        <w:rPr>
          <w:rFonts w:cs="Times New Roman"/>
        </w:rPr>
        <w:t xml:space="preserve">). </w:t>
      </w:r>
      <w:proofErr w:type="spellStart"/>
      <w:r w:rsidR="005C3F2D">
        <w:rPr>
          <w:rFonts w:cs="Times New Roman"/>
          <w:i/>
        </w:rPr>
        <w:t>edoupēsan</w:t>
      </w:r>
      <w:proofErr w:type="spellEnd"/>
      <w:r w:rsidR="007B56F5">
        <w:rPr>
          <w:rFonts w:cs="Times New Roman"/>
        </w:rPr>
        <w:t xml:space="preserve">: This is a </w:t>
      </w:r>
      <w:r w:rsidR="005C3F2D">
        <w:rPr>
          <w:rFonts w:cs="Times New Roman"/>
        </w:rPr>
        <w:t xml:space="preserve">second use of the ingressive aorist in this </w:t>
      </w:r>
      <w:r w:rsidR="005C3F2D">
        <w:rPr>
          <w:rFonts w:cs="Times New Roman"/>
        </w:rPr>
        <w:lastRenderedPageBreak/>
        <w:t xml:space="preserve">recounting, with the same style and emphasis as with </w:t>
      </w:r>
      <w:proofErr w:type="spellStart"/>
      <w:r w:rsidR="005C3F2D">
        <w:rPr>
          <w:rFonts w:cs="Times New Roman"/>
          <w:i/>
        </w:rPr>
        <w:t>ērxato</w:t>
      </w:r>
      <w:proofErr w:type="spellEnd"/>
      <w:r w:rsidR="005C3F2D">
        <w:rPr>
          <w:rFonts w:cs="Times New Roman"/>
        </w:rPr>
        <w:t xml:space="preserve">, mentioned above. </w:t>
      </w:r>
      <w:proofErr w:type="spellStart"/>
      <w:r w:rsidR="005C3F2D">
        <w:rPr>
          <w:rFonts w:cs="Times New Roman"/>
          <w:i/>
        </w:rPr>
        <w:t>phobon</w:t>
      </w:r>
      <w:proofErr w:type="spellEnd"/>
      <w:r w:rsidR="005C3F2D">
        <w:rPr>
          <w:rFonts w:cs="Times New Roman"/>
          <w:i/>
        </w:rPr>
        <w:t xml:space="preserve"> </w:t>
      </w:r>
      <w:proofErr w:type="spellStart"/>
      <w:r w:rsidR="005C3F2D">
        <w:rPr>
          <w:rFonts w:cs="Times New Roman"/>
          <w:i/>
        </w:rPr>
        <w:t>poiountes</w:t>
      </w:r>
      <w:proofErr w:type="spellEnd"/>
      <w:r w:rsidR="005C3F2D">
        <w:rPr>
          <w:rFonts w:cs="Times New Roman"/>
          <w:i/>
        </w:rPr>
        <w:t xml:space="preserve"> </w:t>
      </w:r>
      <w:proofErr w:type="spellStart"/>
      <w:r w:rsidR="005C3F2D">
        <w:rPr>
          <w:rFonts w:cs="Times New Roman"/>
          <w:i/>
        </w:rPr>
        <w:t>tois</w:t>
      </w:r>
      <w:proofErr w:type="spellEnd"/>
      <w:r w:rsidR="005C3F2D">
        <w:rPr>
          <w:rFonts w:cs="Times New Roman"/>
          <w:i/>
        </w:rPr>
        <w:t xml:space="preserve"> </w:t>
      </w:r>
      <w:proofErr w:type="spellStart"/>
      <w:r w:rsidR="005C3F2D">
        <w:rPr>
          <w:rFonts w:cs="Times New Roman"/>
          <w:i/>
        </w:rPr>
        <w:t>hippois</w:t>
      </w:r>
      <w:proofErr w:type="spellEnd"/>
      <w:r w:rsidR="005C3F2D">
        <w:rPr>
          <w:rFonts w:cs="Times New Roman"/>
        </w:rPr>
        <w:t xml:space="preserve">: The present active participle describing the hoplites, as with the imperfect verbs used for most of the narrative, underscores the continuing situation for the horses on the cusp of combat. Boise adds that these are the horses of the enemy attached to the scythe-bearing chariots </w:t>
      </w:r>
      <w:r w:rsidR="007B56F5">
        <w:rPr>
          <w:rFonts w:cs="Times New Roman"/>
        </w:rPr>
        <w:t xml:space="preserve">that were </w:t>
      </w:r>
      <w:r w:rsidR="005C3F2D">
        <w:rPr>
          <w:rFonts w:cs="Times New Roman"/>
        </w:rPr>
        <w:t>described in I.8.10.</w:t>
      </w:r>
      <w:r w:rsidR="005C3F2D">
        <w:rPr>
          <w:rStyle w:val="FootnoteReference"/>
          <w:rFonts w:cs="Times New Roman"/>
        </w:rPr>
        <w:footnoteReference w:id="25"/>
      </w:r>
    </w:p>
    <w:p w14:paraId="1D3E1824" w14:textId="0DA0F98F" w:rsidR="00513B4F" w:rsidRDefault="00513B4F" w:rsidP="00DB0927">
      <w:pPr>
        <w:spacing w:line="480" w:lineRule="auto"/>
        <w:jc w:val="left"/>
        <w:rPr>
          <w:rFonts w:cs="Times New Roman"/>
        </w:rPr>
      </w:pPr>
      <w:r>
        <w:rPr>
          <w:rFonts w:cs="Times New Roman"/>
          <w:u w:val="single"/>
        </w:rPr>
        <w:t>Commentary I.8.19:</w:t>
      </w:r>
      <w:r>
        <w:rPr>
          <w:rFonts w:cs="Times New Roman"/>
        </w:rPr>
        <w:t xml:space="preserve"> </w:t>
      </w:r>
      <w:proofErr w:type="spellStart"/>
      <w:r>
        <w:rPr>
          <w:rFonts w:cs="Times New Roman"/>
          <w:i/>
        </w:rPr>
        <w:t>prin</w:t>
      </w:r>
      <w:proofErr w:type="spellEnd"/>
      <w:r>
        <w:rPr>
          <w:rFonts w:cs="Times New Roman"/>
          <w:i/>
        </w:rPr>
        <w:t xml:space="preserve"> de </w:t>
      </w:r>
      <w:proofErr w:type="spellStart"/>
      <w:r>
        <w:rPr>
          <w:rFonts w:cs="Times New Roman"/>
          <w:i/>
        </w:rPr>
        <w:t>toxeuma</w:t>
      </w:r>
      <w:proofErr w:type="spellEnd"/>
      <w:r>
        <w:rPr>
          <w:rFonts w:cs="Times New Roman"/>
          <w:i/>
        </w:rPr>
        <w:t xml:space="preserve"> </w:t>
      </w:r>
      <w:proofErr w:type="spellStart"/>
      <w:r>
        <w:rPr>
          <w:rFonts w:cs="Times New Roman"/>
          <w:i/>
        </w:rPr>
        <w:t>exikneishai</w:t>
      </w:r>
      <w:proofErr w:type="spellEnd"/>
      <w:r>
        <w:rPr>
          <w:rFonts w:cs="Times New Roman"/>
        </w:rPr>
        <w:t>: T</w:t>
      </w:r>
      <w:r w:rsidR="007B56F5">
        <w:rPr>
          <w:rFonts w:cs="Times New Roman"/>
        </w:rPr>
        <w:t>his is a t</w:t>
      </w:r>
      <w:r>
        <w:rPr>
          <w:rFonts w:cs="Times New Roman"/>
        </w:rPr>
        <w:t xml:space="preserve">emporal infinitive indicating prior time with </w:t>
      </w:r>
      <w:proofErr w:type="spellStart"/>
      <w:r>
        <w:rPr>
          <w:rFonts w:cs="Times New Roman"/>
          <w:i/>
        </w:rPr>
        <w:t>toxeuma</w:t>
      </w:r>
      <w:proofErr w:type="spellEnd"/>
      <w:r w:rsidR="007B56F5">
        <w:rPr>
          <w:rFonts w:cs="Times New Roman"/>
        </w:rPr>
        <w:t xml:space="preserve"> as the accusative subject—</w:t>
      </w:r>
      <w:r>
        <w:rPr>
          <w:rFonts w:cs="Times New Roman"/>
        </w:rPr>
        <w:t xml:space="preserve">“before the arrows arrived.” </w:t>
      </w:r>
      <w:proofErr w:type="spellStart"/>
      <w:r w:rsidR="00622350">
        <w:rPr>
          <w:rFonts w:cs="Times New Roman"/>
          <w:i/>
        </w:rPr>
        <w:t>ekklinousin</w:t>
      </w:r>
      <w:proofErr w:type="spellEnd"/>
      <w:r w:rsidR="00622350">
        <w:rPr>
          <w:rFonts w:cs="Times New Roman"/>
          <w:i/>
        </w:rPr>
        <w:t xml:space="preserve"> hoi </w:t>
      </w:r>
      <w:proofErr w:type="spellStart"/>
      <w:r w:rsidR="00622350">
        <w:rPr>
          <w:rFonts w:cs="Times New Roman"/>
          <w:i/>
        </w:rPr>
        <w:t>barbaroi</w:t>
      </w:r>
      <w:proofErr w:type="spellEnd"/>
      <w:r w:rsidR="00622350">
        <w:rPr>
          <w:rFonts w:cs="Times New Roman"/>
          <w:i/>
        </w:rPr>
        <w:t xml:space="preserve"> kai </w:t>
      </w:r>
      <w:proofErr w:type="spellStart"/>
      <w:r w:rsidR="00622350">
        <w:rPr>
          <w:rFonts w:cs="Times New Roman"/>
          <w:i/>
        </w:rPr>
        <w:t>pheugousi</w:t>
      </w:r>
      <w:proofErr w:type="spellEnd"/>
      <w:r w:rsidR="00622350">
        <w:rPr>
          <w:rFonts w:cs="Times New Roman"/>
        </w:rPr>
        <w:t xml:space="preserve">: Xenophon provides no explanation for why </w:t>
      </w:r>
      <w:r w:rsidR="00234C96">
        <w:rPr>
          <w:rFonts w:cs="Times New Roman"/>
        </w:rPr>
        <w:t>the Persian</w:t>
      </w:r>
      <w:r w:rsidR="00622350">
        <w:rPr>
          <w:rFonts w:cs="Times New Roman"/>
        </w:rPr>
        <w:t xml:space="preserve"> </w:t>
      </w:r>
      <w:r w:rsidR="00234C96">
        <w:rPr>
          <w:rFonts w:cs="Times New Roman"/>
        </w:rPr>
        <w:t>soldiers</w:t>
      </w:r>
      <w:r w:rsidR="00622350">
        <w:rPr>
          <w:rFonts w:cs="Times New Roman"/>
        </w:rPr>
        <w:t xml:space="preserve">, </w:t>
      </w:r>
      <w:r w:rsidR="00234C96">
        <w:rPr>
          <w:rFonts w:cs="Times New Roman"/>
        </w:rPr>
        <w:t xml:space="preserve">who were under </w:t>
      </w:r>
      <w:proofErr w:type="spellStart"/>
      <w:r w:rsidR="00234C96">
        <w:rPr>
          <w:rFonts w:cs="Times New Roman"/>
        </w:rPr>
        <w:t>Tissaphernes’s</w:t>
      </w:r>
      <w:proofErr w:type="spellEnd"/>
      <w:r w:rsidR="00234C96">
        <w:rPr>
          <w:rFonts w:cs="Times New Roman"/>
        </w:rPr>
        <w:t xml:space="preserve"> direction</w:t>
      </w:r>
      <w:r w:rsidR="00234C96">
        <w:rPr>
          <w:rStyle w:val="FootnoteReference"/>
          <w:rFonts w:cs="Times New Roman"/>
        </w:rPr>
        <w:footnoteReference w:id="26"/>
      </w:r>
      <w:r w:rsidR="00234C96">
        <w:rPr>
          <w:rFonts w:cs="Times New Roman"/>
        </w:rPr>
        <w:t xml:space="preserve"> and </w:t>
      </w:r>
      <w:r w:rsidR="00622350">
        <w:rPr>
          <w:rFonts w:cs="Times New Roman"/>
        </w:rPr>
        <w:t xml:space="preserve">who far outnumbered Cyrus’s army, turned and fled at the rumbling and running phalanx coming at them. It is </w:t>
      </w:r>
      <w:r w:rsidR="0062610C">
        <w:rPr>
          <w:rFonts w:cs="Times New Roman"/>
        </w:rPr>
        <w:t>only possible to speculate: perhaps they were simply frightened by the display and attack of the Greeks; the verbs chosen by Xenophon and the subsequent action taken by the enemy rule out the likelihood that this retreat was pa</w:t>
      </w:r>
      <w:r w:rsidR="007B56F5">
        <w:rPr>
          <w:rFonts w:cs="Times New Roman"/>
        </w:rPr>
        <w:t xml:space="preserve">rt of a broader plan by </w:t>
      </w:r>
      <w:proofErr w:type="spellStart"/>
      <w:r w:rsidR="007B56F5">
        <w:rPr>
          <w:rFonts w:cs="Times New Roman"/>
        </w:rPr>
        <w:t>Tissaphernes</w:t>
      </w:r>
      <w:r w:rsidR="0062610C">
        <w:rPr>
          <w:rFonts w:cs="Times New Roman"/>
        </w:rPr>
        <w:t>’s</w:t>
      </w:r>
      <w:proofErr w:type="spellEnd"/>
      <w:r w:rsidR="0062610C">
        <w:rPr>
          <w:rFonts w:cs="Times New Roman"/>
        </w:rPr>
        <w:t xml:space="preserve"> army. </w:t>
      </w:r>
      <w:proofErr w:type="spellStart"/>
      <w:r w:rsidR="00FB1915">
        <w:rPr>
          <w:rFonts w:cs="Times New Roman"/>
          <w:i/>
        </w:rPr>
        <w:t>entautha</w:t>
      </w:r>
      <w:proofErr w:type="spellEnd"/>
      <w:r w:rsidR="00FB1915">
        <w:rPr>
          <w:rFonts w:cs="Times New Roman"/>
          <w:i/>
        </w:rPr>
        <w:t xml:space="preserve"> </w:t>
      </w:r>
      <w:proofErr w:type="spellStart"/>
      <w:r w:rsidR="00FB1915">
        <w:rPr>
          <w:rFonts w:cs="Times New Roman"/>
          <w:i/>
        </w:rPr>
        <w:t>dē</w:t>
      </w:r>
      <w:proofErr w:type="spellEnd"/>
      <w:r w:rsidR="00FB1915">
        <w:rPr>
          <w:rFonts w:cs="Times New Roman"/>
        </w:rPr>
        <w:t xml:space="preserve">: Xenophon uses this phrase on two other occasions in Book I (7.10 and 10.1) to mean “precisely then,” or “at that very moment.” </w:t>
      </w:r>
      <w:proofErr w:type="spellStart"/>
      <w:r w:rsidR="00FB1915">
        <w:rPr>
          <w:rFonts w:cs="Times New Roman"/>
          <w:i/>
        </w:rPr>
        <w:t>mē</w:t>
      </w:r>
      <w:proofErr w:type="spellEnd"/>
      <w:r w:rsidR="00FB1915">
        <w:rPr>
          <w:rFonts w:cs="Times New Roman"/>
          <w:i/>
        </w:rPr>
        <w:t xml:space="preserve"> thein</w:t>
      </w:r>
      <w:r w:rsidR="007B56F5">
        <w:rPr>
          <w:rFonts w:cs="Times New Roman"/>
        </w:rPr>
        <w:t>: Here this negative infinitive</w:t>
      </w:r>
      <w:r w:rsidR="00BC242B">
        <w:rPr>
          <w:rFonts w:cs="Times New Roman"/>
        </w:rPr>
        <w:t xml:space="preserve"> functions as a complement to </w:t>
      </w:r>
      <w:proofErr w:type="spellStart"/>
      <w:r w:rsidR="00BC242B">
        <w:rPr>
          <w:rFonts w:cs="Times New Roman"/>
          <w:i/>
        </w:rPr>
        <w:t>eboōn</w:t>
      </w:r>
      <w:proofErr w:type="spellEnd"/>
      <w:r w:rsidR="004D6318">
        <w:rPr>
          <w:rFonts w:cs="Times New Roman"/>
        </w:rPr>
        <w:t xml:space="preserve">. </w:t>
      </w:r>
      <w:proofErr w:type="spellStart"/>
      <w:r w:rsidR="004D6318">
        <w:rPr>
          <w:rFonts w:cs="Times New Roman"/>
          <w:i/>
        </w:rPr>
        <w:t>hepesthai</w:t>
      </w:r>
      <w:proofErr w:type="spellEnd"/>
      <w:r w:rsidR="004D6318">
        <w:rPr>
          <w:rFonts w:cs="Times New Roman"/>
        </w:rPr>
        <w:t xml:space="preserve">: This is the aorist middle infinitive of </w:t>
      </w:r>
      <w:proofErr w:type="spellStart"/>
      <w:r w:rsidR="004D6318">
        <w:rPr>
          <w:rFonts w:cs="Times New Roman"/>
          <w:i/>
        </w:rPr>
        <w:t>hepomai</w:t>
      </w:r>
      <w:proofErr w:type="spellEnd"/>
      <w:r w:rsidR="004D6318">
        <w:rPr>
          <w:rFonts w:cs="Times New Roman"/>
        </w:rPr>
        <w:t>, “to follow.” After breaking ranks earlier, the Greeks of Cyrus’s army now urge one another to maintain their battle line in pursuit of the fleeing enemy.</w:t>
      </w:r>
    </w:p>
    <w:p w14:paraId="55F4806F" w14:textId="604A1133" w:rsidR="004D6318" w:rsidRDefault="004D6318" w:rsidP="00DB0927">
      <w:pPr>
        <w:spacing w:line="480" w:lineRule="auto"/>
        <w:jc w:val="left"/>
        <w:rPr>
          <w:rFonts w:cs="Times New Roman"/>
        </w:rPr>
      </w:pPr>
      <w:r>
        <w:rPr>
          <w:rFonts w:cs="Times New Roman"/>
          <w:u w:val="single"/>
        </w:rPr>
        <w:t>Commentary I.8.20:</w:t>
      </w:r>
      <w:r>
        <w:rPr>
          <w:rFonts w:cs="Times New Roman"/>
        </w:rPr>
        <w:t xml:space="preserve"> </w:t>
      </w:r>
      <w:r w:rsidR="00977B6D">
        <w:rPr>
          <w:rFonts w:cs="Times New Roman"/>
          <w:i/>
        </w:rPr>
        <w:t xml:space="preserve">ta d’ </w:t>
      </w:r>
      <w:proofErr w:type="spellStart"/>
      <w:r w:rsidR="00977B6D">
        <w:rPr>
          <w:rFonts w:cs="Times New Roman"/>
          <w:i/>
        </w:rPr>
        <w:t>harmata</w:t>
      </w:r>
      <w:proofErr w:type="spellEnd"/>
      <w:r w:rsidR="00977B6D">
        <w:rPr>
          <w:rFonts w:cs="Times New Roman"/>
          <w:i/>
        </w:rPr>
        <w:t xml:space="preserve"> </w:t>
      </w:r>
      <w:proofErr w:type="spellStart"/>
      <w:r w:rsidR="00977B6D">
        <w:rPr>
          <w:rFonts w:cs="Times New Roman"/>
          <w:i/>
        </w:rPr>
        <w:t>epheronto</w:t>
      </w:r>
      <w:proofErr w:type="spellEnd"/>
      <w:r w:rsidR="00977B6D">
        <w:rPr>
          <w:rFonts w:cs="Times New Roman"/>
          <w:i/>
        </w:rPr>
        <w:t>…ta men…ta de…</w:t>
      </w:r>
      <w:r w:rsidR="00977B6D">
        <w:rPr>
          <w:rFonts w:cs="Times New Roman"/>
        </w:rPr>
        <w:t xml:space="preserve">: Xenophon uses the correlative with the neuter plural article to show the twofold use of the enemy’s chariots that were being conveyed in this initial stage of combat; </w:t>
      </w:r>
      <w:proofErr w:type="spellStart"/>
      <w:r w:rsidR="00977B6D">
        <w:rPr>
          <w:rFonts w:cs="Times New Roman"/>
        </w:rPr>
        <w:t>Antrich</w:t>
      </w:r>
      <w:proofErr w:type="spellEnd"/>
      <w:r w:rsidR="00977B6D">
        <w:rPr>
          <w:rFonts w:cs="Times New Roman"/>
        </w:rPr>
        <w:t xml:space="preserve"> and Usher correctly translate, “as for the chariots, some…while others.”</w:t>
      </w:r>
      <w:r w:rsidR="00977B6D">
        <w:rPr>
          <w:rStyle w:val="FootnoteReference"/>
          <w:rFonts w:cs="Times New Roman"/>
        </w:rPr>
        <w:footnoteReference w:id="27"/>
      </w:r>
      <w:r w:rsidR="00977B6D">
        <w:rPr>
          <w:rFonts w:cs="Times New Roman"/>
        </w:rPr>
        <w:t xml:space="preserve"> In this case, some </w:t>
      </w:r>
      <w:r w:rsidR="005F5A80">
        <w:rPr>
          <w:rFonts w:cs="Times New Roman"/>
        </w:rPr>
        <w:t xml:space="preserve">chariots </w:t>
      </w:r>
      <w:r w:rsidR="00977B6D">
        <w:rPr>
          <w:rFonts w:cs="Times New Roman"/>
        </w:rPr>
        <w:t xml:space="preserve">were being conveyed through the </w:t>
      </w:r>
      <w:r w:rsidR="00977B6D">
        <w:rPr>
          <w:rFonts w:cs="Times New Roman"/>
        </w:rPr>
        <w:lastRenderedPageBreak/>
        <w:t xml:space="preserve">enemy’s own lines, while others came through the Greek lines, but </w:t>
      </w:r>
      <w:r w:rsidR="005F5A80">
        <w:rPr>
          <w:rFonts w:cs="Times New Roman"/>
        </w:rPr>
        <w:t xml:space="preserve">they were coming in without charioteers driving them. </w:t>
      </w:r>
      <w:r w:rsidR="007B56F5">
        <w:rPr>
          <w:rFonts w:cs="Times New Roman"/>
        </w:rPr>
        <w:t>With this action</w:t>
      </w:r>
      <w:r w:rsidR="009F7FD3">
        <w:rPr>
          <w:rFonts w:cs="Times New Roman"/>
        </w:rPr>
        <w:t>, the enemy’s chariots were doing exactly what they were intended to do as described by Xenophon in I.8.10, but without the desired effect: rather than cut down the Greek troops with the chariots’ scythe-bearing axles, the Greek</w:t>
      </w:r>
      <w:r w:rsidR="00A6474F">
        <w:rPr>
          <w:rFonts w:cs="Times New Roman"/>
        </w:rPr>
        <w:t xml:space="preserve"> soldiers</w:t>
      </w:r>
      <w:r w:rsidR="009F7FD3">
        <w:rPr>
          <w:rFonts w:cs="Times New Roman"/>
        </w:rPr>
        <w:t xml:space="preserve"> </w:t>
      </w:r>
      <w:proofErr w:type="spellStart"/>
      <w:r w:rsidR="009F7FD3">
        <w:rPr>
          <w:rFonts w:cs="Times New Roman"/>
          <w:i/>
        </w:rPr>
        <w:t>diistavto</w:t>
      </w:r>
      <w:proofErr w:type="spellEnd"/>
      <w:r w:rsidR="009F7FD3">
        <w:rPr>
          <w:rFonts w:cs="Times New Roman"/>
        </w:rPr>
        <w:t>. Here this imperfect middle verb</w:t>
      </w:r>
      <w:r w:rsidR="00C033EB">
        <w:rPr>
          <w:rFonts w:cs="Times New Roman"/>
        </w:rPr>
        <w:t xml:space="preserve"> again allows for vivid description of the unfolding action</w:t>
      </w:r>
      <w:r w:rsidR="009554BB">
        <w:rPr>
          <w:rFonts w:cs="Times New Roman"/>
        </w:rPr>
        <w:t>;</w:t>
      </w:r>
      <w:r w:rsidR="009F7FD3">
        <w:rPr>
          <w:rFonts w:cs="Times New Roman"/>
        </w:rPr>
        <w:t xml:space="preserve"> the aorist optative </w:t>
      </w:r>
      <w:proofErr w:type="spellStart"/>
      <w:r w:rsidR="009F7FD3">
        <w:rPr>
          <w:rFonts w:cs="Times New Roman"/>
          <w:i/>
        </w:rPr>
        <w:t>proidoien</w:t>
      </w:r>
      <w:proofErr w:type="spellEnd"/>
      <w:r w:rsidR="009554BB">
        <w:rPr>
          <w:rFonts w:cs="Times New Roman"/>
        </w:rPr>
        <w:t xml:space="preserve"> is being used in a temporal clause with </w:t>
      </w:r>
      <w:proofErr w:type="spellStart"/>
      <w:r w:rsidR="009554BB">
        <w:rPr>
          <w:rFonts w:cs="Times New Roman"/>
          <w:i/>
        </w:rPr>
        <w:t>epei</w:t>
      </w:r>
      <w:proofErr w:type="spellEnd"/>
      <w:r w:rsidR="009554BB">
        <w:rPr>
          <w:rFonts w:cs="Times New Roman"/>
        </w:rPr>
        <w:t xml:space="preserve"> to give the sense of repeated action, that is, “whenever.”</w:t>
      </w:r>
      <w:r w:rsidR="00A6474F">
        <w:rPr>
          <w:rFonts w:cs="Times New Roman"/>
        </w:rPr>
        <w:t xml:space="preserve"> The soldiers in this unit were the pel</w:t>
      </w:r>
      <w:r w:rsidR="00442FC2">
        <w:rPr>
          <w:rFonts w:cs="Times New Roman"/>
        </w:rPr>
        <w:t>t</w:t>
      </w:r>
      <w:r w:rsidR="00A6474F">
        <w:rPr>
          <w:rFonts w:cs="Times New Roman"/>
        </w:rPr>
        <w:t xml:space="preserve">asts, whose short sword and light shield were no match for the cavalry of </w:t>
      </w:r>
      <w:proofErr w:type="spellStart"/>
      <w:r w:rsidR="00A6474F">
        <w:rPr>
          <w:rFonts w:cs="Times New Roman"/>
        </w:rPr>
        <w:t>Tissaphernes</w:t>
      </w:r>
      <w:proofErr w:type="spellEnd"/>
      <w:r w:rsidR="00A6474F">
        <w:rPr>
          <w:rFonts w:cs="Times New Roman"/>
        </w:rPr>
        <w:t>; hence the Greeks were ordered to open their ranks to let the chariots pass</w:t>
      </w:r>
      <w:r w:rsidR="00442FC2">
        <w:rPr>
          <w:rFonts w:cs="Times New Roman"/>
        </w:rPr>
        <w:t>.</w:t>
      </w:r>
      <w:r w:rsidR="00442FC2">
        <w:rPr>
          <w:rStyle w:val="FootnoteReference"/>
          <w:rFonts w:cs="Times New Roman"/>
        </w:rPr>
        <w:footnoteReference w:id="28"/>
      </w:r>
      <w:r w:rsidR="00442FC2">
        <w:rPr>
          <w:rFonts w:cs="Times New Roman"/>
        </w:rPr>
        <w:t xml:space="preserve"> Fighting to the left of the Greeks and to the right of the Euphrates were the </w:t>
      </w:r>
      <w:proofErr w:type="spellStart"/>
      <w:r w:rsidR="00442FC2">
        <w:rPr>
          <w:rFonts w:cs="Times New Roman"/>
        </w:rPr>
        <w:t>Paphlagonians</w:t>
      </w:r>
      <w:proofErr w:type="spellEnd"/>
      <w:r w:rsidR="00442FC2">
        <w:rPr>
          <w:rFonts w:cs="Times New Roman"/>
        </w:rPr>
        <w:t xml:space="preserve">, who were positioned directly opposite of </w:t>
      </w:r>
      <w:proofErr w:type="spellStart"/>
      <w:r w:rsidR="00442FC2">
        <w:rPr>
          <w:rFonts w:cs="Times New Roman"/>
        </w:rPr>
        <w:t>Tissaphernes</w:t>
      </w:r>
      <w:proofErr w:type="spellEnd"/>
      <w:r w:rsidR="00442FC2">
        <w:rPr>
          <w:rFonts w:cs="Times New Roman"/>
        </w:rPr>
        <w:t xml:space="preserve"> and affected by his cavalry charge.</w:t>
      </w:r>
      <w:r w:rsidR="00442FC2">
        <w:rPr>
          <w:rStyle w:val="FootnoteReference"/>
          <w:rFonts w:cs="Times New Roman"/>
        </w:rPr>
        <w:footnoteReference w:id="29"/>
      </w:r>
      <w:r w:rsidR="00442FC2">
        <w:rPr>
          <w:rFonts w:cs="Times New Roman"/>
        </w:rPr>
        <w:t xml:space="preserve"> </w:t>
      </w:r>
      <w:proofErr w:type="spellStart"/>
      <w:r w:rsidR="00442FC2">
        <w:rPr>
          <w:rFonts w:cs="Times New Roman"/>
          <w:i/>
        </w:rPr>
        <w:t>esti</w:t>
      </w:r>
      <w:proofErr w:type="spellEnd"/>
      <w:r w:rsidR="00442FC2">
        <w:rPr>
          <w:rFonts w:cs="Times New Roman"/>
          <w:i/>
        </w:rPr>
        <w:t xml:space="preserve"> d’ </w:t>
      </w:r>
      <w:proofErr w:type="spellStart"/>
      <w:r w:rsidR="00442FC2">
        <w:rPr>
          <w:rFonts w:cs="Times New Roman"/>
          <w:i/>
        </w:rPr>
        <w:t>hostis</w:t>
      </w:r>
      <w:proofErr w:type="spellEnd"/>
      <w:r w:rsidR="00442FC2">
        <w:rPr>
          <w:rFonts w:cs="Times New Roman"/>
        </w:rPr>
        <w:t>: Xenophon uses the indefinite relative pronoun to relate what happened next to one unnamed soldier.</w:t>
      </w:r>
      <w:r w:rsidR="00442FC2">
        <w:rPr>
          <w:rFonts w:cs="Times New Roman"/>
          <w:i/>
        </w:rPr>
        <w:t xml:space="preserve"> </w:t>
      </w:r>
      <w:proofErr w:type="spellStart"/>
      <w:r w:rsidR="00442FC2">
        <w:rPr>
          <w:rFonts w:cs="Times New Roman"/>
          <w:i/>
        </w:rPr>
        <w:t>katelē</w:t>
      </w:r>
      <w:r w:rsidR="000C0B80">
        <w:rPr>
          <w:rFonts w:cs="Times New Roman"/>
          <w:i/>
        </w:rPr>
        <w:t>phthē</w:t>
      </w:r>
      <w:proofErr w:type="spellEnd"/>
      <w:r w:rsidR="000C0B80">
        <w:rPr>
          <w:rFonts w:cs="Times New Roman"/>
          <w:i/>
        </w:rPr>
        <w:t xml:space="preserve"> </w:t>
      </w:r>
      <w:proofErr w:type="spellStart"/>
      <w:r w:rsidR="000C0B80">
        <w:rPr>
          <w:rFonts w:cs="Times New Roman"/>
          <w:i/>
        </w:rPr>
        <w:t>hōsper</w:t>
      </w:r>
      <w:proofErr w:type="spellEnd"/>
      <w:r w:rsidR="000C0B80">
        <w:rPr>
          <w:rFonts w:cs="Times New Roman"/>
          <w:i/>
        </w:rPr>
        <w:t xml:space="preserve"> </w:t>
      </w:r>
      <w:proofErr w:type="spellStart"/>
      <w:r w:rsidR="000C0B80">
        <w:rPr>
          <w:rFonts w:cs="Times New Roman"/>
          <w:i/>
        </w:rPr>
        <w:t>en</w:t>
      </w:r>
      <w:proofErr w:type="spellEnd"/>
      <w:r w:rsidR="000C0B80">
        <w:rPr>
          <w:rFonts w:cs="Times New Roman"/>
          <w:i/>
        </w:rPr>
        <w:t xml:space="preserve"> </w:t>
      </w:r>
      <w:proofErr w:type="spellStart"/>
      <w:r w:rsidR="000C0B80">
        <w:rPr>
          <w:rFonts w:cs="Times New Roman"/>
          <w:i/>
        </w:rPr>
        <w:t>hippodromō</w:t>
      </w:r>
      <w:proofErr w:type="spellEnd"/>
      <w:r w:rsidR="000C0B80">
        <w:rPr>
          <w:rFonts w:cs="Times New Roman"/>
          <w:i/>
        </w:rPr>
        <w:t xml:space="preserve"> </w:t>
      </w:r>
      <w:proofErr w:type="spellStart"/>
      <w:r w:rsidR="000C0B80">
        <w:rPr>
          <w:rFonts w:cs="Times New Roman"/>
          <w:i/>
        </w:rPr>
        <w:t>ekplageis</w:t>
      </w:r>
      <w:proofErr w:type="spellEnd"/>
      <w:r w:rsidR="000C0B80">
        <w:rPr>
          <w:rFonts w:cs="Times New Roman"/>
        </w:rPr>
        <w:t>: The aorist passive verb describes the singular occurrence of this event; it is followed by a simile, the first of its kind in the Chapter 8 narration, that makes use of an aorist passive participle to compare the stunned fright that this soldier is experiencing “to a racing-chariot driver [in the hippodrome] who had fallen out and was too panic-stricken to take evasive action before oncoming chariots.”</w:t>
      </w:r>
      <w:r w:rsidR="000C0B80">
        <w:rPr>
          <w:rStyle w:val="FootnoteReference"/>
          <w:rFonts w:cs="Times New Roman"/>
        </w:rPr>
        <w:footnoteReference w:id="30"/>
      </w:r>
      <w:r w:rsidR="000C0B80">
        <w:rPr>
          <w:rFonts w:cs="Times New Roman"/>
        </w:rPr>
        <w:t xml:space="preserve"> </w:t>
      </w:r>
      <w:r w:rsidR="000C0B80">
        <w:rPr>
          <w:rFonts w:cs="Times New Roman"/>
          <w:i/>
        </w:rPr>
        <w:t>kai</w:t>
      </w:r>
      <w:r w:rsidR="002743F9">
        <w:rPr>
          <w:rFonts w:cs="Times New Roman"/>
          <w:i/>
        </w:rPr>
        <w:t>…</w:t>
      </w:r>
      <w:proofErr w:type="spellStart"/>
      <w:r w:rsidR="002743F9">
        <w:rPr>
          <w:rFonts w:cs="Times New Roman"/>
          <w:i/>
        </w:rPr>
        <w:t>mentoi</w:t>
      </w:r>
      <w:proofErr w:type="spellEnd"/>
      <w:r w:rsidR="002743F9">
        <w:rPr>
          <w:rFonts w:cs="Times New Roman"/>
          <w:i/>
        </w:rPr>
        <w:t xml:space="preserve"> </w:t>
      </w:r>
      <w:proofErr w:type="spellStart"/>
      <w:r w:rsidR="002743F9">
        <w:rPr>
          <w:rFonts w:cs="Times New Roman"/>
          <w:i/>
        </w:rPr>
        <w:t>oude</w:t>
      </w:r>
      <w:proofErr w:type="spellEnd"/>
      <w:r w:rsidR="000C0B80">
        <w:rPr>
          <w:rFonts w:cs="Times New Roman"/>
        </w:rPr>
        <w:t>: The t</w:t>
      </w:r>
      <w:r w:rsidR="002743F9">
        <w:rPr>
          <w:rFonts w:cs="Times New Roman"/>
        </w:rPr>
        <w:t>hree</w:t>
      </w:r>
      <w:r w:rsidR="000C0B80">
        <w:rPr>
          <w:rFonts w:cs="Times New Roman"/>
        </w:rPr>
        <w:t xml:space="preserve"> adverbs work together here to signify, “And</w:t>
      </w:r>
      <w:r w:rsidR="002743F9">
        <w:rPr>
          <w:rFonts w:cs="Times New Roman"/>
        </w:rPr>
        <w:t>, however,</w:t>
      </w:r>
      <w:r w:rsidR="000C0B80">
        <w:rPr>
          <w:rFonts w:cs="Times New Roman"/>
        </w:rPr>
        <w:t xml:space="preserve"> not even</w:t>
      </w:r>
      <w:r w:rsidR="002743F9">
        <w:rPr>
          <w:rFonts w:cs="Times New Roman"/>
        </w:rPr>
        <w:t xml:space="preserve"> [this one].</w:t>
      </w:r>
      <w:r w:rsidR="000C0B80">
        <w:rPr>
          <w:rFonts w:cs="Times New Roman"/>
        </w:rPr>
        <w:t>”</w:t>
      </w:r>
      <w:r w:rsidR="002743F9">
        <w:rPr>
          <w:rStyle w:val="FootnoteReference"/>
          <w:rFonts w:cs="Times New Roman"/>
        </w:rPr>
        <w:footnoteReference w:id="31"/>
      </w:r>
      <w:r w:rsidR="002743F9">
        <w:rPr>
          <w:rFonts w:cs="Times New Roman"/>
        </w:rPr>
        <w:t xml:space="preserve"> </w:t>
      </w:r>
      <w:proofErr w:type="spellStart"/>
      <w:r w:rsidR="002743F9">
        <w:rPr>
          <w:rFonts w:cs="Times New Roman"/>
          <w:i/>
        </w:rPr>
        <w:t>ouden</w:t>
      </w:r>
      <w:proofErr w:type="spellEnd"/>
      <w:r w:rsidR="002743F9">
        <w:rPr>
          <w:rFonts w:cs="Times New Roman"/>
          <w:i/>
        </w:rPr>
        <w:t>…</w:t>
      </w:r>
      <w:proofErr w:type="spellStart"/>
      <w:r w:rsidR="002743F9">
        <w:rPr>
          <w:rFonts w:cs="Times New Roman"/>
          <w:i/>
        </w:rPr>
        <w:t>touton</w:t>
      </w:r>
      <w:proofErr w:type="spellEnd"/>
      <w:r w:rsidR="002743F9">
        <w:rPr>
          <w:rFonts w:cs="Times New Roman"/>
          <w:i/>
        </w:rPr>
        <w:t xml:space="preserve"> </w:t>
      </w:r>
      <w:proofErr w:type="spellStart"/>
      <w:r w:rsidR="002743F9">
        <w:rPr>
          <w:rFonts w:cs="Times New Roman"/>
          <w:i/>
        </w:rPr>
        <w:t>pathein</w:t>
      </w:r>
      <w:proofErr w:type="spellEnd"/>
      <w:r w:rsidR="002743F9">
        <w:rPr>
          <w:rFonts w:cs="Times New Roman"/>
          <w:i/>
        </w:rPr>
        <w:t xml:space="preserve"> </w:t>
      </w:r>
      <w:proofErr w:type="spellStart"/>
      <w:r w:rsidR="002743F9">
        <w:rPr>
          <w:rFonts w:cs="Times New Roman"/>
          <w:i/>
        </w:rPr>
        <w:t>ephasan</w:t>
      </w:r>
      <w:proofErr w:type="spellEnd"/>
      <w:r w:rsidR="002743F9">
        <w:rPr>
          <w:rFonts w:cs="Times New Roman"/>
        </w:rPr>
        <w:t xml:space="preserve">: Here Xenophon again reports what others said about the event, which allows for indirect statement with </w:t>
      </w:r>
      <w:proofErr w:type="spellStart"/>
      <w:r w:rsidR="002743F9">
        <w:rPr>
          <w:rFonts w:cs="Times New Roman"/>
          <w:i/>
        </w:rPr>
        <w:t>ouden</w:t>
      </w:r>
      <w:proofErr w:type="spellEnd"/>
      <w:r w:rsidR="002743F9">
        <w:rPr>
          <w:rFonts w:cs="Times New Roman"/>
          <w:i/>
        </w:rPr>
        <w:t xml:space="preserve"> </w:t>
      </w:r>
      <w:proofErr w:type="spellStart"/>
      <w:r w:rsidR="002743F9">
        <w:rPr>
          <w:rFonts w:cs="Times New Roman"/>
          <w:i/>
        </w:rPr>
        <w:t>touton</w:t>
      </w:r>
      <w:proofErr w:type="spellEnd"/>
      <w:r w:rsidR="002743F9">
        <w:rPr>
          <w:rFonts w:cs="Times New Roman"/>
        </w:rPr>
        <w:t xml:space="preserve"> as the subject accusative and </w:t>
      </w:r>
      <w:proofErr w:type="spellStart"/>
      <w:r w:rsidR="002743F9">
        <w:rPr>
          <w:rFonts w:cs="Times New Roman"/>
          <w:i/>
        </w:rPr>
        <w:t>pathein</w:t>
      </w:r>
      <w:proofErr w:type="spellEnd"/>
      <w:r w:rsidR="002743F9">
        <w:rPr>
          <w:rFonts w:cs="Times New Roman"/>
        </w:rPr>
        <w:t xml:space="preserve"> as the aorist </w:t>
      </w:r>
      <w:r w:rsidR="00E54FF2">
        <w:rPr>
          <w:rFonts w:cs="Times New Roman"/>
        </w:rPr>
        <w:t xml:space="preserve">active </w:t>
      </w:r>
      <w:r w:rsidR="002743F9">
        <w:rPr>
          <w:rFonts w:cs="Times New Roman"/>
        </w:rPr>
        <w:t xml:space="preserve">infinitive. </w:t>
      </w:r>
      <w:r w:rsidR="001005B5">
        <w:rPr>
          <w:rFonts w:cs="Times New Roman"/>
          <w:i/>
        </w:rPr>
        <w:t xml:space="preserve">oud’ </w:t>
      </w:r>
      <w:proofErr w:type="spellStart"/>
      <w:r w:rsidR="001005B5">
        <w:rPr>
          <w:rFonts w:cs="Times New Roman"/>
          <w:i/>
        </w:rPr>
        <w:t>allos</w:t>
      </w:r>
      <w:proofErr w:type="spellEnd"/>
      <w:r w:rsidR="001005B5">
        <w:rPr>
          <w:rFonts w:cs="Times New Roman"/>
          <w:i/>
        </w:rPr>
        <w:t xml:space="preserve"> de</w:t>
      </w:r>
      <w:r w:rsidR="001005B5">
        <w:rPr>
          <w:rFonts w:cs="Times New Roman"/>
        </w:rPr>
        <w:t xml:space="preserve">: </w:t>
      </w:r>
      <w:r w:rsidR="00D711BA">
        <w:rPr>
          <w:rFonts w:cs="Times New Roman"/>
        </w:rPr>
        <w:t xml:space="preserve">This phrase </w:t>
      </w:r>
      <w:r w:rsidR="001005B5">
        <w:rPr>
          <w:rFonts w:cs="Times New Roman"/>
        </w:rPr>
        <w:t xml:space="preserve">allows Xenophon to continue the thought in the negative: doing so effectively draws out </w:t>
      </w:r>
      <w:r w:rsidR="001005B5">
        <w:rPr>
          <w:rFonts w:cs="Times New Roman"/>
        </w:rPr>
        <w:lastRenderedPageBreak/>
        <w:t xml:space="preserve">just how astonishing this escape from injury was for the Greek soldiers. </w:t>
      </w:r>
      <w:proofErr w:type="spellStart"/>
      <w:r w:rsidR="00D711BA">
        <w:rPr>
          <w:rFonts w:cs="Times New Roman"/>
          <w:i/>
        </w:rPr>
        <w:t>tōn</w:t>
      </w:r>
      <w:proofErr w:type="spellEnd"/>
      <w:r w:rsidR="00D711BA">
        <w:rPr>
          <w:rFonts w:cs="Times New Roman"/>
          <w:i/>
        </w:rPr>
        <w:t xml:space="preserve"> </w:t>
      </w:r>
      <w:proofErr w:type="spellStart"/>
      <w:r w:rsidR="00D711BA">
        <w:rPr>
          <w:rFonts w:cs="Times New Roman"/>
          <w:i/>
        </w:rPr>
        <w:t>Hellēnōn</w:t>
      </w:r>
      <w:proofErr w:type="spellEnd"/>
      <w:r w:rsidR="00D711BA">
        <w:rPr>
          <w:rFonts w:cs="Times New Roman"/>
        </w:rPr>
        <w:t xml:space="preserve">: This partitive genitive enables the negative to be used successfully in this way. </w:t>
      </w:r>
      <w:proofErr w:type="spellStart"/>
      <w:r w:rsidR="00D711BA">
        <w:rPr>
          <w:rFonts w:cs="Times New Roman"/>
          <w:i/>
        </w:rPr>
        <w:t>epathen</w:t>
      </w:r>
      <w:proofErr w:type="spellEnd"/>
      <w:r w:rsidR="00D711BA">
        <w:rPr>
          <w:rFonts w:cs="Times New Roman"/>
        </w:rPr>
        <w:t>: Xenophon departs from the imperfect tense to use the aorist here because he is recounting a completed event.</w:t>
      </w:r>
      <w:r w:rsidR="00D711BA">
        <w:rPr>
          <w:rFonts w:cs="Times New Roman"/>
          <w:i/>
        </w:rPr>
        <w:t xml:space="preserve"> </w:t>
      </w:r>
      <w:proofErr w:type="spellStart"/>
      <w:r w:rsidR="00D711BA">
        <w:rPr>
          <w:rFonts w:cs="Times New Roman"/>
          <w:i/>
        </w:rPr>
        <w:t>oudeis</w:t>
      </w:r>
      <w:proofErr w:type="spellEnd"/>
      <w:r w:rsidR="00D711BA">
        <w:rPr>
          <w:rFonts w:cs="Times New Roman"/>
          <w:i/>
        </w:rPr>
        <w:t xml:space="preserve"> </w:t>
      </w:r>
      <w:proofErr w:type="spellStart"/>
      <w:r w:rsidR="00D711BA">
        <w:rPr>
          <w:rFonts w:cs="Times New Roman"/>
          <w:i/>
        </w:rPr>
        <w:t>oudev</w:t>
      </w:r>
      <w:proofErr w:type="spellEnd"/>
      <w:r w:rsidR="00D711BA">
        <w:rPr>
          <w:rFonts w:cs="Times New Roman"/>
        </w:rPr>
        <w:t>: Steadman argues that this double negative is placed at the end for emphasis;</w:t>
      </w:r>
      <w:r w:rsidR="00D711BA">
        <w:rPr>
          <w:rStyle w:val="FootnoteReference"/>
          <w:rFonts w:cs="Times New Roman"/>
        </w:rPr>
        <w:footnoteReference w:id="32"/>
      </w:r>
      <w:r w:rsidR="00D711BA">
        <w:rPr>
          <w:rFonts w:cs="Times New Roman"/>
        </w:rPr>
        <w:t xml:space="preserve"> it also brackets the thought begun by the previously mentioned negatives at the start of the sentence. </w:t>
      </w:r>
      <w:proofErr w:type="spellStart"/>
      <w:r w:rsidR="00D711BA">
        <w:rPr>
          <w:rFonts w:cs="Times New Roman"/>
          <w:i/>
        </w:rPr>
        <w:t>plēn</w:t>
      </w:r>
      <w:proofErr w:type="spellEnd"/>
      <w:r w:rsidR="00D711BA">
        <w:rPr>
          <w:rFonts w:cs="Times New Roman"/>
        </w:rPr>
        <w:t>: This qualification slightly blunts the force of the preceding remark of the miraculous evasion that has just taken place within the Greek battle line</w:t>
      </w:r>
      <w:r w:rsidR="00BF634A">
        <w:rPr>
          <w:rFonts w:cs="Times New Roman"/>
        </w:rPr>
        <w:t>.</w:t>
      </w:r>
      <w:r w:rsidR="00D711BA">
        <w:rPr>
          <w:rFonts w:cs="Times New Roman"/>
          <w:i/>
        </w:rPr>
        <w:t xml:space="preserve"> epi </w:t>
      </w:r>
      <w:proofErr w:type="spellStart"/>
      <w:r w:rsidR="00D711BA">
        <w:rPr>
          <w:rFonts w:cs="Times New Roman"/>
          <w:i/>
        </w:rPr>
        <w:t>tō</w:t>
      </w:r>
      <w:proofErr w:type="spellEnd"/>
      <w:r w:rsidR="00D711BA">
        <w:rPr>
          <w:rFonts w:cs="Times New Roman"/>
          <w:i/>
        </w:rPr>
        <w:t xml:space="preserve"> </w:t>
      </w:r>
      <w:proofErr w:type="spellStart"/>
      <w:r w:rsidR="00D711BA">
        <w:rPr>
          <w:rFonts w:cs="Times New Roman"/>
          <w:i/>
        </w:rPr>
        <w:t>euōnuōn</w:t>
      </w:r>
      <w:proofErr w:type="spellEnd"/>
      <w:r w:rsidR="00D711BA">
        <w:rPr>
          <w:rFonts w:cs="Times New Roman"/>
          <w:i/>
        </w:rPr>
        <w:t xml:space="preserve"> </w:t>
      </w:r>
      <w:proofErr w:type="spellStart"/>
      <w:r w:rsidR="00D711BA">
        <w:rPr>
          <w:rFonts w:cs="Times New Roman"/>
          <w:i/>
        </w:rPr>
        <w:t>toxeuthēnai</w:t>
      </w:r>
      <w:proofErr w:type="spellEnd"/>
      <w:r w:rsidR="00D711BA">
        <w:rPr>
          <w:rFonts w:cs="Times New Roman"/>
          <w:i/>
        </w:rPr>
        <w:t xml:space="preserve"> tis </w:t>
      </w:r>
      <w:proofErr w:type="spellStart"/>
      <w:r w:rsidR="00D711BA">
        <w:rPr>
          <w:rFonts w:cs="Times New Roman"/>
          <w:i/>
        </w:rPr>
        <w:t>elegeto</w:t>
      </w:r>
      <w:proofErr w:type="spellEnd"/>
      <w:r w:rsidR="00D711BA">
        <w:rPr>
          <w:rFonts w:cs="Times New Roman"/>
        </w:rPr>
        <w:t xml:space="preserve">: </w:t>
      </w:r>
      <w:r w:rsidR="00BF634A">
        <w:rPr>
          <w:rFonts w:cs="Times New Roman"/>
        </w:rPr>
        <w:t>Again an indefinite pronoun is used to reference an unnamed soldier in this con</w:t>
      </w:r>
      <w:r w:rsidR="00E54FF2">
        <w:rPr>
          <w:rFonts w:cs="Times New Roman"/>
        </w:rPr>
        <w:t>flict; the passive verb is completed by the</w:t>
      </w:r>
      <w:r w:rsidR="00BF634A">
        <w:rPr>
          <w:rFonts w:cs="Times New Roman"/>
        </w:rPr>
        <w:t xml:space="preserve"> aorist p</w:t>
      </w:r>
      <w:r w:rsidR="00E54FF2">
        <w:rPr>
          <w:rFonts w:cs="Times New Roman"/>
        </w:rPr>
        <w:t>assive infinitive</w:t>
      </w:r>
      <w:r w:rsidR="00BF634A">
        <w:rPr>
          <w:rFonts w:cs="Times New Roman"/>
        </w:rPr>
        <w:t xml:space="preserve">. </w:t>
      </w:r>
    </w:p>
    <w:p w14:paraId="1C9F65EC" w14:textId="2A15BF5D" w:rsidR="00BF634A" w:rsidRDefault="00BF634A" w:rsidP="00DB0927">
      <w:pPr>
        <w:spacing w:line="480" w:lineRule="auto"/>
        <w:jc w:val="left"/>
        <w:rPr>
          <w:rFonts w:cs="Times New Roman"/>
        </w:rPr>
      </w:pPr>
    </w:p>
    <w:p w14:paraId="1F5B2835" w14:textId="07222F6E" w:rsidR="00BF634A" w:rsidRDefault="00BF634A" w:rsidP="00DB0927">
      <w:pPr>
        <w:spacing w:line="480" w:lineRule="auto"/>
        <w:jc w:val="left"/>
        <w:rPr>
          <w:rFonts w:cs="Times New Roman"/>
        </w:rPr>
      </w:pPr>
    </w:p>
    <w:p w14:paraId="45824EF3" w14:textId="331B9EC3" w:rsidR="00BF634A" w:rsidRDefault="00BF634A" w:rsidP="00DB0927">
      <w:pPr>
        <w:spacing w:line="480" w:lineRule="auto"/>
        <w:jc w:val="left"/>
        <w:rPr>
          <w:rFonts w:cs="Times New Roman"/>
        </w:rPr>
      </w:pPr>
    </w:p>
    <w:p w14:paraId="45A67A8D" w14:textId="1EB859A7" w:rsidR="00BF634A" w:rsidRDefault="00BF634A" w:rsidP="00DB0927">
      <w:pPr>
        <w:spacing w:line="480" w:lineRule="auto"/>
        <w:jc w:val="left"/>
        <w:rPr>
          <w:rFonts w:cs="Times New Roman"/>
        </w:rPr>
      </w:pPr>
    </w:p>
    <w:p w14:paraId="21541AC3" w14:textId="32935C12" w:rsidR="00BF634A" w:rsidRDefault="00BF634A" w:rsidP="00DB0927">
      <w:pPr>
        <w:spacing w:line="480" w:lineRule="auto"/>
        <w:jc w:val="left"/>
        <w:rPr>
          <w:rFonts w:cs="Times New Roman"/>
        </w:rPr>
      </w:pPr>
    </w:p>
    <w:p w14:paraId="5A3FDEFA" w14:textId="5F59FEC0" w:rsidR="00BF634A" w:rsidRDefault="00BF634A" w:rsidP="00DB0927">
      <w:pPr>
        <w:spacing w:line="480" w:lineRule="auto"/>
        <w:jc w:val="left"/>
        <w:rPr>
          <w:rFonts w:cs="Times New Roman"/>
        </w:rPr>
      </w:pPr>
    </w:p>
    <w:p w14:paraId="1A8EF51A" w14:textId="795DA8C1" w:rsidR="00BF634A" w:rsidRDefault="00BF634A" w:rsidP="00DB0927">
      <w:pPr>
        <w:spacing w:line="480" w:lineRule="auto"/>
        <w:jc w:val="left"/>
        <w:rPr>
          <w:rFonts w:cs="Times New Roman"/>
        </w:rPr>
      </w:pPr>
    </w:p>
    <w:p w14:paraId="191FEACD" w14:textId="787F8985" w:rsidR="00BF634A" w:rsidRDefault="00BF634A" w:rsidP="00DB0927">
      <w:pPr>
        <w:spacing w:line="480" w:lineRule="auto"/>
        <w:jc w:val="left"/>
        <w:rPr>
          <w:rFonts w:cs="Times New Roman"/>
        </w:rPr>
      </w:pPr>
    </w:p>
    <w:p w14:paraId="4FCBA55B" w14:textId="52937F94" w:rsidR="00BF634A" w:rsidRDefault="00BF634A" w:rsidP="00DB0927">
      <w:pPr>
        <w:spacing w:line="480" w:lineRule="auto"/>
        <w:jc w:val="left"/>
        <w:rPr>
          <w:rFonts w:cs="Times New Roman"/>
        </w:rPr>
      </w:pPr>
    </w:p>
    <w:p w14:paraId="7F9243B4" w14:textId="293C42A8" w:rsidR="00BF634A" w:rsidRDefault="00BF634A" w:rsidP="00DB0927">
      <w:pPr>
        <w:spacing w:line="480" w:lineRule="auto"/>
        <w:jc w:val="left"/>
        <w:rPr>
          <w:rFonts w:cs="Times New Roman"/>
        </w:rPr>
      </w:pPr>
    </w:p>
    <w:p w14:paraId="07D60106" w14:textId="37F1FC6D" w:rsidR="00BF634A" w:rsidRDefault="00BF634A" w:rsidP="00DB0927">
      <w:pPr>
        <w:spacing w:line="480" w:lineRule="auto"/>
        <w:jc w:val="left"/>
        <w:rPr>
          <w:rFonts w:cs="Times New Roman"/>
        </w:rPr>
      </w:pPr>
    </w:p>
    <w:p w14:paraId="596DB2BE" w14:textId="606F185C" w:rsidR="00BF634A" w:rsidRDefault="00BF634A" w:rsidP="00DB0927">
      <w:pPr>
        <w:spacing w:line="480" w:lineRule="auto"/>
        <w:jc w:val="left"/>
        <w:rPr>
          <w:rFonts w:cs="Times New Roman"/>
        </w:rPr>
      </w:pPr>
    </w:p>
    <w:p w14:paraId="4E98D93F" w14:textId="1880D9FE" w:rsidR="00BF634A" w:rsidRDefault="00BF634A" w:rsidP="00DB0927">
      <w:pPr>
        <w:spacing w:line="480" w:lineRule="auto"/>
        <w:jc w:val="left"/>
        <w:rPr>
          <w:rFonts w:cs="Times New Roman"/>
        </w:rPr>
      </w:pPr>
    </w:p>
    <w:p w14:paraId="349AA995" w14:textId="310B3917" w:rsidR="00BF634A" w:rsidRDefault="00BF634A" w:rsidP="00BF634A">
      <w:pPr>
        <w:spacing w:line="480" w:lineRule="auto"/>
        <w:rPr>
          <w:rFonts w:cs="Times New Roman"/>
        </w:rPr>
      </w:pPr>
      <w:r>
        <w:rPr>
          <w:rFonts w:cs="Times New Roman"/>
        </w:rPr>
        <w:lastRenderedPageBreak/>
        <w:t>Bibliography</w:t>
      </w:r>
    </w:p>
    <w:p w14:paraId="46D8B049" w14:textId="77777777" w:rsidR="00457837" w:rsidRDefault="00F802CA" w:rsidP="00F802CA">
      <w:pPr>
        <w:jc w:val="left"/>
        <w:rPr>
          <w:rFonts w:cs="Times New Roman"/>
        </w:rPr>
      </w:pPr>
      <w:proofErr w:type="spellStart"/>
      <w:r>
        <w:rPr>
          <w:rFonts w:cs="Times New Roman"/>
        </w:rPr>
        <w:t>Antrich</w:t>
      </w:r>
      <w:proofErr w:type="spellEnd"/>
      <w:r>
        <w:rPr>
          <w:rFonts w:cs="Times New Roman"/>
        </w:rPr>
        <w:t xml:space="preserve">, J. and Usher, S. 1978. </w:t>
      </w:r>
      <w:r>
        <w:rPr>
          <w:rFonts w:cs="Times New Roman"/>
          <w:i/>
        </w:rPr>
        <w:t>Xenophon: The Persian Expedition</w:t>
      </w:r>
      <w:r>
        <w:rPr>
          <w:rFonts w:cs="Times New Roman"/>
        </w:rPr>
        <w:t xml:space="preserve">. London: Bristol Classical </w:t>
      </w:r>
    </w:p>
    <w:p w14:paraId="1699ED6B" w14:textId="2579A5C1" w:rsidR="00BF634A" w:rsidRDefault="00F802CA" w:rsidP="00457837">
      <w:pPr>
        <w:ind w:firstLine="720"/>
        <w:jc w:val="left"/>
        <w:rPr>
          <w:rFonts w:cs="Times New Roman"/>
        </w:rPr>
      </w:pPr>
      <w:r>
        <w:rPr>
          <w:rFonts w:cs="Times New Roman"/>
        </w:rPr>
        <w:t>Press.</w:t>
      </w:r>
    </w:p>
    <w:p w14:paraId="4DCE2DB7" w14:textId="208B0636" w:rsidR="00F802CA" w:rsidRDefault="00F802CA" w:rsidP="00F802CA">
      <w:pPr>
        <w:jc w:val="left"/>
        <w:rPr>
          <w:rFonts w:cs="Times New Roman"/>
        </w:rPr>
      </w:pPr>
    </w:p>
    <w:p w14:paraId="629F862E" w14:textId="77777777" w:rsidR="00457837" w:rsidRDefault="00F802CA" w:rsidP="00F802CA">
      <w:pPr>
        <w:jc w:val="left"/>
        <w:rPr>
          <w:rFonts w:cs="Times New Roman"/>
          <w:i/>
        </w:rPr>
      </w:pPr>
      <w:r>
        <w:rPr>
          <w:rFonts w:cs="Times New Roman"/>
        </w:rPr>
        <w:t xml:space="preserve">Bigwood, J.M. “The Ancient Accounts of the Battle of Cunaxa.” </w:t>
      </w:r>
      <w:r>
        <w:rPr>
          <w:rFonts w:cs="Times New Roman"/>
          <w:i/>
        </w:rPr>
        <w:t xml:space="preserve">The American Journal of </w:t>
      </w:r>
    </w:p>
    <w:p w14:paraId="107A1AE4" w14:textId="01EFABD4" w:rsidR="00F802CA" w:rsidRPr="00457837" w:rsidRDefault="00F802CA" w:rsidP="00457837">
      <w:pPr>
        <w:ind w:firstLine="720"/>
        <w:jc w:val="left"/>
        <w:rPr>
          <w:rFonts w:cs="Times New Roman"/>
        </w:rPr>
      </w:pPr>
      <w:r>
        <w:rPr>
          <w:rFonts w:cs="Times New Roman"/>
          <w:i/>
        </w:rPr>
        <w:t>Philology</w:t>
      </w:r>
      <w:r w:rsidR="00457837">
        <w:rPr>
          <w:rFonts w:cs="Times New Roman"/>
        </w:rPr>
        <w:t xml:space="preserve"> 104.4, 340-357.</w:t>
      </w:r>
    </w:p>
    <w:p w14:paraId="299B0DE9" w14:textId="77777777" w:rsidR="00F802CA" w:rsidRPr="00F802CA" w:rsidRDefault="00F802CA" w:rsidP="00F802CA">
      <w:pPr>
        <w:jc w:val="left"/>
        <w:rPr>
          <w:rFonts w:cs="Times New Roman"/>
        </w:rPr>
      </w:pPr>
    </w:p>
    <w:p w14:paraId="51998A38" w14:textId="335DE05B" w:rsidR="00F802CA" w:rsidRDefault="00F802CA" w:rsidP="00F802CA">
      <w:pPr>
        <w:jc w:val="left"/>
        <w:rPr>
          <w:rFonts w:cs="Times New Roman"/>
        </w:rPr>
      </w:pPr>
      <w:r>
        <w:rPr>
          <w:rFonts w:cs="Times New Roman"/>
        </w:rPr>
        <w:t xml:space="preserve">Boise, J.R. </w:t>
      </w:r>
      <w:r>
        <w:rPr>
          <w:rFonts w:cs="Times New Roman"/>
          <w:i/>
        </w:rPr>
        <w:t>Xenophon’s Anabasis</w:t>
      </w:r>
      <w:r>
        <w:rPr>
          <w:rFonts w:cs="Times New Roman"/>
        </w:rPr>
        <w:t>. 1887. New York: D. Appleton and Company.</w:t>
      </w:r>
    </w:p>
    <w:p w14:paraId="126AA6BB" w14:textId="77777777" w:rsidR="00F802CA" w:rsidRDefault="00F802CA" w:rsidP="00F802CA">
      <w:pPr>
        <w:jc w:val="left"/>
        <w:rPr>
          <w:rFonts w:cs="Times New Roman"/>
        </w:rPr>
      </w:pPr>
    </w:p>
    <w:p w14:paraId="13730F11" w14:textId="77777777" w:rsidR="00457837" w:rsidRDefault="00F802CA" w:rsidP="00F802CA">
      <w:pPr>
        <w:jc w:val="left"/>
        <w:rPr>
          <w:rFonts w:cs="Times New Roman"/>
        </w:rPr>
      </w:pPr>
      <w:proofErr w:type="spellStart"/>
      <w:r>
        <w:rPr>
          <w:rFonts w:cs="Times New Roman"/>
        </w:rPr>
        <w:t>Lendle</w:t>
      </w:r>
      <w:proofErr w:type="spellEnd"/>
      <w:r>
        <w:rPr>
          <w:rFonts w:cs="Times New Roman"/>
        </w:rPr>
        <w:t xml:space="preserve">, O. </w:t>
      </w:r>
      <w:proofErr w:type="spellStart"/>
      <w:r>
        <w:rPr>
          <w:rFonts w:cs="Times New Roman"/>
          <w:i/>
        </w:rPr>
        <w:t>Kommentar</w:t>
      </w:r>
      <w:proofErr w:type="spellEnd"/>
      <w:r>
        <w:rPr>
          <w:rFonts w:cs="Times New Roman"/>
          <w:i/>
        </w:rPr>
        <w:t xml:space="preserve"> </w:t>
      </w:r>
      <w:proofErr w:type="spellStart"/>
      <w:r>
        <w:rPr>
          <w:rFonts w:cs="Times New Roman"/>
          <w:i/>
        </w:rPr>
        <w:t>zu</w:t>
      </w:r>
      <w:proofErr w:type="spellEnd"/>
      <w:r>
        <w:rPr>
          <w:rFonts w:cs="Times New Roman"/>
          <w:i/>
        </w:rPr>
        <w:t xml:space="preserve"> </w:t>
      </w:r>
      <w:proofErr w:type="spellStart"/>
      <w:r>
        <w:rPr>
          <w:rFonts w:cs="Times New Roman"/>
          <w:i/>
        </w:rPr>
        <w:t>Xenophons</w:t>
      </w:r>
      <w:proofErr w:type="spellEnd"/>
      <w:r>
        <w:rPr>
          <w:rFonts w:cs="Times New Roman"/>
          <w:i/>
        </w:rPr>
        <w:t xml:space="preserve"> Anabasis</w:t>
      </w:r>
      <w:r>
        <w:rPr>
          <w:rFonts w:cs="Times New Roman"/>
        </w:rPr>
        <w:t xml:space="preserve">. 1995. Darmstadt: </w:t>
      </w:r>
      <w:proofErr w:type="spellStart"/>
      <w:r>
        <w:rPr>
          <w:rFonts w:cs="Times New Roman"/>
        </w:rPr>
        <w:t>Wissenschaftliche</w:t>
      </w:r>
      <w:proofErr w:type="spellEnd"/>
      <w:r>
        <w:rPr>
          <w:rFonts w:cs="Times New Roman"/>
        </w:rPr>
        <w:t xml:space="preserve"> </w:t>
      </w:r>
    </w:p>
    <w:p w14:paraId="3374CDB0" w14:textId="1CEB8C53" w:rsidR="00F802CA" w:rsidRDefault="00F802CA" w:rsidP="00457837">
      <w:pPr>
        <w:ind w:firstLine="720"/>
        <w:jc w:val="left"/>
        <w:rPr>
          <w:rFonts w:cs="Times New Roman"/>
        </w:rPr>
      </w:pPr>
      <w:proofErr w:type="spellStart"/>
      <w:r>
        <w:rPr>
          <w:rFonts w:cs="Times New Roman"/>
        </w:rPr>
        <w:t>Buchgesellschaft</w:t>
      </w:r>
      <w:proofErr w:type="spellEnd"/>
      <w:r>
        <w:rPr>
          <w:rFonts w:cs="Times New Roman"/>
        </w:rPr>
        <w:t>.</w:t>
      </w:r>
    </w:p>
    <w:p w14:paraId="56F8FF3C" w14:textId="77777777" w:rsidR="00F802CA" w:rsidRPr="00F802CA" w:rsidRDefault="00F802CA" w:rsidP="00F802CA">
      <w:pPr>
        <w:jc w:val="left"/>
        <w:rPr>
          <w:rFonts w:cs="Times New Roman"/>
        </w:rPr>
      </w:pPr>
    </w:p>
    <w:p w14:paraId="1CA154C3" w14:textId="77777777" w:rsidR="00457837" w:rsidRDefault="00F802CA" w:rsidP="00F802CA">
      <w:pPr>
        <w:jc w:val="left"/>
      </w:pPr>
      <w:r>
        <w:t xml:space="preserve">Steadman, G. 2017. </w:t>
      </w:r>
      <w:r>
        <w:rPr>
          <w:i/>
        </w:rPr>
        <w:t>Xenophon’s Anabasis I</w:t>
      </w:r>
      <w:r>
        <w:t xml:space="preserve">. Beta Edition available online: </w:t>
      </w:r>
    </w:p>
    <w:p w14:paraId="1291D1E2" w14:textId="4015BA85" w:rsidR="00F802CA" w:rsidRPr="009D6E77" w:rsidRDefault="00F802CA" w:rsidP="00457837">
      <w:pPr>
        <w:ind w:firstLine="720"/>
        <w:jc w:val="left"/>
        <w:rPr>
          <w:rFonts w:cs="Times New Roman"/>
        </w:rPr>
      </w:pPr>
      <w:r>
        <w:t>geoffreysteadman.files.wordpress.com.</w:t>
      </w:r>
    </w:p>
    <w:p w14:paraId="7F2D9859" w14:textId="77777777" w:rsidR="00F802CA" w:rsidRDefault="00F802CA" w:rsidP="00F802CA">
      <w:pPr>
        <w:jc w:val="left"/>
        <w:rPr>
          <w:rFonts w:cs="Times New Roman"/>
        </w:rPr>
      </w:pPr>
    </w:p>
    <w:p w14:paraId="781E1626" w14:textId="67836FCB" w:rsidR="00457837" w:rsidRDefault="00F802CA" w:rsidP="00F802CA">
      <w:pPr>
        <w:jc w:val="left"/>
        <w:rPr>
          <w:rFonts w:cs="Times New Roman"/>
        </w:rPr>
      </w:pPr>
      <w:r>
        <w:rPr>
          <w:rFonts w:cs="Times New Roman"/>
        </w:rPr>
        <w:t>Wa</w:t>
      </w:r>
      <w:r w:rsidR="00457837">
        <w:rPr>
          <w:rFonts w:cs="Times New Roman"/>
        </w:rPr>
        <w:t>ter</w:t>
      </w:r>
      <w:r>
        <w:rPr>
          <w:rFonts w:cs="Times New Roman"/>
        </w:rPr>
        <w:t xml:space="preserve">field, R. 2006. </w:t>
      </w:r>
      <w:r>
        <w:rPr>
          <w:rFonts w:cs="Times New Roman"/>
          <w:i/>
        </w:rPr>
        <w:t>Xenophon’s Retreat</w:t>
      </w:r>
      <w:r>
        <w:rPr>
          <w:rFonts w:cs="Times New Roman"/>
        </w:rPr>
        <w:t xml:space="preserve">. Cambridge, Massachusetts: The Belknap Press of </w:t>
      </w:r>
    </w:p>
    <w:p w14:paraId="133A98F4" w14:textId="743D8B83" w:rsidR="00F802CA" w:rsidRDefault="00F802CA" w:rsidP="00457837">
      <w:pPr>
        <w:ind w:firstLine="720"/>
        <w:jc w:val="left"/>
        <w:rPr>
          <w:rFonts w:cs="Times New Roman"/>
        </w:rPr>
      </w:pPr>
      <w:r>
        <w:rPr>
          <w:rFonts w:cs="Times New Roman"/>
        </w:rPr>
        <w:t>Harvard University Press.</w:t>
      </w:r>
    </w:p>
    <w:p w14:paraId="10821C16" w14:textId="6A7C452B" w:rsidR="00457837" w:rsidRDefault="00457837" w:rsidP="00F802CA">
      <w:pPr>
        <w:jc w:val="left"/>
        <w:rPr>
          <w:rFonts w:cs="Times New Roman"/>
        </w:rPr>
      </w:pPr>
    </w:p>
    <w:p w14:paraId="3C765FE8" w14:textId="3C18FB9E" w:rsidR="00457837" w:rsidRPr="00457837" w:rsidRDefault="00457837" w:rsidP="00F802CA">
      <w:pPr>
        <w:jc w:val="left"/>
        <w:rPr>
          <w:rFonts w:cs="Times New Roman"/>
        </w:rPr>
      </w:pPr>
      <w:r>
        <w:rPr>
          <w:rFonts w:cs="Times New Roman"/>
        </w:rPr>
        <w:t xml:space="preserve">Wylie, G. “Cunaxa and Xenophon.” </w:t>
      </w:r>
      <w:proofErr w:type="spellStart"/>
      <w:r>
        <w:rPr>
          <w:rFonts w:cs="Times New Roman"/>
          <w:i/>
        </w:rPr>
        <w:t>L’Antiquité</w:t>
      </w:r>
      <w:proofErr w:type="spellEnd"/>
      <w:r>
        <w:rPr>
          <w:rFonts w:cs="Times New Roman"/>
          <w:i/>
        </w:rPr>
        <w:t xml:space="preserve"> </w:t>
      </w:r>
      <w:proofErr w:type="spellStart"/>
      <w:r>
        <w:rPr>
          <w:rFonts w:cs="Times New Roman"/>
          <w:i/>
        </w:rPr>
        <w:t>Classique</w:t>
      </w:r>
      <w:proofErr w:type="spellEnd"/>
      <w:r>
        <w:rPr>
          <w:rFonts w:cs="Times New Roman"/>
        </w:rPr>
        <w:t xml:space="preserve"> 61, 119-134.</w:t>
      </w:r>
    </w:p>
    <w:p w14:paraId="667C15CF" w14:textId="77777777" w:rsidR="00F802CA" w:rsidRPr="00D711BA" w:rsidRDefault="00F802CA" w:rsidP="00F802CA">
      <w:pPr>
        <w:jc w:val="both"/>
        <w:rPr>
          <w:rFonts w:cs="Times New Roman"/>
        </w:rPr>
      </w:pPr>
    </w:p>
    <w:sectPr w:rsidR="00F802CA" w:rsidRPr="00D711B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874A8" w14:textId="77777777" w:rsidR="000525CE" w:rsidRDefault="000525CE" w:rsidP="000525CE">
      <w:r>
        <w:separator/>
      </w:r>
    </w:p>
  </w:endnote>
  <w:endnote w:type="continuationSeparator" w:id="0">
    <w:p w14:paraId="5A0E5601" w14:textId="77777777" w:rsidR="000525CE" w:rsidRDefault="000525CE" w:rsidP="0005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16CFF" w14:textId="77777777" w:rsidR="000525CE" w:rsidRDefault="000525CE" w:rsidP="000525CE">
      <w:r>
        <w:separator/>
      </w:r>
    </w:p>
  </w:footnote>
  <w:footnote w:type="continuationSeparator" w:id="0">
    <w:p w14:paraId="06F2607C" w14:textId="77777777" w:rsidR="000525CE" w:rsidRDefault="000525CE" w:rsidP="000525CE">
      <w:r>
        <w:continuationSeparator/>
      </w:r>
    </w:p>
  </w:footnote>
  <w:footnote w:id="1">
    <w:p w14:paraId="65876E2B" w14:textId="5F248A17" w:rsidR="000525CE" w:rsidRDefault="000525CE" w:rsidP="000525CE">
      <w:pPr>
        <w:pStyle w:val="FootnoteText"/>
        <w:jc w:val="left"/>
      </w:pPr>
      <w:r>
        <w:rPr>
          <w:rStyle w:val="FootnoteReference"/>
        </w:rPr>
        <w:footnoteRef/>
      </w:r>
      <w:r>
        <w:t xml:space="preserve"> Wylie (1992): 122.</w:t>
      </w:r>
    </w:p>
  </w:footnote>
  <w:footnote w:id="2">
    <w:p w14:paraId="5BBA593A" w14:textId="4AAD6CFA" w:rsidR="0010168B" w:rsidRDefault="0010168B" w:rsidP="0010168B">
      <w:pPr>
        <w:pStyle w:val="FootnoteText"/>
        <w:jc w:val="left"/>
      </w:pPr>
      <w:r>
        <w:rPr>
          <w:rStyle w:val="FootnoteReference"/>
        </w:rPr>
        <w:footnoteRef/>
      </w:r>
      <w:r>
        <w:t xml:space="preserve"> Boise (1887): 49.</w:t>
      </w:r>
    </w:p>
  </w:footnote>
  <w:footnote w:id="3">
    <w:p w14:paraId="32A157E8" w14:textId="65363BF4" w:rsidR="00891707" w:rsidRDefault="00891707" w:rsidP="00891707">
      <w:pPr>
        <w:pStyle w:val="FootnoteText"/>
        <w:jc w:val="left"/>
      </w:pPr>
      <w:r>
        <w:rPr>
          <w:rStyle w:val="FootnoteReference"/>
        </w:rPr>
        <w:footnoteRef/>
      </w:r>
      <w:r>
        <w:t xml:space="preserve"> Bigwood (1983): 341-342; Wylie (1992): 123. Wylie adds that if the armies were in fact as large as Xenophon describes, Cyrus would have had to have rode ten miles to reach his brother’s position in the center.</w:t>
      </w:r>
      <w:r w:rsidR="000B62EC">
        <w:t xml:space="preserve"> R. Waterfield (2006) agrees with Wylie’s numbers: 1, 3.</w:t>
      </w:r>
    </w:p>
  </w:footnote>
  <w:footnote w:id="4">
    <w:p w14:paraId="70F1818D" w14:textId="2B5311DE" w:rsidR="00BC7E07" w:rsidRDefault="00BC7E07" w:rsidP="00BC7E07">
      <w:pPr>
        <w:pStyle w:val="FootnoteText"/>
        <w:jc w:val="left"/>
      </w:pPr>
      <w:r>
        <w:rPr>
          <w:rStyle w:val="FootnoteReference"/>
        </w:rPr>
        <w:footnoteRef/>
      </w:r>
      <w:r>
        <w:t xml:space="preserve"> Bigwood (1983): 351.</w:t>
      </w:r>
    </w:p>
  </w:footnote>
  <w:footnote w:id="5">
    <w:p w14:paraId="680F2F53" w14:textId="668C84A1" w:rsidR="005A14B8" w:rsidRDefault="005A14B8" w:rsidP="005A14B8">
      <w:pPr>
        <w:pStyle w:val="FootnoteText"/>
        <w:jc w:val="left"/>
      </w:pPr>
      <w:r>
        <w:rPr>
          <w:rStyle w:val="FootnoteReference"/>
        </w:rPr>
        <w:footnoteRef/>
      </w:r>
      <w:r>
        <w:t xml:space="preserve"> Bigwood (1983): 342-343; Wylie (1992): 131-134.</w:t>
      </w:r>
    </w:p>
  </w:footnote>
  <w:footnote w:id="6">
    <w:p w14:paraId="0508B8B9" w14:textId="2CF2E799" w:rsidR="00DB3EA5" w:rsidRDefault="00DB3EA5" w:rsidP="00DB3EA5">
      <w:pPr>
        <w:pStyle w:val="FootnoteText"/>
        <w:jc w:val="left"/>
      </w:pPr>
      <w:r>
        <w:rPr>
          <w:rStyle w:val="FootnoteReference"/>
        </w:rPr>
        <w:footnoteRef/>
      </w:r>
      <w:r>
        <w:t xml:space="preserve"> Bigwood (1983): 343.</w:t>
      </w:r>
    </w:p>
  </w:footnote>
  <w:footnote w:id="7">
    <w:p w14:paraId="60CA183E" w14:textId="2525C850" w:rsidR="005A14B8" w:rsidRDefault="005A14B8" w:rsidP="005A14B8">
      <w:pPr>
        <w:pStyle w:val="FootnoteText"/>
        <w:jc w:val="left"/>
      </w:pPr>
      <w:r>
        <w:rPr>
          <w:rStyle w:val="FootnoteReference"/>
        </w:rPr>
        <w:footnoteRef/>
      </w:r>
      <w:r>
        <w:t xml:space="preserve"> Wylie (1992): 133.</w:t>
      </w:r>
    </w:p>
  </w:footnote>
  <w:footnote w:id="8">
    <w:p w14:paraId="1F885555" w14:textId="78A8877B" w:rsidR="002F4308" w:rsidRDefault="002F4308" w:rsidP="002F4308">
      <w:pPr>
        <w:pStyle w:val="FootnoteText"/>
        <w:jc w:val="left"/>
      </w:pPr>
      <w:r>
        <w:rPr>
          <w:rStyle w:val="FootnoteReference"/>
        </w:rPr>
        <w:footnoteRef/>
      </w:r>
      <w:r>
        <w:t xml:space="preserve"> Bigwood (1983): 343-356, summation at 355-356.</w:t>
      </w:r>
    </w:p>
  </w:footnote>
  <w:footnote w:id="9">
    <w:p w14:paraId="1B1FBB98" w14:textId="625E557F" w:rsidR="002B284D" w:rsidRDefault="002B284D" w:rsidP="002B284D">
      <w:pPr>
        <w:pStyle w:val="FootnoteText"/>
        <w:jc w:val="left"/>
      </w:pPr>
      <w:r>
        <w:rPr>
          <w:rStyle w:val="FootnoteReference"/>
        </w:rPr>
        <w:footnoteRef/>
      </w:r>
      <w:r>
        <w:t xml:space="preserve"> Waterfield (2006): 15.</w:t>
      </w:r>
    </w:p>
  </w:footnote>
  <w:footnote w:id="10">
    <w:p w14:paraId="50A52217" w14:textId="41290A5F" w:rsidR="0082779A" w:rsidRDefault="0082779A" w:rsidP="0082779A">
      <w:pPr>
        <w:pStyle w:val="FootnoteText"/>
        <w:jc w:val="left"/>
      </w:pPr>
      <w:r>
        <w:rPr>
          <w:rStyle w:val="FootnoteReference"/>
        </w:rPr>
        <w:footnoteRef/>
      </w:r>
      <w:r>
        <w:t xml:space="preserve"> </w:t>
      </w:r>
      <w:proofErr w:type="spellStart"/>
      <w:r>
        <w:t>Antrich</w:t>
      </w:r>
      <w:proofErr w:type="spellEnd"/>
      <w:r>
        <w:t xml:space="preserve"> and Usher (1978): 53.</w:t>
      </w:r>
    </w:p>
  </w:footnote>
  <w:footnote w:id="11">
    <w:p w14:paraId="462BFEF1" w14:textId="05E4F0EE" w:rsidR="004D7998" w:rsidRDefault="004D7998" w:rsidP="004D7998">
      <w:pPr>
        <w:pStyle w:val="FootnoteText"/>
        <w:jc w:val="left"/>
      </w:pPr>
      <w:r>
        <w:rPr>
          <w:rStyle w:val="FootnoteReference"/>
        </w:rPr>
        <w:footnoteRef/>
      </w:r>
      <w:r>
        <w:t xml:space="preserve"> Ibid., 53.</w:t>
      </w:r>
    </w:p>
  </w:footnote>
  <w:footnote w:id="12">
    <w:p w14:paraId="13A39E4D" w14:textId="11F0292B" w:rsidR="004D7998" w:rsidRDefault="004D7998" w:rsidP="004D7998">
      <w:pPr>
        <w:pStyle w:val="FootnoteText"/>
        <w:jc w:val="left"/>
      </w:pPr>
      <w:r>
        <w:rPr>
          <w:rStyle w:val="FootnoteReference"/>
        </w:rPr>
        <w:footnoteRef/>
      </w:r>
      <w:r>
        <w:t xml:space="preserve"> Boise (1887): 49.</w:t>
      </w:r>
    </w:p>
  </w:footnote>
  <w:footnote w:id="13">
    <w:p w14:paraId="2C437471" w14:textId="700E4B0B" w:rsidR="000422C9" w:rsidRDefault="000422C9" w:rsidP="000422C9">
      <w:pPr>
        <w:pStyle w:val="FootnoteText"/>
        <w:jc w:val="left"/>
      </w:pPr>
      <w:r>
        <w:rPr>
          <w:rStyle w:val="FootnoteReference"/>
        </w:rPr>
        <w:footnoteRef/>
      </w:r>
      <w:r>
        <w:t xml:space="preserve"> </w:t>
      </w:r>
      <w:proofErr w:type="spellStart"/>
      <w:r>
        <w:t>Lendle</w:t>
      </w:r>
      <w:proofErr w:type="spellEnd"/>
      <w:r>
        <w:t xml:space="preserve"> (</w:t>
      </w:r>
      <w:r w:rsidR="00A47F47">
        <w:t>1995): 70-71.</w:t>
      </w:r>
    </w:p>
  </w:footnote>
  <w:footnote w:id="14">
    <w:p w14:paraId="65B6F2DE" w14:textId="3E981EFB" w:rsidR="00C925D8" w:rsidRDefault="00C925D8" w:rsidP="00C925D8">
      <w:pPr>
        <w:pStyle w:val="FootnoteText"/>
        <w:jc w:val="left"/>
      </w:pPr>
      <w:r>
        <w:rPr>
          <w:rStyle w:val="FootnoteReference"/>
        </w:rPr>
        <w:footnoteRef/>
      </w:r>
      <w:r>
        <w:t xml:space="preserve"> Steadman (201</w:t>
      </w:r>
      <w:r w:rsidR="00F802CA">
        <w:t>7</w:t>
      </w:r>
      <w:r>
        <w:t>): 89.</w:t>
      </w:r>
    </w:p>
  </w:footnote>
  <w:footnote w:id="15">
    <w:p w14:paraId="33339082" w14:textId="11D2B959" w:rsidR="00282AB9" w:rsidRDefault="00282AB9" w:rsidP="00282AB9">
      <w:pPr>
        <w:pStyle w:val="FootnoteText"/>
        <w:jc w:val="left"/>
      </w:pPr>
      <w:r>
        <w:rPr>
          <w:rStyle w:val="FootnoteReference"/>
        </w:rPr>
        <w:footnoteRef/>
      </w:r>
      <w:r>
        <w:t xml:space="preserve"> </w:t>
      </w:r>
      <w:proofErr w:type="spellStart"/>
      <w:r w:rsidR="00C925D8">
        <w:t>Lendle</w:t>
      </w:r>
      <w:proofErr w:type="spellEnd"/>
      <w:r w:rsidR="00C925D8">
        <w:t xml:space="preserve"> (1995):</w:t>
      </w:r>
      <w:r>
        <w:t xml:space="preserve"> 70-71.</w:t>
      </w:r>
    </w:p>
  </w:footnote>
  <w:footnote w:id="16">
    <w:p w14:paraId="5B844AEA" w14:textId="649212B5" w:rsidR="00E72B03" w:rsidRDefault="00E72B03" w:rsidP="00E72B03">
      <w:pPr>
        <w:pStyle w:val="FootnoteText"/>
        <w:jc w:val="left"/>
      </w:pPr>
      <w:r>
        <w:rPr>
          <w:rStyle w:val="FootnoteReference"/>
        </w:rPr>
        <w:footnoteRef/>
      </w:r>
      <w:r>
        <w:t xml:space="preserve"> Boise (1887): 49.</w:t>
      </w:r>
    </w:p>
  </w:footnote>
  <w:footnote w:id="17">
    <w:p w14:paraId="677296BD" w14:textId="4DA781DC" w:rsidR="00E72B03" w:rsidRDefault="00E72B03" w:rsidP="00E72B03">
      <w:pPr>
        <w:pStyle w:val="FootnoteText"/>
        <w:jc w:val="left"/>
      </w:pPr>
      <w:r>
        <w:rPr>
          <w:rStyle w:val="FootnoteReference"/>
        </w:rPr>
        <w:footnoteRef/>
      </w:r>
      <w:r>
        <w:t xml:space="preserve"> </w:t>
      </w:r>
      <w:proofErr w:type="spellStart"/>
      <w:r>
        <w:t>Antrich</w:t>
      </w:r>
      <w:proofErr w:type="spellEnd"/>
      <w:r>
        <w:t xml:space="preserve"> and Usher (1978): 53.</w:t>
      </w:r>
    </w:p>
  </w:footnote>
  <w:footnote w:id="18">
    <w:p w14:paraId="4482EF9A" w14:textId="26D5CE55" w:rsidR="00813F83" w:rsidRDefault="00813F83" w:rsidP="00813F83">
      <w:pPr>
        <w:pStyle w:val="FootnoteText"/>
        <w:jc w:val="left"/>
      </w:pPr>
      <w:r>
        <w:rPr>
          <w:rStyle w:val="FootnoteReference"/>
        </w:rPr>
        <w:footnoteRef/>
      </w:r>
      <w:r>
        <w:t xml:space="preserve"> Ibid., 53.</w:t>
      </w:r>
    </w:p>
  </w:footnote>
  <w:footnote w:id="19">
    <w:p w14:paraId="74A9F105" w14:textId="29334CA9" w:rsidR="00813F83" w:rsidRDefault="00813F83" w:rsidP="00813F83">
      <w:pPr>
        <w:pStyle w:val="FootnoteText"/>
        <w:jc w:val="left"/>
      </w:pPr>
      <w:r>
        <w:rPr>
          <w:rStyle w:val="FootnoteReference"/>
        </w:rPr>
        <w:footnoteRef/>
      </w:r>
      <w:r>
        <w:t xml:space="preserve"> Boise (1887): 50.</w:t>
      </w:r>
    </w:p>
  </w:footnote>
  <w:footnote w:id="20">
    <w:p w14:paraId="5BCC41F0" w14:textId="55ED0AF8" w:rsidR="00B47EE6" w:rsidRDefault="00B47EE6" w:rsidP="00B47EE6">
      <w:pPr>
        <w:pStyle w:val="FootnoteText"/>
        <w:jc w:val="left"/>
      </w:pPr>
      <w:r>
        <w:rPr>
          <w:rStyle w:val="FootnoteReference"/>
        </w:rPr>
        <w:footnoteRef/>
      </w:r>
      <w:r>
        <w:t xml:space="preserve"> </w:t>
      </w:r>
      <w:proofErr w:type="spellStart"/>
      <w:r w:rsidR="00813F83">
        <w:t>Antrich</w:t>
      </w:r>
      <w:proofErr w:type="spellEnd"/>
      <w:r w:rsidR="00813F83">
        <w:t xml:space="preserve"> and Usher</w:t>
      </w:r>
      <w:r>
        <w:t>, 53.</w:t>
      </w:r>
    </w:p>
  </w:footnote>
  <w:footnote w:id="21">
    <w:p w14:paraId="39281850" w14:textId="3251D9E7" w:rsidR="0099032A" w:rsidRDefault="0099032A" w:rsidP="0099032A">
      <w:pPr>
        <w:pStyle w:val="FootnoteText"/>
        <w:jc w:val="left"/>
      </w:pPr>
      <w:r>
        <w:rPr>
          <w:rStyle w:val="FootnoteReference"/>
        </w:rPr>
        <w:footnoteRef/>
      </w:r>
      <w:r>
        <w:t xml:space="preserve"> Ibid., 53. </w:t>
      </w:r>
    </w:p>
  </w:footnote>
  <w:footnote w:id="22">
    <w:p w14:paraId="658EED90" w14:textId="5442B2B2" w:rsidR="00532034" w:rsidRDefault="00532034" w:rsidP="00532034">
      <w:pPr>
        <w:pStyle w:val="FootnoteText"/>
        <w:jc w:val="left"/>
      </w:pPr>
      <w:r>
        <w:rPr>
          <w:rStyle w:val="FootnoteReference"/>
        </w:rPr>
        <w:footnoteRef/>
      </w:r>
      <w:r>
        <w:t xml:space="preserve"> Waterfield (2006): 16.</w:t>
      </w:r>
    </w:p>
  </w:footnote>
  <w:footnote w:id="23">
    <w:p w14:paraId="15D0F4E7" w14:textId="650712D7" w:rsidR="008449F0" w:rsidRDefault="008449F0" w:rsidP="008449F0">
      <w:pPr>
        <w:pStyle w:val="FootnoteText"/>
        <w:jc w:val="left"/>
      </w:pPr>
      <w:r>
        <w:rPr>
          <w:rStyle w:val="FootnoteReference"/>
        </w:rPr>
        <w:footnoteRef/>
      </w:r>
      <w:r>
        <w:t xml:space="preserve"> </w:t>
      </w:r>
      <w:proofErr w:type="spellStart"/>
      <w:r>
        <w:t>Antrich</w:t>
      </w:r>
      <w:proofErr w:type="spellEnd"/>
      <w:r>
        <w:t xml:space="preserve"> and Usher, 54.</w:t>
      </w:r>
    </w:p>
  </w:footnote>
  <w:footnote w:id="24">
    <w:p w14:paraId="2E51520E" w14:textId="19BE54AF" w:rsidR="008449F0" w:rsidRDefault="008449F0" w:rsidP="008449F0">
      <w:pPr>
        <w:pStyle w:val="FootnoteText"/>
        <w:jc w:val="left"/>
      </w:pPr>
      <w:r>
        <w:rPr>
          <w:rStyle w:val="FootnoteReference"/>
        </w:rPr>
        <w:footnoteRef/>
      </w:r>
      <w:r>
        <w:t xml:space="preserve"> Boise (1887): 50. </w:t>
      </w:r>
    </w:p>
  </w:footnote>
  <w:footnote w:id="25">
    <w:p w14:paraId="334B57B7" w14:textId="3980F7C3" w:rsidR="005C3F2D" w:rsidRDefault="005C3F2D" w:rsidP="005C3F2D">
      <w:pPr>
        <w:pStyle w:val="FootnoteText"/>
        <w:jc w:val="left"/>
      </w:pPr>
      <w:r>
        <w:rPr>
          <w:rStyle w:val="FootnoteReference"/>
        </w:rPr>
        <w:footnoteRef/>
      </w:r>
      <w:r>
        <w:t xml:space="preserve"> Ibid., 50.</w:t>
      </w:r>
    </w:p>
  </w:footnote>
  <w:footnote w:id="26">
    <w:p w14:paraId="7DEB4E19" w14:textId="0DBF283A" w:rsidR="00234C96" w:rsidRDefault="00234C96" w:rsidP="00234C96">
      <w:pPr>
        <w:pStyle w:val="FootnoteText"/>
        <w:jc w:val="left"/>
      </w:pPr>
      <w:r>
        <w:rPr>
          <w:rStyle w:val="FootnoteReference"/>
        </w:rPr>
        <w:footnoteRef/>
      </w:r>
      <w:r>
        <w:t xml:space="preserve"> Waterfield (2006): 16.</w:t>
      </w:r>
    </w:p>
  </w:footnote>
  <w:footnote w:id="27">
    <w:p w14:paraId="76E2600B" w14:textId="55FE65C7" w:rsidR="00977B6D" w:rsidRDefault="00977B6D" w:rsidP="00977B6D">
      <w:pPr>
        <w:pStyle w:val="FootnoteText"/>
        <w:jc w:val="left"/>
      </w:pPr>
      <w:r>
        <w:rPr>
          <w:rStyle w:val="FootnoteReference"/>
        </w:rPr>
        <w:footnoteRef/>
      </w:r>
      <w:r>
        <w:t xml:space="preserve"> </w:t>
      </w:r>
      <w:proofErr w:type="spellStart"/>
      <w:r>
        <w:t>Antrich</w:t>
      </w:r>
      <w:proofErr w:type="spellEnd"/>
      <w:r>
        <w:t xml:space="preserve"> and Usher (1978): 54.</w:t>
      </w:r>
    </w:p>
  </w:footnote>
  <w:footnote w:id="28">
    <w:p w14:paraId="3B944435" w14:textId="6DCDA450" w:rsidR="00442FC2" w:rsidRDefault="00442FC2" w:rsidP="00442FC2">
      <w:pPr>
        <w:pStyle w:val="FootnoteText"/>
        <w:jc w:val="left"/>
      </w:pPr>
      <w:r>
        <w:rPr>
          <w:rStyle w:val="FootnoteReference"/>
        </w:rPr>
        <w:footnoteRef/>
      </w:r>
      <w:r>
        <w:t xml:space="preserve"> Waterfield (2006): 16.</w:t>
      </w:r>
    </w:p>
  </w:footnote>
  <w:footnote w:id="29">
    <w:p w14:paraId="74A10D00" w14:textId="299D5852" w:rsidR="00442FC2" w:rsidRDefault="00442FC2" w:rsidP="00442FC2">
      <w:pPr>
        <w:pStyle w:val="FootnoteText"/>
        <w:jc w:val="left"/>
      </w:pPr>
      <w:r>
        <w:rPr>
          <w:rStyle w:val="FootnoteReference"/>
        </w:rPr>
        <w:footnoteRef/>
      </w:r>
      <w:r>
        <w:t xml:space="preserve"> </w:t>
      </w:r>
      <w:proofErr w:type="spellStart"/>
      <w:r>
        <w:t>Lendle</w:t>
      </w:r>
      <w:proofErr w:type="spellEnd"/>
      <w:r>
        <w:t xml:space="preserve"> (1995): 72.</w:t>
      </w:r>
    </w:p>
  </w:footnote>
  <w:footnote w:id="30">
    <w:p w14:paraId="4B677FCD" w14:textId="1F1AB1E2" w:rsidR="000C0B80" w:rsidRDefault="000C0B80" w:rsidP="000C0B80">
      <w:pPr>
        <w:pStyle w:val="FootnoteText"/>
        <w:jc w:val="left"/>
      </w:pPr>
      <w:r>
        <w:rPr>
          <w:rStyle w:val="FootnoteReference"/>
        </w:rPr>
        <w:footnoteRef/>
      </w:r>
      <w:r>
        <w:t xml:space="preserve"> </w:t>
      </w:r>
      <w:proofErr w:type="spellStart"/>
      <w:r>
        <w:t>Antrich</w:t>
      </w:r>
      <w:proofErr w:type="spellEnd"/>
      <w:r>
        <w:t xml:space="preserve"> and Usher (1978): 55.</w:t>
      </w:r>
    </w:p>
  </w:footnote>
  <w:footnote w:id="31">
    <w:p w14:paraId="57F30747" w14:textId="70095C3D" w:rsidR="002743F9" w:rsidRDefault="002743F9" w:rsidP="002743F9">
      <w:pPr>
        <w:pStyle w:val="FootnoteText"/>
        <w:jc w:val="left"/>
      </w:pPr>
      <w:r>
        <w:rPr>
          <w:rStyle w:val="FootnoteReference"/>
        </w:rPr>
        <w:footnoteRef/>
      </w:r>
      <w:r>
        <w:t xml:space="preserve"> Ibid., 55, and Steadman (201</w:t>
      </w:r>
      <w:r w:rsidR="00F802CA">
        <w:t>7</w:t>
      </w:r>
      <w:r>
        <w:t>): 91.</w:t>
      </w:r>
    </w:p>
  </w:footnote>
  <w:footnote w:id="32">
    <w:p w14:paraId="50EDECDE" w14:textId="0F81D9FD" w:rsidR="00D711BA" w:rsidRDefault="00D711BA" w:rsidP="00D711BA">
      <w:pPr>
        <w:pStyle w:val="FootnoteText"/>
        <w:jc w:val="left"/>
      </w:pPr>
      <w:r>
        <w:rPr>
          <w:rStyle w:val="FootnoteReference"/>
        </w:rPr>
        <w:footnoteRef/>
      </w:r>
      <w:r>
        <w:t xml:space="preserve"> Steadman (201</w:t>
      </w:r>
      <w:r w:rsidR="00F802CA">
        <w:t>7</w:t>
      </w:r>
      <w:r>
        <w:t xml:space="preserve">): 91.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B6339" w14:textId="424EA4EA" w:rsidR="00457837" w:rsidRPr="00457837" w:rsidRDefault="00457837" w:rsidP="00457837">
    <w:pPr>
      <w:pStyle w:val="Header"/>
      <w:jc w:val="right"/>
    </w:pPr>
    <w:r>
      <w:t xml:space="preserve">Commentary on the </w:t>
    </w:r>
    <w:r>
      <w:rPr>
        <w:i/>
      </w:rPr>
      <w:t>Anabasis</w:t>
    </w:r>
    <w:r>
      <w:t xml:space="preserve"> </w:t>
    </w:r>
    <w:r>
      <w:fldChar w:fldCharType="begin"/>
    </w:r>
    <w:r>
      <w:instrText xml:space="preserve"> PAGE   \* MERGEFORMAT </w:instrText>
    </w:r>
    <w:r>
      <w:fldChar w:fldCharType="separate"/>
    </w:r>
    <w:r w:rsidR="00F05D92">
      <w:rPr>
        <w:noProof/>
      </w:rPr>
      <w:t>1</w:t>
    </w:r>
    <w:r>
      <w:rPr>
        <w:noProof/>
      </w:rPr>
      <w:fldChar w:fldCharType="end"/>
    </w:r>
  </w:p>
  <w:p w14:paraId="7A32EC16" w14:textId="77777777" w:rsidR="00457837" w:rsidRDefault="004578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13C"/>
    <w:rsid w:val="000422C9"/>
    <w:rsid w:val="00047ACF"/>
    <w:rsid w:val="000525CE"/>
    <w:rsid w:val="000A3CC3"/>
    <w:rsid w:val="000B62EC"/>
    <w:rsid w:val="000C0B80"/>
    <w:rsid w:val="001005B5"/>
    <w:rsid w:val="0010168B"/>
    <w:rsid w:val="00196A3E"/>
    <w:rsid w:val="00232601"/>
    <w:rsid w:val="00234C96"/>
    <w:rsid w:val="002743F9"/>
    <w:rsid w:val="00277B09"/>
    <w:rsid w:val="00282AB9"/>
    <w:rsid w:val="002A29DC"/>
    <w:rsid w:val="002B284D"/>
    <w:rsid w:val="002C12CC"/>
    <w:rsid w:val="002C4799"/>
    <w:rsid w:val="002D7759"/>
    <w:rsid w:val="002F4308"/>
    <w:rsid w:val="0034652F"/>
    <w:rsid w:val="0037230D"/>
    <w:rsid w:val="003B27C7"/>
    <w:rsid w:val="003E342D"/>
    <w:rsid w:val="004072D6"/>
    <w:rsid w:val="00442FC2"/>
    <w:rsid w:val="00456AF7"/>
    <w:rsid w:val="00457837"/>
    <w:rsid w:val="00482F4E"/>
    <w:rsid w:val="004D6318"/>
    <w:rsid w:val="004D7998"/>
    <w:rsid w:val="00513B4F"/>
    <w:rsid w:val="00532034"/>
    <w:rsid w:val="00543BF8"/>
    <w:rsid w:val="005A14B8"/>
    <w:rsid w:val="005C3F2D"/>
    <w:rsid w:val="005D3A2B"/>
    <w:rsid w:val="005F5A80"/>
    <w:rsid w:val="00622350"/>
    <w:rsid w:val="0062610C"/>
    <w:rsid w:val="00644DC2"/>
    <w:rsid w:val="00645527"/>
    <w:rsid w:val="006C248B"/>
    <w:rsid w:val="007548CE"/>
    <w:rsid w:val="007B56F5"/>
    <w:rsid w:val="007C3870"/>
    <w:rsid w:val="00800262"/>
    <w:rsid w:val="00813A05"/>
    <w:rsid w:val="00813F83"/>
    <w:rsid w:val="00815FD7"/>
    <w:rsid w:val="0082779A"/>
    <w:rsid w:val="008449F0"/>
    <w:rsid w:val="00891707"/>
    <w:rsid w:val="00892D01"/>
    <w:rsid w:val="009554BB"/>
    <w:rsid w:val="00977B6D"/>
    <w:rsid w:val="0099032A"/>
    <w:rsid w:val="009F7FD3"/>
    <w:rsid w:val="00A47F47"/>
    <w:rsid w:val="00A6474F"/>
    <w:rsid w:val="00A80690"/>
    <w:rsid w:val="00AB34E6"/>
    <w:rsid w:val="00AB5488"/>
    <w:rsid w:val="00AD7018"/>
    <w:rsid w:val="00AD778A"/>
    <w:rsid w:val="00B47EE6"/>
    <w:rsid w:val="00BC242B"/>
    <w:rsid w:val="00BC7E07"/>
    <w:rsid w:val="00BF634A"/>
    <w:rsid w:val="00C033EB"/>
    <w:rsid w:val="00C3013C"/>
    <w:rsid w:val="00C80506"/>
    <w:rsid w:val="00C87F7D"/>
    <w:rsid w:val="00C925D8"/>
    <w:rsid w:val="00CD0BD5"/>
    <w:rsid w:val="00CE4894"/>
    <w:rsid w:val="00D66B24"/>
    <w:rsid w:val="00D711BA"/>
    <w:rsid w:val="00DB0927"/>
    <w:rsid w:val="00DB3EA5"/>
    <w:rsid w:val="00E07BD4"/>
    <w:rsid w:val="00E531F3"/>
    <w:rsid w:val="00E54FF2"/>
    <w:rsid w:val="00E72B03"/>
    <w:rsid w:val="00EA4133"/>
    <w:rsid w:val="00F05D92"/>
    <w:rsid w:val="00F67DE3"/>
    <w:rsid w:val="00F72A96"/>
    <w:rsid w:val="00F802CA"/>
    <w:rsid w:val="00FB1915"/>
    <w:rsid w:val="00FC4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4E52"/>
  <w15:chartTrackingRefBased/>
  <w15:docId w15:val="{2D1248E3-01D4-4952-8E26-8843C93F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525CE"/>
    <w:rPr>
      <w:sz w:val="20"/>
      <w:szCs w:val="20"/>
    </w:rPr>
  </w:style>
  <w:style w:type="character" w:customStyle="1" w:styleId="FootnoteTextChar">
    <w:name w:val="Footnote Text Char"/>
    <w:basedOn w:val="DefaultParagraphFont"/>
    <w:link w:val="FootnoteText"/>
    <w:uiPriority w:val="99"/>
    <w:semiHidden/>
    <w:rsid w:val="000525CE"/>
    <w:rPr>
      <w:sz w:val="20"/>
      <w:szCs w:val="20"/>
    </w:rPr>
  </w:style>
  <w:style w:type="character" w:styleId="FootnoteReference">
    <w:name w:val="footnote reference"/>
    <w:basedOn w:val="DefaultParagraphFont"/>
    <w:uiPriority w:val="99"/>
    <w:semiHidden/>
    <w:unhideWhenUsed/>
    <w:rsid w:val="000525CE"/>
    <w:rPr>
      <w:vertAlign w:val="superscript"/>
    </w:rPr>
  </w:style>
  <w:style w:type="paragraph" w:styleId="Header">
    <w:name w:val="header"/>
    <w:basedOn w:val="Normal"/>
    <w:link w:val="HeaderChar"/>
    <w:uiPriority w:val="99"/>
    <w:unhideWhenUsed/>
    <w:rsid w:val="00457837"/>
    <w:pPr>
      <w:tabs>
        <w:tab w:val="center" w:pos="4680"/>
        <w:tab w:val="right" w:pos="9360"/>
      </w:tabs>
    </w:pPr>
  </w:style>
  <w:style w:type="character" w:customStyle="1" w:styleId="HeaderChar">
    <w:name w:val="Header Char"/>
    <w:basedOn w:val="DefaultParagraphFont"/>
    <w:link w:val="Header"/>
    <w:uiPriority w:val="99"/>
    <w:rsid w:val="00457837"/>
  </w:style>
  <w:style w:type="paragraph" w:styleId="Footer">
    <w:name w:val="footer"/>
    <w:basedOn w:val="Normal"/>
    <w:link w:val="FooterChar"/>
    <w:uiPriority w:val="99"/>
    <w:unhideWhenUsed/>
    <w:rsid w:val="00457837"/>
    <w:pPr>
      <w:tabs>
        <w:tab w:val="center" w:pos="4680"/>
        <w:tab w:val="right" w:pos="9360"/>
      </w:tabs>
    </w:pPr>
  </w:style>
  <w:style w:type="character" w:customStyle="1" w:styleId="FooterChar">
    <w:name w:val="Footer Char"/>
    <w:basedOn w:val="DefaultParagraphFont"/>
    <w:link w:val="Footer"/>
    <w:uiPriority w:val="99"/>
    <w:rsid w:val="00457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450C33CA-5A82-4016-97A4-3054888C2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10</Pages>
  <Words>2468</Words>
  <Characters>14073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Bonagura, David</cp:lastModifiedBy>
  <cp:revision>25</cp:revision>
  <dcterms:created xsi:type="dcterms:W3CDTF">2018-04-22T15:25:00Z</dcterms:created>
  <dcterms:modified xsi:type="dcterms:W3CDTF">2018-04-30T15:10:00Z</dcterms:modified>
</cp:coreProperties>
</file>