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5B9BD5" w:themeColor="accent1"/>
          <w:sz w:val="24"/>
          <w:lang w:val="en-GB"/>
        </w:rPr>
        <w:id w:val="-1522475554"/>
        <w:docPartObj>
          <w:docPartGallery w:val="Cover Pages"/>
          <w:docPartUnique/>
        </w:docPartObj>
      </w:sdtPr>
      <w:sdtEndPr>
        <w:rPr>
          <w:color w:val="auto"/>
        </w:rPr>
      </w:sdtEndPr>
      <w:sdtContent>
        <w:p w14:paraId="5384490A" w14:textId="77777777" w:rsidR="007D1947" w:rsidRPr="00341C46" w:rsidRDefault="007D1947" w:rsidP="00341C46">
          <w:pPr>
            <w:pStyle w:val="NoSpacing"/>
            <w:spacing w:before="1540" w:after="240" w:line="360" w:lineRule="auto"/>
            <w:jc w:val="center"/>
            <w:rPr>
              <w:rFonts w:ascii="Times New Roman" w:hAnsi="Times New Roman" w:cs="Times New Roman"/>
              <w:color w:val="5B9BD5" w:themeColor="accent1"/>
            </w:rPr>
          </w:pPr>
          <w:r w:rsidRPr="00341C46">
            <w:rPr>
              <w:rFonts w:ascii="Times New Roman" w:hAnsi="Times New Roman" w:cs="Times New Roman"/>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EC0F753" w14:textId="77777777" w:rsidR="00341C46" w:rsidRPr="00341C46" w:rsidRDefault="00341C46" w:rsidP="00341C46">
          <w:pPr>
            <w:pStyle w:val="NoSpacing"/>
            <w:spacing w:line="360" w:lineRule="auto"/>
            <w:jc w:val="center"/>
            <w:rPr>
              <w:rFonts w:ascii="Times New Roman" w:eastAsiaTheme="majorEastAsia" w:hAnsi="Times New Roman" w:cs="Times New Roman"/>
              <w:caps/>
              <w:color w:val="5B9BD5" w:themeColor="accent1"/>
              <w:sz w:val="48"/>
              <w:szCs w:val="72"/>
            </w:rPr>
          </w:pPr>
          <w:r w:rsidRPr="00341C46">
            <w:rPr>
              <w:rFonts w:ascii="Times New Roman" w:eastAsiaTheme="majorEastAsia" w:hAnsi="Times New Roman" w:cs="Times New Roman"/>
              <w:caps/>
              <w:color w:val="5B9BD5" w:themeColor="accent1"/>
              <w:sz w:val="48"/>
              <w:szCs w:val="72"/>
            </w:rPr>
            <w:t>Global Business Challenges</w:t>
          </w:r>
        </w:p>
        <w:p w14:paraId="1ADC1124" w14:textId="00CED339" w:rsidR="007D1947" w:rsidRPr="00341C46" w:rsidRDefault="008B7EAF" w:rsidP="00341C46">
          <w:pPr>
            <w:pStyle w:val="NoSpacing"/>
            <w:spacing w:before="480" w:line="360" w:lineRule="auto"/>
            <w:jc w:val="center"/>
            <w:rPr>
              <w:rFonts w:ascii="Times New Roman" w:hAnsi="Times New Roman" w:cs="Times New Roman"/>
              <w:color w:val="5B9BD5" w:themeColor="accent1"/>
            </w:rPr>
          </w:pPr>
          <w:r>
            <w:rPr>
              <w:rFonts w:ascii="Times New Roman" w:hAnsi="Times New Roman" w:cs="Times New Roman"/>
              <w:color w:val="5B9BD5" w:themeColor="accent1"/>
              <w:sz w:val="28"/>
              <w:szCs w:val="28"/>
            </w:rPr>
            <w:t>Title</w:t>
          </w:r>
          <w:r w:rsidR="00141C78">
            <w:rPr>
              <w:rFonts w:ascii="Times New Roman" w:hAnsi="Times New Roman" w:cs="Times New Roman"/>
              <w:color w:val="5B9BD5" w:themeColor="accent1"/>
              <w:sz w:val="28"/>
              <w:szCs w:val="28"/>
            </w:rPr>
            <w:t>: A</w:t>
          </w:r>
          <w:r w:rsidR="00F51E28" w:rsidRPr="00F51E28">
            <w:rPr>
              <w:rFonts w:ascii="Times New Roman" w:hAnsi="Times New Roman" w:cs="Times New Roman"/>
              <w:color w:val="5B9BD5" w:themeColor="accent1"/>
              <w:sz w:val="28"/>
              <w:szCs w:val="28"/>
            </w:rPr>
            <w:t>rtificial Intelligence and Risk Managemen</w:t>
          </w:r>
          <w:r w:rsidR="00F51E28">
            <w:rPr>
              <w:rFonts w:ascii="Times New Roman" w:hAnsi="Times New Roman" w:cs="Times New Roman"/>
              <w:color w:val="5B9BD5" w:themeColor="accent1"/>
              <w:sz w:val="28"/>
              <w:szCs w:val="28"/>
            </w:rPr>
            <w:t xml:space="preserve">t in Global Business: Strategic </w:t>
          </w:r>
          <w:r w:rsidR="00F51E28" w:rsidRPr="00F51E28">
            <w:rPr>
              <w:rFonts w:ascii="Times New Roman" w:hAnsi="Times New Roman" w:cs="Times New Roman"/>
              <w:color w:val="5B9BD5" w:themeColor="accent1"/>
              <w:sz w:val="28"/>
              <w:szCs w:val="28"/>
            </w:rPr>
            <w:t>Analysis of Sage Group Plc UK and European Union Context</w:t>
          </w:r>
          <w:r w:rsidR="007D1947" w:rsidRPr="00341C46">
            <w:rPr>
              <w:rFonts w:ascii="Times New Roman" w:hAnsi="Times New Roman" w:cs="Times New Roman"/>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BAF8D9" w14:textId="494D6981" w:rsidR="00AD3EAE" w:rsidRDefault="00AD3EAE">
                                <w:pPr>
                                  <w:pStyle w:val="NoSpacing"/>
                                  <w:spacing w:after="40"/>
                                  <w:jc w:val="center"/>
                                  <w:rPr>
                                    <w:caps/>
                                    <w:color w:val="5B9BD5" w:themeColor="accent1"/>
                                    <w:sz w:val="28"/>
                                    <w:szCs w:val="28"/>
                                  </w:rPr>
                                </w:pPr>
                              </w:p>
                              <w:p w14:paraId="69E98CB3" w14:textId="7CB510AB" w:rsidR="00AD3EAE" w:rsidRPr="00F51E28" w:rsidRDefault="00AD3EAE">
                                <w:pPr>
                                  <w:pStyle w:val="NoSpacing"/>
                                  <w:jc w:val="center"/>
                                  <w:rPr>
                                    <w:rFonts w:ascii="Times New Roman" w:hAnsi="Times New Roman" w:cs="Times New Roman"/>
                                    <w:b/>
                                    <w:color w:val="5B9BD5" w:themeColor="accent1"/>
                                    <w:sz w:val="24"/>
                                  </w:rPr>
                                </w:pPr>
                                <w:r w:rsidRPr="00F51E28">
                                  <w:rPr>
                                    <w:rFonts w:ascii="Times New Roman" w:hAnsi="Times New Roman" w:cs="Times New Roman"/>
                                    <w:b/>
                                    <w:caps/>
                                    <w:color w:val="5B9BD5" w:themeColor="accent1"/>
                                    <w:sz w:val="24"/>
                                    <w:lang w:val="en-GB"/>
                                  </w:rPr>
                                  <w:t>University of Wales Trinity Saint David</w:t>
                                </w:r>
                              </w:p>
                              <w:p w14:paraId="3FC79022" w14:textId="39D55D98" w:rsidR="00AD3EAE" w:rsidRDefault="00AD3EAE">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p w14:paraId="52BAF8D9" w14:textId="494D6981" w:rsidR="00AD3EAE" w:rsidRDefault="00AD3EAE">
                          <w:pPr>
                            <w:pStyle w:val="NoSpacing"/>
                            <w:spacing w:after="40"/>
                            <w:jc w:val="center"/>
                            <w:rPr>
                              <w:caps/>
                              <w:color w:val="5B9BD5" w:themeColor="accent1"/>
                              <w:sz w:val="28"/>
                              <w:szCs w:val="28"/>
                            </w:rPr>
                          </w:pPr>
                        </w:p>
                        <w:p w14:paraId="69E98CB3" w14:textId="7CB510AB" w:rsidR="00AD3EAE" w:rsidRPr="00F51E28" w:rsidRDefault="00AD3EAE">
                          <w:pPr>
                            <w:pStyle w:val="NoSpacing"/>
                            <w:jc w:val="center"/>
                            <w:rPr>
                              <w:rFonts w:ascii="Times New Roman" w:hAnsi="Times New Roman" w:cs="Times New Roman"/>
                              <w:b/>
                              <w:color w:val="5B9BD5" w:themeColor="accent1"/>
                              <w:sz w:val="24"/>
                            </w:rPr>
                          </w:pPr>
                          <w:r w:rsidRPr="00F51E28">
                            <w:rPr>
                              <w:rFonts w:ascii="Times New Roman" w:hAnsi="Times New Roman" w:cs="Times New Roman"/>
                              <w:b/>
                              <w:caps/>
                              <w:color w:val="5B9BD5" w:themeColor="accent1"/>
                              <w:sz w:val="24"/>
                              <w:lang w:val="en-GB"/>
                            </w:rPr>
                            <w:t>University of Wales Trinity Saint David</w:t>
                          </w:r>
                        </w:p>
                        <w:p w14:paraId="3FC79022" w14:textId="39D55D98" w:rsidR="00AD3EAE" w:rsidRDefault="00AD3EAE">
                          <w:pPr>
                            <w:pStyle w:val="NoSpacing"/>
                            <w:jc w:val="center"/>
                            <w:rPr>
                              <w:color w:val="5B9BD5" w:themeColor="accent1"/>
                            </w:rPr>
                          </w:pPr>
                        </w:p>
                      </w:txbxContent>
                    </v:textbox>
                    <w10:wrap anchorx="margin" anchory="page"/>
                  </v:shape>
                </w:pict>
              </mc:Fallback>
            </mc:AlternateContent>
          </w:r>
        </w:p>
        <w:p w14:paraId="6FE321CE" w14:textId="77777777" w:rsidR="0085745C" w:rsidRDefault="00F51E28" w:rsidP="0085745C">
          <w:pPr>
            <w:jc w:val="center"/>
          </w:pPr>
          <w:r w:rsidRPr="00341C46">
            <w:rPr>
              <w:noProof/>
              <w:lang w:eastAsia="en-GB"/>
            </w:rPr>
            <w:drawing>
              <wp:inline distT="0" distB="0" distL="0" distR="0" wp14:anchorId="1686113B" wp14:editId="304FBE0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0D0891" w14:textId="77777777" w:rsidR="00C61F02" w:rsidRDefault="00C61F02" w:rsidP="00C61F02">
          <w:pPr>
            <w:jc w:val="center"/>
          </w:pPr>
          <w:r>
            <w:t>STUDENT NAME: Bidut Hossain</w:t>
          </w:r>
        </w:p>
        <w:p w14:paraId="4DFE3252" w14:textId="1B0EABDF" w:rsidR="00C61F02" w:rsidRDefault="00C61F02" w:rsidP="00C61F02">
          <w:pPr>
            <w:jc w:val="center"/>
          </w:pPr>
          <w:r>
            <w:t>STUDENT ID: 2503964</w:t>
          </w:r>
        </w:p>
        <w:p w14:paraId="504BBAF1" w14:textId="77777777" w:rsidR="0085745C" w:rsidRDefault="0085745C">
          <w:pPr>
            <w:spacing w:line="259" w:lineRule="auto"/>
            <w:jc w:val="left"/>
            <w:rPr>
              <w:rFonts w:eastAsiaTheme="majorEastAsia" w:cs="Times New Roman"/>
              <w:b/>
              <w:color w:val="2E74B5" w:themeColor="accent1" w:themeShade="BF"/>
              <w:sz w:val="28"/>
              <w:szCs w:val="32"/>
            </w:rPr>
          </w:pPr>
          <w:r>
            <w:rPr>
              <w:rFonts w:cs="Times New Roman"/>
            </w:rPr>
            <w:br w:type="page"/>
          </w:r>
        </w:p>
        <w:p w14:paraId="078A531F" w14:textId="24FB1B1C" w:rsidR="007D1947" w:rsidRPr="00341C46" w:rsidRDefault="007D1947" w:rsidP="0085745C">
          <w:pPr>
            <w:pStyle w:val="Heading1"/>
            <w:rPr>
              <w:rFonts w:cs="Times New Roman"/>
            </w:rPr>
          </w:pPr>
          <w:bookmarkStart w:id="0" w:name="_Toc224899663"/>
          <w:r w:rsidRPr="00341C46">
            <w:rPr>
              <w:rFonts w:cs="Times New Roman"/>
            </w:rPr>
            <w:lastRenderedPageBreak/>
            <w:t>Executive Summary</w:t>
          </w:r>
          <w:bookmarkEnd w:id="0"/>
        </w:p>
        <w:p w14:paraId="64FF0B40" w14:textId="77777777" w:rsidR="00CA2B0C" w:rsidRPr="00CA2B0C" w:rsidRDefault="00CA2B0C" w:rsidP="00CA2B0C">
          <w:pPr>
            <w:rPr>
              <w:rFonts w:cs="Times New Roman"/>
            </w:rPr>
          </w:pPr>
          <w:r w:rsidRPr="00CA2B0C">
            <w:rPr>
              <w:rFonts w:cs="Times New Roman"/>
            </w:rPr>
            <w:t xml:space="preserve">This report discusses the impact of artificial intelligence (AI) in global business with regard to risk management and, to this end, presents Sage Group plc as a case study. AI has been growing rapidly, allowing for greater efficiency, decision-making and scalability in organisations. At the same time, it brings about new dangers, including the issues of data governance, ethical dilemmas, regulatory compliance and customer trust erosion.  </w:t>
          </w:r>
        </w:p>
        <w:p w14:paraId="14C623BC" w14:textId="77777777" w:rsidR="00CA2B0C" w:rsidRPr="00CA2B0C" w:rsidRDefault="00CA2B0C" w:rsidP="00CA2B0C">
          <w:pPr>
            <w:rPr>
              <w:rFonts w:cs="Times New Roman"/>
            </w:rPr>
          </w:pPr>
          <w:r w:rsidRPr="00CA2B0C">
            <w:rPr>
              <w:rFonts w:cs="Times New Roman"/>
            </w:rPr>
            <w:t xml:space="preserve">The analysis reveals that the global expansion of AI is influenced by macro-economic conditions and government policies. The United Kingdom is more in favour of a pro-innovation regulatory approach and the European Union adopts a structured, risk-based approach. This divergence creates a fragmented regulatory environment that makes it more complicated for multinational companies doing business on a cross-border basis to comply. Firms therefore must be able to develop flexible strategies that balance innovation objectives with regulatory expectations.  </w:t>
          </w:r>
        </w:p>
        <w:p w14:paraId="4120DD99" w14:textId="77777777" w:rsidR="00CA2B0C" w:rsidRPr="00CA2B0C" w:rsidRDefault="00CA2B0C" w:rsidP="00CA2B0C">
          <w:pPr>
            <w:rPr>
              <w:rFonts w:cs="Times New Roman"/>
            </w:rPr>
          </w:pPr>
          <w:r w:rsidRPr="00CA2B0C">
            <w:rPr>
              <w:rFonts w:cs="Times New Roman"/>
            </w:rPr>
            <w:t xml:space="preserve">Key technological risks that have been identified include algorithmic bias, cybersecurity threats and system failures. These risks can cause harm to organisational performance and reputation. They are compounded by difficulties in governance of data, especially in the case of dealing with cross-border flows of data and adhering to data protection rules. Ethical concerns - fairness, transparency and accountability - are also critical, because the consequences of ignoring them can be legal, and the loss of stakeholder trust.  </w:t>
          </w:r>
        </w:p>
        <w:p w14:paraId="0FFE8C83" w14:textId="77777777" w:rsidR="00CA2B0C" w:rsidRPr="00CA2B0C" w:rsidRDefault="00CA2B0C" w:rsidP="00CA2B0C">
          <w:pPr>
            <w:rPr>
              <w:rFonts w:cs="Times New Roman"/>
            </w:rPr>
          </w:pPr>
          <w:r w:rsidRPr="00CA2B0C">
            <w:rPr>
              <w:rFonts w:cs="Times New Roman"/>
            </w:rPr>
            <w:t xml:space="preserve">Customer trust is a main theme. The findings show that transparency and being responsible in the use of AI are key in maintaining strong stakeholder relationships. Organisations that do not manage the trust risk face reputational damage and a loss of competitiveness on digital markets. Therefore, it is vital to have ethical principles and clear communication built into the deployment of AI for long-term sustainability.  </w:t>
          </w:r>
        </w:p>
        <w:p w14:paraId="3492949B" w14:textId="77777777" w:rsidR="00CA2B0C" w:rsidRPr="00CA2B0C" w:rsidRDefault="00CA2B0C" w:rsidP="00CA2B0C">
          <w:pPr>
            <w:rPr>
              <w:rFonts w:cs="Times New Roman"/>
            </w:rPr>
          </w:pPr>
          <w:r w:rsidRPr="00CA2B0C">
            <w:rPr>
              <w:rFonts w:cs="Times New Roman"/>
            </w:rPr>
            <w:t xml:space="preserve">To meet these challenges, the report recommends an approach to their implementation that focuses on governance, data management, risk mitigation and performance monitoring. Key recommendations are: establishing an AI governance framework; enhancing the data governance practices; implementing the bias detection and cybersecurity measures; and monitoring the AI systems continuously. The plan also emphasizes the importance of employee training and stakeholder engagement in order to ensure effective implementation of the plan.  </w:t>
          </w:r>
        </w:p>
        <w:p w14:paraId="62AB7F7D" w14:textId="39B15BCF" w:rsidR="007D1947" w:rsidRPr="00341C46" w:rsidRDefault="00CA2B0C" w:rsidP="00CA2B0C">
          <w:pPr>
            <w:rPr>
              <w:rFonts w:cs="Times New Roman"/>
            </w:rPr>
          </w:pPr>
          <w:r w:rsidRPr="00CA2B0C">
            <w:rPr>
              <w:rFonts w:cs="Times New Roman"/>
            </w:rPr>
            <w:lastRenderedPageBreak/>
            <w:t>In conclusion, AI presents huge opportunities for innovation and competitive advantage and call for pro-active, integrated risk management. For the case of Sage Group plc, it means a balancing act between technological advancement and regulatory compliance, ethical responsibility, and customer trust. Organisations that manage these dimensions well will be better placed to grow sustainably and be successful over the long term in an ever-changing global business environment.</w:t>
          </w:r>
        </w:p>
        <w:p w14:paraId="6846CF66" w14:textId="77777777" w:rsidR="007D1947" w:rsidRPr="00341C46" w:rsidRDefault="007D1947" w:rsidP="00341C46">
          <w:pPr>
            <w:rPr>
              <w:rFonts w:cs="Times New Roman"/>
            </w:rPr>
          </w:pPr>
        </w:p>
        <w:p w14:paraId="7F8F78F5" w14:textId="77777777" w:rsidR="007D1947" w:rsidRPr="00341C46" w:rsidRDefault="007D1947" w:rsidP="00341C46">
          <w:pPr>
            <w:rPr>
              <w:rFonts w:cs="Times New Roman"/>
            </w:rPr>
          </w:pPr>
        </w:p>
        <w:p w14:paraId="3E204757" w14:textId="77777777" w:rsidR="007D1947" w:rsidRPr="00341C46" w:rsidRDefault="007D1947" w:rsidP="00341C46">
          <w:pPr>
            <w:rPr>
              <w:rFonts w:cs="Times New Roman"/>
            </w:rPr>
          </w:pPr>
        </w:p>
        <w:p w14:paraId="775DA3A7" w14:textId="77777777" w:rsidR="007D1947" w:rsidRPr="00341C46" w:rsidRDefault="007D1947" w:rsidP="00341C46">
          <w:pPr>
            <w:rPr>
              <w:rFonts w:cs="Times New Roman"/>
            </w:rPr>
          </w:pPr>
        </w:p>
        <w:p w14:paraId="5E5C2FB5" w14:textId="77777777" w:rsidR="007D1947" w:rsidRPr="00341C46" w:rsidRDefault="007D1947" w:rsidP="00341C46">
          <w:pPr>
            <w:rPr>
              <w:rFonts w:cs="Times New Roman"/>
            </w:rPr>
          </w:pPr>
        </w:p>
        <w:p w14:paraId="119F1E47" w14:textId="77777777" w:rsidR="007D1947" w:rsidRPr="00341C46" w:rsidRDefault="007D1947" w:rsidP="00341C46">
          <w:pPr>
            <w:rPr>
              <w:rFonts w:cs="Times New Roman"/>
            </w:rPr>
          </w:pPr>
        </w:p>
        <w:p w14:paraId="2059565F" w14:textId="77777777" w:rsidR="007D1947" w:rsidRPr="00341C46" w:rsidRDefault="007D1947" w:rsidP="00341C46">
          <w:pPr>
            <w:rPr>
              <w:rFonts w:cs="Times New Roman"/>
            </w:rPr>
          </w:pPr>
        </w:p>
        <w:p w14:paraId="1E53466B" w14:textId="77777777" w:rsidR="007D1947" w:rsidRPr="00341C46" w:rsidRDefault="007D1947" w:rsidP="00341C46">
          <w:pPr>
            <w:rPr>
              <w:rFonts w:cs="Times New Roman"/>
            </w:rPr>
          </w:pPr>
        </w:p>
        <w:p w14:paraId="7BC12A6B" w14:textId="77777777" w:rsidR="007D1947" w:rsidRPr="00341C46" w:rsidRDefault="007D1947" w:rsidP="00341C46">
          <w:pPr>
            <w:rPr>
              <w:rFonts w:cs="Times New Roman"/>
            </w:rPr>
          </w:pPr>
        </w:p>
        <w:p w14:paraId="3C8549E0" w14:textId="77777777" w:rsidR="007D1947" w:rsidRPr="00341C46" w:rsidRDefault="007D1947" w:rsidP="00341C46">
          <w:pPr>
            <w:rPr>
              <w:rFonts w:cs="Times New Roman"/>
            </w:rPr>
          </w:pPr>
        </w:p>
        <w:p w14:paraId="606FEBB7" w14:textId="77777777" w:rsidR="007D1947" w:rsidRPr="00341C46" w:rsidRDefault="007D1947" w:rsidP="00341C46">
          <w:pPr>
            <w:rPr>
              <w:rFonts w:cs="Times New Roman"/>
            </w:rPr>
          </w:pPr>
        </w:p>
        <w:p w14:paraId="40B2C76A" w14:textId="77777777" w:rsidR="007D1947" w:rsidRPr="00341C46" w:rsidRDefault="007D1947" w:rsidP="00341C46">
          <w:pPr>
            <w:rPr>
              <w:rFonts w:cs="Times New Roman"/>
            </w:rPr>
          </w:pPr>
        </w:p>
        <w:p w14:paraId="2598F19F" w14:textId="77777777" w:rsidR="007D1947" w:rsidRPr="00341C46" w:rsidRDefault="007D1947" w:rsidP="00341C46">
          <w:pPr>
            <w:rPr>
              <w:rFonts w:cs="Times New Roman"/>
            </w:rPr>
          </w:pPr>
        </w:p>
        <w:p w14:paraId="777A1881" w14:textId="77777777" w:rsidR="007D1947" w:rsidRPr="00341C46" w:rsidRDefault="007D1947" w:rsidP="00341C46">
          <w:pPr>
            <w:rPr>
              <w:rFonts w:cs="Times New Roman"/>
            </w:rPr>
          </w:pPr>
        </w:p>
        <w:p w14:paraId="220B1276" w14:textId="77777777" w:rsidR="007D1947" w:rsidRPr="00341C46" w:rsidRDefault="007D1947" w:rsidP="00341C46">
          <w:pPr>
            <w:rPr>
              <w:rFonts w:cs="Times New Roman"/>
            </w:rPr>
          </w:pPr>
        </w:p>
        <w:p w14:paraId="1DD00D9D" w14:textId="77777777" w:rsidR="007D1947" w:rsidRPr="00341C46" w:rsidRDefault="007D1947" w:rsidP="00341C46">
          <w:pPr>
            <w:rPr>
              <w:rFonts w:cs="Times New Roman"/>
            </w:rPr>
          </w:pPr>
        </w:p>
        <w:p w14:paraId="51A70438" w14:textId="77777777" w:rsidR="007D1947" w:rsidRPr="00341C46" w:rsidRDefault="007D1947" w:rsidP="00341C46">
          <w:pPr>
            <w:rPr>
              <w:rFonts w:cs="Times New Roman"/>
            </w:rPr>
          </w:pPr>
        </w:p>
        <w:p w14:paraId="0F59BD6D" w14:textId="77777777" w:rsidR="007D1947" w:rsidRPr="00341C46" w:rsidRDefault="007D1947" w:rsidP="00341C46">
          <w:pPr>
            <w:rPr>
              <w:rFonts w:cs="Times New Roman"/>
            </w:rPr>
          </w:pPr>
        </w:p>
        <w:p w14:paraId="00C4B35A" w14:textId="77777777" w:rsidR="007D1947" w:rsidRPr="00341C46" w:rsidRDefault="007D1947" w:rsidP="00341C46">
          <w:pPr>
            <w:rPr>
              <w:rFonts w:cs="Times New Roman"/>
            </w:rPr>
          </w:pPr>
        </w:p>
        <w:sdt>
          <w:sdtPr>
            <w:rPr>
              <w:rFonts w:eastAsiaTheme="minorHAnsi" w:cs="Times New Roman"/>
              <w:b w:val="0"/>
              <w:color w:val="auto"/>
              <w:sz w:val="22"/>
              <w:szCs w:val="22"/>
              <w:lang w:val="en-GB"/>
            </w:rPr>
            <w:id w:val="-1297214018"/>
            <w:docPartObj>
              <w:docPartGallery w:val="Table of Contents"/>
              <w:docPartUnique/>
            </w:docPartObj>
          </w:sdtPr>
          <w:sdtEndPr>
            <w:rPr>
              <w:bCs/>
              <w:noProof/>
              <w:sz w:val="24"/>
            </w:rPr>
          </w:sdtEndPr>
          <w:sdtContent>
            <w:p w14:paraId="1DFECD67" w14:textId="77777777" w:rsidR="007D1947" w:rsidRPr="00341C46" w:rsidRDefault="007D1947" w:rsidP="00341C46">
              <w:pPr>
                <w:pStyle w:val="TOCHeading"/>
                <w:rPr>
                  <w:rFonts w:cs="Times New Roman"/>
                </w:rPr>
              </w:pPr>
              <w:r w:rsidRPr="00341C46">
                <w:rPr>
                  <w:rFonts w:cs="Times New Roman"/>
                </w:rPr>
                <w:t>Table of Contents</w:t>
              </w:r>
            </w:p>
            <w:p w14:paraId="361D95DD" w14:textId="77777777" w:rsidR="00CA2B0C" w:rsidRDefault="007D1947">
              <w:pPr>
                <w:pStyle w:val="TOC1"/>
                <w:rPr>
                  <w:rFonts w:asciiTheme="minorHAnsi" w:eastAsiaTheme="minorEastAsia" w:hAnsiTheme="minorHAnsi" w:cstheme="minorBidi"/>
                  <w:b w:val="0"/>
                  <w:sz w:val="22"/>
                  <w:lang w:eastAsia="en-GB"/>
                </w:rPr>
              </w:pPr>
              <w:r w:rsidRPr="00341C46">
                <w:rPr>
                  <w:noProof w:val="0"/>
                </w:rPr>
                <w:fldChar w:fldCharType="begin"/>
              </w:r>
              <w:r w:rsidRPr="00341C46">
                <w:instrText xml:space="preserve"> TOC \o "1-3" \h \z \u </w:instrText>
              </w:r>
              <w:r w:rsidRPr="00341C46">
                <w:rPr>
                  <w:noProof w:val="0"/>
                </w:rPr>
                <w:fldChar w:fldCharType="separate"/>
              </w:r>
              <w:hyperlink w:anchor="_Toc224899663" w:history="1">
                <w:r w:rsidR="00CA2B0C" w:rsidRPr="00F33F15">
                  <w:rPr>
                    <w:rStyle w:val="Hyperlink"/>
                  </w:rPr>
                  <w:t>Executive Summary</w:t>
                </w:r>
                <w:r w:rsidR="00CA2B0C">
                  <w:rPr>
                    <w:webHidden/>
                  </w:rPr>
                  <w:tab/>
                </w:r>
                <w:r w:rsidR="00CA2B0C">
                  <w:rPr>
                    <w:webHidden/>
                  </w:rPr>
                  <w:fldChar w:fldCharType="begin"/>
                </w:r>
                <w:r w:rsidR="00CA2B0C">
                  <w:rPr>
                    <w:webHidden/>
                  </w:rPr>
                  <w:instrText xml:space="preserve"> PAGEREF _Toc224899663 \h </w:instrText>
                </w:r>
                <w:r w:rsidR="00CA2B0C">
                  <w:rPr>
                    <w:webHidden/>
                  </w:rPr>
                </w:r>
                <w:r w:rsidR="00CA2B0C">
                  <w:rPr>
                    <w:webHidden/>
                  </w:rPr>
                  <w:fldChar w:fldCharType="separate"/>
                </w:r>
                <w:r w:rsidR="00CA2B0C">
                  <w:rPr>
                    <w:webHidden/>
                  </w:rPr>
                  <w:t>ii</w:t>
                </w:r>
                <w:r w:rsidR="00CA2B0C">
                  <w:rPr>
                    <w:webHidden/>
                  </w:rPr>
                  <w:fldChar w:fldCharType="end"/>
                </w:r>
              </w:hyperlink>
            </w:p>
            <w:p w14:paraId="280B1BC0" w14:textId="77777777" w:rsidR="00CA2B0C" w:rsidRDefault="00CA2B0C">
              <w:pPr>
                <w:pStyle w:val="TOC1"/>
                <w:tabs>
                  <w:tab w:val="left" w:pos="480"/>
                </w:tabs>
                <w:rPr>
                  <w:rFonts w:asciiTheme="minorHAnsi" w:eastAsiaTheme="minorEastAsia" w:hAnsiTheme="minorHAnsi" w:cstheme="minorBidi"/>
                  <w:b w:val="0"/>
                  <w:sz w:val="22"/>
                  <w:lang w:eastAsia="en-GB"/>
                </w:rPr>
              </w:pPr>
              <w:hyperlink w:anchor="_Toc224899664" w:history="1">
                <w:r w:rsidRPr="00F33F15">
                  <w:rPr>
                    <w:rStyle w:val="Hyperlink"/>
                  </w:rPr>
                  <w:t>1.</w:t>
                </w:r>
                <w:r>
                  <w:rPr>
                    <w:rFonts w:asciiTheme="minorHAnsi" w:eastAsiaTheme="minorEastAsia" w:hAnsiTheme="minorHAnsi" w:cstheme="minorBidi"/>
                    <w:b w:val="0"/>
                    <w:sz w:val="22"/>
                    <w:lang w:eastAsia="en-GB"/>
                  </w:rPr>
                  <w:tab/>
                </w:r>
                <w:r w:rsidRPr="00F33F15">
                  <w:rPr>
                    <w:rStyle w:val="Hyperlink"/>
                  </w:rPr>
                  <w:t>Introduction</w:t>
                </w:r>
                <w:r>
                  <w:rPr>
                    <w:webHidden/>
                  </w:rPr>
                  <w:tab/>
                </w:r>
                <w:r>
                  <w:rPr>
                    <w:webHidden/>
                  </w:rPr>
                  <w:fldChar w:fldCharType="begin"/>
                </w:r>
                <w:r>
                  <w:rPr>
                    <w:webHidden/>
                  </w:rPr>
                  <w:instrText xml:space="preserve"> PAGEREF _Toc224899664 \h </w:instrText>
                </w:r>
                <w:r>
                  <w:rPr>
                    <w:webHidden/>
                  </w:rPr>
                </w:r>
                <w:r>
                  <w:rPr>
                    <w:webHidden/>
                  </w:rPr>
                  <w:fldChar w:fldCharType="separate"/>
                </w:r>
                <w:r>
                  <w:rPr>
                    <w:webHidden/>
                  </w:rPr>
                  <w:t>1</w:t>
                </w:r>
                <w:r>
                  <w:rPr>
                    <w:webHidden/>
                  </w:rPr>
                  <w:fldChar w:fldCharType="end"/>
                </w:r>
              </w:hyperlink>
            </w:p>
            <w:p w14:paraId="4D344DC5" w14:textId="77777777" w:rsidR="00CA2B0C" w:rsidRDefault="00CA2B0C">
              <w:pPr>
                <w:pStyle w:val="TOC1"/>
                <w:tabs>
                  <w:tab w:val="left" w:pos="480"/>
                </w:tabs>
                <w:rPr>
                  <w:rFonts w:asciiTheme="minorHAnsi" w:eastAsiaTheme="minorEastAsia" w:hAnsiTheme="minorHAnsi" w:cstheme="minorBidi"/>
                  <w:b w:val="0"/>
                  <w:sz w:val="22"/>
                  <w:lang w:eastAsia="en-GB"/>
                </w:rPr>
              </w:pPr>
              <w:hyperlink w:anchor="_Toc224899665" w:history="1">
                <w:r w:rsidRPr="00F33F15">
                  <w:rPr>
                    <w:rStyle w:val="Hyperlink"/>
                  </w:rPr>
                  <w:t>2.</w:t>
                </w:r>
                <w:r>
                  <w:rPr>
                    <w:rFonts w:asciiTheme="minorHAnsi" w:eastAsiaTheme="minorEastAsia" w:hAnsiTheme="minorHAnsi" w:cstheme="minorBidi"/>
                    <w:b w:val="0"/>
                    <w:sz w:val="22"/>
                    <w:lang w:eastAsia="en-GB"/>
                  </w:rPr>
                  <w:tab/>
                </w:r>
                <w:r w:rsidRPr="00F33F15">
                  <w:rPr>
                    <w:rStyle w:val="Hyperlink"/>
                    <w:shd w:val="clear" w:color="auto" w:fill="FFFFFF"/>
                  </w:rPr>
                  <w:t>AI Landscape and Macroeconomic Context in the World</w:t>
                </w:r>
                <w:r>
                  <w:rPr>
                    <w:webHidden/>
                  </w:rPr>
                  <w:tab/>
                </w:r>
                <w:r>
                  <w:rPr>
                    <w:webHidden/>
                  </w:rPr>
                  <w:fldChar w:fldCharType="begin"/>
                </w:r>
                <w:r>
                  <w:rPr>
                    <w:webHidden/>
                  </w:rPr>
                  <w:instrText xml:space="preserve"> PAGEREF _Toc224899665 \h </w:instrText>
                </w:r>
                <w:r>
                  <w:rPr>
                    <w:webHidden/>
                  </w:rPr>
                </w:r>
                <w:r>
                  <w:rPr>
                    <w:webHidden/>
                  </w:rPr>
                  <w:fldChar w:fldCharType="separate"/>
                </w:r>
                <w:r>
                  <w:rPr>
                    <w:webHidden/>
                  </w:rPr>
                  <w:t>3</w:t>
                </w:r>
                <w:r>
                  <w:rPr>
                    <w:webHidden/>
                  </w:rPr>
                  <w:fldChar w:fldCharType="end"/>
                </w:r>
              </w:hyperlink>
            </w:p>
            <w:p w14:paraId="6A98612B"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66" w:history="1">
                <w:r w:rsidRPr="00F33F15">
                  <w:rPr>
                    <w:rStyle w:val="Hyperlink"/>
                    <w:noProof/>
                    <w:shd w:val="clear" w:color="auto" w:fill="FFFFFF"/>
                  </w:rPr>
                  <w:t>2.1 Growth of Artificial Intelligence by Global Markets</w:t>
                </w:r>
                <w:r>
                  <w:rPr>
                    <w:noProof/>
                    <w:webHidden/>
                  </w:rPr>
                  <w:tab/>
                </w:r>
                <w:r>
                  <w:rPr>
                    <w:noProof/>
                    <w:webHidden/>
                  </w:rPr>
                  <w:fldChar w:fldCharType="begin"/>
                </w:r>
                <w:r>
                  <w:rPr>
                    <w:noProof/>
                    <w:webHidden/>
                  </w:rPr>
                  <w:instrText xml:space="preserve"> PAGEREF _Toc224899666 \h </w:instrText>
                </w:r>
                <w:r>
                  <w:rPr>
                    <w:noProof/>
                    <w:webHidden/>
                  </w:rPr>
                </w:r>
                <w:r>
                  <w:rPr>
                    <w:noProof/>
                    <w:webHidden/>
                  </w:rPr>
                  <w:fldChar w:fldCharType="separate"/>
                </w:r>
                <w:r>
                  <w:rPr>
                    <w:noProof/>
                    <w:webHidden/>
                  </w:rPr>
                  <w:t>3</w:t>
                </w:r>
                <w:r>
                  <w:rPr>
                    <w:noProof/>
                    <w:webHidden/>
                  </w:rPr>
                  <w:fldChar w:fldCharType="end"/>
                </w:r>
              </w:hyperlink>
            </w:p>
            <w:p w14:paraId="72D4B052"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67" w:history="1">
                <w:r w:rsidRPr="00F33F15">
                  <w:rPr>
                    <w:rStyle w:val="Hyperlink"/>
                    <w:noProof/>
                    <w:shd w:val="clear" w:color="auto" w:fill="FFFFFF"/>
                  </w:rPr>
                  <w:t>2.2 Macroeconomic Policy in the Development of AI</w:t>
                </w:r>
                <w:r>
                  <w:rPr>
                    <w:noProof/>
                    <w:webHidden/>
                  </w:rPr>
                  <w:tab/>
                </w:r>
                <w:r>
                  <w:rPr>
                    <w:noProof/>
                    <w:webHidden/>
                  </w:rPr>
                  <w:fldChar w:fldCharType="begin"/>
                </w:r>
                <w:r>
                  <w:rPr>
                    <w:noProof/>
                    <w:webHidden/>
                  </w:rPr>
                  <w:instrText xml:space="preserve"> PAGEREF _Toc224899667 \h </w:instrText>
                </w:r>
                <w:r>
                  <w:rPr>
                    <w:noProof/>
                    <w:webHidden/>
                  </w:rPr>
                </w:r>
                <w:r>
                  <w:rPr>
                    <w:noProof/>
                    <w:webHidden/>
                  </w:rPr>
                  <w:fldChar w:fldCharType="separate"/>
                </w:r>
                <w:r>
                  <w:rPr>
                    <w:noProof/>
                    <w:webHidden/>
                  </w:rPr>
                  <w:t>4</w:t>
                </w:r>
                <w:r>
                  <w:rPr>
                    <w:noProof/>
                    <w:webHidden/>
                  </w:rPr>
                  <w:fldChar w:fldCharType="end"/>
                </w:r>
              </w:hyperlink>
            </w:p>
            <w:p w14:paraId="647D23BC"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68" w:history="1">
                <w:r w:rsidRPr="00F33F15">
                  <w:rPr>
                    <w:rStyle w:val="Hyperlink"/>
                    <w:noProof/>
                    <w:shd w:val="clear" w:color="auto" w:fill="FFFFFF"/>
                  </w:rPr>
                  <w:t>2.3 Implications for Multinational Firms</w:t>
                </w:r>
                <w:r>
                  <w:rPr>
                    <w:noProof/>
                    <w:webHidden/>
                  </w:rPr>
                  <w:tab/>
                </w:r>
                <w:r>
                  <w:rPr>
                    <w:noProof/>
                    <w:webHidden/>
                  </w:rPr>
                  <w:fldChar w:fldCharType="begin"/>
                </w:r>
                <w:r>
                  <w:rPr>
                    <w:noProof/>
                    <w:webHidden/>
                  </w:rPr>
                  <w:instrText xml:space="preserve"> PAGEREF _Toc224899668 \h </w:instrText>
                </w:r>
                <w:r>
                  <w:rPr>
                    <w:noProof/>
                    <w:webHidden/>
                  </w:rPr>
                </w:r>
                <w:r>
                  <w:rPr>
                    <w:noProof/>
                    <w:webHidden/>
                  </w:rPr>
                  <w:fldChar w:fldCharType="separate"/>
                </w:r>
                <w:r>
                  <w:rPr>
                    <w:noProof/>
                    <w:webHidden/>
                  </w:rPr>
                  <w:t>4</w:t>
                </w:r>
                <w:r>
                  <w:rPr>
                    <w:noProof/>
                    <w:webHidden/>
                  </w:rPr>
                  <w:fldChar w:fldCharType="end"/>
                </w:r>
              </w:hyperlink>
            </w:p>
            <w:p w14:paraId="2FD0DD82" w14:textId="77777777" w:rsidR="00CA2B0C" w:rsidRDefault="00CA2B0C">
              <w:pPr>
                <w:pStyle w:val="TOC1"/>
                <w:tabs>
                  <w:tab w:val="left" w:pos="480"/>
                </w:tabs>
                <w:rPr>
                  <w:rFonts w:asciiTheme="minorHAnsi" w:eastAsiaTheme="minorEastAsia" w:hAnsiTheme="minorHAnsi" w:cstheme="minorBidi"/>
                  <w:b w:val="0"/>
                  <w:sz w:val="22"/>
                  <w:lang w:eastAsia="en-GB"/>
                </w:rPr>
              </w:pPr>
              <w:hyperlink w:anchor="_Toc224899669" w:history="1">
                <w:r w:rsidRPr="00F33F15">
                  <w:rPr>
                    <w:rStyle w:val="Hyperlink"/>
                  </w:rPr>
                  <w:t>3.</w:t>
                </w:r>
                <w:r>
                  <w:rPr>
                    <w:rFonts w:asciiTheme="minorHAnsi" w:eastAsiaTheme="minorEastAsia" w:hAnsiTheme="minorHAnsi" w:cstheme="minorBidi"/>
                    <w:b w:val="0"/>
                    <w:sz w:val="22"/>
                    <w:lang w:eastAsia="en-GB"/>
                  </w:rPr>
                  <w:tab/>
                </w:r>
                <w:r w:rsidRPr="00F33F15">
                  <w:rPr>
                    <w:rStyle w:val="Hyperlink"/>
                    <w:shd w:val="clear" w:color="auto" w:fill="FFFFFF"/>
                  </w:rPr>
                  <w:t>Political and Regulatory Environment</w:t>
                </w:r>
                <w:r>
                  <w:rPr>
                    <w:webHidden/>
                  </w:rPr>
                  <w:tab/>
                </w:r>
                <w:r>
                  <w:rPr>
                    <w:webHidden/>
                  </w:rPr>
                  <w:fldChar w:fldCharType="begin"/>
                </w:r>
                <w:r>
                  <w:rPr>
                    <w:webHidden/>
                  </w:rPr>
                  <w:instrText xml:space="preserve"> PAGEREF _Toc224899669 \h </w:instrText>
                </w:r>
                <w:r>
                  <w:rPr>
                    <w:webHidden/>
                  </w:rPr>
                </w:r>
                <w:r>
                  <w:rPr>
                    <w:webHidden/>
                  </w:rPr>
                  <w:fldChar w:fldCharType="separate"/>
                </w:r>
                <w:r>
                  <w:rPr>
                    <w:webHidden/>
                  </w:rPr>
                  <w:t>5</w:t>
                </w:r>
                <w:r>
                  <w:rPr>
                    <w:webHidden/>
                  </w:rPr>
                  <w:fldChar w:fldCharType="end"/>
                </w:r>
              </w:hyperlink>
            </w:p>
            <w:p w14:paraId="7ACE8184"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70" w:history="1">
                <w:r w:rsidRPr="00F33F15">
                  <w:rPr>
                    <w:rStyle w:val="Hyperlink"/>
                    <w:noProof/>
                    <w:shd w:val="clear" w:color="auto" w:fill="FFFFFF"/>
                  </w:rPr>
                  <w:t>3.1 UK Regulatory Environment for Artificial intelligence</w:t>
                </w:r>
                <w:r>
                  <w:rPr>
                    <w:noProof/>
                    <w:webHidden/>
                  </w:rPr>
                  <w:tab/>
                </w:r>
                <w:r>
                  <w:rPr>
                    <w:noProof/>
                    <w:webHidden/>
                  </w:rPr>
                  <w:fldChar w:fldCharType="begin"/>
                </w:r>
                <w:r>
                  <w:rPr>
                    <w:noProof/>
                    <w:webHidden/>
                  </w:rPr>
                  <w:instrText xml:space="preserve"> PAGEREF _Toc224899670 \h </w:instrText>
                </w:r>
                <w:r>
                  <w:rPr>
                    <w:noProof/>
                    <w:webHidden/>
                  </w:rPr>
                </w:r>
                <w:r>
                  <w:rPr>
                    <w:noProof/>
                    <w:webHidden/>
                  </w:rPr>
                  <w:fldChar w:fldCharType="separate"/>
                </w:r>
                <w:r>
                  <w:rPr>
                    <w:noProof/>
                    <w:webHidden/>
                  </w:rPr>
                  <w:t>5</w:t>
                </w:r>
                <w:r>
                  <w:rPr>
                    <w:noProof/>
                    <w:webHidden/>
                  </w:rPr>
                  <w:fldChar w:fldCharType="end"/>
                </w:r>
              </w:hyperlink>
            </w:p>
            <w:p w14:paraId="5F4B951F"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71" w:history="1">
                <w:r w:rsidRPr="00F33F15">
                  <w:rPr>
                    <w:rStyle w:val="Hyperlink"/>
                    <w:noProof/>
                    <w:shd w:val="clear" w:color="auto" w:fill="FFFFFF"/>
                  </w:rPr>
                  <w:t>3.2 Comparative Analysis: Regulatory Approach in the European Union</w:t>
                </w:r>
                <w:r>
                  <w:rPr>
                    <w:noProof/>
                    <w:webHidden/>
                  </w:rPr>
                  <w:tab/>
                </w:r>
                <w:r>
                  <w:rPr>
                    <w:noProof/>
                    <w:webHidden/>
                  </w:rPr>
                  <w:fldChar w:fldCharType="begin"/>
                </w:r>
                <w:r>
                  <w:rPr>
                    <w:noProof/>
                    <w:webHidden/>
                  </w:rPr>
                  <w:instrText xml:space="preserve"> PAGEREF _Toc224899671 \h </w:instrText>
                </w:r>
                <w:r>
                  <w:rPr>
                    <w:noProof/>
                    <w:webHidden/>
                  </w:rPr>
                </w:r>
                <w:r>
                  <w:rPr>
                    <w:noProof/>
                    <w:webHidden/>
                  </w:rPr>
                  <w:fldChar w:fldCharType="separate"/>
                </w:r>
                <w:r>
                  <w:rPr>
                    <w:noProof/>
                    <w:webHidden/>
                  </w:rPr>
                  <w:t>5</w:t>
                </w:r>
                <w:r>
                  <w:rPr>
                    <w:noProof/>
                    <w:webHidden/>
                  </w:rPr>
                  <w:fldChar w:fldCharType="end"/>
                </w:r>
              </w:hyperlink>
            </w:p>
            <w:p w14:paraId="71A49CF3"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72" w:history="1">
                <w:r w:rsidRPr="00F33F15">
                  <w:rPr>
                    <w:rStyle w:val="Hyperlink"/>
                    <w:noProof/>
                    <w:shd w:val="clear" w:color="auto" w:fill="FFFFFF"/>
                  </w:rPr>
                  <w:t>3.3 Political Risk and Uncertainty of Policies</w:t>
                </w:r>
                <w:r>
                  <w:rPr>
                    <w:noProof/>
                    <w:webHidden/>
                  </w:rPr>
                  <w:tab/>
                </w:r>
                <w:r>
                  <w:rPr>
                    <w:noProof/>
                    <w:webHidden/>
                  </w:rPr>
                  <w:fldChar w:fldCharType="begin"/>
                </w:r>
                <w:r>
                  <w:rPr>
                    <w:noProof/>
                    <w:webHidden/>
                  </w:rPr>
                  <w:instrText xml:space="preserve"> PAGEREF _Toc224899672 \h </w:instrText>
                </w:r>
                <w:r>
                  <w:rPr>
                    <w:noProof/>
                    <w:webHidden/>
                  </w:rPr>
                </w:r>
                <w:r>
                  <w:rPr>
                    <w:noProof/>
                    <w:webHidden/>
                  </w:rPr>
                  <w:fldChar w:fldCharType="separate"/>
                </w:r>
                <w:r>
                  <w:rPr>
                    <w:noProof/>
                    <w:webHidden/>
                  </w:rPr>
                  <w:t>6</w:t>
                </w:r>
                <w:r>
                  <w:rPr>
                    <w:noProof/>
                    <w:webHidden/>
                  </w:rPr>
                  <w:fldChar w:fldCharType="end"/>
                </w:r>
              </w:hyperlink>
            </w:p>
            <w:p w14:paraId="53261C8C"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73" w:history="1">
                <w:r w:rsidRPr="00F33F15">
                  <w:rPr>
                    <w:rStyle w:val="Hyperlink"/>
                    <w:noProof/>
                    <w:shd w:val="clear" w:color="auto" w:fill="FFFFFF"/>
                  </w:rPr>
                  <w:t>3.4 Critical Assessment of Regulatory Issues</w:t>
                </w:r>
                <w:r>
                  <w:rPr>
                    <w:noProof/>
                    <w:webHidden/>
                  </w:rPr>
                  <w:tab/>
                </w:r>
                <w:r>
                  <w:rPr>
                    <w:noProof/>
                    <w:webHidden/>
                  </w:rPr>
                  <w:fldChar w:fldCharType="begin"/>
                </w:r>
                <w:r>
                  <w:rPr>
                    <w:noProof/>
                    <w:webHidden/>
                  </w:rPr>
                  <w:instrText xml:space="preserve"> PAGEREF _Toc224899673 \h </w:instrText>
                </w:r>
                <w:r>
                  <w:rPr>
                    <w:noProof/>
                    <w:webHidden/>
                  </w:rPr>
                </w:r>
                <w:r>
                  <w:rPr>
                    <w:noProof/>
                    <w:webHidden/>
                  </w:rPr>
                  <w:fldChar w:fldCharType="separate"/>
                </w:r>
                <w:r>
                  <w:rPr>
                    <w:noProof/>
                    <w:webHidden/>
                  </w:rPr>
                  <w:t>7</w:t>
                </w:r>
                <w:r>
                  <w:rPr>
                    <w:noProof/>
                    <w:webHidden/>
                  </w:rPr>
                  <w:fldChar w:fldCharType="end"/>
                </w:r>
              </w:hyperlink>
            </w:p>
            <w:p w14:paraId="782213E0" w14:textId="77777777" w:rsidR="00CA2B0C" w:rsidRDefault="00CA2B0C">
              <w:pPr>
                <w:pStyle w:val="TOC1"/>
                <w:tabs>
                  <w:tab w:val="left" w:pos="480"/>
                </w:tabs>
                <w:rPr>
                  <w:rFonts w:asciiTheme="minorHAnsi" w:eastAsiaTheme="minorEastAsia" w:hAnsiTheme="minorHAnsi" w:cstheme="minorBidi"/>
                  <w:b w:val="0"/>
                  <w:sz w:val="22"/>
                  <w:lang w:eastAsia="en-GB"/>
                </w:rPr>
              </w:pPr>
              <w:hyperlink w:anchor="_Toc224899674" w:history="1">
                <w:r w:rsidRPr="00F33F15">
                  <w:rPr>
                    <w:rStyle w:val="Hyperlink"/>
                  </w:rPr>
                  <w:t>4.</w:t>
                </w:r>
                <w:r>
                  <w:rPr>
                    <w:rFonts w:asciiTheme="minorHAnsi" w:eastAsiaTheme="minorEastAsia" w:hAnsiTheme="minorHAnsi" w:cstheme="minorBidi"/>
                    <w:b w:val="0"/>
                    <w:sz w:val="22"/>
                    <w:lang w:eastAsia="en-GB"/>
                  </w:rPr>
                  <w:tab/>
                </w:r>
                <w:r w:rsidRPr="00F33F15">
                  <w:rPr>
                    <w:rStyle w:val="Hyperlink"/>
                  </w:rPr>
                  <w:t>Technological Change and Risk Management</w:t>
                </w:r>
                <w:r>
                  <w:rPr>
                    <w:webHidden/>
                  </w:rPr>
                  <w:tab/>
                </w:r>
                <w:r>
                  <w:rPr>
                    <w:webHidden/>
                  </w:rPr>
                  <w:fldChar w:fldCharType="begin"/>
                </w:r>
                <w:r>
                  <w:rPr>
                    <w:webHidden/>
                  </w:rPr>
                  <w:instrText xml:space="preserve"> PAGEREF _Toc224899674 \h </w:instrText>
                </w:r>
                <w:r>
                  <w:rPr>
                    <w:webHidden/>
                  </w:rPr>
                </w:r>
                <w:r>
                  <w:rPr>
                    <w:webHidden/>
                  </w:rPr>
                  <w:fldChar w:fldCharType="separate"/>
                </w:r>
                <w:r>
                  <w:rPr>
                    <w:webHidden/>
                  </w:rPr>
                  <w:t>8</w:t>
                </w:r>
                <w:r>
                  <w:rPr>
                    <w:webHidden/>
                  </w:rPr>
                  <w:fldChar w:fldCharType="end"/>
                </w:r>
              </w:hyperlink>
            </w:p>
            <w:p w14:paraId="4E618397"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75" w:history="1">
                <w:r w:rsidRPr="00F33F15">
                  <w:rPr>
                    <w:rStyle w:val="Hyperlink"/>
                    <w:noProof/>
                  </w:rPr>
                  <w:t>4.1 AI Incorporation in Business Operations</w:t>
                </w:r>
                <w:r>
                  <w:rPr>
                    <w:noProof/>
                    <w:webHidden/>
                  </w:rPr>
                  <w:tab/>
                </w:r>
                <w:r>
                  <w:rPr>
                    <w:noProof/>
                    <w:webHidden/>
                  </w:rPr>
                  <w:fldChar w:fldCharType="begin"/>
                </w:r>
                <w:r>
                  <w:rPr>
                    <w:noProof/>
                    <w:webHidden/>
                  </w:rPr>
                  <w:instrText xml:space="preserve"> PAGEREF _Toc224899675 \h </w:instrText>
                </w:r>
                <w:r>
                  <w:rPr>
                    <w:noProof/>
                    <w:webHidden/>
                  </w:rPr>
                </w:r>
                <w:r>
                  <w:rPr>
                    <w:noProof/>
                    <w:webHidden/>
                  </w:rPr>
                  <w:fldChar w:fldCharType="separate"/>
                </w:r>
                <w:r>
                  <w:rPr>
                    <w:noProof/>
                    <w:webHidden/>
                  </w:rPr>
                  <w:t>8</w:t>
                </w:r>
                <w:r>
                  <w:rPr>
                    <w:noProof/>
                    <w:webHidden/>
                  </w:rPr>
                  <w:fldChar w:fldCharType="end"/>
                </w:r>
              </w:hyperlink>
            </w:p>
            <w:p w14:paraId="0E022494"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76" w:history="1">
                <w:r w:rsidRPr="00F33F15">
                  <w:rPr>
                    <w:rStyle w:val="Hyperlink"/>
                    <w:noProof/>
                  </w:rPr>
                  <w:t>4.2 Technological Risks in Emerging</w:t>
                </w:r>
                <w:r>
                  <w:rPr>
                    <w:noProof/>
                    <w:webHidden/>
                  </w:rPr>
                  <w:tab/>
                </w:r>
                <w:r>
                  <w:rPr>
                    <w:noProof/>
                    <w:webHidden/>
                  </w:rPr>
                  <w:fldChar w:fldCharType="begin"/>
                </w:r>
                <w:r>
                  <w:rPr>
                    <w:noProof/>
                    <w:webHidden/>
                  </w:rPr>
                  <w:instrText xml:space="preserve"> PAGEREF _Toc224899676 \h </w:instrText>
                </w:r>
                <w:r>
                  <w:rPr>
                    <w:noProof/>
                    <w:webHidden/>
                  </w:rPr>
                </w:r>
                <w:r>
                  <w:rPr>
                    <w:noProof/>
                    <w:webHidden/>
                  </w:rPr>
                  <w:fldChar w:fldCharType="separate"/>
                </w:r>
                <w:r>
                  <w:rPr>
                    <w:noProof/>
                    <w:webHidden/>
                  </w:rPr>
                  <w:t>8</w:t>
                </w:r>
                <w:r>
                  <w:rPr>
                    <w:noProof/>
                    <w:webHidden/>
                  </w:rPr>
                  <w:fldChar w:fldCharType="end"/>
                </w:r>
              </w:hyperlink>
            </w:p>
            <w:p w14:paraId="03420AC0"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77" w:history="1">
                <w:r w:rsidRPr="00F33F15">
                  <w:rPr>
                    <w:rStyle w:val="Hyperlink"/>
                    <w:noProof/>
                  </w:rPr>
                  <w:t>4.3 Risk Management Frameworks within AI Context</w:t>
                </w:r>
                <w:r>
                  <w:rPr>
                    <w:noProof/>
                    <w:webHidden/>
                  </w:rPr>
                  <w:tab/>
                </w:r>
                <w:r>
                  <w:rPr>
                    <w:noProof/>
                    <w:webHidden/>
                  </w:rPr>
                  <w:fldChar w:fldCharType="begin"/>
                </w:r>
                <w:r>
                  <w:rPr>
                    <w:noProof/>
                    <w:webHidden/>
                  </w:rPr>
                  <w:instrText xml:space="preserve"> PAGEREF _Toc224899677 \h </w:instrText>
                </w:r>
                <w:r>
                  <w:rPr>
                    <w:noProof/>
                    <w:webHidden/>
                  </w:rPr>
                </w:r>
                <w:r>
                  <w:rPr>
                    <w:noProof/>
                    <w:webHidden/>
                  </w:rPr>
                  <w:fldChar w:fldCharType="separate"/>
                </w:r>
                <w:r>
                  <w:rPr>
                    <w:noProof/>
                    <w:webHidden/>
                  </w:rPr>
                  <w:t>9</w:t>
                </w:r>
                <w:r>
                  <w:rPr>
                    <w:noProof/>
                    <w:webHidden/>
                  </w:rPr>
                  <w:fldChar w:fldCharType="end"/>
                </w:r>
              </w:hyperlink>
            </w:p>
            <w:p w14:paraId="17A31815"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78" w:history="1">
                <w:r w:rsidRPr="00F33F15">
                  <w:rPr>
                    <w:rStyle w:val="Hyperlink"/>
                    <w:noProof/>
                  </w:rPr>
                  <w:t>4.4 Technical Analysis for Managing Technological Risk</w:t>
                </w:r>
                <w:r>
                  <w:rPr>
                    <w:noProof/>
                    <w:webHidden/>
                  </w:rPr>
                  <w:tab/>
                </w:r>
                <w:r>
                  <w:rPr>
                    <w:noProof/>
                    <w:webHidden/>
                  </w:rPr>
                  <w:fldChar w:fldCharType="begin"/>
                </w:r>
                <w:r>
                  <w:rPr>
                    <w:noProof/>
                    <w:webHidden/>
                  </w:rPr>
                  <w:instrText xml:space="preserve"> PAGEREF _Toc224899678 \h </w:instrText>
                </w:r>
                <w:r>
                  <w:rPr>
                    <w:noProof/>
                    <w:webHidden/>
                  </w:rPr>
                </w:r>
                <w:r>
                  <w:rPr>
                    <w:noProof/>
                    <w:webHidden/>
                  </w:rPr>
                  <w:fldChar w:fldCharType="separate"/>
                </w:r>
                <w:r>
                  <w:rPr>
                    <w:noProof/>
                    <w:webHidden/>
                  </w:rPr>
                  <w:t>10</w:t>
                </w:r>
                <w:r>
                  <w:rPr>
                    <w:noProof/>
                    <w:webHidden/>
                  </w:rPr>
                  <w:fldChar w:fldCharType="end"/>
                </w:r>
              </w:hyperlink>
            </w:p>
            <w:p w14:paraId="66DF972D" w14:textId="77777777" w:rsidR="00CA2B0C" w:rsidRDefault="00CA2B0C">
              <w:pPr>
                <w:pStyle w:val="TOC1"/>
                <w:tabs>
                  <w:tab w:val="left" w:pos="480"/>
                </w:tabs>
                <w:rPr>
                  <w:rFonts w:asciiTheme="minorHAnsi" w:eastAsiaTheme="minorEastAsia" w:hAnsiTheme="minorHAnsi" w:cstheme="minorBidi"/>
                  <w:b w:val="0"/>
                  <w:sz w:val="22"/>
                  <w:lang w:eastAsia="en-GB"/>
                </w:rPr>
              </w:pPr>
              <w:hyperlink w:anchor="_Toc224899679" w:history="1">
                <w:r w:rsidRPr="00F33F15">
                  <w:rPr>
                    <w:rStyle w:val="Hyperlink"/>
                  </w:rPr>
                  <w:t>5.</w:t>
                </w:r>
                <w:r>
                  <w:rPr>
                    <w:rFonts w:asciiTheme="minorHAnsi" w:eastAsiaTheme="minorEastAsia" w:hAnsiTheme="minorHAnsi" w:cstheme="minorBidi"/>
                    <w:b w:val="0"/>
                    <w:sz w:val="22"/>
                    <w:lang w:eastAsia="en-GB"/>
                  </w:rPr>
                  <w:tab/>
                </w:r>
                <w:r w:rsidRPr="00F33F15">
                  <w:rPr>
                    <w:rStyle w:val="Hyperlink"/>
                  </w:rPr>
                  <w:t>Data Governance and Ethical Artificial Intelligence</w:t>
                </w:r>
                <w:r>
                  <w:rPr>
                    <w:webHidden/>
                  </w:rPr>
                  <w:tab/>
                </w:r>
                <w:r>
                  <w:rPr>
                    <w:webHidden/>
                  </w:rPr>
                  <w:fldChar w:fldCharType="begin"/>
                </w:r>
                <w:r>
                  <w:rPr>
                    <w:webHidden/>
                  </w:rPr>
                  <w:instrText xml:space="preserve"> PAGEREF _Toc224899679 \h </w:instrText>
                </w:r>
                <w:r>
                  <w:rPr>
                    <w:webHidden/>
                  </w:rPr>
                </w:r>
                <w:r>
                  <w:rPr>
                    <w:webHidden/>
                  </w:rPr>
                  <w:fldChar w:fldCharType="separate"/>
                </w:r>
                <w:r>
                  <w:rPr>
                    <w:webHidden/>
                  </w:rPr>
                  <w:t>11</w:t>
                </w:r>
                <w:r>
                  <w:rPr>
                    <w:webHidden/>
                  </w:rPr>
                  <w:fldChar w:fldCharType="end"/>
                </w:r>
              </w:hyperlink>
            </w:p>
            <w:p w14:paraId="2AB77702"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80" w:history="1">
                <w:r w:rsidRPr="00F33F15">
                  <w:rPr>
                    <w:rStyle w:val="Hyperlink"/>
                    <w:noProof/>
                  </w:rPr>
                  <w:t>5.1 Data Governance Challenges</w:t>
                </w:r>
                <w:r>
                  <w:rPr>
                    <w:noProof/>
                    <w:webHidden/>
                  </w:rPr>
                  <w:tab/>
                </w:r>
                <w:r>
                  <w:rPr>
                    <w:noProof/>
                    <w:webHidden/>
                  </w:rPr>
                  <w:fldChar w:fldCharType="begin"/>
                </w:r>
                <w:r>
                  <w:rPr>
                    <w:noProof/>
                    <w:webHidden/>
                  </w:rPr>
                  <w:instrText xml:space="preserve"> PAGEREF _Toc224899680 \h </w:instrText>
                </w:r>
                <w:r>
                  <w:rPr>
                    <w:noProof/>
                    <w:webHidden/>
                  </w:rPr>
                </w:r>
                <w:r>
                  <w:rPr>
                    <w:noProof/>
                    <w:webHidden/>
                  </w:rPr>
                  <w:fldChar w:fldCharType="separate"/>
                </w:r>
                <w:r>
                  <w:rPr>
                    <w:noProof/>
                    <w:webHidden/>
                  </w:rPr>
                  <w:t>11</w:t>
                </w:r>
                <w:r>
                  <w:rPr>
                    <w:noProof/>
                    <w:webHidden/>
                  </w:rPr>
                  <w:fldChar w:fldCharType="end"/>
                </w:r>
              </w:hyperlink>
            </w:p>
            <w:p w14:paraId="5B5D6383"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81" w:history="1">
                <w:r w:rsidRPr="00F33F15">
                  <w:rPr>
                    <w:rStyle w:val="Hyperlink"/>
                    <w:noProof/>
                  </w:rPr>
                  <w:t>5.2 Ethical AI Considerations</w:t>
                </w:r>
                <w:r>
                  <w:rPr>
                    <w:noProof/>
                    <w:webHidden/>
                  </w:rPr>
                  <w:tab/>
                </w:r>
                <w:r>
                  <w:rPr>
                    <w:noProof/>
                    <w:webHidden/>
                  </w:rPr>
                  <w:fldChar w:fldCharType="begin"/>
                </w:r>
                <w:r>
                  <w:rPr>
                    <w:noProof/>
                    <w:webHidden/>
                  </w:rPr>
                  <w:instrText xml:space="preserve"> PAGEREF _Toc224899681 \h </w:instrText>
                </w:r>
                <w:r>
                  <w:rPr>
                    <w:noProof/>
                    <w:webHidden/>
                  </w:rPr>
                </w:r>
                <w:r>
                  <w:rPr>
                    <w:noProof/>
                    <w:webHidden/>
                  </w:rPr>
                  <w:fldChar w:fldCharType="separate"/>
                </w:r>
                <w:r>
                  <w:rPr>
                    <w:noProof/>
                    <w:webHidden/>
                  </w:rPr>
                  <w:t>12</w:t>
                </w:r>
                <w:r>
                  <w:rPr>
                    <w:noProof/>
                    <w:webHidden/>
                  </w:rPr>
                  <w:fldChar w:fldCharType="end"/>
                </w:r>
              </w:hyperlink>
            </w:p>
            <w:p w14:paraId="28BF85FD"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82" w:history="1">
                <w:r w:rsidRPr="00F33F15">
                  <w:rPr>
                    <w:rStyle w:val="Hyperlink"/>
                    <w:noProof/>
                  </w:rPr>
                  <w:t>5.3 Organisational implications of Data Governance and Ethics</w:t>
                </w:r>
                <w:r>
                  <w:rPr>
                    <w:noProof/>
                    <w:webHidden/>
                  </w:rPr>
                  <w:tab/>
                </w:r>
                <w:r>
                  <w:rPr>
                    <w:noProof/>
                    <w:webHidden/>
                  </w:rPr>
                  <w:fldChar w:fldCharType="begin"/>
                </w:r>
                <w:r>
                  <w:rPr>
                    <w:noProof/>
                    <w:webHidden/>
                  </w:rPr>
                  <w:instrText xml:space="preserve"> PAGEREF _Toc224899682 \h </w:instrText>
                </w:r>
                <w:r>
                  <w:rPr>
                    <w:noProof/>
                    <w:webHidden/>
                  </w:rPr>
                </w:r>
                <w:r>
                  <w:rPr>
                    <w:noProof/>
                    <w:webHidden/>
                  </w:rPr>
                  <w:fldChar w:fldCharType="separate"/>
                </w:r>
                <w:r>
                  <w:rPr>
                    <w:noProof/>
                    <w:webHidden/>
                  </w:rPr>
                  <w:t>12</w:t>
                </w:r>
                <w:r>
                  <w:rPr>
                    <w:noProof/>
                    <w:webHidden/>
                  </w:rPr>
                  <w:fldChar w:fldCharType="end"/>
                </w:r>
              </w:hyperlink>
            </w:p>
            <w:p w14:paraId="5683F5E1"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83" w:history="1">
                <w:r w:rsidRPr="00F33F15">
                  <w:rPr>
                    <w:rStyle w:val="Hyperlink"/>
                    <w:noProof/>
                  </w:rPr>
                  <w:t>5.4 Critical Analysis of Data Governance and Ethics Issues</w:t>
                </w:r>
                <w:r>
                  <w:rPr>
                    <w:noProof/>
                    <w:webHidden/>
                  </w:rPr>
                  <w:tab/>
                </w:r>
                <w:r>
                  <w:rPr>
                    <w:noProof/>
                    <w:webHidden/>
                  </w:rPr>
                  <w:fldChar w:fldCharType="begin"/>
                </w:r>
                <w:r>
                  <w:rPr>
                    <w:noProof/>
                    <w:webHidden/>
                  </w:rPr>
                  <w:instrText xml:space="preserve"> PAGEREF _Toc224899683 \h </w:instrText>
                </w:r>
                <w:r>
                  <w:rPr>
                    <w:noProof/>
                    <w:webHidden/>
                  </w:rPr>
                </w:r>
                <w:r>
                  <w:rPr>
                    <w:noProof/>
                    <w:webHidden/>
                  </w:rPr>
                  <w:fldChar w:fldCharType="separate"/>
                </w:r>
                <w:r>
                  <w:rPr>
                    <w:noProof/>
                    <w:webHidden/>
                  </w:rPr>
                  <w:t>13</w:t>
                </w:r>
                <w:r>
                  <w:rPr>
                    <w:noProof/>
                    <w:webHidden/>
                  </w:rPr>
                  <w:fldChar w:fldCharType="end"/>
                </w:r>
              </w:hyperlink>
            </w:p>
            <w:p w14:paraId="1F7C90B5" w14:textId="77777777" w:rsidR="00CA2B0C" w:rsidRDefault="00CA2B0C">
              <w:pPr>
                <w:pStyle w:val="TOC1"/>
                <w:tabs>
                  <w:tab w:val="left" w:pos="480"/>
                </w:tabs>
                <w:rPr>
                  <w:rFonts w:asciiTheme="minorHAnsi" w:eastAsiaTheme="minorEastAsia" w:hAnsiTheme="minorHAnsi" w:cstheme="minorBidi"/>
                  <w:b w:val="0"/>
                  <w:sz w:val="22"/>
                  <w:lang w:eastAsia="en-GB"/>
                </w:rPr>
              </w:pPr>
              <w:hyperlink w:anchor="_Toc224899684" w:history="1">
                <w:r w:rsidRPr="00F33F15">
                  <w:rPr>
                    <w:rStyle w:val="Hyperlink"/>
                  </w:rPr>
                  <w:t>6.</w:t>
                </w:r>
                <w:r>
                  <w:rPr>
                    <w:rFonts w:asciiTheme="minorHAnsi" w:eastAsiaTheme="minorEastAsia" w:hAnsiTheme="minorHAnsi" w:cstheme="minorBidi"/>
                    <w:b w:val="0"/>
                    <w:sz w:val="22"/>
                    <w:lang w:eastAsia="en-GB"/>
                  </w:rPr>
                  <w:tab/>
                </w:r>
                <w:r w:rsidRPr="00F33F15">
                  <w:rPr>
                    <w:rStyle w:val="Hyperlink"/>
                  </w:rPr>
                  <w:t>Customer Trust and Reputation Management</w:t>
                </w:r>
                <w:r>
                  <w:rPr>
                    <w:webHidden/>
                  </w:rPr>
                  <w:tab/>
                </w:r>
                <w:r>
                  <w:rPr>
                    <w:webHidden/>
                  </w:rPr>
                  <w:fldChar w:fldCharType="begin"/>
                </w:r>
                <w:r>
                  <w:rPr>
                    <w:webHidden/>
                  </w:rPr>
                  <w:instrText xml:space="preserve"> PAGEREF _Toc224899684 \h </w:instrText>
                </w:r>
                <w:r>
                  <w:rPr>
                    <w:webHidden/>
                  </w:rPr>
                </w:r>
                <w:r>
                  <w:rPr>
                    <w:webHidden/>
                  </w:rPr>
                  <w:fldChar w:fldCharType="separate"/>
                </w:r>
                <w:r>
                  <w:rPr>
                    <w:webHidden/>
                  </w:rPr>
                  <w:t>14</w:t>
                </w:r>
                <w:r>
                  <w:rPr>
                    <w:webHidden/>
                  </w:rPr>
                  <w:fldChar w:fldCharType="end"/>
                </w:r>
              </w:hyperlink>
            </w:p>
            <w:p w14:paraId="08C82CAD"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85" w:history="1">
                <w:r w:rsidRPr="00F33F15">
                  <w:rPr>
                    <w:rStyle w:val="Hyperlink"/>
                    <w:noProof/>
                  </w:rPr>
                  <w:t>6.1 Trust in AI Systems</w:t>
                </w:r>
                <w:r>
                  <w:rPr>
                    <w:noProof/>
                    <w:webHidden/>
                  </w:rPr>
                  <w:tab/>
                </w:r>
                <w:r>
                  <w:rPr>
                    <w:noProof/>
                    <w:webHidden/>
                  </w:rPr>
                  <w:fldChar w:fldCharType="begin"/>
                </w:r>
                <w:r>
                  <w:rPr>
                    <w:noProof/>
                    <w:webHidden/>
                  </w:rPr>
                  <w:instrText xml:space="preserve"> PAGEREF _Toc224899685 \h </w:instrText>
                </w:r>
                <w:r>
                  <w:rPr>
                    <w:noProof/>
                    <w:webHidden/>
                  </w:rPr>
                </w:r>
                <w:r>
                  <w:rPr>
                    <w:noProof/>
                    <w:webHidden/>
                  </w:rPr>
                  <w:fldChar w:fldCharType="separate"/>
                </w:r>
                <w:r>
                  <w:rPr>
                    <w:noProof/>
                    <w:webHidden/>
                  </w:rPr>
                  <w:t>14</w:t>
                </w:r>
                <w:r>
                  <w:rPr>
                    <w:noProof/>
                    <w:webHidden/>
                  </w:rPr>
                  <w:fldChar w:fldCharType="end"/>
                </w:r>
              </w:hyperlink>
            </w:p>
            <w:p w14:paraId="02668FD1"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86" w:history="1">
                <w:r w:rsidRPr="00F33F15">
                  <w:rPr>
                    <w:rStyle w:val="Hyperlink"/>
                    <w:noProof/>
                  </w:rPr>
                  <w:t>6.2 Impact to Brand and Stakeholders</w:t>
                </w:r>
                <w:r>
                  <w:rPr>
                    <w:noProof/>
                    <w:webHidden/>
                  </w:rPr>
                  <w:tab/>
                </w:r>
                <w:r>
                  <w:rPr>
                    <w:noProof/>
                    <w:webHidden/>
                  </w:rPr>
                  <w:fldChar w:fldCharType="begin"/>
                </w:r>
                <w:r>
                  <w:rPr>
                    <w:noProof/>
                    <w:webHidden/>
                  </w:rPr>
                  <w:instrText xml:space="preserve"> PAGEREF _Toc224899686 \h </w:instrText>
                </w:r>
                <w:r>
                  <w:rPr>
                    <w:noProof/>
                    <w:webHidden/>
                  </w:rPr>
                </w:r>
                <w:r>
                  <w:rPr>
                    <w:noProof/>
                    <w:webHidden/>
                  </w:rPr>
                  <w:fldChar w:fldCharType="separate"/>
                </w:r>
                <w:r>
                  <w:rPr>
                    <w:noProof/>
                    <w:webHidden/>
                  </w:rPr>
                  <w:t>14</w:t>
                </w:r>
                <w:r>
                  <w:rPr>
                    <w:noProof/>
                    <w:webHidden/>
                  </w:rPr>
                  <w:fldChar w:fldCharType="end"/>
                </w:r>
              </w:hyperlink>
            </w:p>
            <w:p w14:paraId="33A7E36C"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87" w:history="1">
                <w:r w:rsidRPr="00F33F15">
                  <w:rPr>
                    <w:rStyle w:val="Hyperlink"/>
                    <w:noProof/>
                  </w:rPr>
                  <w:t>6.3 Trust and Reputational Risk Management</w:t>
                </w:r>
                <w:r>
                  <w:rPr>
                    <w:noProof/>
                    <w:webHidden/>
                  </w:rPr>
                  <w:tab/>
                </w:r>
                <w:r>
                  <w:rPr>
                    <w:noProof/>
                    <w:webHidden/>
                  </w:rPr>
                  <w:fldChar w:fldCharType="begin"/>
                </w:r>
                <w:r>
                  <w:rPr>
                    <w:noProof/>
                    <w:webHidden/>
                  </w:rPr>
                  <w:instrText xml:space="preserve"> PAGEREF _Toc224899687 \h </w:instrText>
                </w:r>
                <w:r>
                  <w:rPr>
                    <w:noProof/>
                    <w:webHidden/>
                  </w:rPr>
                </w:r>
                <w:r>
                  <w:rPr>
                    <w:noProof/>
                    <w:webHidden/>
                  </w:rPr>
                  <w:fldChar w:fldCharType="separate"/>
                </w:r>
                <w:r>
                  <w:rPr>
                    <w:noProof/>
                    <w:webHidden/>
                  </w:rPr>
                  <w:t>15</w:t>
                </w:r>
                <w:r>
                  <w:rPr>
                    <w:noProof/>
                    <w:webHidden/>
                  </w:rPr>
                  <w:fldChar w:fldCharType="end"/>
                </w:r>
              </w:hyperlink>
            </w:p>
            <w:p w14:paraId="4ACC7D4E" w14:textId="77777777" w:rsidR="00CA2B0C" w:rsidRDefault="00CA2B0C">
              <w:pPr>
                <w:pStyle w:val="TOC1"/>
                <w:tabs>
                  <w:tab w:val="left" w:pos="480"/>
                </w:tabs>
                <w:rPr>
                  <w:rFonts w:asciiTheme="minorHAnsi" w:eastAsiaTheme="minorEastAsia" w:hAnsiTheme="minorHAnsi" w:cstheme="minorBidi"/>
                  <w:b w:val="0"/>
                  <w:sz w:val="22"/>
                  <w:lang w:eastAsia="en-GB"/>
                </w:rPr>
              </w:pPr>
              <w:hyperlink w:anchor="_Toc224899688" w:history="1">
                <w:r w:rsidRPr="00F33F15">
                  <w:rPr>
                    <w:rStyle w:val="Hyperlink"/>
                  </w:rPr>
                  <w:t>7.</w:t>
                </w:r>
                <w:r>
                  <w:rPr>
                    <w:rFonts w:asciiTheme="minorHAnsi" w:eastAsiaTheme="minorEastAsia" w:hAnsiTheme="minorHAnsi" w:cstheme="minorBidi"/>
                    <w:b w:val="0"/>
                    <w:sz w:val="22"/>
                    <w:lang w:eastAsia="en-GB"/>
                  </w:rPr>
                  <w:tab/>
                </w:r>
                <w:r w:rsidRPr="00F33F15">
                  <w:rPr>
                    <w:rStyle w:val="Hyperlink"/>
                  </w:rPr>
                  <w:t>Implementation Plan</w:t>
                </w:r>
                <w:r>
                  <w:rPr>
                    <w:webHidden/>
                  </w:rPr>
                  <w:tab/>
                </w:r>
                <w:r>
                  <w:rPr>
                    <w:webHidden/>
                  </w:rPr>
                  <w:fldChar w:fldCharType="begin"/>
                </w:r>
                <w:r>
                  <w:rPr>
                    <w:webHidden/>
                  </w:rPr>
                  <w:instrText xml:space="preserve"> PAGEREF _Toc224899688 \h </w:instrText>
                </w:r>
                <w:r>
                  <w:rPr>
                    <w:webHidden/>
                  </w:rPr>
                </w:r>
                <w:r>
                  <w:rPr>
                    <w:webHidden/>
                  </w:rPr>
                  <w:fldChar w:fldCharType="separate"/>
                </w:r>
                <w:r>
                  <w:rPr>
                    <w:webHidden/>
                  </w:rPr>
                  <w:t>15</w:t>
                </w:r>
                <w:r>
                  <w:rPr>
                    <w:webHidden/>
                  </w:rPr>
                  <w:fldChar w:fldCharType="end"/>
                </w:r>
              </w:hyperlink>
            </w:p>
            <w:p w14:paraId="21EFE65D"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89" w:history="1">
                <w:r w:rsidRPr="00F33F15">
                  <w:rPr>
                    <w:rStyle w:val="Hyperlink"/>
                    <w:noProof/>
                  </w:rPr>
                  <w:t>7.1 Strategic Goals of AI Risk Management</w:t>
                </w:r>
                <w:r>
                  <w:rPr>
                    <w:noProof/>
                    <w:webHidden/>
                  </w:rPr>
                  <w:tab/>
                </w:r>
                <w:r>
                  <w:rPr>
                    <w:noProof/>
                    <w:webHidden/>
                  </w:rPr>
                  <w:fldChar w:fldCharType="begin"/>
                </w:r>
                <w:r>
                  <w:rPr>
                    <w:noProof/>
                    <w:webHidden/>
                  </w:rPr>
                  <w:instrText xml:space="preserve"> PAGEREF _Toc224899689 \h </w:instrText>
                </w:r>
                <w:r>
                  <w:rPr>
                    <w:noProof/>
                    <w:webHidden/>
                  </w:rPr>
                </w:r>
                <w:r>
                  <w:rPr>
                    <w:noProof/>
                    <w:webHidden/>
                  </w:rPr>
                  <w:fldChar w:fldCharType="separate"/>
                </w:r>
                <w:r>
                  <w:rPr>
                    <w:noProof/>
                    <w:webHidden/>
                  </w:rPr>
                  <w:t>15</w:t>
                </w:r>
                <w:r>
                  <w:rPr>
                    <w:noProof/>
                    <w:webHidden/>
                  </w:rPr>
                  <w:fldChar w:fldCharType="end"/>
                </w:r>
              </w:hyperlink>
            </w:p>
            <w:p w14:paraId="0B654D23"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90" w:history="1">
                <w:r w:rsidRPr="00F33F15">
                  <w:rPr>
                    <w:rStyle w:val="Hyperlink"/>
                    <w:noProof/>
                  </w:rPr>
                  <w:t>7.2 Step by Step Implementation Road map</w:t>
                </w:r>
                <w:r>
                  <w:rPr>
                    <w:noProof/>
                    <w:webHidden/>
                  </w:rPr>
                  <w:tab/>
                </w:r>
                <w:r>
                  <w:rPr>
                    <w:noProof/>
                    <w:webHidden/>
                  </w:rPr>
                  <w:fldChar w:fldCharType="begin"/>
                </w:r>
                <w:r>
                  <w:rPr>
                    <w:noProof/>
                    <w:webHidden/>
                  </w:rPr>
                  <w:instrText xml:space="preserve"> PAGEREF _Toc224899690 \h </w:instrText>
                </w:r>
                <w:r>
                  <w:rPr>
                    <w:noProof/>
                    <w:webHidden/>
                  </w:rPr>
                </w:r>
                <w:r>
                  <w:rPr>
                    <w:noProof/>
                    <w:webHidden/>
                  </w:rPr>
                  <w:fldChar w:fldCharType="separate"/>
                </w:r>
                <w:r>
                  <w:rPr>
                    <w:noProof/>
                    <w:webHidden/>
                  </w:rPr>
                  <w:t>16</w:t>
                </w:r>
                <w:r>
                  <w:rPr>
                    <w:noProof/>
                    <w:webHidden/>
                  </w:rPr>
                  <w:fldChar w:fldCharType="end"/>
                </w:r>
              </w:hyperlink>
            </w:p>
            <w:p w14:paraId="484CF8E7"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91" w:history="1">
                <w:r w:rsidRPr="00F33F15">
                  <w:rPr>
                    <w:rStyle w:val="Hyperlink"/>
                    <w:noProof/>
                  </w:rPr>
                  <w:t>7.3 Risk Mitigation Strategies</w:t>
                </w:r>
                <w:r>
                  <w:rPr>
                    <w:noProof/>
                    <w:webHidden/>
                  </w:rPr>
                  <w:tab/>
                </w:r>
                <w:r>
                  <w:rPr>
                    <w:noProof/>
                    <w:webHidden/>
                  </w:rPr>
                  <w:fldChar w:fldCharType="begin"/>
                </w:r>
                <w:r>
                  <w:rPr>
                    <w:noProof/>
                    <w:webHidden/>
                  </w:rPr>
                  <w:instrText xml:space="preserve"> PAGEREF _Toc224899691 \h </w:instrText>
                </w:r>
                <w:r>
                  <w:rPr>
                    <w:noProof/>
                    <w:webHidden/>
                  </w:rPr>
                </w:r>
                <w:r>
                  <w:rPr>
                    <w:noProof/>
                    <w:webHidden/>
                  </w:rPr>
                  <w:fldChar w:fldCharType="separate"/>
                </w:r>
                <w:r>
                  <w:rPr>
                    <w:noProof/>
                    <w:webHidden/>
                  </w:rPr>
                  <w:t>16</w:t>
                </w:r>
                <w:r>
                  <w:rPr>
                    <w:noProof/>
                    <w:webHidden/>
                  </w:rPr>
                  <w:fldChar w:fldCharType="end"/>
                </w:r>
              </w:hyperlink>
            </w:p>
            <w:p w14:paraId="4BF590CE"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92" w:history="1">
                <w:r w:rsidRPr="00F33F15">
                  <w:rPr>
                    <w:rStyle w:val="Hyperlink"/>
                    <w:noProof/>
                  </w:rPr>
                  <w:t>7.4 Key Performance Indicators and Performance Measurement</w:t>
                </w:r>
                <w:r>
                  <w:rPr>
                    <w:noProof/>
                    <w:webHidden/>
                  </w:rPr>
                  <w:tab/>
                </w:r>
                <w:r>
                  <w:rPr>
                    <w:noProof/>
                    <w:webHidden/>
                  </w:rPr>
                  <w:fldChar w:fldCharType="begin"/>
                </w:r>
                <w:r>
                  <w:rPr>
                    <w:noProof/>
                    <w:webHidden/>
                  </w:rPr>
                  <w:instrText xml:space="preserve"> PAGEREF _Toc224899692 \h </w:instrText>
                </w:r>
                <w:r>
                  <w:rPr>
                    <w:noProof/>
                    <w:webHidden/>
                  </w:rPr>
                </w:r>
                <w:r>
                  <w:rPr>
                    <w:noProof/>
                    <w:webHidden/>
                  </w:rPr>
                  <w:fldChar w:fldCharType="separate"/>
                </w:r>
                <w:r>
                  <w:rPr>
                    <w:noProof/>
                    <w:webHidden/>
                  </w:rPr>
                  <w:t>17</w:t>
                </w:r>
                <w:r>
                  <w:rPr>
                    <w:noProof/>
                    <w:webHidden/>
                  </w:rPr>
                  <w:fldChar w:fldCharType="end"/>
                </w:r>
              </w:hyperlink>
            </w:p>
            <w:p w14:paraId="26C11557" w14:textId="77777777" w:rsidR="00CA2B0C" w:rsidRDefault="00CA2B0C">
              <w:pPr>
                <w:pStyle w:val="TOC2"/>
                <w:tabs>
                  <w:tab w:val="right" w:leader="dot" w:pos="9016"/>
                </w:tabs>
                <w:rPr>
                  <w:rFonts w:asciiTheme="minorHAnsi" w:eastAsiaTheme="minorEastAsia" w:hAnsiTheme="minorHAnsi"/>
                  <w:noProof/>
                  <w:sz w:val="22"/>
                  <w:lang w:eastAsia="en-GB"/>
                </w:rPr>
              </w:pPr>
              <w:hyperlink w:anchor="_Toc224899693" w:history="1">
                <w:r w:rsidRPr="00F33F15">
                  <w:rPr>
                    <w:rStyle w:val="Hyperlink"/>
                    <w:noProof/>
                  </w:rPr>
                  <w:t>7.5 Future‑Proofing Strategy</w:t>
                </w:r>
                <w:r>
                  <w:rPr>
                    <w:noProof/>
                    <w:webHidden/>
                  </w:rPr>
                  <w:tab/>
                </w:r>
                <w:r>
                  <w:rPr>
                    <w:noProof/>
                    <w:webHidden/>
                  </w:rPr>
                  <w:fldChar w:fldCharType="begin"/>
                </w:r>
                <w:r>
                  <w:rPr>
                    <w:noProof/>
                    <w:webHidden/>
                  </w:rPr>
                  <w:instrText xml:space="preserve"> PAGEREF _Toc224899693 \h </w:instrText>
                </w:r>
                <w:r>
                  <w:rPr>
                    <w:noProof/>
                    <w:webHidden/>
                  </w:rPr>
                </w:r>
                <w:r>
                  <w:rPr>
                    <w:noProof/>
                    <w:webHidden/>
                  </w:rPr>
                  <w:fldChar w:fldCharType="separate"/>
                </w:r>
                <w:r>
                  <w:rPr>
                    <w:noProof/>
                    <w:webHidden/>
                  </w:rPr>
                  <w:t>17</w:t>
                </w:r>
                <w:r>
                  <w:rPr>
                    <w:noProof/>
                    <w:webHidden/>
                  </w:rPr>
                  <w:fldChar w:fldCharType="end"/>
                </w:r>
              </w:hyperlink>
            </w:p>
            <w:p w14:paraId="585C70AA" w14:textId="77777777" w:rsidR="00CA2B0C" w:rsidRDefault="00CA2B0C">
              <w:pPr>
                <w:pStyle w:val="TOC1"/>
                <w:tabs>
                  <w:tab w:val="left" w:pos="480"/>
                </w:tabs>
                <w:rPr>
                  <w:rFonts w:asciiTheme="minorHAnsi" w:eastAsiaTheme="minorEastAsia" w:hAnsiTheme="minorHAnsi" w:cstheme="minorBidi"/>
                  <w:b w:val="0"/>
                  <w:sz w:val="22"/>
                  <w:lang w:eastAsia="en-GB"/>
                </w:rPr>
              </w:pPr>
              <w:hyperlink w:anchor="_Toc224899694" w:history="1">
                <w:r w:rsidRPr="00F33F15">
                  <w:rPr>
                    <w:rStyle w:val="Hyperlink"/>
                  </w:rPr>
                  <w:t>8.</w:t>
                </w:r>
                <w:r>
                  <w:rPr>
                    <w:rFonts w:asciiTheme="minorHAnsi" w:eastAsiaTheme="minorEastAsia" w:hAnsiTheme="minorHAnsi" w:cstheme="minorBidi"/>
                    <w:b w:val="0"/>
                    <w:sz w:val="22"/>
                    <w:lang w:eastAsia="en-GB"/>
                  </w:rPr>
                  <w:tab/>
                </w:r>
                <w:r w:rsidRPr="00F33F15">
                  <w:rPr>
                    <w:rStyle w:val="Hyperlink"/>
                  </w:rPr>
                  <w:t>Conclusion</w:t>
                </w:r>
                <w:r>
                  <w:rPr>
                    <w:webHidden/>
                  </w:rPr>
                  <w:tab/>
                </w:r>
                <w:r>
                  <w:rPr>
                    <w:webHidden/>
                  </w:rPr>
                  <w:fldChar w:fldCharType="begin"/>
                </w:r>
                <w:r>
                  <w:rPr>
                    <w:webHidden/>
                  </w:rPr>
                  <w:instrText xml:space="preserve"> PAGEREF _Toc224899694 \h </w:instrText>
                </w:r>
                <w:r>
                  <w:rPr>
                    <w:webHidden/>
                  </w:rPr>
                </w:r>
                <w:r>
                  <w:rPr>
                    <w:webHidden/>
                  </w:rPr>
                  <w:fldChar w:fldCharType="separate"/>
                </w:r>
                <w:r>
                  <w:rPr>
                    <w:webHidden/>
                  </w:rPr>
                  <w:t>18</w:t>
                </w:r>
                <w:r>
                  <w:rPr>
                    <w:webHidden/>
                  </w:rPr>
                  <w:fldChar w:fldCharType="end"/>
                </w:r>
              </w:hyperlink>
            </w:p>
            <w:p w14:paraId="6D5AFD3A" w14:textId="77777777" w:rsidR="00CA2B0C" w:rsidRDefault="00CA2B0C">
              <w:pPr>
                <w:pStyle w:val="TOC1"/>
                <w:tabs>
                  <w:tab w:val="left" w:pos="480"/>
                </w:tabs>
                <w:rPr>
                  <w:rFonts w:asciiTheme="minorHAnsi" w:eastAsiaTheme="minorEastAsia" w:hAnsiTheme="minorHAnsi" w:cstheme="minorBidi"/>
                  <w:b w:val="0"/>
                  <w:sz w:val="22"/>
                  <w:lang w:eastAsia="en-GB"/>
                </w:rPr>
              </w:pPr>
              <w:hyperlink w:anchor="_Toc224899695" w:history="1">
                <w:r w:rsidRPr="00F33F15">
                  <w:rPr>
                    <w:rStyle w:val="Hyperlink"/>
                  </w:rPr>
                  <w:t>9.</w:t>
                </w:r>
                <w:r>
                  <w:rPr>
                    <w:rFonts w:asciiTheme="minorHAnsi" w:eastAsiaTheme="minorEastAsia" w:hAnsiTheme="minorHAnsi" w:cstheme="minorBidi"/>
                    <w:b w:val="0"/>
                    <w:sz w:val="22"/>
                    <w:lang w:eastAsia="en-GB"/>
                  </w:rPr>
                  <w:tab/>
                </w:r>
                <w:r w:rsidRPr="00F33F15">
                  <w:rPr>
                    <w:rStyle w:val="Hyperlink"/>
                  </w:rPr>
                  <w:t>Bibliography</w:t>
                </w:r>
                <w:r>
                  <w:rPr>
                    <w:webHidden/>
                  </w:rPr>
                  <w:tab/>
                </w:r>
                <w:r>
                  <w:rPr>
                    <w:webHidden/>
                  </w:rPr>
                  <w:fldChar w:fldCharType="begin"/>
                </w:r>
                <w:r>
                  <w:rPr>
                    <w:webHidden/>
                  </w:rPr>
                  <w:instrText xml:space="preserve"> PAGEREF _Toc224899695 \h </w:instrText>
                </w:r>
                <w:r>
                  <w:rPr>
                    <w:webHidden/>
                  </w:rPr>
                </w:r>
                <w:r>
                  <w:rPr>
                    <w:webHidden/>
                  </w:rPr>
                  <w:fldChar w:fldCharType="separate"/>
                </w:r>
                <w:r>
                  <w:rPr>
                    <w:webHidden/>
                  </w:rPr>
                  <w:t>19</w:t>
                </w:r>
                <w:r>
                  <w:rPr>
                    <w:webHidden/>
                  </w:rPr>
                  <w:fldChar w:fldCharType="end"/>
                </w:r>
              </w:hyperlink>
            </w:p>
            <w:p w14:paraId="05194699" w14:textId="338758C3" w:rsidR="007D1947" w:rsidRPr="00341C46" w:rsidRDefault="007D1947" w:rsidP="00341C46">
              <w:pPr>
                <w:rPr>
                  <w:rFonts w:cs="Times New Roman"/>
                </w:rPr>
              </w:pPr>
              <w:r w:rsidRPr="00341C46">
                <w:rPr>
                  <w:rFonts w:cs="Times New Roman"/>
                  <w:b/>
                  <w:bCs/>
                  <w:noProof/>
                </w:rPr>
                <w:fldChar w:fldCharType="end"/>
              </w:r>
              <w:r w:rsidR="005C37DC" w:rsidRPr="00341C46">
                <w:rPr>
                  <w:rFonts w:cs="Times New Roman"/>
                  <w:b/>
                  <w:bCs/>
                  <w:noProof/>
                </w:rPr>
                <w:t xml:space="preserve"> </w:t>
              </w:r>
            </w:p>
          </w:sdtContent>
        </w:sdt>
        <w:p w14:paraId="5CD1CE9F" w14:textId="77777777" w:rsidR="007D1947" w:rsidRDefault="007D1947" w:rsidP="00652E12"/>
        <w:p w14:paraId="23FFFFF4" w14:textId="10D79AFE" w:rsidR="00652E12" w:rsidRPr="00652E12" w:rsidRDefault="00652E12" w:rsidP="00652E12">
          <w:pPr>
            <w:pStyle w:val="TOCHeading"/>
            <w:rPr>
              <w:rFonts w:cs="Times New Roman"/>
            </w:rPr>
          </w:pPr>
          <w:r w:rsidRPr="00341C46">
            <w:rPr>
              <w:rFonts w:cs="Times New Roman"/>
            </w:rPr>
            <w:t xml:space="preserve">Table of </w:t>
          </w:r>
          <w:r>
            <w:rPr>
              <w:rFonts w:cs="Times New Roman"/>
            </w:rPr>
            <w:t>Figures</w:t>
          </w:r>
        </w:p>
        <w:p w14:paraId="022FA10C" w14:textId="77777777" w:rsidR="00652E12" w:rsidRDefault="00652E12">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224899569" w:history="1">
            <w:r w:rsidRPr="0001120D">
              <w:rPr>
                <w:rStyle w:val="Hyperlink"/>
                <w:noProof/>
              </w:rPr>
              <w:t xml:space="preserve">Figure 1: Artificial Intelligence by Global Markets Source: </w:t>
            </w:r>
            <w:r w:rsidRPr="0001120D">
              <w:rPr>
                <w:rStyle w:val="Hyperlink"/>
                <w:noProof/>
                <w:shd w:val="clear" w:color="auto" w:fill="FFFFFF"/>
              </w:rPr>
              <w:t>(European Commission, 2021)</w:t>
            </w:r>
            <w:r>
              <w:rPr>
                <w:noProof/>
                <w:webHidden/>
              </w:rPr>
              <w:tab/>
            </w:r>
            <w:r>
              <w:rPr>
                <w:noProof/>
                <w:webHidden/>
              </w:rPr>
              <w:fldChar w:fldCharType="begin"/>
            </w:r>
            <w:r>
              <w:rPr>
                <w:noProof/>
                <w:webHidden/>
              </w:rPr>
              <w:instrText xml:space="preserve"> PAGEREF _Toc224899569 \h </w:instrText>
            </w:r>
            <w:r>
              <w:rPr>
                <w:noProof/>
                <w:webHidden/>
              </w:rPr>
            </w:r>
            <w:r>
              <w:rPr>
                <w:noProof/>
                <w:webHidden/>
              </w:rPr>
              <w:fldChar w:fldCharType="separate"/>
            </w:r>
            <w:r>
              <w:rPr>
                <w:noProof/>
                <w:webHidden/>
              </w:rPr>
              <w:t>3</w:t>
            </w:r>
            <w:r>
              <w:rPr>
                <w:noProof/>
                <w:webHidden/>
              </w:rPr>
              <w:fldChar w:fldCharType="end"/>
            </w:r>
          </w:hyperlink>
        </w:p>
        <w:p w14:paraId="7841E84E" w14:textId="77777777" w:rsidR="00652E12" w:rsidRDefault="00652E12">
          <w:pPr>
            <w:pStyle w:val="TableofFigures"/>
            <w:tabs>
              <w:tab w:val="right" w:leader="dot" w:pos="9016"/>
            </w:tabs>
            <w:rPr>
              <w:rFonts w:asciiTheme="minorHAnsi" w:eastAsiaTheme="minorEastAsia" w:hAnsiTheme="minorHAnsi"/>
              <w:noProof/>
              <w:sz w:val="22"/>
              <w:lang w:eastAsia="en-GB"/>
            </w:rPr>
          </w:pPr>
          <w:hyperlink w:anchor="_Toc224899570" w:history="1">
            <w:r w:rsidRPr="0001120D">
              <w:rPr>
                <w:rStyle w:val="Hyperlink"/>
                <w:noProof/>
              </w:rPr>
              <w:t xml:space="preserve">Figure 2: Artificial Intelligence by Global Markets Source: </w:t>
            </w:r>
            <w:r w:rsidRPr="0001120D">
              <w:rPr>
                <w:rStyle w:val="Hyperlink"/>
                <w:rFonts w:cs="Times New Roman"/>
                <w:noProof/>
                <w:shd w:val="clear" w:color="auto" w:fill="FFFFFF"/>
              </w:rPr>
              <w:t>(UNCTAD, 2022)</w:t>
            </w:r>
            <w:r>
              <w:rPr>
                <w:noProof/>
                <w:webHidden/>
              </w:rPr>
              <w:tab/>
            </w:r>
            <w:r>
              <w:rPr>
                <w:noProof/>
                <w:webHidden/>
              </w:rPr>
              <w:fldChar w:fldCharType="begin"/>
            </w:r>
            <w:r>
              <w:rPr>
                <w:noProof/>
                <w:webHidden/>
              </w:rPr>
              <w:instrText xml:space="preserve"> PAGEREF _Toc224899570 \h </w:instrText>
            </w:r>
            <w:r>
              <w:rPr>
                <w:noProof/>
                <w:webHidden/>
              </w:rPr>
            </w:r>
            <w:r>
              <w:rPr>
                <w:noProof/>
                <w:webHidden/>
              </w:rPr>
              <w:fldChar w:fldCharType="separate"/>
            </w:r>
            <w:r>
              <w:rPr>
                <w:noProof/>
                <w:webHidden/>
              </w:rPr>
              <w:t>6</w:t>
            </w:r>
            <w:r>
              <w:rPr>
                <w:noProof/>
                <w:webHidden/>
              </w:rPr>
              <w:fldChar w:fldCharType="end"/>
            </w:r>
          </w:hyperlink>
        </w:p>
        <w:p w14:paraId="1379DE5A" w14:textId="77777777" w:rsidR="00652E12" w:rsidRDefault="00652E12">
          <w:pPr>
            <w:pStyle w:val="TableofFigures"/>
            <w:tabs>
              <w:tab w:val="right" w:leader="dot" w:pos="9016"/>
            </w:tabs>
            <w:rPr>
              <w:rFonts w:asciiTheme="minorHAnsi" w:eastAsiaTheme="minorEastAsia" w:hAnsiTheme="minorHAnsi"/>
              <w:noProof/>
              <w:sz w:val="22"/>
              <w:lang w:eastAsia="en-GB"/>
            </w:rPr>
          </w:pPr>
          <w:hyperlink w:anchor="_Toc224899571" w:history="1">
            <w:r w:rsidRPr="0001120D">
              <w:rPr>
                <w:rStyle w:val="Hyperlink"/>
                <w:noProof/>
              </w:rPr>
              <w:t>Figure 3: Technological Risks in Emerging Source: (Self-Made)</w:t>
            </w:r>
            <w:r>
              <w:rPr>
                <w:noProof/>
                <w:webHidden/>
              </w:rPr>
              <w:tab/>
            </w:r>
            <w:r>
              <w:rPr>
                <w:noProof/>
                <w:webHidden/>
              </w:rPr>
              <w:fldChar w:fldCharType="begin"/>
            </w:r>
            <w:r>
              <w:rPr>
                <w:noProof/>
                <w:webHidden/>
              </w:rPr>
              <w:instrText xml:space="preserve"> PAGEREF _Toc224899571 \h </w:instrText>
            </w:r>
            <w:r>
              <w:rPr>
                <w:noProof/>
                <w:webHidden/>
              </w:rPr>
            </w:r>
            <w:r>
              <w:rPr>
                <w:noProof/>
                <w:webHidden/>
              </w:rPr>
              <w:fldChar w:fldCharType="separate"/>
            </w:r>
            <w:r>
              <w:rPr>
                <w:noProof/>
                <w:webHidden/>
              </w:rPr>
              <w:t>9</w:t>
            </w:r>
            <w:r>
              <w:rPr>
                <w:noProof/>
                <w:webHidden/>
              </w:rPr>
              <w:fldChar w:fldCharType="end"/>
            </w:r>
          </w:hyperlink>
        </w:p>
        <w:p w14:paraId="4553DE1D" w14:textId="77777777" w:rsidR="00652E12" w:rsidRDefault="00652E12">
          <w:pPr>
            <w:pStyle w:val="TableofFigures"/>
            <w:tabs>
              <w:tab w:val="right" w:leader="dot" w:pos="9016"/>
            </w:tabs>
            <w:rPr>
              <w:rFonts w:asciiTheme="minorHAnsi" w:eastAsiaTheme="minorEastAsia" w:hAnsiTheme="minorHAnsi"/>
              <w:noProof/>
              <w:sz w:val="22"/>
              <w:lang w:eastAsia="en-GB"/>
            </w:rPr>
          </w:pPr>
          <w:hyperlink w:anchor="_Toc224899572" w:history="1">
            <w:r w:rsidRPr="0001120D">
              <w:rPr>
                <w:rStyle w:val="Hyperlink"/>
                <w:noProof/>
              </w:rPr>
              <w:t>Figure 4: Data Governance Lifecycle Source: (Self-Made)</w:t>
            </w:r>
            <w:r>
              <w:rPr>
                <w:noProof/>
                <w:webHidden/>
              </w:rPr>
              <w:tab/>
            </w:r>
            <w:r>
              <w:rPr>
                <w:noProof/>
                <w:webHidden/>
              </w:rPr>
              <w:fldChar w:fldCharType="begin"/>
            </w:r>
            <w:r>
              <w:rPr>
                <w:noProof/>
                <w:webHidden/>
              </w:rPr>
              <w:instrText xml:space="preserve"> PAGEREF _Toc224899572 \h </w:instrText>
            </w:r>
            <w:r>
              <w:rPr>
                <w:noProof/>
                <w:webHidden/>
              </w:rPr>
            </w:r>
            <w:r>
              <w:rPr>
                <w:noProof/>
                <w:webHidden/>
              </w:rPr>
              <w:fldChar w:fldCharType="separate"/>
            </w:r>
            <w:r>
              <w:rPr>
                <w:noProof/>
                <w:webHidden/>
              </w:rPr>
              <w:t>11</w:t>
            </w:r>
            <w:r>
              <w:rPr>
                <w:noProof/>
                <w:webHidden/>
              </w:rPr>
              <w:fldChar w:fldCharType="end"/>
            </w:r>
          </w:hyperlink>
        </w:p>
        <w:p w14:paraId="6B9D7ECE" w14:textId="77777777" w:rsidR="00652E12" w:rsidRPr="00341C46" w:rsidRDefault="00652E12" w:rsidP="00652E12">
          <w:r>
            <w:fldChar w:fldCharType="end"/>
          </w:r>
        </w:p>
        <w:p w14:paraId="2F3C7332" w14:textId="77777777" w:rsidR="00341C46" w:rsidRDefault="00341C46" w:rsidP="00652E12"/>
        <w:p w14:paraId="36A690D4" w14:textId="77777777" w:rsidR="00652E12" w:rsidRPr="00652E12" w:rsidRDefault="00652E12" w:rsidP="00652E12">
          <w:pPr>
            <w:sectPr w:rsidR="00652E12" w:rsidRPr="00652E12" w:rsidSect="00341C4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fmt="lowerRoman"/>
              <w:cols w:space="708"/>
              <w:titlePg/>
              <w:docGrid w:linePitch="360"/>
            </w:sectPr>
          </w:pPr>
        </w:p>
        <w:p w14:paraId="0ED321E6" w14:textId="4B2C471B" w:rsidR="007D1947" w:rsidRPr="00341C46" w:rsidRDefault="007D1947" w:rsidP="009E15DC">
          <w:pPr>
            <w:pStyle w:val="Heading1"/>
            <w:numPr>
              <w:ilvl w:val="0"/>
              <w:numId w:val="2"/>
            </w:numPr>
            <w:rPr>
              <w:rFonts w:cs="Times New Roman"/>
            </w:rPr>
          </w:pPr>
          <w:bookmarkStart w:id="1" w:name="_Toc224899664"/>
          <w:r w:rsidRPr="00341C46">
            <w:rPr>
              <w:rFonts w:cs="Times New Roman"/>
            </w:rPr>
            <w:lastRenderedPageBreak/>
            <w:t>Introduction</w:t>
          </w:r>
          <w:bookmarkEnd w:id="1"/>
          <w:r w:rsidR="00480872" w:rsidRPr="00341C46">
            <w:rPr>
              <w:rFonts w:cs="Times New Roman"/>
            </w:rPr>
            <w:t xml:space="preserve"> </w:t>
          </w:r>
        </w:p>
        <w:p w14:paraId="09A29E11" w14:textId="77777777"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Artificial intelligence (AI) has hugely transformed the operational and strategic landscape of the world's business, transforming the way organisations manage risk, generate value and compete globally. AI tools like machine learning, predictive analytics and automation are becoming embedded in the core functions, enhancing decision making and efficiency but introducing complex and changing risks (Dwivedi et al., 2021). As Multinational Enterprises use more AI, effective risk management frameworks are increasingly required, particularly when dealing with regulatory, ethical and technology uncertainty.</w:t>
          </w:r>
        </w:p>
        <w:p w14:paraId="341E8C30" w14:textId="35EF1EC5"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 xml:space="preserve">Macroeconomic circumstances as well as policy structures guide AI adoption and threats. Governments in advanced economies, especially the United Kingdom and the European Union, are taking an active role in ensuring that innovation is balanced with accountability (OECD, 2021). These shifts affect the deployment of AI, governance of data, and legal compliance. Meanwhile, geopolitical tensions, data localisation requirements and cross-border transfer restrictions only make the global operating environment more complicated, calling for adaptive and </w:t>
          </w:r>
          <w:r w:rsidR="00D64D15" w:rsidRPr="00F51E28">
            <w:rPr>
              <w:rFonts w:cs="Times New Roman"/>
              <w:color w:val="222222"/>
              <w:shd w:val="clear" w:color="auto" w:fill="FFFFFF"/>
            </w:rPr>
            <w:t>forward-looking</w:t>
          </w:r>
          <w:r w:rsidRPr="00F51E28">
            <w:rPr>
              <w:rFonts w:cs="Times New Roman"/>
              <w:color w:val="222222"/>
              <w:shd w:val="clear" w:color="auto" w:fill="FFFFFF"/>
            </w:rPr>
            <w:t xml:space="preserve"> strategies (UNCTAD, 2022).</w:t>
          </w:r>
        </w:p>
        <w:p w14:paraId="549F0B66" w14:textId="77777777"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This report is focusing on Sage Group plc, which is a UK-based multinational company that develops enterprise software for small and medium-sized businesses. Sage is a cloud-based provider of accounting, payroll, and financial management tools that are heavily data and AI-driven. As integration advances, the firm is confronted with issues over the privacy of data, algorithmic bias, cyber threats and regulatory compliance - all multiplied by the fact that operations are often carried out in multiple jurisdictions, such as the UK and EU, where the expectations and standards can differ.</w:t>
          </w:r>
        </w:p>
        <w:p w14:paraId="189170CD" w14:textId="165AF16B"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The report critically examines the effects of political, technological, and regulatory changes on the AI-driven risk management of Sage Group plc. in the case of the UK and EU. It looks at key areas, including data governance, ethical use of AI, and the trust of customers, measuring their performance and long-term sustainability. The objective is to provide actionable and future-oriented recommendations backed with a structured implementation plan, so as the firm can jointly manage AI risks and capture competitive opportunities.</w:t>
          </w:r>
          <w:r>
            <w:rPr>
              <w:rFonts w:cs="Times New Roman"/>
              <w:color w:val="222222"/>
              <w:shd w:val="clear" w:color="auto" w:fill="FFFFFF"/>
            </w:rPr>
            <w:t xml:space="preserve"> </w:t>
          </w:r>
          <w:r w:rsidRPr="00F51E28">
            <w:rPr>
              <w:rFonts w:cs="Times New Roman"/>
              <w:color w:val="222222"/>
              <w:shd w:val="clear" w:color="auto" w:fill="FFFFFF"/>
            </w:rPr>
            <w:t xml:space="preserve">The structure starts by describing the current state of AI worldwide and the macroeconomic environment, and moves on to analysing regulatory and technological challenges. Next, it considers data governance and ethics before moving on to trust and reputational risks for customers. The last sections </w:t>
          </w:r>
          <w:r w:rsidRPr="00F51E28">
            <w:rPr>
              <w:rFonts w:cs="Times New Roman"/>
              <w:color w:val="222222"/>
              <w:shd w:val="clear" w:color="auto" w:fill="FFFFFF"/>
            </w:rPr>
            <w:lastRenderedPageBreak/>
            <w:t>provide an extensive implementation plan, as well as final thoughts, to complete the evaluation in connexion with current global business challenges.</w:t>
          </w:r>
        </w:p>
        <w:p w14:paraId="1EA11AE7" w14:textId="77777777" w:rsidR="00F51E28" w:rsidRPr="00F51E28" w:rsidRDefault="00F51E28" w:rsidP="00F51E28">
          <w:pPr>
            <w:rPr>
              <w:rFonts w:cs="Times New Roman"/>
              <w:color w:val="222222"/>
              <w:shd w:val="clear" w:color="auto" w:fill="FFFFFF"/>
            </w:rPr>
          </w:pPr>
        </w:p>
        <w:p w14:paraId="340C7A41" w14:textId="77777777" w:rsidR="00F51E28" w:rsidRDefault="00F51E28">
          <w:pPr>
            <w:spacing w:line="259" w:lineRule="auto"/>
            <w:jc w:val="left"/>
            <w:rPr>
              <w:rFonts w:eastAsiaTheme="majorEastAsia" w:cs="Times New Roman"/>
              <w:b/>
              <w:color w:val="2E74B5" w:themeColor="accent1" w:themeShade="BF"/>
              <w:sz w:val="28"/>
              <w:szCs w:val="32"/>
            </w:rPr>
          </w:pPr>
          <w:r>
            <w:rPr>
              <w:rFonts w:cs="Times New Roman"/>
            </w:rPr>
            <w:br w:type="page"/>
          </w:r>
        </w:p>
        <w:p w14:paraId="222420BD" w14:textId="77777777" w:rsidR="00F51E28" w:rsidRPr="00FC478D" w:rsidRDefault="00480872" w:rsidP="00FC478D">
          <w:pPr>
            <w:spacing w:after="0"/>
            <w:rPr>
              <w:rStyle w:val="Strong"/>
              <w:color w:val="0070C0"/>
              <w:sz w:val="28"/>
            </w:rPr>
          </w:pPr>
          <w:r w:rsidRPr="00FC478D">
            <w:rPr>
              <w:rStyle w:val="Strong"/>
              <w:color w:val="0070C0"/>
              <w:sz w:val="28"/>
            </w:rPr>
            <w:lastRenderedPageBreak/>
            <w:t>Main Findings</w:t>
          </w:r>
        </w:p>
        <w:p w14:paraId="6EB42684" w14:textId="77777777" w:rsidR="00F51E28" w:rsidRPr="00F51E28" w:rsidRDefault="00F51E28" w:rsidP="00FC478D">
          <w:pPr>
            <w:pStyle w:val="Heading1"/>
            <w:numPr>
              <w:ilvl w:val="0"/>
              <w:numId w:val="2"/>
            </w:numPr>
            <w:rPr>
              <w:shd w:val="clear" w:color="auto" w:fill="FFFFFF"/>
            </w:rPr>
          </w:pPr>
          <w:bookmarkStart w:id="2" w:name="_Toc224899665"/>
          <w:r w:rsidRPr="00F51E28">
            <w:rPr>
              <w:shd w:val="clear" w:color="auto" w:fill="FFFFFF"/>
            </w:rPr>
            <w:t>AI Landscape and Macroeconomic Context in the World</w:t>
          </w:r>
          <w:bookmarkEnd w:id="2"/>
        </w:p>
        <w:p w14:paraId="7E8A558C" w14:textId="480B0354" w:rsidR="00F51E28" w:rsidRPr="00F51E28" w:rsidRDefault="00F51E28" w:rsidP="00FC478D">
          <w:pPr>
            <w:pStyle w:val="Heading2"/>
            <w:rPr>
              <w:shd w:val="clear" w:color="auto" w:fill="FFFFFF"/>
            </w:rPr>
          </w:pPr>
          <w:bookmarkStart w:id="3" w:name="_Toc224899666"/>
          <w:r w:rsidRPr="00F51E28">
            <w:rPr>
              <w:shd w:val="clear" w:color="auto" w:fill="FFFFFF"/>
            </w:rPr>
            <w:t>2.1 Growth of Artificial</w:t>
          </w:r>
          <w:r>
            <w:rPr>
              <w:shd w:val="clear" w:color="auto" w:fill="FFFFFF"/>
            </w:rPr>
            <w:t xml:space="preserve"> Intelligence by Global Markets</w:t>
          </w:r>
          <w:bookmarkEnd w:id="3"/>
        </w:p>
        <w:p w14:paraId="1C00C8E2" w14:textId="77777777" w:rsidR="00F51E28" w:rsidRDefault="00F51E28" w:rsidP="00F51E28">
          <w:pPr>
            <w:rPr>
              <w:rFonts w:cs="Times New Roman"/>
              <w:color w:val="222222"/>
              <w:shd w:val="clear" w:color="auto" w:fill="FFFFFF"/>
            </w:rPr>
          </w:pPr>
          <w:r w:rsidRPr="00F51E28">
            <w:rPr>
              <w:rFonts w:cs="Times New Roman"/>
              <w:color w:val="222222"/>
              <w:shd w:val="clear" w:color="auto" w:fill="FFFFFF"/>
            </w:rPr>
            <w:t>AI is now a fundamental source of productivity, innovation and competitive advantage across the world. Its adoption is growing rapidly in the areas of finance, healthcare and enterprise software. Recent studies indicate that AI has the potential to increase global output dramatically through automation and advanced data analytics to allow firms to optimise operations and reduce costs (Brynjolfsson et al., 2021). For Sage Group plc, incorporating AI in cloud-based accounting and enterprise solutions provides an added value such as delivering predictive insights, automating financial processes, and improving decision-making tools.</w:t>
          </w:r>
        </w:p>
        <w:p w14:paraId="012E5CA9" w14:textId="086160D4" w:rsidR="00830556" w:rsidRDefault="00FA1ECA" w:rsidP="00FA1ECA">
          <w:pPr>
            <w:pStyle w:val="Quote"/>
          </w:pPr>
          <w:r w:rsidRPr="00FA1ECA">
            <w:rPr>
              <w:noProof/>
            </w:rPr>
            <w:drawing>
              <wp:inline distT="0" distB="0" distL="0" distR="0" wp14:anchorId="1ACC65AE" wp14:editId="32051487">
                <wp:extent cx="4152900" cy="311490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1_ai_market_growth.png"/>
                        <pic:cNvPicPr/>
                      </pic:nvPicPr>
                      <pic:blipFill>
                        <a:blip r:embed="rId16">
                          <a:extLst>
                            <a:ext uri="{28A0092B-C50C-407E-A947-70E740481C1C}">
                              <a14:useLocalDpi xmlns:a14="http://schemas.microsoft.com/office/drawing/2010/main" val="0"/>
                            </a:ext>
                          </a:extLst>
                        </a:blip>
                        <a:stretch>
                          <a:fillRect/>
                        </a:stretch>
                      </pic:blipFill>
                      <pic:spPr>
                        <a:xfrm>
                          <a:off x="0" y="0"/>
                          <a:ext cx="4184841" cy="3138863"/>
                        </a:xfrm>
                        <a:prstGeom prst="rect">
                          <a:avLst/>
                        </a:prstGeom>
                      </pic:spPr>
                    </pic:pic>
                  </a:graphicData>
                </a:graphic>
              </wp:inline>
            </w:drawing>
          </w:r>
        </w:p>
        <w:p w14:paraId="7D242DA9" w14:textId="4E4AFE57" w:rsidR="00360F77" w:rsidRPr="00F51E28" w:rsidRDefault="00830556" w:rsidP="00830556">
          <w:pPr>
            <w:pStyle w:val="Quote"/>
            <w:rPr>
              <w:shd w:val="clear" w:color="auto" w:fill="FFFFFF"/>
            </w:rPr>
          </w:pPr>
          <w:bookmarkStart w:id="4" w:name="_Toc224899569"/>
          <w:r>
            <w:t xml:space="preserve">Figure </w:t>
          </w:r>
          <w:fldSimple w:instr=" SEQ Figure \* ARABIC ">
            <w:r w:rsidR="00E52CD6">
              <w:rPr>
                <w:noProof/>
              </w:rPr>
              <w:t>1</w:t>
            </w:r>
          </w:fldSimple>
          <w:r>
            <w:t xml:space="preserve">: </w:t>
          </w:r>
          <w:r w:rsidRPr="003D26C5">
            <w:t>Artificial Intelligence by Global Markets</w:t>
          </w:r>
          <w:r>
            <w:br/>
            <w:t xml:space="preserve">Source: </w:t>
          </w:r>
          <w:r w:rsidRPr="00F51E28">
            <w:rPr>
              <w:shd w:val="clear" w:color="auto" w:fill="FFFFFF"/>
            </w:rPr>
            <w:t>(European Commission, 2021)</w:t>
          </w:r>
          <w:bookmarkEnd w:id="4"/>
        </w:p>
        <w:p w14:paraId="2E82214C" w14:textId="2817E475" w:rsidR="00F51E28" w:rsidRPr="00F51E28" w:rsidRDefault="00830556" w:rsidP="00F51E28">
          <w:pPr>
            <w:rPr>
              <w:rFonts w:cs="Times New Roman"/>
              <w:color w:val="222222"/>
              <w:shd w:val="clear" w:color="auto" w:fill="FFFFFF"/>
            </w:rPr>
          </w:pPr>
          <w:r w:rsidRPr="00F51E28">
            <w:rPr>
              <w:rFonts w:cs="Times New Roman"/>
              <w:color w:val="222222"/>
              <w:shd w:val="clear" w:color="auto" w:fill="FFFFFF"/>
            </w:rPr>
            <w:t>But</w:t>
          </w:r>
          <w:r w:rsidR="00F51E28" w:rsidRPr="00F51E28">
            <w:rPr>
              <w:rFonts w:cs="Times New Roman"/>
              <w:color w:val="222222"/>
              <w:shd w:val="clear" w:color="auto" w:fill="FFFFFF"/>
            </w:rPr>
            <w:t xml:space="preserve"> the fast diffusion of AI also brings to the system a series of systemic risks - dependence on technology and increased cyber risk. While AI is beneficial for efficiency, it can make complex algorithmic systems susceptible to their firms to control or even comprehend (Brennett et al., 2020). This dual nature is typical of a trend worldwide in which the benefits of AI are closely intertwined with new operational and strategic risks, which require a balanced and critically informed approach to implementation.</w:t>
          </w:r>
        </w:p>
        <w:p w14:paraId="2F015F23" w14:textId="295E7986" w:rsidR="00F51E28" w:rsidRPr="00F51E28" w:rsidRDefault="00F51E28" w:rsidP="00FC478D">
          <w:pPr>
            <w:pStyle w:val="Heading2"/>
            <w:rPr>
              <w:shd w:val="clear" w:color="auto" w:fill="FFFFFF"/>
            </w:rPr>
          </w:pPr>
          <w:bookmarkStart w:id="5" w:name="_Toc224899667"/>
          <w:r w:rsidRPr="00F51E28">
            <w:rPr>
              <w:shd w:val="clear" w:color="auto" w:fill="FFFFFF"/>
            </w:rPr>
            <w:lastRenderedPageBreak/>
            <w:t>2.2 Macroeconomic Policy in th</w:t>
          </w:r>
          <w:r>
            <w:rPr>
              <w:shd w:val="clear" w:color="auto" w:fill="FFFFFF"/>
            </w:rPr>
            <w:t>e Development of AI</w:t>
          </w:r>
          <w:bookmarkEnd w:id="5"/>
        </w:p>
        <w:p w14:paraId="62ABA12C" w14:textId="6FBABFFD"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Macroeconomic conditions and government policies have a strong influence on the adoption of AI. In the UK, digital infrastructure, innovation and AI research is the focus of national strategies that have made the country a leading power in AI globally (</w:t>
          </w:r>
          <w:r w:rsidR="00891F59" w:rsidRPr="00765F5B">
            <w:t>GOV.UK</w:t>
          </w:r>
          <w:r w:rsidR="00891F59">
            <w:t>, 2023</w:t>
          </w:r>
          <w:r w:rsidRPr="00F51E28">
            <w:rPr>
              <w:rFonts w:cs="Times New Roman"/>
              <w:color w:val="222222"/>
              <w:shd w:val="clear" w:color="auto" w:fill="FFFFFF"/>
            </w:rPr>
            <w:t>). These policies open up opportunities for firms such as Sage to increase AI capabilities and are backed by skilled labour and public-private partnerships.</w:t>
          </w:r>
        </w:p>
        <w:p w14:paraId="33E3884E" w14:textId="0803B282"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In contrast, the EU takes a more precautionary approach with an emphasis on regulatory oversight and ethical governance through initiatives, like the proposed AI Act. This act is aimed at categorising and controlling AI systems in terms of risk levels (European Commission, 2021). While the approach increases consumer protection and trust, an increase in compliance costs and operational constraints for multinationals running operations across both regions may also result. The divergence highlights one of the most important macroeconomic issues, which is that firms will need to weigh UK innovation benefits ag</w:t>
          </w:r>
          <w:r>
            <w:rPr>
              <w:rFonts w:cs="Times New Roman"/>
              <w:color w:val="222222"/>
              <w:shd w:val="clear" w:color="auto" w:fill="FFFFFF"/>
            </w:rPr>
            <w:t xml:space="preserve">ainst EU regulatory strictness. </w:t>
          </w:r>
          <w:r w:rsidRPr="00F51E28">
            <w:rPr>
              <w:rFonts w:cs="Times New Roman"/>
              <w:color w:val="222222"/>
              <w:shd w:val="clear" w:color="auto" w:fill="FFFFFF"/>
            </w:rPr>
            <w:t xml:space="preserve">Other macro - factors such as inflation, labour markets and the trend of digital investment also influence AI strategies. Rising labour costs and skill shortage catalyze AI driven automation in particular </w:t>
          </w:r>
          <w:r w:rsidR="00D64D15" w:rsidRPr="00F51E28">
            <w:rPr>
              <w:rFonts w:cs="Times New Roman"/>
              <w:color w:val="222222"/>
              <w:shd w:val="clear" w:color="auto" w:fill="FFFFFF"/>
            </w:rPr>
            <w:t>in-service</w:t>
          </w:r>
          <w:r w:rsidRPr="00F51E28">
            <w:rPr>
              <w:rFonts w:cs="Times New Roman"/>
              <w:color w:val="222222"/>
              <w:shd w:val="clear" w:color="auto" w:fill="FFFFFF"/>
            </w:rPr>
            <w:t xml:space="preserve"> sectors (World Bank, 2022). For Sage, this means that is presents opportunities to improve offerings through automation at the same time as creating a greater need for advanced technologies which require continuous investment and risk monitoring.</w:t>
          </w:r>
        </w:p>
        <w:p w14:paraId="699C6B49" w14:textId="3BAA1996" w:rsidR="00F51E28" w:rsidRPr="00F51E28" w:rsidRDefault="00F51E28" w:rsidP="00FC478D">
          <w:pPr>
            <w:pStyle w:val="Heading2"/>
            <w:rPr>
              <w:shd w:val="clear" w:color="auto" w:fill="FFFFFF"/>
            </w:rPr>
          </w:pPr>
          <w:bookmarkStart w:id="6" w:name="_Toc224899668"/>
          <w:r w:rsidRPr="00F51E28">
            <w:rPr>
              <w:shd w:val="clear" w:color="auto" w:fill="FFFFFF"/>
            </w:rPr>
            <w:t>2.3 Implications for Multinational Firms</w:t>
          </w:r>
          <w:bookmarkEnd w:id="6"/>
        </w:p>
        <w:p w14:paraId="1408F58B" w14:textId="0404EAE0"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The interaction of the growth of AI with macro-policy generates opportunities as well as constraints for multinationals. AI helps scale, enter new markets and be more efficient to boost competitive positioning. However, the patchwork regulatory environment introduces an element of compliance complexity, particularly for multi-jurisdictional firms.</w:t>
          </w:r>
          <w:r w:rsidR="00FC478D">
            <w:rPr>
              <w:rFonts w:cs="Times New Roman"/>
              <w:color w:val="222222"/>
              <w:shd w:val="clear" w:color="auto" w:fill="FFFFFF"/>
            </w:rPr>
            <w:t xml:space="preserve"> </w:t>
          </w:r>
          <w:r w:rsidRPr="00F51E28">
            <w:rPr>
              <w:rFonts w:cs="Times New Roman"/>
              <w:color w:val="222222"/>
              <w:shd w:val="clear" w:color="auto" w:fill="FFFFFF"/>
            </w:rPr>
            <w:t>Sage is faced with varying regulatory requirements, data governance and technological policies in the UK and EU. Flexible, adaptive strategies are thus very important. Failure to determine the alignment between the deployment of AI and the external conditions could result into legal penalties, damage to the image, or loss of customer trust.</w:t>
          </w:r>
        </w:p>
        <w:p w14:paraId="13BB057A" w14:textId="77777777"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While macro- policies frequently make AI's growth engine, they may not completely address the threats for ethics and society. This difference between ambition and execution requires active risk management in excess of compliance to regulations. Multinationals need to have a macro-economic awareness in strategic choices to ensure that the adoption of AI is not only profitable but also sustainable and responsible in an international context.</w:t>
          </w:r>
        </w:p>
        <w:p w14:paraId="1E12378C" w14:textId="4A27D3A7" w:rsidR="00F51E28" w:rsidRPr="00F51E28" w:rsidRDefault="00F51E28" w:rsidP="00FC478D">
          <w:pPr>
            <w:pStyle w:val="Heading1"/>
            <w:numPr>
              <w:ilvl w:val="0"/>
              <w:numId w:val="2"/>
            </w:numPr>
            <w:rPr>
              <w:shd w:val="clear" w:color="auto" w:fill="FFFFFF"/>
            </w:rPr>
          </w:pPr>
          <w:bookmarkStart w:id="7" w:name="_Toc224899669"/>
          <w:r w:rsidRPr="00F51E28">
            <w:rPr>
              <w:shd w:val="clear" w:color="auto" w:fill="FFFFFF"/>
            </w:rPr>
            <w:lastRenderedPageBreak/>
            <w:t>Politi</w:t>
          </w:r>
          <w:r>
            <w:rPr>
              <w:shd w:val="clear" w:color="auto" w:fill="FFFFFF"/>
            </w:rPr>
            <w:t>cal and Regulatory Environment</w:t>
          </w:r>
          <w:bookmarkEnd w:id="7"/>
        </w:p>
        <w:p w14:paraId="5832BE1F" w14:textId="14F5077B" w:rsidR="00F51E28" w:rsidRPr="00F51E28" w:rsidRDefault="00F51E28" w:rsidP="00FC478D">
          <w:pPr>
            <w:pStyle w:val="Heading2"/>
            <w:rPr>
              <w:shd w:val="clear" w:color="auto" w:fill="FFFFFF"/>
            </w:rPr>
          </w:pPr>
          <w:bookmarkStart w:id="8" w:name="_Toc224899670"/>
          <w:r w:rsidRPr="00F51E28">
            <w:rPr>
              <w:shd w:val="clear" w:color="auto" w:fill="FFFFFF"/>
            </w:rPr>
            <w:t>3.1 UK Regulatory Environm</w:t>
          </w:r>
          <w:r>
            <w:rPr>
              <w:shd w:val="clear" w:color="auto" w:fill="FFFFFF"/>
            </w:rPr>
            <w:t>ent for Artificial intelligence</w:t>
          </w:r>
          <w:bookmarkEnd w:id="8"/>
        </w:p>
        <w:p w14:paraId="7502E1DF" w14:textId="77777777" w:rsidR="00FA1ECA" w:rsidRDefault="00F51E28" w:rsidP="00F51E28">
          <w:pPr>
            <w:rPr>
              <w:rFonts w:cs="Times New Roman"/>
              <w:color w:val="222222"/>
              <w:shd w:val="clear" w:color="auto" w:fill="FFFFFF"/>
            </w:rPr>
          </w:pPr>
          <w:r w:rsidRPr="00F51E28">
            <w:rPr>
              <w:rFonts w:cs="Times New Roman"/>
              <w:color w:val="222222"/>
              <w:shd w:val="clear" w:color="auto" w:fill="FFFFFF"/>
            </w:rPr>
            <w:t>The UK takes a flexible and innovation-friendly approach to regulation, and instead of a single law on AI, it promotes a flexible regulation approach. Instead, sectoral regulators impose the principles such as transparency and fairness (</w:t>
          </w:r>
          <w:r w:rsidR="00891F59" w:rsidRPr="00765F5B">
            <w:t>GOV.UK</w:t>
          </w:r>
          <w:r w:rsidR="00891F59">
            <w:t>, 2023</w:t>
          </w:r>
          <w:r w:rsidRPr="00F51E28">
            <w:rPr>
              <w:rFonts w:cs="Times New Roman"/>
              <w:color w:val="222222"/>
              <w:shd w:val="clear" w:color="auto" w:fill="FFFFFF"/>
            </w:rPr>
            <w:t>). Decentralised governance enables speed of innovation with flexibility of compliance to sector specific risks.</w:t>
          </w:r>
          <w:r w:rsidR="00FA1ECA">
            <w:rPr>
              <w:rFonts w:cs="Times New Roman"/>
              <w:color w:val="222222"/>
              <w:shd w:val="clear" w:color="auto" w:fill="FFFFFF"/>
            </w:rPr>
            <w:t xml:space="preserve"> </w:t>
          </w:r>
          <w:r w:rsidRPr="00F51E28">
            <w:rPr>
              <w:rFonts w:cs="Times New Roman"/>
              <w:color w:val="222222"/>
              <w:shd w:val="clear" w:color="auto" w:fill="FFFFFF"/>
            </w:rPr>
            <w:t>The UK GDPR is the overarching legal instrument which sets out lawful processing, data minimisation and accountability (ICO, 2022). These obligations directly influence the design and implementation of AI systems and decision-making, particularly automated decision-making. For multinationals, adhering to such principles is important in order to prevent pena</w:t>
          </w:r>
          <w:r>
            <w:rPr>
              <w:rFonts w:cs="Times New Roman"/>
              <w:color w:val="222222"/>
              <w:shd w:val="clear" w:color="auto" w:fill="FFFFFF"/>
            </w:rPr>
            <w:t xml:space="preserve">lties and damage to reputation. </w:t>
          </w:r>
        </w:p>
        <w:p w14:paraId="5538A288" w14:textId="5FAB36D6"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Sage enjoys this flexibility, which promotes AI innovation in its software innovations. Yet with the freedom also comes some interpretive difficulties, which require firms to determine how regulatory principles work in practise (</w:t>
          </w:r>
          <w:r w:rsidR="006538EB">
            <w:t>The Economist, 2025</w:t>
          </w:r>
          <w:r w:rsidRPr="00F51E28">
            <w:rPr>
              <w:rFonts w:cs="Times New Roman"/>
              <w:color w:val="222222"/>
              <w:shd w:val="clear" w:color="auto" w:fill="FFFFFF"/>
            </w:rPr>
            <w:t>). For this reason, companies rely much more on internal governance to enforce c</w:t>
          </w:r>
          <w:r>
            <w:rPr>
              <w:rFonts w:cs="Times New Roman"/>
              <w:color w:val="222222"/>
              <w:shd w:val="clear" w:color="auto" w:fill="FFFFFF"/>
            </w:rPr>
            <w:t>ompliance and ethical AI usage.</w:t>
          </w:r>
          <w:r w:rsidR="00FA1ECA">
            <w:rPr>
              <w:rFonts w:cs="Times New Roman"/>
              <w:color w:val="222222"/>
              <w:shd w:val="clear" w:color="auto" w:fill="FFFFFF"/>
            </w:rPr>
            <w:t xml:space="preserve"> </w:t>
          </w:r>
          <w:r w:rsidRPr="00F51E28">
            <w:rPr>
              <w:rFonts w:cs="Times New Roman"/>
              <w:color w:val="222222"/>
              <w:shd w:val="clear" w:color="auto" w:fill="FFFFFF"/>
            </w:rPr>
            <w:t>Lack of comprehensive law on AI creates uncertainty particularly with global standards changing. Firms need to be able to anticipate potential changes in regulations, while continuing to innovate (OECD, 2021). Adaptive strategies that are in line with current and emerging expectations are therefore critical.</w:t>
          </w:r>
        </w:p>
        <w:p w14:paraId="69EE949C" w14:textId="2017DB50" w:rsidR="00F51E28" w:rsidRPr="00F51E28" w:rsidRDefault="00F51E28" w:rsidP="00FC478D">
          <w:pPr>
            <w:pStyle w:val="Heading2"/>
            <w:rPr>
              <w:shd w:val="clear" w:color="auto" w:fill="FFFFFF"/>
            </w:rPr>
          </w:pPr>
          <w:bookmarkStart w:id="9" w:name="_Toc224899671"/>
          <w:r w:rsidRPr="00F51E28">
            <w:rPr>
              <w:shd w:val="clear" w:color="auto" w:fill="FFFFFF"/>
            </w:rPr>
            <w:t>3.2 Comparative Analysis: Regulatory</w:t>
          </w:r>
          <w:r>
            <w:rPr>
              <w:shd w:val="clear" w:color="auto" w:fill="FFFFFF"/>
            </w:rPr>
            <w:t xml:space="preserve"> Approach in the European Union</w:t>
          </w:r>
          <w:bookmarkEnd w:id="9"/>
        </w:p>
        <w:p w14:paraId="46639592" w14:textId="77777777" w:rsidR="00FA1ECA" w:rsidRDefault="00F51E28" w:rsidP="00F51E28">
          <w:pPr>
            <w:rPr>
              <w:rFonts w:cs="Times New Roman"/>
              <w:color w:val="222222"/>
              <w:shd w:val="clear" w:color="auto" w:fill="FFFFFF"/>
            </w:rPr>
          </w:pPr>
          <w:r w:rsidRPr="00F51E28">
            <w:rPr>
              <w:rFonts w:cs="Times New Roman"/>
              <w:color w:val="222222"/>
              <w:shd w:val="clear" w:color="auto" w:fill="FFFFFF"/>
            </w:rPr>
            <w:t>The EU approach is more prescriptive with the centrepiece being the proposed AI Act. It introduces a risk-based classification system, which will inspect AI applications depending on their societal impact (European Commission, 2021). High-risk systems have to comply with strict obligations: transparency, human supervision, constant monitoring.</w:t>
          </w:r>
          <w:r w:rsidR="00FC478D">
            <w:rPr>
              <w:rFonts w:cs="Times New Roman"/>
              <w:color w:val="222222"/>
              <w:shd w:val="clear" w:color="auto" w:fill="FFFFFF"/>
            </w:rPr>
            <w:t xml:space="preserve"> </w:t>
          </w:r>
        </w:p>
        <w:p w14:paraId="451C4BDE" w14:textId="756DD61B"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 xml:space="preserve">For companies such as Sage, EU laws mean that there are high compliance costs compared to the UK. AI systems used in finance or operations can be in the high risk category and require great documentation and verification (Veale </w:t>
          </w:r>
          <w:r w:rsidR="0066350F">
            <w:rPr>
              <w:rFonts w:cs="Times New Roman"/>
              <w:color w:val="222222"/>
              <w:shd w:val="clear" w:color="auto" w:fill="FFFFFF"/>
            </w:rPr>
            <w:t>and</w:t>
          </w:r>
          <w:r w:rsidRPr="00F51E28">
            <w:rPr>
              <w:rFonts w:cs="Times New Roman"/>
              <w:color w:val="222222"/>
              <w:shd w:val="clear" w:color="auto" w:fill="FFFFFF"/>
            </w:rPr>
            <w:t xml:space="preserve"> Borgesius, 2021). This has the added operational complexity and costs of investment in compliance infrastructure.</w:t>
          </w:r>
        </w:p>
        <w:p w14:paraId="11BBC25F" w14:textId="77777777" w:rsidR="00FA1ECA" w:rsidRDefault="00F51E28" w:rsidP="00F51E28">
          <w:pPr>
            <w:rPr>
              <w:rFonts w:cs="Times New Roman"/>
              <w:color w:val="222222"/>
              <w:shd w:val="clear" w:color="auto" w:fill="FFFFFF"/>
            </w:rPr>
          </w:pPr>
          <w:r w:rsidRPr="00F51E28">
            <w:rPr>
              <w:rFonts w:cs="Times New Roman"/>
              <w:color w:val="222222"/>
              <w:shd w:val="clear" w:color="auto" w:fill="FFFFFF"/>
            </w:rPr>
            <w:t>While the EU framework helps to give consumers more protection and trust it could also slow down innovation by introducing regulatory barriers. Firms will have to dedicate resources to compliance, which can be at the expense of investment in R</w:t>
          </w:r>
          <w:r w:rsidR="0066350F">
            <w:rPr>
              <w:rFonts w:cs="Times New Roman"/>
              <w:color w:val="222222"/>
              <w:shd w:val="clear" w:color="auto" w:fill="FFFFFF"/>
            </w:rPr>
            <w:t>and</w:t>
          </w:r>
          <w:r w:rsidRPr="00F51E28">
            <w:rPr>
              <w:rFonts w:cs="Times New Roman"/>
              <w:color w:val="222222"/>
              <w:shd w:val="clear" w:color="auto" w:fill="FFFFFF"/>
            </w:rPr>
            <w:t xml:space="preserve">D (Brenn at al., 2020). </w:t>
          </w:r>
        </w:p>
        <w:p w14:paraId="2701FADE" w14:textId="77777777" w:rsidR="00FA1ECA" w:rsidRDefault="00FA1ECA" w:rsidP="00FA1ECA">
          <w:pPr>
            <w:pStyle w:val="Quote"/>
          </w:pPr>
          <w:r>
            <w:rPr>
              <w:noProof/>
              <w:shd w:val="clear" w:color="auto" w:fill="FFFFFF"/>
              <w:lang w:eastAsia="en-GB"/>
            </w:rPr>
            <w:lastRenderedPageBreak/>
            <w:drawing>
              <wp:inline distT="0" distB="0" distL="0" distR="0" wp14:anchorId="6F7C5CB1" wp14:editId="10FCE5B2">
                <wp:extent cx="4000500" cy="300059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2_regulatory_comparison.png"/>
                        <pic:cNvPicPr/>
                      </pic:nvPicPr>
                      <pic:blipFill>
                        <a:blip r:embed="rId17">
                          <a:extLst>
                            <a:ext uri="{28A0092B-C50C-407E-A947-70E740481C1C}">
                              <a14:useLocalDpi xmlns:a14="http://schemas.microsoft.com/office/drawing/2010/main" val="0"/>
                            </a:ext>
                          </a:extLst>
                        </a:blip>
                        <a:stretch>
                          <a:fillRect/>
                        </a:stretch>
                      </pic:blipFill>
                      <pic:spPr>
                        <a:xfrm>
                          <a:off x="0" y="0"/>
                          <a:ext cx="4007704" cy="3006000"/>
                        </a:xfrm>
                        <a:prstGeom prst="rect">
                          <a:avLst/>
                        </a:prstGeom>
                      </pic:spPr>
                    </pic:pic>
                  </a:graphicData>
                </a:graphic>
              </wp:inline>
            </w:drawing>
          </w:r>
        </w:p>
        <w:p w14:paraId="1201F0B7" w14:textId="00EC2D73" w:rsidR="00FA1ECA" w:rsidRPr="00F51E28" w:rsidRDefault="00FA1ECA" w:rsidP="00FA1ECA">
          <w:pPr>
            <w:pStyle w:val="Quote"/>
            <w:rPr>
              <w:shd w:val="clear" w:color="auto" w:fill="FFFFFF"/>
            </w:rPr>
          </w:pPr>
          <w:bookmarkStart w:id="10" w:name="_Toc224899570"/>
          <w:r>
            <w:t xml:space="preserve">Figure </w:t>
          </w:r>
          <w:fldSimple w:instr=" SEQ Figure \* ARABIC ">
            <w:r w:rsidR="00E52CD6">
              <w:rPr>
                <w:noProof/>
              </w:rPr>
              <w:t>2</w:t>
            </w:r>
          </w:fldSimple>
          <w:r>
            <w:t xml:space="preserve">: </w:t>
          </w:r>
          <w:r w:rsidRPr="003D26C5">
            <w:t>Artificial Intelligence by Global Markets</w:t>
          </w:r>
          <w:r>
            <w:br/>
            <w:t xml:space="preserve">Source: </w:t>
          </w:r>
          <w:r w:rsidRPr="00F51E28">
            <w:rPr>
              <w:rFonts w:cs="Times New Roman"/>
              <w:color w:val="222222"/>
              <w:shd w:val="clear" w:color="auto" w:fill="FFFFFF"/>
            </w:rPr>
            <w:t>(UNCTAD, 2022)</w:t>
          </w:r>
          <w:bookmarkEnd w:id="10"/>
        </w:p>
        <w:p w14:paraId="4CB95E12" w14:textId="6B1C7407"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As such organisations are caught with a trade-off between regulatory assurance and technology advancement.</w:t>
          </w:r>
          <w:r w:rsidR="00FC478D">
            <w:rPr>
              <w:rFonts w:cs="Times New Roman"/>
              <w:color w:val="222222"/>
              <w:shd w:val="clear" w:color="auto" w:fill="FFFFFF"/>
            </w:rPr>
            <w:t xml:space="preserve"> </w:t>
          </w:r>
          <w:r w:rsidRPr="00F51E28">
            <w:rPr>
              <w:rFonts w:cs="Times New Roman"/>
              <w:color w:val="222222"/>
              <w:shd w:val="clear" w:color="auto" w:fill="FFFFFF"/>
            </w:rPr>
            <w:t>The differences in UK and EU approach means that there is a fragmented environment, which hinders cross-border operations. Multinationals have to develop dual compliance strategies at the cost of increased administrative costs and inefficiencies (UNCTAD, 2022). Fragmentation emphasises the difficulties of doing business in a global AI environment without harmonised regulations.</w:t>
          </w:r>
        </w:p>
        <w:p w14:paraId="60C0107F" w14:textId="642A0FDA" w:rsidR="00F51E28" w:rsidRPr="00F51E28" w:rsidRDefault="00F51E28" w:rsidP="00FC478D">
          <w:pPr>
            <w:pStyle w:val="Heading2"/>
            <w:rPr>
              <w:shd w:val="clear" w:color="auto" w:fill="FFFFFF"/>
            </w:rPr>
          </w:pPr>
          <w:bookmarkStart w:id="11" w:name="_Toc224899672"/>
          <w:r w:rsidRPr="00F51E28">
            <w:rPr>
              <w:shd w:val="clear" w:color="auto" w:fill="FFFFFF"/>
            </w:rPr>
            <w:t>3.3 Political R</w:t>
          </w:r>
          <w:r>
            <w:rPr>
              <w:shd w:val="clear" w:color="auto" w:fill="FFFFFF"/>
            </w:rPr>
            <w:t>isk and Uncertainty of Policies</w:t>
          </w:r>
          <w:bookmarkEnd w:id="11"/>
        </w:p>
        <w:p w14:paraId="01FCF35E" w14:textId="216F83AE"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Political dynamics play an important role in influencing the AI regulatory environment, particularly in the area of data governance and cross-bborder operations. Data sovereignty priorities result in restrictions of international data flows and localisation requirements (World Bank, 2022). Such policies can be a constraint to the scalability of AI systems that are dependent on integrated global data infrastructures.</w:t>
          </w:r>
          <w:r>
            <w:rPr>
              <w:rFonts w:cs="Times New Roman"/>
              <w:color w:val="222222"/>
              <w:shd w:val="clear" w:color="auto" w:fill="FFFFFF"/>
            </w:rPr>
            <w:t xml:space="preserve"> </w:t>
          </w:r>
          <w:r w:rsidRPr="00F51E28">
            <w:rPr>
              <w:rFonts w:cs="Times New Roman"/>
              <w:color w:val="222222"/>
              <w:shd w:val="clear" w:color="auto" w:fill="FFFFFF"/>
            </w:rPr>
            <w:t>Sage's cloud-based services rely on data processing to and from regions without glitches. Trade policy changes or digital regulations can require infrastructure adjustments and higher compliance resulting in a loss of efficiency and a cost addition.</w:t>
          </w:r>
        </w:p>
        <w:p w14:paraId="07929481" w14:textId="77777777"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 xml:space="preserve">Geopolitical tensions also create uncertainty with different approaches to technology governance adopted by different countries. This Discordance creates difficulties in strategic decision making for the multinationals who need to balance these conflicting expectations </w:t>
          </w:r>
          <w:r w:rsidRPr="00F51E28">
            <w:rPr>
              <w:rFonts w:cs="Times New Roman"/>
              <w:color w:val="222222"/>
              <w:shd w:val="clear" w:color="auto" w:fill="FFFFFF"/>
            </w:rPr>
            <w:lastRenderedPageBreak/>
            <w:t>while remaining competitive (Dwivedi et al, 2021). Political risk thus becomes key to AI adoption and deployment.</w:t>
          </w:r>
        </w:p>
        <w:p w14:paraId="4CE2304B" w14:textId="0EB1E611"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Uncertainty is added by the great speed with which policy is evolving. Governments are constantly making changes in response to tech developments, which means that it is hard for firms to predict long-term requirements over the horizon (</w:t>
          </w:r>
          <w:r w:rsidR="00047735">
            <w:t>The Economist, 2025</w:t>
          </w:r>
          <w:r w:rsidRPr="00F51E28">
            <w:rPr>
              <w:rFonts w:cs="Times New Roman"/>
              <w:color w:val="222222"/>
              <w:shd w:val="clear" w:color="auto" w:fill="FFFFFF"/>
            </w:rPr>
            <w:t>). Continuous monitoring and strategic flexibility is therefore needed.</w:t>
          </w:r>
        </w:p>
        <w:p w14:paraId="2C8690A7" w14:textId="48D519FD" w:rsidR="00F51E28" w:rsidRPr="00F51E28" w:rsidRDefault="00F51E28" w:rsidP="00FC478D">
          <w:pPr>
            <w:pStyle w:val="Heading2"/>
            <w:rPr>
              <w:shd w:val="clear" w:color="auto" w:fill="FFFFFF"/>
            </w:rPr>
          </w:pPr>
          <w:bookmarkStart w:id="12" w:name="_Toc224899673"/>
          <w:r w:rsidRPr="00F51E28">
            <w:rPr>
              <w:shd w:val="clear" w:color="auto" w:fill="FFFFFF"/>
            </w:rPr>
            <w:t xml:space="preserve">3.4 Critical </w:t>
          </w:r>
          <w:r>
            <w:rPr>
              <w:shd w:val="clear" w:color="auto" w:fill="FFFFFF"/>
            </w:rPr>
            <w:t>Assessment of Regulatory Issues</w:t>
          </w:r>
          <w:bookmarkEnd w:id="12"/>
        </w:p>
        <w:p w14:paraId="4168227F" w14:textId="47D8DD75" w:rsidR="00F51E28" w:rsidRPr="00F51E28" w:rsidRDefault="00F51E28" w:rsidP="00F51E28">
          <w:pPr>
            <w:rPr>
              <w:rFonts w:cs="Times New Roman"/>
              <w:color w:val="222222"/>
              <w:shd w:val="clear" w:color="auto" w:fill="FFFFFF"/>
            </w:rPr>
          </w:pPr>
          <w:r w:rsidRPr="00F51E28">
            <w:rPr>
              <w:rFonts w:cs="Times New Roman"/>
              <w:color w:val="222222"/>
              <w:shd w:val="clear" w:color="auto" w:fill="FFFFFF"/>
            </w:rPr>
            <w:t>Regulatory frameworks present some opportunities and obstacles to AI risk management. The flexible approach in the UK acts as a catalyst for innovation but may not provide clear guidance and this leads to interpretive issues as well as uneven implementation by firms (</w:t>
          </w:r>
          <w:r w:rsidR="00392F89" w:rsidRPr="00765F5B">
            <w:t>GOV.UK</w:t>
          </w:r>
          <w:r w:rsidR="00392F89">
            <w:t>, 2023</w:t>
          </w:r>
          <w:r w:rsidRPr="00F51E28">
            <w:rPr>
              <w:rFonts w:cs="Times New Roman"/>
              <w:color w:val="222222"/>
              <w:shd w:val="clear" w:color="auto" w:fill="FFFFFF"/>
            </w:rPr>
            <w:t>). In contrast, the prescriptive model in the EU provides certainty and protection, but imposes strict requirements that can limit innovation and increase costs (European Commission, 2021).</w:t>
          </w:r>
        </w:p>
        <w:p w14:paraId="1BAAE4D5" w14:textId="7AE18E79" w:rsidR="00682906" w:rsidRDefault="00F51E28" w:rsidP="00AA5447">
          <w:pPr>
            <w:rPr>
              <w:rFonts w:cs="Times New Roman"/>
              <w:color w:val="222222"/>
              <w:shd w:val="clear" w:color="auto" w:fill="FFFFFF"/>
            </w:rPr>
          </w:pPr>
          <w:r w:rsidRPr="00F51E28">
            <w:rPr>
              <w:rFonts w:cs="Times New Roman"/>
              <w:color w:val="222222"/>
              <w:shd w:val="clear" w:color="auto" w:fill="FFFFFF"/>
            </w:rPr>
            <w:t xml:space="preserve">Sage must pursue an integrated compliance strategy which does not conflict with both regimes and maintains operational efficiency and innovation (Veale </w:t>
          </w:r>
          <w:r w:rsidR="0066350F">
            <w:rPr>
              <w:rFonts w:cs="Times New Roman"/>
              <w:color w:val="222222"/>
              <w:shd w:val="clear" w:color="auto" w:fill="FFFFFF"/>
            </w:rPr>
            <w:t>and</w:t>
          </w:r>
          <w:r w:rsidRPr="00F51E28">
            <w:rPr>
              <w:rFonts w:cs="Times New Roman"/>
              <w:color w:val="222222"/>
              <w:shd w:val="clear" w:color="auto" w:fill="FFFFFF"/>
            </w:rPr>
            <w:t xml:space="preserve"> Borgesius, 2021). This shows how necessary it is to be proactive about risk management.</w:t>
          </w:r>
          <w:r>
            <w:rPr>
              <w:rFonts w:cs="Times New Roman"/>
              <w:color w:val="222222"/>
              <w:shd w:val="clear" w:color="auto" w:fill="FFFFFF"/>
            </w:rPr>
            <w:t xml:space="preserve"> </w:t>
          </w:r>
          <w:r w:rsidRPr="00F51E28">
            <w:rPr>
              <w:rFonts w:cs="Times New Roman"/>
              <w:color w:val="222222"/>
              <w:shd w:val="clear" w:color="auto" w:fill="FFFFFF"/>
            </w:rPr>
            <w:t>Regulatory compliance is not the only measure for mitigating all the ethical and reputational risks of AI. Issues like algorithmic bias and opacity might not be adequately addressed by the current laws and might require self-regulatory practises (</w:t>
          </w:r>
          <w:r w:rsidR="00AA5447">
            <w:rPr>
              <w:rFonts w:cs="Times New Roman"/>
              <w:color w:val="222222"/>
              <w:shd w:val="clear" w:color="auto" w:fill="FFFFFF"/>
            </w:rPr>
            <w:t xml:space="preserve">Allison et al., </w:t>
          </w:r>
          <w:r w:rsidR="00AA5447" w:rsidRPr="00AA5447">
            <w:rPr>
              <w:rFonts w:cs="Times New Roman"/>
              <w:color w:val="222222"/>
              <w:shd w:val="clear" w:color="auto" w:fill="FFFFFF"/>
            </w:rPr>
            <w:t>2025</w:t>
          </w:r>
          <w:r w:rsidRPr="00F51E28">
            <w:rPr>
              <w:rFonts w:cs="Times New Roman"/>
              <w:color w:val="222222"/>
              <w:shd w:val="clear" w:color="auto" w:fill="FFFFFF"/>
            </w:rPr>
            <w:t xml:space="preserve">). </w:t>
          </w:r>
          <w:r w:rsidR="001A7F35" w:rsidRPr="00F51E28">
            <w:rPr>
              <w:rFonts w:cs="Times New Roman"/>
              <w:color w:val="222222"/>
              <w:shd w:val="clear" w:color="auto" w:fill="FFFFFF"/>
            </w:rPr>
            <w:t>So</w:t>
          </w:r>
          <w:r w:rsidRPr="00F51E28">
            <w:rPr>
              <w:rFonts w:cs="Times New Roman"/>
              <w:color w:val="222222"/>
              <w:shd w:val="clear" w:color="auto" w:fill="FFFFFF"/>
            </w:rPr>
            <w:t>, companies must ensure that they go beyond compliance to ensure responsible, sustainable use of their AI.</w:t>
          </w:r>
        </w:p>
        <w:p w14:paraId="01D9E2E3" w14:textId="77777777" w:rsidR="00682906" w:rsidRDefault="00682906">
          <w:pPr>
            <w:spacing w:line="259" w:lineRule="auto"/>
            <w:jc w:val="left"/>
            <w:rPr>
              <w:rFonts w:cs="Times New Roman"/>
              <w:color w:val="222222"/>
              <w:shd w:val="clear" w:color="auto" w:fill="FFFFFF"/>
            </w:rPr>
          </w:pPr>
          <w:r>
            <w:rPr>
              <w:rFonts w:cs="Times New Roman"/>
              <w:color w:val="222222"/>
              <w:shd w:val="clear" w:color="auto" w:fill="FFFFFF"/>
            </w:rPr>
            <w:br w:type="page"/>
          </w:r>
        </w:p>
        <w:p w14:paraId="25CD4724" w14:textId="77777777" w:rsidR="00682906" w:rsidRPr="00682906" w:rsidRDefault="00682906" w:rsidP="00FC478D">
          <w:pPr>
            <w:pStyle w:val="Heading1"/>
            <w:numPr>
              <w:ilvl w:val="0"/>
              <w:numId w:val="2"/>
            </w:numPr>
          </w:pPr>
          <w:bookmarkStart w:id="13" w:name="_Toc224899674"/>
          <w:r w:rsidRPr="00682906">
            <w:lastRenderedPageBreak/>
            <w:t>Technological Change and Risk Management</w:t>
          </w:r>
          <w:bookmarkEnd w:id="13"/>
        </w:p>
        <w:p w14:paraId="4F2EF96F" w14:textId="77777777" w:rsidR="00682906" w:rsidRPr="00682906" w:rsidRDefault="00682906" w:rsidP="00FC478D">
          <w:pPr>
            <w:pStyle w:val="Heading2"/>
          </w:pPr>
          <w:bookmarkStart w:id="14" w:name="_Toc224899675"/>
          <w:r w:rsidRPr="00682906">
            <w:t>4.1 AI Incorporation in Business Operations</w:t>
          </w:r>
          <w:bookmarkEnd w:id="14"/>
        </w:p>
        <w:p w14:paraId="74E7D570" w14:textId="77777777" w:rsidR="00682906" w:rsidRPr="00682906" w:rsidRDefault="00682906" w:rsidP="00682906">
          <w:pPr>
            <w:rPr>
              <w:rFonts w:cs="Times New Roman"/>
            </w:rPr>
          </w:pPr>
          <w:r w:rsidRPr="00682906">
            <w:rPr>
              <w:rFonts w:cs="Times New Roman"/>
            </w:rPr>
            <w:t>Artificial intelligence has brought about a change in the way organisations design processes, deliver services, and make strategic decisions. AI driven systems automate routine tasks, increase predictive abilities and offer real-time analytics. The outcome is increased efficiency in operation and better decision-making (Brynjolfsson et al., 2021). These benefits are particularly important in industries where data is especially critical, such as data-intensive industries, where the need to process and analyse data quickly generates competitive advantages.</w:t>
          </w:r>
        </w:p>
        <w:p w14:paraId="3B5FDF60" w14:textId="77777777" w:rsidR="00682906" w:rsidRPr="00682906" w:rsidRDefault="00682906" w:rsidP="00682906">
          <w:pPr>
            <w:rPr>
              <w:rFonts w:cs="Times New Roman"/>
            </w:rPr>
          </w:pPr>
          <w:r w:rsidRPr="00682906">
            <w:rPr>
              <w:rFonts w:cs="Times New Roman"/>
            </w:rPr>
            <w:t>Sage Group plc is a good example of integration of AI in terms of their cloud-based accounting and enterprise management solutions. Machine-learning algorithms are used to automate the financial process and create predictive insights. This reduces the amount of manual work and improves the accuracy of forecasting (Sage, 2023). However, increased dependence on AI creates dependencies in their operations that may put the organisation at risk from technological vulnerabilities.</w:t>
          </w:r>
        </w:p>
        <w:p w14:paraId="44BEAE16" w14:textId="23B3E5BF" w:rsidR="00682906" w:rsidRPr="00682906" w:rsidRDefault="00682906" w:rsidP="00682906">
          <w:pPr>
            <w:rPr>
              <w:rFonts w:cs="Times New Roman"/>
            </w:rPr>
          </w:pPr>
          <w:r w:rsidRPr="00682906">
            <w:rPr>
              <w:rFonts w:cs="Times New Roman"/>
            </w:rPr>
            <w:t xml:space="preserve">The complexity of AI systems also makes them even more difficult to integrate into organisational processes. Often, these systems are black boxes with a high lack of transparency. The absence of explainability may make it difficult for managers to make decisions and reduces managerial control over automated processes </w:t>
          </w:r>
          <w:r w:rsidR="006903C6" w:rsidRPr="00F51E28">
            <w:rPr>
              <w:rFonts w:cs="Times New Roman"/>
              <w:color w:val="222222"/>
              <w:shd w:val="clear" w:color="auto" w:fill="FFFFFF"/>
            </w:rPr>
            <w:t>(</w:t>
          </w:r>
          <w:r w:rsidR="006903C6">
            <w:rPr>
              <w:rFonts w:cs="Times New Roman"/>
              <w:color w:val="222222"/>
              <w:shd w:val="clear" w:color="auto" w:fill="FFFFFF"/>
            </w:rPr>
            <w:t xml:space="preserve">Allison et al., </w:t>
          </w:r>
          <w:r w:rsidR="006903C6" w:rsidRPr="00AA5447">
            <w:rPr>
              <w:rFonts w:cs="Times New Roman"/>
              <w:color w:val="222222"/>
              <w:shd w:val="clear" w:color="auto" w:fill="FFFFFF"/>
            </w:rPr>
            <w:t>2025</w:t>
          </w:r>
          <w:r w:rsidR="006903C6" w:rsidRPr="00F51E28">
            <w:rPr>
              <w:rFonts w:cs="Times New Roman"/>
              <w:color w:val="222222"/>
              <w:shd w:val="clear" w:color="auto" w:fill="FFFFFF"/>
            </w:rPr>
            <w:t>)</w:t>
          </w:r>
          <w:r w:rsidRPr="00682906">
            <w:rPr>
              <w:rFonts w:cs="Times New Roman"/>
            </w:rPr>
            <w:t xml:space="preserve">. </w:t>
          </w:r>
          <w:r w:rsidR="0065184A" w:rsidRPr="00682906">
            <w:rPr>
              <w:rFonts w:cs="Times New Roman"/>
            </w:rPr>
            <w:t>So</w:t>
          </w:r>
          <w:r w:rsidRPr="00682906">
            <w:rPr>
              <w:rFonts w:cs="Times New Roman"/>
            </w:rPr>
            <w:t>, organisations need to weigh up the efficiency benefits from AI, with the need for oversight and accountability.</w:t>
          </w:r>
        </w:p>
        <w:p w14:paraId="66281DE5" w14:textId="77777777" w:rsidR="00682906" w:rsidRPr="00682906" w:rsidRDefault="00682906" w:rsidP="00FC478D">
          <w:pPr>
            <w:pStyle w:val="Heading2"/>
          </w:pPr>
          <w:bookmarkStart w:id="15" w:name="_Toc224899676"/>
          <w:r w:rsidRPr="00682906">
            <w:t>4.2 Technological Risks in Emerging</w:t>
          </w:r>
          <w:bookmarkEnd w:id="15"/>
        </w:p>
        <w:p w14:paraId="762632C7" w14:textId="77777777" w:rsidR="00682906" w:rsidRPr="00682906" w:rsidRDefault="00682906" w:rsidP="00682906">
          <w:pPr>
            <w:rPr>
              <w:rFonts w:cs="Times New Roman"/>
            </w:rPr>
          </w:pPr>
          <w:r w:rsidRPr="00682906">
            <w:rPr>
              <w:rFonts w:cs="Times New Roman"/>
            </w:rPr>
            <w:t>AI adoption presents new risks which can impact organisational performance and stability. One of the top issues to be concerned about is algorithmic bias. There are issues with data and algorithms that cause AI programs to yield discriminatory or inaccurate results due to biased data or faulty design of algorithms (Mehrabi et al., 2021). Such biases are the cause of unfair decisions, and they are especially common in financial services and customer profiling.</w:t>
          </w:r>
        </w:p>
        <w:p w14:paraId="15BC542F" w14:textId="77777777" w:rsidR="00682906" w:rsidRDefault="00682906" w:rsidP="00682906">
          <w:pPr>
            <w:rPr>
              <w:rFonts w:cs="Times New Roman"/>
            </w:rPr>
          </w:pPr>
          <w:r w:rsidRPr="00682906">
            <w:rPr>
              <w:rFonts w:cs="Times New Roman"/>
            </w:rPr>
            <w:t>Cybersecurity risks also increase along with the implementation of AI. Interconnected systems and large datasets are a creating new vulnerabilities for cyberattacks. AI systems themselves are subject to attacks and manipulation, and the integrity of data and continuity of operations may be at risk (Brenn et al., 2020). For multinational companies, these risks will only be amplified because of the scale and complexity of their digital infrastructure.</w:t>
          </w:r>
        </w:p>
        <w:p w14:paraId="552765E4" w14:textId="77777777" w:rsidR="00F4611A" w:rsidRDefault="00F4611A" w:rsidP="00F4611A">
          <w:pPr>
            <w:pStyle w:val="Quote"/>
          </w:pPr>
          <w:r>
            <w:rPr>
              <w:noProof/>
              <w:lang w:eastAsia="en-GB"/>
            </w:rPr>
            <w:lastRenderedPageBreak/>
            <w:drawing>
              <wp:inline distT="0" distB="0" distL="0" distR="0" wp14:anchorId="210073FD" wp14:editId="21478C9A">
                <wp:extent cx="4152900" cy="2628900"/>
                <wp:effectExtent l="0" t="38100" r="0" b="381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487F55E" w14:textId="62EB0288" w:rsidR="00F4611A" w:rsidRDefault="00F4611A" w:rsidP="00F4611A">
          <w:pPr>
            <w:pStyle w:val="Quote"/>
          </w:pPr>
          <w:bookmarkStart w:id="16" w:name="_Toc224899571"/>
          <w:r>
            <w:t xml:space="preserve">Figure </w:t>
          </w:r>
          <w:fldSimple w:instr=" SEQ Figure \* ARABIC ">
            <w:r w:rsidR="00E52CD6">
              <w:rPr>
                <w:noProof/>
              </w:rPr>
              <w:t>3</w:t>
            </w:r>
          </w:fldSimple>
          <w:r>
            <w:t xml:space="preserve">: </w:t>
          </w:r>
          <w:r w:rsidRPr="001601A4">
            <w:t>Technological Risks in Emerging</w:t>
          </w:r>
          <w:r>
            <w:br/>
            <w:t>Source: (Self-Made)</w:t>
          </w:r>
          <w:bookmarkEnd w:id="16"/>
        </w:p>
        <w:p w14:paraId="1BE52151" w14:textId="10423FF6" w:rsidR="00682906" w:rsidRPr="00682906" w:rsidRDefault="00682906" w:rsidP="00682906">
          <w:pPr>
            <w:rPr>
              <w:rFonts w:cs="Times New Roman"/>
            </w:rPr>
          </w:pPr>
          <w:r w:rsidRPr="00682906">
            <w:rPr>
              <w:rFonts w:cs="Times New Roman"/>
            </w:rPr>
            <w:t xml:space="preserve">Sage Group plc's use of </w:t>
          </w:r>
          <w:r w:rsidR="00D64D15" w:rsidRPr="00682906">
            <w:rPr>
              <w:rFonts w:cs="Times New Roman"/>
            </w:rPr>
            <w:t>cloud-based</w:t>
          </w:r>
          <w:r w:rsidRPr="00682906">
            <w:rPr>
              <w:rFonts w:cs="Times New Roman"/>
            </w:rPr>
            <w:t xml:space="preserve"> platforms for storing sensitive financial data means that technological risks are of particular relevance. A breach or malfunction in AI systems could result in substantial financial losses, regulatory penalties and damage to a company's reputation. This makes it important to consider effective risk management practises in the process of AI deployment.</w:t>
          </w:r>
          <w:r w:rsidR="0065184A">
            <w:rPr>
              <w:rFonts w:cs="Times New Roman"/>
            </w:rPr>
            <w:t xml:space="preserve"> </w:t>
          </w:r>
          <w:r w:rsidRPr="00682906">
            <w:rPr>
              <w:rFonts w:cs="Times New Roman"/>
            </w:rPr>
            <w:t>System failures and model inaccuracies are other important risks. AI systems can give false outputs in some conditions. These risks are hard to predict and sometimes only become evident after the projects have deployed, so risk assessment is crucial in a proactive way (World Bank, 2022). Organisations need to have constant monitoring in order to identify and reduce such problems.</w:t>
          </w:r>
        </w:p>
        <w:p w14:paraId="529352B6" w14:textId="77777777" w:rsidR="00682906" w:rsidRPr="00682906" w:rsidRDefault="00682906" w:rsidP="00FC478D">
          <w:pPr>
            <w:pStyle w:val="Heading2"/>
          </w:pPr>
          <w:bookmarkStart w:id="17" w:name="_Toc224899677"/>
          <w:r w:rsidRPr="00682906">
            <w:t>4.3 Risk Management Frameworks within AI Context</w:t>
          </w:r>
          <w:bookmarkEnd w:id="17"/>
        </w:p>
        <w:p w14:paraId="6E605CCB" w14:textId="11057FBD" w:rsidR="00682906" w:rsidRPr="00682906" w:rsidRDefault="00682906" w:rsidP="00682906">
          <w:pPr>
            <w:rPr>
              <w:rFonts w:cs="Times New Roman"/>
            </w:rPr>
          </w:pPr>
          <w:r w:rsidRPr="00682906">
            <w:rPr>
              <w:rFonts w:cs="Times New Roman"/>
            </w:rPr>
            <w:t>Effective risk management is the key to resolving the challenges posed by AI adoptions. Organisations need to create structured frameworks that encompass technological, operational and strategic factors. Traditional risk management approaches require adaptation to consider the dynamic and complex nature of AI, which changes with machine learning over time (ISO, 2021).</w:t>
          </w:r>
          <w:r w:rsidR="00F4611A">
            <w:rPr>
              <w:rFonts w:cs="Times New Roman"/>
            </w:rPr>
            <w:t xml:space="preserve"> </w:t>
          </w:r>
          <w:r w:rsidRPr="00682906">
            <w:rPr>
              <w:rFonts w:cs="Times New Roman"/>
            </w:rPr>
            <w:t>For Sage Group plc, an AI-specific risk management framework includes identifying what the possible risks are at each stage of the AI lifecycle: data collection, model development, deployment, and monitoring. Through this lifecycle approach, proactive handling of risks is ensured instead of reactive responses, minimizing the chances of systems breakdown and compliance problems (OECD, 2021).</w:t>
          </w:r>
        </w:p>
        <w:p w14:paraId="5A2BD375" w14:textId="5B77FA79" w:rsidR="00682906" w:rsidRPr="00682906" w:rsidRDefault="00682906" w:rsidP="00682906">
          <w:pPr>
            <w:rPr>
              <w:rFonts w:cs="Times New Roman"/>
            </w:rPr>
          </w:pPr>
          <w:r w:rsidRPr="00682906">
            <w:rPr>
              <w:rFonts w:cs="Times New Roman"/>
            </w:rPr>
            <w:lastRenderedPageBreak/>
            <w:t xml:space="preserve">Integrating risk management and organisational governance provides improved accountability and oversight. This includes having clear roles and responsibilities for AI governance, implementing internal controls to ensure regulatory compliance </w:t>
          </w:r>
          <w:r w:rsidR="0030674F" w:rsidRPr="00682906">
            <w:rPr>
              <w:rFonts w:cs="Times New Roman"/>
            </w:rPr>
            <w:t>(</w:t>
          </w:r>
          <w:r w:rsidR="0030674F">
            <w:rPr>
              <w:rFonts w:cs="Times New Roman"/>
            </w:rPr>
            <w:t xml:space="preserve">Zarifis et al., </w:t>
          </w:r>
          <w:r w:rsidR="0030674F" w:rsidRPr="00232650">
            <w:rPr>
              <w:rFonts w:cs="Times New Roman"/>
            </w:rPr>
            <w:t>2023</w:t>
          </w:r>
          <w:r w:rsidR="0030674F" w:rsidRPr="00682906">
            <w:rPr>
              <w:rFonts w:cs="Times New Roman"/>
            </w:rPr>
            <w:t>)</w:t>
          </w:r>
          <w:r w:rsidRPr="00682906">
            <w:rPr>
              <w:rFonts w:cs="Times New Roman"/>
            </w:rPr>
            <w:t>. Such measures are very important in preserving organisational resilience in the face of technological uncertainties.</w:t>
          </w:r>
        </w:p>
        <w:p w14:paraId="0B5283FC" w14:textId="76A3AE11" w:rsidR="00682906" w:rsidRPr="00682906" w:rsidRDefault="00682906" w:rsidP="00682906">
          <w:pPr>
            <w:rPr>
              <w:rFonts w:cs="Times New Roman"/>
            </w:rPr>
          </w:pPr>
          <w:r w:rsidRPr="00682906">
            <w:rPr>
              <w:rFonts w:cs="Times New Roman"/>
            </w:rPr>
            <w:t xml:space="preserve">Risk management frameworks also have to be flexible to adapt to rapidly changing technologies and regulations. Static frameworks can be outdated easily, which makes them less effective against new risks (Dwivedi et al., 2021). </w:t>
          </w:r>
          <w:r w:rsidR="00FC478D" w:rsidRPr="00682906">
            <w:rPr>
              <w:rFonts w:cs="Times New Roman"/>
            </w:rPr>
            <w:t>So</w:t>
          </w:r>
          <w:r w:rsidRPr="00682906">
            <w:rPr>
              <w:rFonts w:cs="Times New Roman"/>
            </w:rPr>
            <w:t>, organisations should take dynamic and iterative approaches that enable continuous improvement.</w:t>
          </w:r>
        </w:p>
        <w:p w14:paraId="05A3CCD2" w14:textId="77777777" w:rsidR="00682906" w:rsidRPr="00682906" w:rsidRDefault="00682906" w:rsidP="00FC478D">
          <w:pPr>
            <w:pStyle w:val="Heading2"/>
          </w:pPr>
          <w:bookmarkStart w:id="18" w:name="_Toc224899678"/>
          <w:r w:rsidRPr="00682906">
            <w:t>4.4 Technical Analysis for Managing Technological Risk</w:t>
          </w:r>
          <w:bookmarkEnd w:id="18"/>
        </w:p>
        <w:p w14:paraId="18927315" w14:textId="77777777" w:rsidR="00682906" w:rsidRPr="00682906" w:rsidRDefault="00682906" w:rsidP="00682906">
          <w:pPr>
            <w:rPr>
              <w:rFonts w:cs="Times New Roman"/>
            </w:rPr>
          </w:pPr>
          <w:r w:rsidRPr="00682906">
            <w:rPr>
              <w:rFonts w:cs="Times New Roman"/>
            </w:rPr>
            <w:t>While there are clear risks from the integration of AI, it also has significant benefits of efficiency and innovation. Organisations that are highly dependent on AI may be exposed to systemic failures, particularly if human supervision drops or disappears (Brynjolfsson et al., 2021). Over-reliance on technology can compromise organisational resilience and ability to make decisions.</w:t>
          </w:r>
        </w:p>
        <w:p w14:paraId="04DFCFF6" w14:textId="77777777" w:rsidR="00682906" w:rsidRPr="00682906" w:rsidRDefault="00682906" w:rsidP="00682906">
          <w:pPr>
            <w:rPr>
              <w:rFonts w:cs="Times New Roman"/>
            </w:rPr>
          </w:pPr>
          <w:r w:rsidRPr="00682906">
            <w:rPr>
              <w:rFonts w:cs="Times New Roman"/>
            </w:rPr>
            <w:t>Sage Group plc has the challenge of how to balance automation with human judgement. This ensures AI is used to support and not replace important decision making processes. Maintaining that balance is all that it takes in order to mitigate the risks of algorithmic errors and system failures (Mehrabi et al., 2021).</w:t>
          </w:r>
        </w:p>
        <w:p w14:paraId="591DBB80" w14:textId="0C918B70" w:rsidR="00682906" w:rsidRPr="00682906" w:rsidRDefault="00682906" w:rsidP="00682906">
          <w:pPr>
            <w:rPr>
              <w:rFonts w:cs="Times New Roman"/>
            </w:rPr>
          </w:pPr>
          <w:r w:rsidRPr="00682906">
            <w:rPr>
              <w:rFonts w:cs="Times New Roman"/>
            </w:rPr>
            <w:t xml:space="preserve">Technological risk management is sometimes limited by the limited understanding of AI systems by the stakeholders. This gap in knowledge is making it difficult to </w:t>
          </w:r>
          <w:r w:rsidR="00FC478D" w:rsidRPr="00682906">
            <w:rPr>
              <w:rFonts w:cs="Times New Roman"/>
            </w:rPr>
            <w:t>device</w:t>
          </w:r>
          <w:r w:rsidRPr="00682906">
            <w:rPr>
              <w:rFonts w:cs="Times New Roman"/>
            </w:rPr>
            <w:t xml:space="preserve"> effective risk strategies and limiting the organisation's capacity to respond to emerging threats (Brenn et al., 2020). Addressing this gap needs investment in training and capacity building on improving AI governance competence.</w:t>
          </w:r>
        </w:p>
        <w:p w14:paraId="292B0112" w14:textId="77777777" w:rsidR="00682906" w:rsidRPr="00682906" w:rsidRDefault="00682906" w:rsidP="00682906">
          <w:pPr>
            <w:rPr>
              <w:rFonts w:cs="Times New Roman"/>
            </w:rPr>
          </w:pPr>
          <w:r w:rsidRPr="00682906">
            <w:rPr>
              <w:rFonts w:cs="Times New Roman"/>
            </w:rPr>
            <w:t>Many organisations only respond when problems have already occurred. In the case of AI where the risks can have immediate and far-reaching consequences, this reactive approach is not sufficient. A proactive and integrated approach to risk management is therefore crucial in order to create sustainable and responsible adoption of AI (ISO, 2021).</w:t>
          </w:r>
        </w:p>
        <w:p w14:paraId="0C6C698E" w14:textId="77777777" w:rsidR="00682906" w:rsidRPr="00682906" w:rsidRDefault="00682906" w:rsidP="00FC478D">
          <w:pPr>
            <w:pStyle w:val="Heading1"/>
            <w:numPr>
              <w:ilvl w:val="0"/>
              <w:numId w:val="2"/>
            </w:numPr>
          </w:pPr>
          <w:bookmarkStart w:id="19" w:name="_Toc224899679"/>
          <w:r w:rsidRPr="00682906">
            <w:lastRenderedPageBreak/>
            <w:t>Data Governance and Ethical Artificial Intelligence</w:t>
          </w:r>
          <w:bookmarkEnd w:id="19"/>
        </w:p>
        <w:p w14:paraId="361A363E" w14:textId="77777777" w:rsidR="00682906" w:rsidRPr="00682906" w:rsidRDefault="00682906" w:rsidP="00FC478D">
          <w:pPr>
            <w:pStyle w:val="Heading2"/>
          </w:pPr>
          <w:bookmarkStart w:id="20" w:name="_Toc224899680"/>
          <w:r w:rsidRPr="00682906">
            <w:t>5.1 Data Governance Challenges</w:t>
          </w:r>
          <w:bookmarkEnd w:id="20"/>
        </w:p>
        <w:p w14:paraId="575DF912" w14:textId="77777777" w:rsidR="00682906" w:rsidRDefault="00682906" w:rsidP="00682906">
          <w:pPr>
            <w:rPr>
              <w:rFonts w:cs="Times New Roman"/>
            </w:rPr>
          </w:pPr>
          <w:r w:rsidRPr="00682906">
            <w:rPr>
              <w:rFonts w:cs="Times New Roman"/>
            </w:rPr>
            <w:t>High quality, accessible and well managed data is essential to the ability for AI systems to work well. Organisations need to ensure that data used for AI is accurate, consistent and compliant with regulations in order to minimise operational and legal risks (OECD, 2021). Poor data governance can lead to flawed outputs and poor decision making and performance.</w:t>
          </w:r>
        </w:p>
        <w:p w14:paraId="746C641C" w14:textId="77777777" w:rsidR="00E52CD6" w:rsidRDefault="00E52CD6" w:rsidP="00E52CD6">
          <w:pPr>
            <w:pStyle w:val="Quote"/>
          </w:pPr>
          <w:r>
            <w:rPr>
              <w:noProof/>
              <w:lang w:eastAsia="en-GB"/>
            </w:rPr>
            <w:drawing>
              <wp:inline distT="0" distB="0" distL="0" distR="0" wp14:anchorId="33AE9892" wp14:editId="0465A315">
                <wp:extent cx="5476875" cy="2628900"/>
                <wp:effectExtent l="0" t="38100" r="0" b="381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298A3FD5" w14:textId="78143FFE" w:rsidR="00AF0147" w:rsidRPr="00682906" w:rsidRDefault="00E52CD6" w:rsidP="00E52CD6">
          <w:pPr>
            <w:pStyle w:val="Quote"/>
            <w:rPr>
              <w:rFonts w:cs="Times New Roman"/>
            </w:rPr>
          </w:pPr>
          <w:bookmarkStart w:id="21" w:name="_Toc224899572"/>
          <w:r>
            <w:t xml:space="preserve">Figure </w:t>
          </w:r>
          <w:fldSimple w:instr=" SEQ Figure \* ARABIC ">
            <w:r>
              <w:rPr>
                <w:noProof/>
              </w:rPr>
              <w:t>4</w:t>
            </w:r>
          </w:fldSimple>
          <w:r>
            <w:t xml:space="preserve">: </w:t>
          </w:r>
          <w:r w:rsidRPr="003A1B72">
            <w:t>Data Governance Lifecycle</w:t>
          </w:r>
          <w:r>
            <w:br/>
            <w:t>Source: (Self-Made)</w:t>
          </w:r>
          <w:bookmarkEnd w:id="21"/>
        </w:p>
        <w:p w14:paraId="297FA79E" w14:textId="77777777" w:rsidR="00FC478D" w:rsidRDefault="00682906" w:rsidP="00682906">
          <w:pPr>
            <w:rPr>
              <w:rFonts w:cs="Times New Roman"/>
            </w:rPr>
          </w:pPr>
          <w:r w:rsidRPr="00682906">
            <w:rPr>
              <w:rFonts w:cs="Times New Roman"/>
            </w:rPr>
            <w:t>Sage Group plc's heavy reliance on financial and customer data in cloud-based platforms makes the issue of data governance important. Having the integrity and security of this data ensures the reliability of services and the legislation of UK GDPR and EU data protection compliance (ICO, 2022). Failure to manage data properly can initiate financial penalties and damage to reputation.</w:t>
          </w:r>
          <w:r w:rsidR="00FC478D">
            <w:rPr>
              <w:rFonts w:cs="Times New Roman"/>
            </w:rPr>
            <w:t xml:space="preserve"> </w:t>
          </w:r>
          <w:r w:rsidRPr="00682906">
            <w:rPr>
              <w:rFonts w:cs="Times New Roman"/>
            </w:rPr>
            <w:t xml:space="preserve">Cross-border data flows to create a complex situation for multinational organisations. </w:t>
          </w:r>
        </w:p>
        <w:p w14:paraId="43F29AF1" w14:textId="30EB80D3" w:rsidR="00682906" w:rsidRPr="00682906" w:rsidRDefault="00682906" w:rsidP="00682906">
          <w:pPr>
            <w:rPr>
              <w:rFonts w:cs="Times New Roman"/>
            </w:rPr>
          </w:pPr>
          <w:r w:rsidRPr="00682906">
            <w:rPr>
              <w:rFonts w:cs="Times New Roman"/>
            </w:rPr>
            <w:t>Different data protection regulations between the UK and the EU means that there are problems with data transfer and management (UNCTAD, 2022). Organisations may require region specific data strategies, which increases cost and decreases efficiency.</w:t>
          </w:r>
          <w:r w:rsidR="00FC478D">
            <w:rPr>
              <w:rFonts w:cs="Times New Roman"/>
            </w:rPr>
            <w:t xml:space="preserve"> </w:t>
          </w:r>
          <w:r w:rsidRPr="00682906">
            <w:rPr>
              <w:rFonts w:cs="Times New Roman"/>
            </w:rPr>
            <w:t>Issues relating to ownership of data and accountability make governance further complicated. When the data is from multiple stakeholders or from third-party providers, there has to be clarity of ownership rights and responsibilities, being a key factor for accountability and transparency in AI systems (World Bank, 2022). Without a clear framework organisations struggle to deal with data related risks and compliance requirements.</w:t>
          </w:r>
        </w:p>
        <w:p w14:paraId="1B2CB978" w14:textId="77777777" w:rsidR="00682906" w:rsidRPr="00682906" w:rsidRDefault="00682906" w:rsidP="00FC478D">
          <w:pPr>
            <w:pStyle w:val="Heading2"/>
          </w:pPr>
          <w:bookmarkStart w:id="22" w:name="_Toc224899681"/>
          <w:r w:rsidRPr="00682906">
            <w:lastRenderedPageBreak/>
            <w:t>5.2 Ethical AI Considerations</w:t>
          </w:r>
          <w:bookmarkEnd w:id="22"/>
        </w:p>
        <w:p w14:paraId="272E6543" w14:textId="6BD04DA5" w:rsidR="00682906" w:rsidRPr="00682906" w:rsidRDefault="00682906" w:rsidP="00682906">
          <w:pPr>
            <w:rPr>
              <w:rFonts w:cs="Times New Roman"/>
            </w:rPr>
          </w:pPr>
          <w:r w:rsidRPr="00682906">
            <w:rPr>
              <w:rFonts w:cs="Times New Roman"/>
            </w:rPr>
            <w:t>Ethical use of AI is the key to responsible technology use. Concerns such as algorithmic bias, lack of transparency and fair decision-making illustrate the need for ethics in AI (Mehrabi et al., 2021). These issues are particularly important where AI is used to make financial decisions, customer interactions and employment practises.</w:t>
          </w:r>
          <w:r w:rsidR="00FC478D">
            <w:rPr>
              <w:rFonts w:cs="Times New Roman"/>
            </w:rPr>
            <w:t xml:space="preserve"> </w:t>
          </w:r>
          <w:r w:rsidRPr="00682906">
            <w:rPr>
              <w:rFonts w:cs="Times New Roman"/>
            </w:rPr>
            <w:t xml:space="preserve">For Sage Group plc, ethical AI practises are important in keeping customers trustful and regulatory compliance. AI systems in financial management should minimise bias and guarantee fairness, especially with sensitive customer data </w:t>
          </w:r>
          <w:r w:rsidR="0065184A" w:rsidRPr="00F51E28">
            <w:rPr>
              <w:rFonts w:cs="Times New Roman"/>
              <w:color w:val="222222"/>
              <w:shd w:val="clear" w:color="auto" w:fill="FFFFFF"/>
            </w:rPr>
            <w:t>(</w:t>
          </w:r>
          <w:r w:rsidR="0065184A">
            <w:rPr>
              <w:rFonts w:cs="Times New Roman"/>
              <w:color w:val="222222"/>
              <w:shd w:val="clear" w:color="auto" w:fill="FFFFFF"/>
            </w:rPr>
            <w:t xml:space="preserve">Allison et al., </w:t>
          </w:r>
          <w:r w:rsidR="0065184A" w:rsidRPr="00AA5447">
            <w:rPr>
              <w:rFonts w:cs="Times New Roman"/>
              <w:color w:val="222222"/>
              <w:shd w:val="clear" w:color="auto" w:fill="FFFFFF"/>
            </w:rPr>
            <w:t>2025</w:t>
          </w:r>
          <w:r w:rsidR="0065184A" w:rsidRPr="00F51E28">
            <w:rPr>
              <w:rFonts w:cs="Times New Roman"/>
              <w:color w:val="222222"/>
              <w:shd w:val="clear" w:color="auto" w:fill="FFFFFF"/>
            </w:rPr>
            <w:t>)</w:t>
          </w:r>
          <w:r w:rsidRPr="00682906">
            <w:rPr>
              <w:rFonts w:cs="Times New Roman"/>
            </w:rPr>
            <w:t>. Unethical consequences include discrimination, legal issues, and damage to reputations.</w:t>
          </w:r>
        </w:p>
        <w:p w14:paraId="0DF7BABD" w14:textId="2EC964B9" w:rsidR="00682906" w:rsidRPr="00682906" w:rsidRDefault="00682906" w:rsidP="00682906">
          <w:pPr>
            <w:rPr>
              <w:rFonts w:cs="Times New Roman"/>
            </w:rPr>
          </w:pPr>
          <w:r w:rsidRPr="00682906">
            <w:rPr>
              <w:rFonts w:cs="Times New Roman"/>
            </w:rPr>
            <w:t xml:space="preserve">Transparency is a requirement of the ethics. Stakeholders require information about how AI systems work and make decisions. Explainable AI (XAI) </w:t>
          </w:r>
          <w:r w:rsidR="00CA2B0C">
            <w:rPr>
              <w:rFonts w:cs="Times New Roman"/>
            </w:rPr>
            <w:t>emp</w:t>
          </w:r>
          <w:r w:rsidRPr="00682906">
            <w:rPr>
              <w:rFonts w:cs="Times New Roman"/>
            </w:rPr>
            <w:t xml:space="preserve">helps organisations open up the algorithmic process and results. </w:t>
          </w:r>
          <w:r w:rsidR="00E52CD6">
            <w:rPr>
              <w:rFonts w:cs="Times New Roman"/>
            </w:rPr>
            <w:t xml:space="preserve">Being </w:t>
          </w:r>
          <w:r w:rsidR="00E52CD6" w:rsidRPr="00682906">
            <w:rPr>
              <w:rFonts w:cs="Times New Roman"/>
            </w:rPr>
            <w:t>clear</w:t>
          </w:r>
          <w:r w:rsidRPr="00682906">
            <w:rPr>
              <w:rFonts w:cs="Times New Roman"/>
            </w:rPr>
            <w:t xml:space="preserve"> with complex AI is a big challenge especially with proprietary algorithms.</w:t>
          </w:r>
          <w:r w:rsidR="00FC478D">
            <w:rPr>
              <w:rFonts w:cs="Times New Roman"/>
            </w:rPr>
            <w:t xml:space="preserve"> </w:t>
          </w:r>
          <w:r w:rsidRPr="00682906">
            <w:rPr>
              <w:rFonts w:cs="Times New Roman"/>
            </w:rPr>
            <w:t xml:space="preserve">It is also important to be accountable. Organisations have to identify and fix consequences of AI-driven decisions. This requires defined </w:t>
          </w:r>
          <w:r w:rsidR="00E52CD6" w:rsidRPr="00682906">
            <w:rPr>
              <w:rFonts w:cs="Times New Roman"/>
            </w:rPr>
            <w:t>duty</w:t>
          </w:r>
          <w:r w:rsidRPr="00682906">
            <w:rPr>
              <w:rFonts w:cs="Times New Roman"/>
            </w:rPr>
            <w:t xml:space="preserve"> lines and a strong level of oversight to ensure ethical standards (</w:t>
          </w:r>
          <w:r w:rsidR="00047735">
            <w:t>The Economist, 2025</w:t>
          </w:r>
          <w:r w:rsidRPr="00682906">
            <w:rPr>
              <w:rFonts w:cs="Times New Roman"/>
            </w:rPr>
            <w:t>). Without such measures, the control over AI systems and its effects is reduced.</w:t>
          </w:r>
        </w:p>
        <w:p w14:paraId="304058F1" w14:textId="77777777" w:rsidR="00682906" w:rsidRPr="00682906" w:rsidRDefault="00682906" w:rsidP="00FC478D">
          <w:pPr>
            <w:pStyle w:val="Heading2"/>
          </w:pPr>
          <w:bookmarkStart w:id="23" w:name="_Toc224899682"/>
          <w:r w:rsidRPr="00682906">
            <w:t>5.3 Organisational implications of Data Governance and Ethics</w:t>
          </w:r>
          <w:bookmarkEnd w:id="23"/>
        </w:p>
        <w:p w14:paraId="6B38CAC6" w14:textId="77777777" w:rsidR="00E52CD6" w:rsidRDefault="00682906" w:rsidP="00682906">
          <w:pPr>
            <w:rPr>
              <w:rFonts w:cs="Times New Roman"/>
            </w:rPr>
          </w:pPr>
          <w:r w:rsidRPr="00682906">
            <w:rPr>
              <w:rFonts w:cs="Times New Roman"/>
            </w:rPr>
            <w:t xml:space="preserve">Embedding data governance and considerations of ethics into organisational strategy needs to be done in a coordinated manner. Structures need to be in line with the regulatory demands as well as ethical principles, to ensure responsible AI development and deployment (ISO, 2021). Policies, procedures, and controls would be required to manage data and monitor the </w:t>
          </w:r>
          <w:r w:rsidR="00E52CD6" w:rsidRPr="00682906">
            <w:rPr>
              <w:rFonts w:cs="Times New Roman"/>
            </w:rPr>
            <w:t>act</w:t>
          </w:r>
          <w:r w:rsidRPr="00682906">
            <w:rPr>
              <w:rFonts w:cs="Times New Roman"/>
            </w:rPr>
            <w:t xml:space="preserve"> of AI.</w:t>
          </w:r>
          <w:r w:rsidR="00FC478D">
            <w:rPr>
              <w:rFonts w:cs="Times New Roman"/>
            </w:rPr>
            <w:t xml:space="preserve"> </w:t>
          </w:r>
          <w:r w:rsidRPr="00682906">
            <w:rPr>
              <w:rFonts w:cs="Times New Roman"/>
            </w:rPr>
            <w:t xml:space="preserve">Sage Group plc should incorporate data governance and ethical AI practises into the company's corporate strategy and operations. Senior leadership should be responsible for AI governance, which should include making ethical considerations a part of decision-making at all levels. </w:t>
          </w:r>
        </w:p>
        <w:p w14:paraId="6DEE82C2" w14:textId="7CC7F0E8" w:rsidR="00682906" w:rsidRPr="00682906" w:rsidRDefault="00682906" w:rsidP="00682906">
          <w:pPr>
            <w:rPr>
              <w:rFonts w:cs="Times New Roman"/>
            </w:rPr>
          </w:pPr>
          <w:r w:rsidRPr="00682906">
            <w:rPr>
              <w:rFonts w:cs="Times New Roman"/>
            </w:rPr>
            <w:t>This top-down approach promotes strong accountability and a culture of responsible AI.</w:t>
          </w:r>
          <w:r w:rsidR="00FC478D">
            <w:rPr>
              <w:rFonts w:cs="Times New Roman"/>
            </w:rPr>
            <w:t xml:space="preserve"> </w:t>
          </w:r>
          <w:r w:rsidRPr="00682906">
            <w:rPr>
              <w:rFonts w:cs="Times New Roman"/>
            </w:rPr>
            <w:t>Employee training and awareness are very important. Staff are in need of the knowledge to recognise and mitigate risks associated with AI systems (World Bank, 2022). This includes having an understanding of regulations, ethical principles and AI technical basics.</w:t>
          </w:r>
          <w:r w:rsidR="00E52CD6">
            <w:rPr>
              <w:rFonts w:cs="Times New Roman"/>
            </w:rPr>
            <w:t xml:space="preserve"> </w:t>
          </w:r>
          <w:r w:rsidRPr="00682906">
            <w:rPr>
              <w:rFonts w:cs="Times New Roman"/>
            </w:rPr>
            <w:t>Engagement with external stakeholders (regulators, customers and industry bodies) assures that expectations and standards are in line with the wider world. Collaboration is beneficial in identifying the emerging risks and developing best practices for AI governance (UNCTAD, 2022). This sitting together increases the ability to be resilient and adaptable.</w:t>
          </w:r>
        </w:p>
        <w:p w14:paraId="18CD29D4" w14:textId="77777777" w:rsidR="00682906" w:rsidRPr="00682906" w:rsidRDefault="00682906" w:rsidP="00FC478D">
          <w:pPr>
            <w:pStyle w:val="Heading2"/>
          </w:pPr>
          <w:bookmarkStart w:id="24" w:name="_Toc224899683"/>
          <w:r w:rsidRPr="00682906">
            <w:lastRenderedPageBreak/>
            <w:t>5.4 Critical Analysis of Data Governance and Ethics Issues</w:t>
          </w:r>
          <w:bookmarkEnd w:id="24"/>
        </w:p>
        <w:p w14:paraId="04E84B3B" w14:textId="77D91375" w:rsidR="00682906" w:rsidRPr="00682906" w:rsidRDefault="00682906" w:rsidP="00682906">
          <w:pPr>
            <w:rPr>
              <w:rFonts w:cs="Times New Roman"/>
            </w:rPr>
          </w:pPr>
          <w:r w:rsidRPr="00682906">
            <w:rPr>
              <w:rFonts w:cs="Times New Roman"/>
            </w:rPr>
            <w:t xml:space="preserve">Despite increased awareness, however, many organisations are struggling to put data governance and ethical AI into practice. A major issue is the divergence between the regulatory requirements and organisational capabilities. Firms may not have the </w:t>
          </w:r>
          <w:r w:rsidR="00FC478D" w:rsidRPr="00682906">
            <w:rPr>
              <w:rFonts w:cs="Times New Roman"/>
            </w:rPr>
            <w:t>needed</w:t>
          </w:r>
          <w:r w:rsidRPr="00682906">
            <w:rPr>
              <w:rFonts w:cs="Times New Roman"/>
            </w:rPr>
            <w:t xml:space="preserve"> resources or expertise to have 100% compliance (Dwivedi et al., 2021). This lack creates </w:t>
          </w:r>
          <w:r w:rsidR="00FC478D" w:rsidRPr="00682906">
            <w:rPr>
              <w:rFonts w:cs="Times New Roman"/>
            </w:rPr>
            <w:t>uneven</w:t>
          </w:r>
          <w:r w:rsidRPr="00682906">
            <w:rPr>
              <w:rFonts w:cs="Times New Roman"/>
            </w:rPr>
            <w:t xml:space="preserve"> governance and increases the risk of being exposed to risks.</w:t>
          </w:r>
          <w:r w:rsidR="00FC478D">
            <w:rPr>
              <w:rFonts w:cs="Times New Roman"/>
            </w:rPr>
            <w:t xml:space="preserve"> </w:t>
          </w:r>
          <w:r w:rsidRPr="00682906">
            <w:rPr>
              <w:rFonts w:cs="Times New Roman"/>
            </w:rPr>
            <w:t>Sage Group plc must use innovation to balance with compliance in a rapidly evolving tech landscape. While there are benefits to using advanced AI applications, it is necessary to manage the risks concurrently, in order to maintain trust and long-term success (OECD, 2021).</w:t>
          </w:r>
        </w:p>
        <w:p w14:paraId="0B115BD5" w14:textId="56ABBBA6" w:rsidR="0066350F" w:rsidRDefault="00682906" w:rsidP="00232650">
          <w:pPr>
            <w:rPr>
              <w:rFonts w:cs="Times New Roman"/>
            </w:rPr>
          </w:pPr>
          <w:r w:rsidRPr="00682906">
            <w:rPr>
              <w:rFonts w:cs="Times New Roman"/>
            </w:rPr>
            <w:t>Ethical AI frameworks are still mostly voluntary and not enforceable, which limits their efficiency. Organisations may superficially adopt guidelines and fail to embed them into operations and thus become formal rather than substantive (</w:t>
          </w:r>
          <w:r w:rsidR="00232650">
            <w:rPr>
              <w:rFonts w:cs="Times New Roman"/>
            </w:rPr>
            <w:t xml:space="preserve">Zarifis et al., </w:t>
          </w:r>
          <w:r w:rsidR="00232650" w:rsidRPr="00232650">
            <w:rPr>
              <w:rFonts w:cs="Times New Roman"/>
            </w:rPr>
            <w:t>2023</w:t>
          </w:r>
          <w:r w:rsidRPr="00682906">
            <w:rPr>
              <w:rFonts w:cs="Times New Roman"/>
            </w:rPr>
            <w:t>). A better aligned between the ethical principles and the practical implementation is required.</w:t>
          </w:r>
          <w:r w:rsidR="00FC478D">
            <w:rPr>
              <w:rFonts w:cs="Times New Roman"/>
            </w:rPr>
            <w:t xml:space="preserve"> </w:t>
          </w:r>
          <w:r w:rsidRPr="00682906">
            <w:rPr>
              <w:rFonts w:cs="Times New Roman"/>
            </w:rPr>
            <w:t>Data governance and ethical considerations should be viewed as strategic priorities and not just a box to tick. Effective management of these areas helps to build customer trust, enhance decision-making, and mitigate the long-term risk (ISO, 2021). There is a need for a proactive, integrated approach to sustainable business performance.</w:t>
          </w:r>
        </w:p>
        <w:p w14:paraId="03E34F0D" w14:textId="77777777" w:rsidR="0066350F" w:rsidRDefault="0066350F">
          <w:pPr>
            <w:spacing w:line="259" w:lineRule="auto"/>
            <w:jc w:val="left"/>
            <w:rPr>
              <w:rFonts w:cs="Times New Roman"/>
            </w:rPr>
          </w:pPr>
          <w:r>
            <w:rPr>
              <w:rFonts w:cs="Times New Roman"/>
            </w:rPr>
            <w:br w:type="page"/>
          </w:r>
        </w:p>
        <w:p w14:paraId="52D4AC14" w14:textId="2D4BB317" w:rsidR="0066350F" w:rsidRPr="0066350F" w:rsidRDefault="0066350F" w:rsidP="0066350F">
          <w:pPr>
            <w:pStyle w:val="Heading1"/>
            <w:numPr>
              <w:ilvl w:val="0"/>
              <w:numId w:val="2"/>
            </w:numPr>
            <w:rPr>
              <w:rFonts w:cs="Times New Roman"/>
            </w:rPr>
          </w:pPr>
          <w:bookmarkStart w:id="25" w:name="_Toc224899684"/>
          <w:r w:rsidRPr="0066350F">
            <w:rPr>
              <w:rFonts w:cs="Times New Roman"/>
            </w:rPr>
            <w:lastRenderedPageBreak/>
            <w:t xml:space="preserve">Customer Trust </w:t>
          </w:r>
          <w:r>
            <w:rPr>
              <w:rFonts w:cs="Times New Roman"/>
            </w:rPr>
            <w:t>and</w:t>
          </w:r>
          <w:r w:rsidRPr="0066350F">
            <w:rPr>
              <w:rFonts w:cs="Times New Roman"/>
            </w:rPr>
            <w:t xml:space="preserve"> Re</w:t>
          </w:r>
          <w:r>
            <w:rPr>
              <w:rFonts w:cs="Times New Roman"/>
            </w:rPr>
            <w:t>putation Management</w:t>
          </w:r>
          <w:bookmarkEnd w:id="25"/>
          <w:r>
            <w:rPr>
              <w:rFonts w:cs="Times New Roman"/>
            </w:rPr>
            <w:t xml:space="preserve">  </w:t>
          </w:r>
        </w:p>
        <w:p w14:paraId="2ADA34A7" w14:textId="050057FE" w:rsidR="0066350F" w:rsidRPr="0066350F" w:rsidRDefault="0066350F" w:rsidP="0066350F">
          <w:pPr>
            <w:pStyle w:val="Heading2"/>
          </w:pPr>
          <w:bookmarkStart w:id="26" w:name="_Toc224899685"/>
          <w:r>
            <w:t>6.1 Trust in AI Systems</w:t>
          </w:r>
          <w:bookmarkEnd w:id="26"/>
          <w:r>
            <w:t xml:space="preserve">  </w:t>
          </w:r>
        </w:p>
        <w:p w14:paraId="3272C530" w14:textId="03EB9049" w:rsidR="0066350F" w:rsidRDefault="0066350F" w:rsidP="0066350F">
          <w:pPr>
            <w:rPr>
              <w:rFonts w:cs="Times New Roman"/>
            </w:rPr>
          </w:pPr>
          <w:r w:rsidRPr="0066350F">
            <w:rPr>
              <w:rFonts w:cs="Times New Roman"/>
            </w:rPr>
            <w:t xml:space="preserve">Customer trust is now a major key to success for businesses that use AI.  It relies on the perception of transparency, reliability, and fairness of the system to the users.  These factors influence the interaction and assessment by customers of digital services (Glikson </w:t>
          </w:r>
          <w:r>
            <w:rPr>
              <w:rFonts w:cs="Times New Roman"/>
            </w:rPr>
            <w:t>and</w:t>
          </w:r>
          <w:r w:rsidRPr="0066350F">
            <w:rPr>
              <w:rFonts w:cs="Times New Roman"/>
            </w:rPr>
            <w:t xml:space="preserve"> Woolley, 2020).  When trust is an issue, even the most advanced</w:t>
          </w:r>
          <w:r>
            <w:rPr>
              <w:rFonts w:cs="Times New Roman"/>
            </w:rPr>
            <w:t xml:space="preserve"> AI </w:t>
          </w:r>
          <w:r w:rsidR="00677585">
            <w:rPr>
              <w:rFonts w:cs="Times New Roman"/>
            </w:rPr>
            <w:t>cannot</w:t>
          </w:r>
          <w:r>
            <w:rPr>
              <w:rFonts w:cs="Times New Roman"/>
            </w:rPr>
            <w:t xml:space="preserve"> deliver its value. </w:t>
          </w:r>
          <w:r w:rsidRPr="0066350F">
            <w:rPr>
              <w:rFonts w:cs="Times New Roman"/>
            </w:rPr>
            <w:t xml:space="preserve">For Sage Group plc, trust is an issue because the company deals with sensitive financial and business information.  Customers must be confident that AI-driven tools - automated accounting and predictive analytics for example - are accurate and secure (Sage, 2023).  </w:t>
          </w:r>
        </w:p>
        <w:p w14:paraId="767B539E" w14:textId="31564481" w:rsidR="0066350F" w:rsidRPr="0066350F" w:rsidRDefault="0066350F" w:rsidP="0066350F">
          <w:pPr>
            <w:rPr>
              <w:rFonts w:cs="Times New Roman"/>
            </w:rPr>
          </w:pPr>
          <w:r w:rsidRPr="0066350F">
            <w:rPr>
              <w:rFonts w:cs="Times New Roman"/>
            </w:rPr>
            <w:t>Any hint of unreliability or lack of transparency leads to a lack of confidence and slow</w:t>
          </w:r>
          <w:r>
            <w:rPr>
              <w:rFonts w:cs="Times New Roman"/>
            </w:rPr>
            <w:t xml:space="preserve">s the adoption of AI services. </w:t>
          </w:r>
          <w:r w:rsidRPr="0066350F">
            <w:rPr>
              <w:rFonts w:cs="Times New Roman"/>
            </w:rPr>
            <w:t xml:space="preserve">Transparency is the key to developing trust.  Customers now expect companies to explain how AI systems work and decide.  Explainable AI is helping to meet this demand by providing an understanding of the algorithms (OECD, 2021).  However, it is still difficult to make complex systems transparent, especially where proprietary algorithms play a role.  </w:t>
          </w:r>
        </w:p>
        <w:p w14:paraId="69204B0A" w14:textId="77777777" w:rsidR="0066350F" w:rsidRPr="0066350F" w:rsidRDefault="0066350F" w:rsidP="0066350F">
          <w:pPr>
            <w:pStyle w:val="Heading2"/>
          </w:pPr>
          <w:bookmarkStart w:id="27" w:name="_Toc224899686"/>
          <w:r w:rsidRPr="0066350F">
            <w:t>6.2 Impact to Brand and Stakeholders</w:t>
          </w:r>
          <w:bookmarkEnd w:id="27"/>
          <w:r w:rsidRPr="0066350F">
            <w:t xml:space="preserve">  </w:t>
          </w:r>
        </w:p>
        <w:p w14:paraId="57D5F8CA" w14:textId="50136D4D" w:rsidR="0066350F" w:rsidRPr="0066350F" w:rsidRDefault="0066350F" w:rsidP="0066350F">
          <w:pPr>
            <w:rPr>
              <w:rFonts w:cs="Times New Roman"/>
            </w:rPr>
          </w:pPr>
          <w:r w:rsidRPr="0066350F">
            <w:rPr>
              <w:rFonts w:cs="Times New Roman"/>
            </w:rPr>
            <w:t>AI can boost or ruin the brand and stakeholder relations of an organisation.  Positive AI experiences are a sign of innovation and efficiency, which boosts the brand image.  Negative outcomes, on the other hand, can be detrimental to reputation and result in the loss of customer loyalty (Dwivedi et al, 2021).  This duality demonstrates why it is import</w:t>
          </w:r>
          <w:r>
            <w:rPr>
              <w:rFonts w:cs="Times New Roman"/>
            </w:rPr>
            <w:t xml:space="preserve">ant to manage the risks in AI. </w:t>
          </w:r>
          <w:r w:rsidRPr="0066350F">
            <w:rPr>
              <w:rFonts w:cs="Times New Roman"/>
            </w:rPr>
            <w:t>Sage Group plc are faced with reputational risks associated with data security, ethical AI usage and system reliability.  A data leak or algorithmic bias could result in negative publicity and regulatory attention, not to mention loss of money (World Bank, 2022).  Such incidents result in loss of customer trust and may also shake investor con</w:t>
          </w:r>
          <w:r>
            <w:rPr>
              <w:rFonts w:cs="Times New Roman"/>
            </w:rPr>
            <w:t xml:space="preserve">fidence and partner relations. </w:t>
          </w:r>
          <w:r w:rsidRPr="0066350F">
            <w:rPr>
              <w:rFonts w:cs="Times New Roman"/>
            </w:rPr>
            <w:t xml:space="preserve">There is an ever-growing need from regulators, customers and partners for responsible AI practices.  Failure to satisfy these expectations may cause legal challenges and result in a lower market position (UNCTAD, 2022).  </w:t>
          </w:r>
        </w:p>
        <w:p w14:paraId="1D0BB6DF" w14:textId="77777777" w:rsidR="0066350F" w:rsidRDefault="0066350F">
          <w:pPr>
            <w:spacing w:line="259" w:lineRule="auto"/>
            <w:jc w:val="left"/>
            <w:rPr>
              <w:rFonts w:eastAsiaTheme="majorEastAsia" w:cstheme="majorBidi"/>
              <w:b/>
              <w:color w:val="2E74B5" w:themeColor="accent1" w:themeShade="BF"/>
              <w:sz w:val="26"/>
              <w:szCs w:val="26"/>
            </w:rPr>
          </w:pPr>
          <w:r>
            <w:br w:type="page"/>
          </w:r>
        </w:p>
        <w:p w14:paraId="29DBBEBC" w14:textId="14550774" w:rsidR="0066350F" w:rsidRPr="0066350F" w:rsidRDefault="0066350F" w:rsidP="0066350F">
          <w:pPr>
            <w:pStyle w:val="Heading2"/>
          </w:pPr>
          <w:bookmarkStart w:id="28" w:name="_Toc224899687"/>
          <w:r w:rsidRPr="0066350F">
            <w:lastRenderedPageBreak/>
            <w:t>6.3 Trust and</w:t>
          </w:r>
          <w:r>
            <w:t xml:space="preserve"> Reputational Risk Management</w:t>
          </w:r>
          <w:bookmarkEnd w:id="28"/>
          <w:r>
            <w:t xml:space="preserve">  </w:t>
          </w:r>
        </w:p>
        <w:p w14:paraId="389D3BD6" w14:textId="62F8DF2C" w:rsidR="0066350F" w:rsidRPr="0066350F" w:rsidRDefault="0066350F" w:rsidP="0066350F">
          <w:pPr>
            <w:rPr>
              <w:rFonts w:cs="Times New Roman"/>
            </w:rPr>
          </w:pPr>
          <w:r w:rsidRPr="0066350F">
            <w:rPr>
              <w:rFonts w:cs="Times New Roman"/>
            </w:rPr>
            <w:t>Managing the risk to customer trust and reputations requires a proactive, strategic plan that incorporates a combination of ethics, technology and communication. Organisations will have to establish robust governance structures that guarantee that AI systems are transparent, ethical and reliable (ISO, 2021).</w:t>
          </w:r>
          <w:r w:rsidR="00E64D7E">
            <w:rPr>
              <w:rFonts w:cs="Times New Roman"/>
            </w:rPr>
            <w:t xml:space="preserve"> </w:t>
          </w:r>
          <w:r w:rsidRPr="0066350F">
            <w:rPr>
              <w:rFonts w:cs="Times New Roman"/>
            </w:rPr>
            <w:t xml:space="preserve">These </w:t>
          </w:r>
          <w:r w:rsidR="00B238DD" w:rsidRPr="0066350F">
            <w:rPr>
              <w:rFonts w:cs="Times New Roman"/>
            </w:rPr>
            <w:t>outlines</w:t>
          </w:r>
          <w:r w:rsidRPr="0066350F">
            <w:rPr>
              <w:rFonts w:cs="Times New Roman"/>
            </w:rPr>
            <w:t xml:space="preserve"> should have monitoring tools to track the performance and</w:t>
          </w:r>
          <w:r>
            <w:rPr>
              <w:rFonts w:cs="Times New Roman"/>
            </w:rPr>
            <w:t xml:space="preserve"> quickly address any problems. </w:t>
          </w:r>
          <w:r w:rsidRPr="0066350F">
            <w:rPr>
              <w:rFonts w:cs="Times New Roman"/>
            </w:rPr>
            <w:t xml:space="preserve">Clear communication </w:t>
          </w:r>
          <w:r w:rsidR="00BD325C">
            <w:rPr>
              <w:rFonts w:cs="Times New Roman"/>
            </w:rPr>
            <w:t xml:space="preserve">is essential in Sage Group plc. </w:t>
          </w:r>
          <w:r w:rsidRPr="0066350F">
            <w:rPr>
              <w:rFonts w:cs="Times New Roman"/>
            </w:rPr>
            <w:t xml:space="preserve">The company must communicate easily understandable information about how AI is used, its benefits and the safeguarding to protect data (OECD, 2021).  Transparent messaging helps to overcome the worry and increase the confidence of AI services.  </w:t>
          </w:r>
        </w:p>
        <w:p w14:paraId="5CEB8ED4" w14:textId="301EDEE6" w:rsidR="0066350F" w:rsidRPr="0066350F" w:rsidRDefault="0066350F" w:rsidP="0066350F">
          <w:pPr>
            <w:rPr>
              <w:rFonts w:cs="Times New Roman"/>
            </w:rPr>
          </w:pPr>
          <w:r w:rsidRPr="0066350F">
            <w:rPr>
              <w:rFonts w:cs="Times New Roman"/>
            </w:rPr>
            <w:t xml:space="preserve">A customer-centric approach to design is also imperative.  Systems should be designed around user needs and feedback channels should exist for the customer to give feedback and recommend improvements (Glikson </w:t>
          </w:r>
          <w:r>
            <w:rPr>
              <w:rFonts w:cs="Times New Roman"/>
            </w:rPr>
            <w:t>and</w:t>
          </w:r>
          <w:r w:rsidRPr="0066350F">
            <w:rPr>
              <w:rFonts w:cs="Times New Roman"/>
            </w:rPr>
            <w:t xml:space="preserve"> Woolley, 2020).  Engagement such as this helps develop trust and customer relationsh</w:t>
          </w:r>
          <w:r>
            <w:rPr>
              <w:rFonts w:cs="Times New Roman"/>
            </w:rPr>
            <w:t xml:space="preserve">ips that will last a lifetime. </w:t>
          </w:r>
          <w:r w:rsidRPr="0066350F">
            <w:rPr>
              <w:rFonts w:cs="Times New Roman"/>
            </w:rPr>
            <w:t xml:space="preserve">Managing trust is never-ending.  Organisations ought to continuously evaluate the impact of AI on customer trust and make adjustments to meet new risks and expectations </w:t>
          </w:r>
          <w:r w:rsidR="00DB545A" w:rsidRPr="00F51E28">
            <w:rPr>
              <w:rFonts w:cs="Times New Roman"/>
              <w:color w:val="222222"/>
              <w:shd w:val="clear" w:color="auto" w:fill="FFFFFF"/>
            </w:rPr>
            <w:t>(</w:t>
          </w:r>
          <w:r w:rsidR="00DB545A">
            <w:rPr>
              <w:rFonts w:cs="Times New Roman"/>
              <w:color w:val="222222"/>
              <w:shd w:val="clear" w:color="auto" w:fill="FFFFFF"/>
            </w:rPr>
            <w:t xml:space="preserve">Allison et al., </w:t>
          </w:r>
          <w:r w:rsidR="00DB545A" w:rsidRPr="00AA5447">
            <w:rPr>
              <w:rFonts w:cs="Times New Roman"/>
              <w:color w:val="222222"/>
              <w:shd w:val="clear" w:color="auto" w:fill="FFFFFF"/>
            </w:rPr>
            <w:t>2025</w:t>
          </w:r>
          <w:r w:rsidR="00DB545A" w:rsidRPr="00F51E28">
            <w:rPr>
              <w:rFonts w:cs="Times New Roman"/>
              <w:color w:val="222222"/>
              <w:shd w:val="clear" w:color="auto" w:fill="FFFFFF"/>
            </w:rPr>
            <w:t>)</w:t>
          </w:r>
          <w:r w:rsidRPr="0066350F">
            <w:rPr>
              <w:rFonts w:cs="Times New Roman"/>
            </w:rPr>
            <w:t xml:space="preserve">.  </w:t>
          </w:r>
        </w:p>
        <w:p w14:paraId="6C87DA39" w14:textId="77777777" w:rsidR="0066350F" w:rsidRPr="0066350F" w:rsidRDefault="0066350F" w:rsidP="0066350F">
          <w:pPr>
            <w:pStyle w:val="Heading1"/>
            <w:numPr>
              <w:ilvl w:val="0"/>
              <w:numId w:val="2"/>
            </w:numPr>
            <w:rPr>
              <w:rFonts w:cs="Times New Roman"/>
            </w:rPr>
          </w:pPr>
          <w:bookmarkStart w:id="29" w:name="_Toc224899688"/>
          <w:r w:rsidRPr="0066350F">
            <w:rPr>
              <w:rFonts w:cs="Times New Roman"/>
            </w:rPr>
            <w:t>Implementation Plan</w:t>
          </w:r>
          <w:bookmarkEnd w:id="29"/>
          <w:r w:rsidRPr="0066350F">
            <w:rPr>
              <w:rFonts w:cs="Times New Roman"/>
            </w:rPr>
            <w:t xml:space="preserve">  </w:t>
          </w:r>
        </w:p>
        <w:p w14:paraId="4AD66284" w14:textId="77777777" w:rsidR="0066350F" w:rsidRPr="0066350F" w:rsidRDefault="0066350F" w:rsidP="0066350F">
          <w:pPr>
            <w:pStyle w:val="Heading2"/>
          </w:pPr>
          <w:bookmarkStart w:id="30" w:name="_Toc224899689"/>
          <w:r w:rsidRPr="0066350F">
            <w:t>7.1 Strategic Goals of AI Risk Management</w:t>
          </w:r>
          <w:bookmarkEnd w:id="30"/>
          <w:r w:rsidRPr="0066350F">
            <w:t xml:space="preserve">  </w:t>
          </w:r>
        </w:p>
        <w:p w14:paraId="78030120" w14:textId="1D262E45" w:rsidR="0066350F" w:rsidRPr="0066350F" w:rsidRDefault="0066350F" w:rsidP="0066350F">
          <w:pPr>
            <w:rPr>
              <w:rFonts w:cs="Times New Roman"/>
            </w:rPr>
          </w:pPr>
          <w:r w:rsidRPr="0066350F">
            <w:rPr>
              <w:rFonts w:cs="Times New Roman"/>
            </w:rPr>
            <w:t>Effective AI risk management depends on having a match between AI strategy and governance.  Multinationals should not embrace AI just for the sake of efficiency, but also need to be able to manage the risks of operations, ethics and regulations.  Clear objectives mean ensuring that AI edges are obedient with changing standards to del</w:t>
          </w:r>
          <w:r>
            <w:rPr>
              <w:rFonts w:cs="Times New Roman"/>
            </w:rPr>
            <w:t xml:space="preserve">iver long-term sustainability. </w:t>
          </w:r>
          <w:r w:rsidRPr="0066350F">
            <w:rPr>
              <w:rFonts w:cs="Times New Roman"/>
            </w:rPr>
            <w:t xml:space="preserve">For Sage Group plc, the key goal would be to </w:t>
          </w:r>
          <w:r w:rsidR="008D043C" w:rsidRPr="0066350F">
            <w:rPr>
              <w:rFonts w:cs="Times New Roman"/>
            </w:rPr>
            <w:t>mix</w:t>
          </w:r>
          <w:r w:rsidRPr="0066350F">
            <w:rPr>
              <w:rFonts w:cs="Times New Roman"/>
            </w:rPr>
            <w:t xml:space="preserve"> AI into product services while controlling the risks and ensuring compliance with </w:t>
          </w:r>
          <w:r w:rsidR="008D043C" w:rsidRPr="0066350F">
            <w:rPr>
              <w:rFonts w:cs="Times New Roman"/>
            </w:rPr>
            <w:t>rules</w:t>
          </w:r>
          <w:r w:rsidRPr="0066350F">
            <w:rPr>
              <w:rFonts w:cs="Times New Roman"/>
            </w:rPr>
            <w:t xml:space="preserve"> in the UK and EU.</w:t>
          </w:r>
          <w:r w:rsidR="008D043C">
            <w:rPr>
              <w:rFonts w:cs="Times New Roman"/>
            </w:rPr>
            <w:t xml:space="preserve"> </w:t>
          </w:r>
          <w:r w:rsidRPr="0066350F">
            <w:rPr>
              <w:rFonts w:cs="Times New Roman"/>
            </w:rPr>
            <w:t xml:space="preserve"> The company has to balance the innovativeness with accountability so that AI can provide value without causing unnecessary exposure (</w:t>
          </w:r>
          <w:r w:rsidR="00392F89" w:rsidRPr="00765F5B">
            <w:t>GOV.UK</w:t>
          </w:r>
          <w:r w:rsidR="00392F89">
            <w:t>, 2023</w:t>
          </w:r>
          <w:r w:rsidRPr="0066350F">
            <w:rPr>
              <w:rFonts w:cs="Times New Roman"/>
            </w:rPr>
            <w:t xml:space="preserve">).  </w:t>
          </w:r>
        </w:p>
        <w:p w14:paraId="46B5B523" w14:textId="4AC4E6BA" w:rsidR="0066350F" w:rsidRPr="0066350F" w:rsidRDefault="0066350F" w:rsidP="0066350F">
          <w:pPr>
            <w:rPr>
              <w:rFonts w:cs="Times New Roman"/>
            </w:rPr>
          </w:pPr>
          <w:r w:rsidRPr="0066350F">
            <w:rPr>
              <w:rFonts w:cs="Times New Roman"/>
            </w:rPr>
            <w:t xml:space="preserve">Strategic objectives should focus on developing trustworthy AI that is focused on transparency, fairness, and security.  These principles restore customer trust and meet the expectations of stakeholders </w:t>
          </w:r>
          <w:r w:rsidR="008D043C" w:rsidRPr="00F51E28">
            <w:rPr>
              <w:rFonts w:cs="Times New Roman"/>
              <w:color w:val="222222"/>
              <w:shd w:val="clear" w:color="auto" w:fill="FFFFFF"/>
            </w:rPr>
            <w:t>(</w:t>
          </w:r>
          <w:r w:rsidR="008D043C">
            <w:rPr>
              <w:rFonts w:cs="Times New Roman"/>
              <w:color w:val="222222"/>
              <w:shd w:val="clear" w:color="auto" w:fill="FFFFFF"/>
            </w:rPr>
            <w:t xml:space="preserve">Allison et al., </w:t>
          </w:r>
          <w:r w:rsidR="008D043C" w:rsidRPr="00AA5447">
            <w:rPr>
              <w:rFonts w:cs="Times New Roman"/>
              <w:color w:val="222222"/>
              <w:shd w:val="clear" w:color="auto" w:fill="FFFFFF"/>
            </w:rPr>
            <w:t>2025</w:t>
          </w:r>
          <w:r w:rsidR="008D043C" w:rsidRPr="00F51E28">
            <w:rPr>
              <w:rFonts w:cs="Times New Roman"/>
              <w:color w:val="222222"/>
              <w:shd w:val="clear" w:color="auto" w:fill="FFFFFF"/>
            </w:rPr>
            <w:t>)</w:t>
          </w:r>
          <w:r w:rsidRPr="0066350F">
            <w:rPr>
              <w:rFonts w:cs="Times New Roman"/>
            </w:rPr>
            <w:t xml:space="preserve">.  By incorporating these goals into corporate strategy, Sage can improve its competitive advantage and mitigate risk.  </w:t>
          </w:r>
        </w:p>
        <w:p w14:paraId="7B6CB834" w14:textId="77777777" w:rsidR="0066350F" w:rsidRDefault="0066350F">
          <w:pPr>
            <w:spacing w:line="259" w:lineRule="auto"/>
            <w:jc w:val="left"/>
            <w:rPr>
              <w:rFonts w:eastAsiaTheme="majorEastAsia" w:cstheme="majorBidi"/>
              <w:b/>
              <w:color w:val="2E74B5" w:themeColor="accent1" w:themeShade="BF"/>
              <w:sz w:val="26"/>
              <w:szCs w:val="26"/>
            </w:rPr>
          </w:pPr>
          <w:r>
            <w:br w:type="page"/>
          </w:r>
        </w:p>
        <w:p w14:paraId="5842FABA" w14:textId="4D20B92C" w:rsidR="0066350F" w:rsidRPr="0066350F" w:rsidRDefault="0066350F" w:rsidP="0066350F">
          <w:pPr>
            <w:pStyle w:val="Heading2"/>
          </w:pPr>
          <w:bookmarkStart w:id="31" w:name="_Toc224899690"/>
          <w:r w:rsidRPr="0066350F">
            <w:lastRenderedPageBreak/>
            <w:t>7.2 Step by Step Implementation Road map</w:t>
          </w:r>
          <w:bookmarkEnd w:id="31"/>
          <w:r w:rsidRPr="0066350F">
            <w:t xml:space="preserve">  </w:t>
          </w:r>
        </w:p>
        <w:p w14:paraId="4DEFB9FE" w14:textId="43A9B41E" w:rsidR="0066350F" w:rsidRPr="0066350F" w:rsidRDefault="0066350F" w:rsidP="0066350F">
          <w:pPr>
            <w:rPr>
              <w:rFonts w:cs="Times New Roman"/>
            </w:rPr>
          </w:pPr>
          <w:r w:rsidRPr="0066350F">
            <w:rPr>
              <w:rFonts w:cs="Times New Roman"/>
            </w:rPr>
            <w:t>An organized roadmap is the way that you put objectives into action.  The first step is to create AI governance framework to define roles, responsibilities,</w:t>
          </w:r>
          <w:r w:rsidR="00483228">
            <w:rPr>
              <w:rFonts w:cs="Times New Roman"/>
            </w:rPr>
            <w:t xml:space="preserve"> and decision-making processes</w:t>
          </w:r>
          <w:r w:rsidRPr="0066350F">
            <w:rPr>
              <w:rFonts w:cs="Times New Roman"/>
            </w:rPr>
            <w:t>.  This framework must mesh with existing corporate governance in order to b</w:t>
          </w:r>
          <w:r>
            <w:rPr>
              <w:rFonts w:cs="Times New Roman"/>
            </w:rPr>
            <w:t xml:space="preserve">e consistent and account-able. </w:t>
          </w:r>
        </w:p>
        <w:p w14:paraId="3DC91C57" w14:textId="77777777" w:rsidR="0066350F" w:rsidRPr="0066350F" w:rsidRDefault="0066350F" w:rsidP="0066350F">
          <w:pPr>
            <w:rPr>
              <w:rFonts w:cs="Times New Roman"/>
            </w:rPr>
          </w:pPr>
          <w:r w:rsidRPr="0066350F">
            <w:rPr>
              <w:rFonts w:cs="Times New Roman"/>
            </w:rPr>
            <w:t xml:space="preserve">The second step identifies existing AI capabilities and current limitations in terms of technology, skills and compliance.  Auditing existing systems will identify performance, risk and regulatory alignment (OECD, 2021).  These insights provide a guide to prioritisation of improvement efforts.  </w:t>
          </w:r>
        </w:p>
        <w:p w14:paraId="293DE2E9" w14:textId="77777777" w:rsidR="0066350F" w:rsidRPr="0066350F" w:rsidRDefault="0066350F" w:rsidP="0066350F">
          <w:pPr>
            <w:rPr>
              <w:rFonts w:cs="Times New Roman"/>
            </w:rPr>
          </w:pPr>
          <w:r w:rsidRPr="0066350F">
            <w:rPr>
              <w:rFonts w:cs="Times New Roman"/>
            </w:rPr>
            <w:t xml:space="preserve">The third step enhances data governance.  Data being used in AI should be accurate, secured, and adhering to the compliance.  Policies should keep track of quality, source documentation and ensure traceability (ICO, 2022).  Good data governance alleviates the risk of deployment.  </w:t>
          </w:r>
        </w:p>
        <w:p w14:paraId="3D33C412" w14:textId="77777777" w:rsidR="0066350F" w:rsidRPr="0066350F" w:rsidRDefault="0066350F" w:rsidP="0066350F">
          <w:pPr>
            <w:rPr>
              <w:rFonts w:cs="Times New Roman"/>
            </w:rPr>
          </w:pPr>
          <w:r w:rsidRPr="0066350F">
            <w:rPr>
              <w:rFonts w:cs="Times New Roman"/>
            </w:rPr>
            <w:t xml:space="preserve">The fourth step makes use of AI risk tools that monitor performance and spot anomalies in real time (World Bank, 2022).  Continuous observation is bringing issues to be spotted before they become worse in dynamic AI environments.  </w:t>
          </w:r>
        </w:p>
        <w:p w14:paraId="3FAE5D3D" w14:textId="057A8D9D" w:rsidR="0066350F" w:rsidRPr="0066350F" w:rsidRDefault="0066350F" w:rsidP="0066350F">
          <w:pPr>
            <w:rPr>
              <w:rFonts w:cs="Times New Roman"/>
            </w:rPr>
          </w:pPr>
          <w:r w:rsidRPr="0066350F">
            <w:rPr>
              <w:rFonts w:cs="Times New Roman"/>
            </w:rPr>
            <w:t>The last step involves training the staff and building organisational capacity in AI governance and risk management.  Employee requires knowledge of regulatory requirements as well as ethical issues (</w:t>
          </w:r>
          <w:r w:rsidR="00C92C5D">
            <w:t>The Economist, 2025</w:t>
          </w:r>
          <w:r w:rsidRPr="0066350F">
            <w:rPr>
              <w:rFonts w:cs="Times New Roman"/>
            </w:rPr>
            <w:t xml:space="preserve">).  </w:t>
          </w:r>
        </w:p>
        <w:p w14:paraId="52DB21D8" w14:textId="77777777" w:rsidR="0066350F" w:rsidRPr="0066350F" w:rsidRDefault="0066350F" w:rsidP="0066350F">
          <w:pPr>
            <w:pStyle w:val="Heading2"/>
          </w:pPr>
          <w:bookmarkStart w:id="32" w:name="_Toc224899691"/>
          <w:r w:rsidRPr="0066350F">
            <w:t>7.3 Risk Mitigation Strategies</w:t>
          </w:r>
          <w:bookmarkEnd w:id="32"/>
          <w:r w:rsidRPr="0066350F">
            <w:t xml:space="preserve">  </w:t>
          </w:r>
        </w:p>
        <w:p w14:paraId="26E3967E" w14:textId="64243A77" w:rsidR="0066350F" w:rsidRPr="0066350F" w:rsidRDefault="0066350F" w:rsidP="0066350F">
          <w:pPr>
            <w:rPr>
              <w:rFonts w:cs="Times New Roman"/>
            </w:rPr>
          </w:pPr>
          <w:r w:rsidRPr="0066350F">
            <w:rPr>
              <w:rFonts w:cs="Times New Roman"/>
            </w:rPr>
            <w:t xml:space="preserve">Robust cybersecurity is necessary, protecting AI systems and data from unauthorised access and threats (Brennen et al., </w:t>
          </w:r>
          <w:r w:rsidR="00AD3EAE">
            <w:rPr>
              <w:shd w:val="clear" w:color="auto" w:fill="FFFFFF"/>
            </w:rPr>
            <w:t>2018</w:t>
          </w:r>
          <w:r w:rsidRPr="0066350F">
            <w:rPr>
              <w:rFonts w:cs="Times New Roman"/>
            </w:rPr>
            <w:t xml:space="preserve">).  Components of encryption, access controls, and frequent assessment are key components.  </w:t>
          </w:r>
        </w:p>
        <w:p w14:paraId="1FDCBBC0" w14:textId="77777777" w:rsidR="0066350F" w:rsidRPr="0066350F" w:rsidRDefault="0066350F" w:rsidP="0066350F">
          <w:pPr>
            <w:rPr>
              <w:rFonts w:cs="Times New Roman"/>
            </w:rPr>
          </w:pPr>
          <w:r w:rsidRPr="0066350F">
            <w:rPr>
              <w:rFonts w:cs="Times New Roman"/>
            </w:rPr>
            <w:t xml:space="preserve">Bias detection and mitigation techniques are very important for fairness.  The discrimination is prevented due to regular model evaluation and corrective actions (Mehrabi et al., 2021).  </w:t>
          </w:r>
        </w:p>
        <w:p w14:paraId="21CD7B7C" w14:textId="77777777" w:rsidR="0066350F" w:rsidRPr="0066350F" w:rsidRDefault="0066350F" w:rsidP="0066350F">
          <w:pPr>
            <w:rPr>
              <w:rFonts w:cs="Times New Roman"/>
            </w:rPr>
          </w:pPr>
          <w:r w:rsidRPr="0066350F">
            <w:rPr>
              <w:rFonts w:cs="Times New Roman"/>
            </w:rPr>
            <w:t xml:space="preserve">Sage Group plc has to comply with UK and EU regulations, ensuring that AI complies with the data protection laws and the requirements for documentation and reporting (European Commission, 2021).  </w:t>
          </w:r>
        </w:p>
        <w:p w14:paraId="1F1E8CA9" w14:textId="77777777" w:rsidR="0066350F" w:rsidRPr="0066350F" w:rsidRDefault="0066350F" w:rsidP="0066350F">
          <w:pPr>
            <w:rPr>
              <w:rFonts w:cs="Times New Roman"/>
            </w:rPr>
          </w:pPr>
          <w:r w:rsidRPr="0066350F">
            <w:rPr>
              <w:rFonts w:cs="Times New Roman"/>
            </w:rPr>
            <w:t xml:space="preserve">Incident response plans should enable prompt action on the incidents related to AI.  Having clear procedures for identification, reporting, resolution and communication with stakeholders reduce the impact of risk (ISO, 2021).  </w:t>
          </w:r>
        </w:p>
        <w:p w14:paraId="11D4E1AA" w14:textId="77777777" w:rsidR="0066350F" w:rsidRPr="0066350F" w:rsidRDefault="0066350F" w:rsidP="0066350F">
          <w:pPr>
            <w:pStyle w:val="Heading2"/>
          </w:pPr>
          <w:bookmarkStart w:id="33" w:name="_Toc224899692"/>
          <w:r w:rsidRPr="0066350F">
            <w:lastRenderedPageBreak/>
            <w:t>7.4 Key Performance Indicators and Performance Measurement</w:t>
          </w:r>
          <w:bookmarkEnd w:id="33"/>
          <w:r w:rsidRPr="0066350F">
            <w:t xml:space="preserve">  </w:t>
          </w:r>
        </w:p>
        <w:p w14:paraId="2B935517" w14:textId="77777777" w:rsidR="0066350F" w:rsidRPr="0066350F" w:rsidRDefault="0066350F" w:rsidP="0066350F">
          <w:pPr>
            <w:rPr>
              <w:rFonts w:cs="Times New Roman"/>
            </w:rPr>
          </w:pPr>
          <w:r w:rsidRPr="0066350F">
            <w:rPr>
              <w:rFonts w:cs="Times New Roman"/>
            </w:rPr>
            <w:t xml:space="preserve">Success requires quantifying results using relevant KPIs indicating operational efficiency and effectiveness of risk (OECD, 2021).  </w:t>
          </w:r>
        </w:p>
        <w:p w14:paraId="42B0E918" w14:textId="77777777" w:rsidR="0066350F" w:rsidRPr="0066350F" w:rsidRDefault="0066350F" w:rsidP="0066350F">
          <w:pPr>
            <w:rPr>
              <w:rFonts w:cs="Times New Roman"/>
            </w:rPr>
          </w:pPr>
          <w:r w:rsidRPr="0066350F">
            <w:rPr>
              <w:rFonts w:cs="Times New Roman"/>
            </w:rPr>
            <w:t xml:space="preserve">Sage Group plc should monitor the accuracy of the systems, error rates, incidence of data security failure, and compliance performance.  These metrics are used to reveal trends and make informed decisions (World Bank, 2022).  </w:t>
          </w:r>
        </w:p>
        <w:p w14:paraId="321E8D2C" w14:textId="56E0F268" w:rsidR="0066350F" w:rsidRPr="0066350F" w:rsidRDefault="0066350F" w:rsidP="0066350F">
          <w:pPr>
            <w:rPr>
              <w:rFonts w:cs="Times New Roman"/>
            </w:rPr>
          </w:pPr>
          <w:r w:rsidRPr="0066350F">
            <w:rPr>
              <w:rFonts w:cs="Times New Roman"/>
            </w:rPr>
            <w:t xml:space="preserve">Customer KPIs- satisfaction, trust levels, shows the resonance AI has from a user perspective (Glikson </w:t>
          </w:r>
          <w:r>
            <w:rPr>
              <w:rFonts w:cs="Times New Roman"/>
            </w:rPr>
            <w:t>and</w:t>
          </w:r>
          <w:r w:rsidRPr="0066350F">
            <w:rPr>
              <w:rFonts w:cs="Times New Roman"/>
            </w:rPr>
            <w:t xml:space="preserve"> Woolley, 2020).  </w:t>
          </w:r>
        </w:p>
        <w:p w14:paraId="6E09FE7A" w14:textId="77777777" w:rsidR="0066350F" w:rsidRPr="0066350F" w:rsidRDefault="0066350F" w:rsidP="0066350F">
          <w:pPr>
            <w:rPr>
              <w:rFonts w:cs="Times New Roman"/>
            </w:rPr>
          </w:pPr>
          <w:r w:rsidRPr="0066350F">
            <w:rPr>
              <w:rFonts w:cs="Times New Roman"/>
            </w:rPr>
            <w:t xml:space="preserve">On a regular basis, KPI review is important to ensure continuous improvement and alignment with strategy.  Process for analysing data and making adjustments is essential (ISO, 2021).  </w:t>
          </w:r>
        </w:p>
        <w:p w14:paraId="630AF6BC" w14:textId="77777777" w:rsidR="0066350F" w:rsidRPr="0066350F" w:rsidRDefault="0066350F" w:rsidP="0066350F">
          <w:pPr>
            <w:pStyle w:val="Heading2"/>
          </w:pPr>
          <w:bookmarkStart w:id="34" w:name="_Toc224899693"/>
          <w:r w:rsidRPr="0066350F">
            <w:t>7.5 Future‑Proofing Strategy</w:t>
          </w:r>
          <w:bookmarkEnd w:id="34"/>
          <w:r w:rsidRPr="0066350F">
            <w:t xml:space="preserve">  </w:t>
          </w:r>
        </w:p>
        <w:p w14:paraId="77A2E707" w14:textId="77777777" w:rsidR="0066350F" w:rsidRPr="0066350F" w:rsidRDefault="0066350F" w:rsidP="0066350F">
          <w:pPr>
            <w:rPr>
              <w:rFonts w:cs="Times New Roman"/>
            </w:rPr>
          </w:pPr>
          <w:r w:rsidRPr="0066350F">
            <w:rPr>
              <w:rFonts w:cs="Times New Roman"/>
            </w:rPr>
            <w:t xml:space="preserve">AI is rapidly evolving technology, just as are regulations and market forces.  Future and change are said to require anticipating change and preparing adaptive solutions (UNCTAD, 2022).  </w:t>
          </w:r>
        </w:p>
        <w:p w14:paraId="0F36A651" w14:textId="01A09B7D" w:rsidR="0066350F" w:rsidRPr="0066350F" w:rsidRDefault="0066350F" w:rsidP="0066350F">
          <w:pPr>
            <w:rPr>
              <w:rFonts w:cs="Times New Roman"/>
            </w:rPr>
          </w:pPr>
          <w:r w:rsidRPr="0066350F">
            <w:rPr>
              <w:rFonts w:cs="Times New Roman"/>
            </w:rPr>
            <w:t>Sage Group plc should keep abreast of regulatory developments in the UK and EU while investing in scalable, flexible AI that is able to adapt to new requirements.  These investments keep the company competitive and risk-proof against the emerging risks (</w:t>
          </w:r>
          <w:r w:rsidR="00392F89" w:rsidRPr="00765F5B">
            <w:t>GOV.UK</w:t>
          </w:r>
          <w:r w:rsidR="00392F89">
            <w:t>, 2023</w:t>
          </w:r>
          <w:r w:rsidRPr="0066350F">
            <w:rPr>
              <w:rFonts w:cs="Times New Roman"/>
            </w:rPr>
            <w:t xml:space="preserve">).  </w:t>
          </w:r>
        </w:p>
        <w:p w14:paraId="6136A2B9" w14:textId="26EA15E1" w:rsidR="0066350F" w:rsidRPr="0066350F" w:rsidRDefault="0066350F" w:rsidP="0066350F">
          <w:pPr>
            <w:rPr>
              <w:rFonts w:cs="Times New Roman"/>
            </w:rPr>
          </w:pPr>
          <w:r w:rsidRPr="0066350F">
            <w:rPr>
              <w:rFonts w:cs="Times New Roman"/>
            </w:rPr>
            <w:t xml:space="preserve">Promoting a culture of innovation and learning is supportive of future proofing.  Encouraging some experimentation and sharing of knowledge helps the company stay at the edge of AI and keep risk controls in place </w:t>
          </w:r>
          <w:r w:rsidR="00BD325C" w:rsidRPr="00F51E28">
            <w:rPr>
              <w:rFonts w:cs="Times New Roman"/>
              <w:color w:val="222222"/>
              <w:shd w:val="clear" w:color="auto" w:fill="FFFFFF"/>
            </w:rPr>
            <w:t>(</w:t>
          </w:r>
          <w:r w:rsidR="00BD325C">
            <w:rPr>
              <w:rFonts w:cs="Times New Roman"/>
              <w:color w:val="222222"/>
              <w:shd w:val="clear" w:color="auto" w:fill="FFFFFF"/>
            </w:rPr>
            <w:t xml:space="preserve">Allison et al., </w:t>
          </w:r>
          <w:r w:rsidR="00BD325C" w:rsidRPr="00AA5447">
            <w:rPr>
              <w:rFonts w:cs="Times New Roman"/>
              <w:color w:val="222222"/>
              <w:shd w:val="clear" w:color="auto" w:fill="FFFFFF"/>
            </w:rPr>
            <w:t>2025</w:t>
          </w:r>
          <w:r w:rsidR="00BD325C" w:rsidRPr="00F51E28">
            <w:rPr>
              <w:rFonts w:cs="Times New Roman"/>
              <w:color w:val="222222"/>
              <w:shd w:val="clear" w:color="auto" w:fill="FFFFFF"/>
            </w:rPr>
            <w:t>)</w:t>
          </w:r>
          <w:r w:rsidRPr="0066350F">
            <w:rPr>
              <w:rFonts w:cs="Times New Roman"/>
            </w:rPr>
            <w:t>.</w:t>
          </w:r>
          <w:r>
            <w:rPr>
              <w:rFonts w:cs="Times New Roman"/>
            </w:rPr>
            <w:t xml:space="preserve">  </w:t>
          </w:r>
        </w:p>
        <w:p w14:paraId="080D86D3" w14:textId="41B61527" w:rsidR="0066350F" w:rsidRPr="0066350F" w:rsidRDefault="0066350F" w:rsidP="0066350F">
          <w:pPr>
            <w:rPr>
              <w:rFonts w:cs="Times New Roman"/>
            </w:rPr>
          </w:pPr>
          <w:r w:rsidRPr="0066350F">
            <w:rPr>
              <w:rFonts w:cs="Times New Roman"/>
            </w:rPr>
            <w:t>The continuo</w:t>
          </w:r>
          <w:r w:rsidR="00677585">
            <w:rPr>
              <w:rFonts w:cs="Times New Roman"/>
            </w:rPr>
            <w:t xml:space="preserve">us process of future-proofing. </w:t>
          </w:r>
          <w:r w:rsidRPr="0066350F">
            <w:rPr>
              <w:rFonts w:cs="Times New Roman"/>
            </w:rPr>
            <w:t xml:space="preserve">Organisations need to be sensitive to the new challenges, and adapt AI strategies to remain relevant and effective in a changing world.  </w:t>
          </w:r>
        </w:p>
        <w:p w14:paraId="09FA0A8C" w14:textId="77777777" w:rsidR="0066350F" w:rsidRPr="0066350F" w:rsidRDefault="0066350F" w:rsidP="0066350F">
          <w:pPr>
            <w:rPr>
              <w:rFonts w:cs="Times New Roman"/>
            </w:rPr>
          </w:pPr>
        </w:p>
        <w:p w14:paraId="061975DB" w14:textId="77777777" w:rsidR="00F51E28" w:rsidRDefault="00F51E28" w:rsidP="00F51E28">
          <w:pPr>
            <w:spacing w:line="259" w:lineRule="auto"/>
            <w:jc w:val="left"/>
            <w:rPr>
              <w:rFonts w:eastAsiaTheme="majorEastAsia" w:cs="Times New Roman"/>
              <w:b/>
              <w:color w:val="2E74B5" w:themeColor="accent1" w:themeShade="BF"/>
              <w:sz w:val="28"/>
              <w:szCs w:val="32"/>
            </w:rPr>
          </w:pPr>
          <w:r>
            <w:rPr>
              <w:rFonts w:cs="Times New Roman"/>
            </w:rPr>
            <w:br w:type="page"/>
          </w:r>
        </w:p>
        <w:p w14:paraId="0167EEDB" w14:textId="77777777" w:rsidR="0085745C" w:rsidRDefault="00AA2A91" w:rsidP="0066350F">
          <w:pPr>
            <w:pStyle w:val="Heading1"/>
            <w:numPr>
              <w:ilvl w:val="0"/>
              <w:numId w:val="2"/>
            </w:numPr>
            <w:rPr>
              <w:rFonts w:cs="Times New Roman"/>
            </w:rPr>
          </w:pPr>
          <w:bookmarkStart w:id="35" w:name="_Toc224899694"/>
          <w:r w:rsidRPr="00341C46">
            <w:rPr>
              <w:rFonts w:cs="Times New Roman"/>
            </w:rPr>
            <w:lastRenderedPageBreak/>
            <w:t>Conclusion</w:t>
          </w:r>
          <w:bookmarkEnd w:id="35"/>
          <w:r w:rsidR="00D854A5" w:rsidRPr="00341C46">
            <w:rPr>
              <w:rFonts w:cs="Times New Roman"/>
            </w:rPr>
            <w:t xml:space="preserve"> </w:t>
          </w:r>
        </w:p>
        <w:p w14:paraId="0164DC64" w14:textId="57C8A1B8" w:rsidR="0066350F" w:rsidRPr="0066350F" w:rsidRDefault="0066350F" w:rsidP="0066350F">
          <w:pPr>
            <w:rPr>
              <w:rFonts w:cs="Times New Roman"/>
            </w:rPr>
          </w:pPr>
          <w:r w:rsidRPr="0066350F">
            <w:rPr>
              <w:rFonts w:cs="Times New Roman"/>
            </w:rPr>
            <w:t>Artificial intelligence is transforming the business world around the globe, bringing big opportunities and complex risks for multinationals.  This report assessed the risk management of AI through political, technological, and regulatory changes, focusing on Sage Group plc in the UK and EU.  While AI increases efficiency and innovation, there are multiple dimensional risks that must be stra</w:t>
          </w:r>
          <w:r>
            <w:rPr>
              <w:rFonts w:cs="Times New Roman"/>
            </w:rPr>
            <w:t xml:space="preserve">tegically proactively handled. </w:t>
          </w:r>
          <w:r w:rsidRPr="0066350F">
            <w:rPr>
              <w:rFonts w:cs="Times New Roman"/>
            </w:rPr>
            <w:t xml:space="preserve">The state of AI worldwide and macroeconomics clearly demonstrate that governments and economic situations influence AI adoption.  The UK has a preference for flexible regulation while the EU has a focus on structured frameworks which creates a fragmented arena for multinationals.  This divergence increases the compliance complexity and adapts the strategies.  </w:t>
          </w:r>
        </w:p>
        <w:p w14:paraId="7873269A" w14:textId="3DF6F8D3" w:rsidR="0066350F" w:rsidRPr="0066350F" w:rsidRDefault="0066350F" w:rsidP="0066350F">
          <w:pPr>
            <w:rPr>
              <w:rFonts w:cs="Times New Roman"/>
            </w:rPr>
          </w:pPr>
          <w:r w:rsidRPr="0066350F">
            <w:rPr>
              <w:rFonts w:cs="Times New Roman"/>
            </w:rPr>
            <w:t>Technological advancement allows organisations to automate and improve decision-making, but it also introduces the risks of algorithmic bias, cybersecurity incidents and system failures.  These risks are particularly high for data-heavy companies such as Sage.  Effective use of risk management requires more than a technological approach, and should also encompass governance, data quality, transparency, and accountability.  Ethical principles such as fairness and explain ability have become important</w:t>
          </w:r>
          <w:r>
            <w:rPr>
              <w:rFonts w:cs="Times New Roman"/>
            </w:rPr>
            <w:t xml:space="preserve"> for stakeholder expectations. </w:t>
          </w:r>
          <w:r w:rsidRPr="0066350F">
            <w:rPr>
              <w:rFonts w:cs="Times New Roman"/>
            </w:rPr>
            <w:t xml:space="preserve">Customer trust and </w:t>
          </w:r>
          <w:r>
            <w:rPr>
              <w:rFonts w:cs="Times New Roman"/>
            </w:rPr>
            <w:t xml:space="preserve">reputation make the difference. </w:t>
          </w:r>
          <w:r w:rsidRPr="0066350F">
            <w:rPr>
              <w:rFonts w:cs="Times New Roman"/>
            </w:rPr>
            <w:t xml:space="preserve">Proving a responsible use of AI directly helps to increase confidence and perception </w:t>
          </w:r>
          <w:r>
            <w:rPr>
              <w:rFonts w:cs="Times New Roman"/>
            </w:rPr>
            <w:t xml:space="preserve">of the company. </w:t>
          </w:r>
          <w:r w:rsidRPr="0066350F">
            <w:rPr>
              <w:rFonts w:cs="Times New Roman"/>
            </w:rPr>
            <w:t>Poor management of trust leads to damage in reputations and loss of advantage.</w:t>
          </w:r>
          <w:r>
            <w:rPr>
              <w:rFonts w:cs="Times New Roman"/>
            </w:rPr>
            <w:t xml:space="preserve"> </w:t>
          </w:r>
          <w:r w:rsidRPr="0066350F">
            <w:rPr>
              <w:rFonts w:cs="Times New Roman"/>
            </w:rPr>
            <w:t xml:space="preserve">Transparent communication and customer-centric AI deployment is therefore a must.  </w:t>
          </w:r>
        </w:p>
        <w:p w14:paraId="6FAEBA0E" w14:textId="42C64E51" w:rsidR="0066350F" w:rsidRPr="00341C46" w:rsidRDefault="0066350F" w:rsidP="0066350F">
          <w:pPr>
            <w:rPr>
              <w:rFonts w:cs="Times New Roman"/>
            </w:rPr>
          </w:pPr>
          <w:r w:rsidRPr="0066350F">
            <w:rPr>
              <w:rFonts w:cs="Times New Roman"/>
            </w:rPr>
            <w:t>The implementation plan provides a framework for structuring the AI risk management process, which includes governance, data, compliance, and monitoring.  By implementing these measures, Sage Group plc can help build resilience and ensure th</w:t>
          </w:r>
          <w:r>
            <w:rPr>
              <w:rFonts w:cs="Times New Roman"/>
            </w:rPr>
            <w:t xml:space="preserve">at AI delivers long term value. </w:t>
          </w:r>
          <w:r w:rsidRPr="0066350F">
            <w:rPr>
              <w:rFonts w:cs="Times New Roman"/>
            </w:rPr>
            <w:t>Performance metrics and future proofing bring added resilience to chang</w:t>
          </w:r>
          <w:r>
            <w:rPr>
              <w:rFonts w:cs="Times New Roman"/>
            </w:rPr>
            <w:t xml:space="preserve">ing technology and regulation. </w:t>
          </w:r>
          <w:r w:rsidRPr="0066350F">
            <w:rPr>
              <w:rFonts w:cs="Times New Roman"/>
            </w:rPr>
            <w:t>Successfully integrating AI into global operations entails making a trade-off between innovation and risk control.  For Sage, a holistic and proactive approach that includes a touch of technology, regulation, ethics, and a balance of stakeholder needs will bring about sustainable growth and stay competitive in the global market.</w:t>
          </w:r>
        </w:p>
        <w:p w14:paraId="2D224A7C" w14:textId="77777777" w:rsidR="0066350F" w:rsidRDefault="0066350F">
          <w:pPr>
            <w:spacing w:line="259" w:lineRule="auto"/>
            <w:jc w:val="left"/>
            <w:rPr>
              <w:rFonts w:eastAsiaTheme="majorEastAsia" w:cs="Times New Roman"/>
              <w:b/>
              <w:color w:val="2E74B5" w:themeColor="accent1" w:themeShade="BF"/>
              <w:sz w:val="28"/>
              <w:szCs w:val="32"/>
            </w:rPr>
          </w:pPr>
          <w:r>
            <w:rPr>
              <w:rFonts w:cs="Times New Roman"/>
            </w:rPr>
            <w:br w:type="page"/>
          </w:r>
        </w:p>
        <w:p w14:paraId="7202FDFC" w14:textId="4CB74015" w:rsidR="00AA2A91" w:rsidRDefault="00AA2A91" w:rsidP="0066350F">
          <w:pPr>
            <w:pStyle w:val="Heading1"/>
            <w:numPr>
              <w:ilvl w:val="0"/>
              <w:numId w:val="2"/>
            </w:numPr>
            <w:rPr>
              <w:rFonts w:cs="Times New Roman"/>
            </w:rPr>
          </w:pPr>
          <w:bookmarkStart w:id="36" w:name="_Toc224899695"/>
          <w:r w:rsidRPr="00341C46">
            <w:rPr>
              <w:rFonts w:cs="Times New Roman"/>
            </w:rPr>
            <w:lastRenderedPageBreak/>
            <w:t>Bibliography</w:t>
          </w:r>
          <w:bookmarkEnd w:id="36"/>
        </w:p>
        <w:p w14:paraId="20F15448" w14:textId="77777777" w:rsidR="0094344A" w:rsidRDefault="0094344A" w:rsidP="0097274F">
          <w:pPr>
            <w:ind w:left="720" w:hanging="720"/>
            <w:rPr>
              <w:shd w:val="clear" w:color="auto" w:fill="FFFFFF"/>
            </w:rPr>
          </w:pPr>
          <w:r>
            <w:rPr>
              <w:shd w:val="clear" w:color="auto" w:fill="FFFFFF"/>
            </w:rPr>
            <w:t>Allison, J., Hwang, G.J., Mayer, R.E., Pellas, N., Karnalim, O., de Freitas, S., Ng, O.L., Huang, Y.M., Hooshyar, D., Seidman, R.H. and Al-Emran, M., 2025. From generative AI to extended reality: Multidisciplinary perspectives on the challenges, opportunities, and future of educational computing. </w:t>
          </w:r>
          <w:r>
            <w:rPr>
              <w:i/>
              <w:iCs/>
              <w:shd w:val="clear" w:color="auto" w:fill="FFFFFF"/>
            </w:rPr>
            <w:t>Journal of Educational Computing Research</w:t>
          </w:r>
          <w:r>
            <w:rPr>
              <w:shd w:val="clear" w:color="auto" w:fill="FFFFFF"/>
            </w:rPr>
            <w:t>, </w:t>
          </w:r>
          <w:r>
            <w:rPr>
              <w:i/>
              <w:iCs/>
              <w:shd w:val="clear" w:color="auto" w:fill="FFFFFF"/>
            </w:rPr>
            <w:t>63</w:t>
          </w:r>
          <w:r>
            <w:rPr>
              <w:shd w:val="clear" w:color="auto" w:fill="FFFFFF"/>
            </w:rPr>
            <w:t>(6), pp.1327-1363.</w:t>
          </w:r>
        </w:p>
        <w:p w14:paraId="35D733F9" w14:textId="653B0D2B" w:rsidR="001C3A35" w:rsidRDefault="001C3A35" w:rsidP="0097274F">
          <w:pPr>
            <w:ind w:left="720" w:hanging="720"/>
            <w:rPr>
              <w:shd w:val="clear" w:color="auto" w:fill="FFFFFF"/>
            </w:rPr>
          </w:pPr>
          <w:r>
            <w:rPr>
              <w:shd w:val="clear" w:color="auto" w:fill="FFFFFF"/>
            </w:rPr>
            <w:t>Brennen, J.S., Howard, P.N. and Nielsen, R.K., 2018. An industry-led debate: How UK media cover artificial intelligence.</w:t>
          </w:r>
        </w:p>
        <w:p w14:paraId="637E473A" w14:textId="332BDD34" w:rsidR="00B36BA2" w:rsidRDefault="00B36BA2" w:rsidP="0097274F">
          <w:pPr>
            <w:ind w:left="720" w:hanging="720"/>
            <w:rPr>
              <w:shd w:val="clear" w:color="auto" w:fill="FFFFFF"/>
            </w:rPr>
          </w:pPr>
          <w:r>
            <w:rPr>
              <w:shd w:val="clear" w:color="auto" w:fill="FFFFFF"/>
            </w:rPr>
            <w:t>Brynjolfsson, E., Rock, D. and Syverson, C., 2021. The productivity J-curve: How intangibles complement general purpose technologies. </w:t>
          </w:r>
          <w:r>
            <w:rPr>
              <w:i/>
              <w:iCs/>
              <w:shd w:val="clear" w:color="auto" w:fill="FFFFFF"/>
            </w:rPr>
            <w:t>American Economic Journal: Macroeconomics</w:t>
          </w:r>
          <w:r>
            <w:rPr>
              <w:shd w:val="clear" w:color="auto" w:fill="FFFFFF"/>
            </w:rPr>
            <w:t>, </w:t>
          </w:r>
          <w:r>
            <w:rPr>
              <w:i/>
              <w:iCs/>
              <w:shd w:val="clear" w:color="auto" w:fill="FFFFFF"/>
            </w:rPr>
            <w:t>13</w:t>
          </w:r>
          <w:r>
            <w:rPr>
              <w:shd w:val="clear" w:color="auto" w:fill="FFFFFF"/>
            </w:rPr>
            <w:t>(1), pp.333-372.</w:t>
          </w:r>
        </w:p>
        <w:p w14:paraId="2EE23B11" w14:textId="53C5EE85" w:rsidR="0094344A" w:rsidRPr="001C3A35" w:rsidRDefault="0094344A" w:rsidP="0097274F">
          <w:pPr>
            <w:ind w:left="720" w:hanging="720"/>
          </w:pPr>
          <w:r>
            <w:rPr>
              <w:shd w:val="clear" w:color="auto" w:fill="FFFFFF"/>
            </w:rPr>
            <w:t>Dwivedi, Y.K., Hughes, L., Ismagilova, E., Aarts, G., Coombs, C., Crick, T., Duan, Y., Dwivedi, R., Edwards, J., Eirug, A. and Galanos, V., 2021. Artificial Intelligence (AI): Multidisciplinary perspectives on emerging challenges, opportunities, and agenda for research, practice and policy. </w:t>
          </w:r>
          <w:r>
            <w:rPr>
              <w:i/>
              <w:iCs/>
              <w:shd w:val="clear" w:color="auto" w:fill="FFFFFF"/>
            </w:rPr>
            <w:t>International journal of information management</w:t>
          </w:r>
          <w:r>
            <w:rPr>
              <w:shd w:val="clear" w:color="auto" w:fill="FFFFFF"/>
            </w:rPr>
            <w:t>, </w:t>
          </w:r>
          <w:r>
            <w:rPr>
              <w:i/>
              <w:iCs/>
              <w:shd w:val="clear" w:color="auto" w:fill="FFFFFF"/>
            </w:rPr>
            <w:t>57</w:t>
          </w:r>
          <w:r>
            <w:rPr>
              <w:shd w:val="clear" w:color="auto" w:fill="FFFFFF"/>
            </w:rPr>
            <w:t>, p.101994.</w:t>
          </w:r>
        </w:p>
        <w:p w14:paraId="762D1143" w14:textId="6E23CBE5" w:rsidR="008E7A7F" w:rsidRDefault="008E7A7F" w:rsidP="0097274F">
          <w:pPr>
            <w:ind w:left="720" w:hanging="720"/>
          </w:pPr>
          <w:r>
            <w:t xml:space="preserve">European Commission, 2021. </w:t>
          </w:r>
          <w:r>
            <w:rPr>
              <w:rStyle w:val="Emphasis"/>
            </w:rPr>
            <w:t>Proposal for a Regulation on Artificial Intelligence (Artificial Intelligence Act)</w:t>
          </w:r>
          <w:r>
            <w:t xml:space="preserve">. Brussels: European Union. Available at: </w:t>
          </w:r>
          <w:hyperlink r:id="rId28" w:history="1">
            <w:r w:rsidRPr="00433F4E">
              <w:rPr>
                <w:rStyle w:val="Hyperlink"/>
              </w:rPr>
              <w:t>https://digital-strategy.ec.europa.eu/en/library/proposal-regulation-laying-down-harmonised-rules-artificial-intelligence</w:t>
            </w:r>
          </w:hyperlink>
          <w:r>
            <w:t xml:space="preserve"> </w:t>
          </w:r>
        </w:p>
        <w:p w14:paraId="2DD1F183" w14:textId="43466643" w:rsidR="0066350F" w:rsidRDefault="00A9717D" w:rsidP="0097274F">
          <w:pPr>
            <w:ind w:left="720" w:hanging="720"/>
          </w:pPr>
          <w:r>
            <w:t xml:space="preserve">The Economist, </w:t>
          </w:r>
          <w:r w:rsidR="0066350F">
            <w:t>202</w:t>
          </w:r>
          <w:r w:rsidR="001C4020">
            <w:t>5</w:t>
          </w:r>
          <w:r>
            <w:t>.</w:t>
          </w:r>
          <w:r w:rsidR="0066350F">
            <w:t xml:space="preserve"> </w:t>
          </w:r>
          <w:r w:rsidR="001C4020" w:rsidRPr="001C4020">
            <w:rPr>
              <w:rStyle w:val="Emphasis"/>
            </w:rPr>
            <w:t>Insuring the future: assessing AI’s potential in the insurance industry</w:t>
          </w:r>
          <w:r w:rsidR="0066350F">
            <w:t>.</w:t>
          </w:r>
          <w:r>
            <w:t xml:space="preserve"> Available at: </w:t>
          </w:r>
          <w:hyperlink r:id="rId29" w:history="1">
            <w:r w:rsidRPr="00433F4E">
              <w:rPr>
                <w:rStyle w:val="Hyperlink"/>
              </w:rPr>
              <w:t>https://events.economist.com/custom-events/insuring-the-future-assessing-ais-potential-in-the-insurance-industry-tokyo/?gad_source=1&amp;gad_campaignid=23668605590&amp;gbraid=0AAAAADf-PMK9U9FCJ9ECwfA42BeDo_LpY&amp;gclid=Cj0KCQjwve7NBhC-ARIsALZy9HVFa4mAZrIKGA0uozMtf9TY3BywQmSZiJojsW8asaV_zTeGH0D8VYgaAoFZEALw_wcB</w:t>
            </w:r>
          </w:hyperlink>
          <w:r>
            <w:t xml:space="preserve"> </w:t>
          </w:r>
        </w:p>
        <w:p w14:paraId="01D126A1" w14:textId="77777777" w:rsidR="00765F5B" w:rsidRDefault="00765F5B" w:rsidP="0097274F">
          <w:pPr>
            <w:ind w:left="720" w:hanging="720"/>
          </w:pPr>
          <w:r w:rsidRPr="00765F5B">
            <w:t>GOV.UK</w:t>
          </w:r>
          <w:r>
            <w:t xml:space="preserve">, 2023. </w:t>
          </w:r>
          <w:r>
            <w:rPr>
              <w:rStyle w:val="Emphasis"/>
            </w:rPr>
            <w:t>A Pro-Innovation Approach to AI Regulation</w:t>
          </w:r>
          <w:r>
            <w:t xml:space="preserve">. London: HM Government. Available at: </w:t>
          </w:r>
          <w:hyperlink r:id="rId30" w:history="1">
            <w:r w:rsidRPr="00433F4E">
              <w:rPr>
                <w:rStyle w:val="Hyperlink"/>
              </w:rPr>
              <w:t>https://www.gov.uk/government/publications/ai-regulation-a-pro-innovation-approach/white-paper</w:t>
            </w:r>
          </w:hyperlink>
          <w:r>
            <w:t xml:space="preserve"> </w:t>
          </w:r>
        </w:p>
        <w:p w14:paraId="4AE3E4D7" w14:textId="648E6001" w:rsidR="00436B5E" w:rsidRDefault="00436B5E" w:rsidP="0097274F">
          <w:pPr>
            <w:ind w:left="720" w:hanging="720"/>
            <w:rPr>
              <w:shd w:val="clear" w:color="auto" w:fill="FFFFFF"/>
            </w:rPr>
          </w:pPr>
          <w:r>
            <w:rPr>
              <w:shd w:val="clear" w:color="auto" w:fill="FFFFFF"/>
            </w:rPr>
            <w:lastRenderedPageBreak/>
            <w:t>Glikson, E. and Woolley, A.W., 2020. Human trust in artificial intelligence: Review of empirical research. </w:t>
          </w:r>
          <w:r>
            <w:rPr>
              <w:i/>
              <w:iCs/>
              <w:shd w:val="clear" w:color="auto" w:fill="FFFFFF"/>
            </w:rPr>
            <w:t>Academy of management annals</w:t>
          </w:r>
          <w:r>
            <w:rPr>
              <w:shd w:val="clear" w:color="auto" w:fill="FFFFFF"/>
            </w:rPr>
            <w:t>, </w:t>
          </w:r>
          <w:r>
            <w:rPr>
              <w:i/>
              <w:iCs/>
              <w:shd w:val="clear" w:color="auto" w:fill="FFFFFF"/>
            </w:rPr>
            <w:t>14</w:t>
          </w:r>
          <w:r>
            <w:rPr>
              <w:shd w:val="clear" w:color="auto" w:fill="FFFFFF"/>
            </w:rPr>
            <w:t>(2), pp.627-660.</w:t>
          </w:r>
        </w:p>
        <w:p w14:paraId="43F8255B" w14:textId="77777777" w:rsidR="00F11DAD" w:rsidRDefault="00F11DAD" w:rsidP="0097274F">
          <w:pPr>
            <w:ind w:left="720" w:hanging="720"/>
          </w:pPr>
          <w:r>
            <w:t xml:space="preserve">ISO, 2021. </w:t>
          </w:r>
          <w:r w:rsidRPr="00866D16">
            <w:rPr>
              <w:rStyle w:val="Emphasis"/>
            </w:rPr>
            <w:t>ISO/IEC 23894:2023</w:t>
          </w:r>
          <w:r>
            <w:rPr>
              <w:rStyle w:val="Emphasis"/>
            </w:rPr>
            <w:t xml:space="preserve"> </w:t>
          </w:r>
          <w:r w:rsidRPr="00866D16">
            <w:rPr>
              <w:rStyle w:val="Emphasis"/>
            </w:rPr>
            <w:t>Information technology — Artificial intelligence — Guidance on risk management</w:t>
          </w:r>
          <w:r>
            <w:t xml:space="preserve">. Geneva: International Organization for Standardization. Available at: </w:t>
          </w:r>
          <w:hyperlink r:id="rId31" w:history="1">
            <w:r w:rsidRPr="00433F4E">
              <w:rPr>
                <w:rStyle w:val="Hyperlink"/>
              </w:rPr>
              <w:t>https://www.iso.org/standard/77304.html</w:t>
            </w:r>
          </w:hyperlink>
          <w:r>
            <w:t xml:space="preserve"> </w:t>
          </w:r>
        </w:p>
        <w:p w14:paraId="3836D53A" w14:textId="2ECFCFAE" w:rsidR="00436B5E" w:rsidRDefault="00436B5E" w:rsidP="0097274F">
          <w:pPr>
            <w:ind w:left="720" w:hanging="720"/>
          </w:pPr>
          <w:r>
            <w:t xml:space="preserve">ICO, 2022. </w:t>
          </w:r>
          <w:r w:rsidRPr="00436B5E">
            <w:rPr>
              <w:rStyle w:val="Emphasis"/>
            </w:rPr>
            <w:t>UK GDPR guidance and resources</w:t>
          </w:r>
          <w:r>
            <w:t xml:space="preserve">. Available at: </w:t>
          </w:r>
          <w:hyperlink r:id="rId32" w:history="1">
            <w:r w:rsidRPr="00433F4E">
              <w:rPr>
                <w:rStyle w:val="Hyperlink"/>
              </w:rPr>
              <w:t>https://ico.org.uk/for-organisations/uk-gdpr-guidance-and-resources/</w:t>
            </w:r>
          </w:hyperlink>
          <w:r>
            <w:t xml:space="preserve"> </w:t>
          </w:r>
        </w:p>
        <w:p w14:paraId="1B731397" w14:textId="77777777" w:rsidR="004B3664" w:rsidRDefault="004B3664" w:rsidP="0097274F">
          <w:pPr>
            <w:ind w:left="720" w:hanging="720"/>
            <w:rPr>
              <w:shd w:val="clear" w:color="auto" w:fill="FFFFFF"/>
            </w:rPr>
          </w:pPr>
          <w:r>
            <w:rPr>
              <w:shd w:val="clear" w:color="auto" w:fill="FFFFFF"/>
            </w:rPr>
            <w:t>Mehrabi, N., Morstatter, F., Saxena, N., Lerman, K. and Galstyan, A., 2021. A survey on bias and fairness in machine learning. </w:t>
          </w:r>
          <w:r>
            <w:rPr>
              <w:i/>
              <w:iCs/>
              <w:shd w:val="clear" w:color="auto" w:fill="FFFFFF"/>
            </w:rPr>
            <w:t>ACM computing surveys (CSUR)</w:t>
          </w:r>
          <w:r>
            <w:rPr>
              <w:shd w:val="clear" w:color="auto" w:fill="FFFFFF"/>
            </w:rPr>
            <w:t>, </w:t>
          </w:r>
          <w:r>
            <w:rPr>
              <w:i/>
              <w:iCs/>
              <w:shd w:val="clear" w:color="auto" w:fill="FFFFFF"/>
            </w:rPr>
            <w:t>54</w:t>
          </w:r>
          <w:r>
            <w:rPr>
              <w:shd w:val="clear" w:color="auto" w:fill="FFFFFF"/>
            </w:rPr>
            <w:t>(6), pp.1-35.</w:t>
          </w:r>
        </w:p>
        <w:p w14:paraId="36A3887D" w14:textId="77777777" w:rsidR="00B074D2" w:rsidRDefault="00B074D2" w:rsidP="0097274F">
          <w:pPr>
            <w:ind w:left="720" w:hanging="720"/>
          </w:pPr>
          <w:r>
            <w:t xml:space="preserve">OECD, 2021. </w:t>
          </w:r>
          <w:r w:rsidRPr="00B074D2">
            <w:rPr>
              <w:rStyle w:val="Emphasis"/>
            </w:rPr>
            <w:t>OECD Framework for the Classification of AI systems</w:t>
          </w:r>
          <w:r>
            <w:t xml:space="preserve">. Paris: OECD Publishing. Available at: </w:t>
          </w:r>
          <w:hyperlink r:id="rId33" w:history="1">
            <w:r w:rsidRPr="00433F4E">
              <w:rPr>
                <w:rStyle w:val="Hyperlink"/>
              </w:rPr>
              <w:t>https://www.oecd.org/en/publications/oecd-framework-for-the-classification-of-ai-systems_cb6d9eca-en.html</w:t>
            </w:r>
          </w:hyperlink>
          <w:r>
            <w:t xml:space="preserve"> </w:t>
          </w:r>
        </w:p>
        <w:p w14:paraId="4E862FE1" w14:textId="2CEEDD3E" w:rsidR="00871B6B" w:rsidRDefault="00871B6B" w:rsidP="0097274F">
          <w:pPr>
            <w:ind w:left="720" w:hanging="720"/>
          </w:pPr>
          <w:r>
            <w:t xml:space="preserve">Sage, 2023. </w:t>
          </w:r>
          <w:r>
            <w:rPr>
              <w:rStyle w:val="Emphasis"/>
            </w:rPr>
            <w:t>Annual Report and Accounts 2023</w:t>
          </w:r>
          <w:r>
            <w:t xml:space="preserve">. Newcastle: Sage Group plc. Available at: </w:t>
          </w:r>
          <w:hyperlink r:id="rId34" w:history="1">
            <w:r w:rsidRPr="00433F4E">
              <w:rPr>
                <w:rStyle w:val="Hyperlink"/>
              </w:rPr>
              <w:t>https://www.sage.com/investors/financial-information/annual-report/</w:t>
            </w:r>
          </w:hyperlink>
          <w:r>
            <w:t xml:space="preserve"> </w:t>
          </w:r>
        </w:p>
        <w:p w14:paraId="0E1F834C" w14:textId="77777777" w:rsidR="00135940" w:rsidRDefault="00135940" w:rsidP="0097274F">
          <w:pPr>
            <w:ind w:left="720" w:hanging="720"/>
          </w:pPr>
          <w:r>
            <w:t xml:space="preserve">UNCTAD, 2022. </w:t>
          </w:r>
          <w:r w:rsidRPr="00135940">
            <w:rPr>
              <w:rStyle w:val="Emphasis"/>
            </w:rPr>
            <w:t>Digital economy report. 2021 : cross-border data flows and development: for whom the data flow</w:t>
          </w:r>
          <w:r>
            <w:t xml:space="preserve">. Geneva: United Nations. Available at: </w:t>
          </w:r>
          <w:hyperlink r:id="rId35" w:history="1">
            <w:r w:rsidRPr="00433F4E">
              <w:rPr>
                <w:rStyle w:val="Hyperlink"/>
              </w:rPr>
              <w:t>https://digitallibrary.un.org/record/3942554?v=pdf&amp;ln=en</w:t>
            </w:r>
          </w:hyperlink>
          <w:r>
            <w:t xml:space="preserve"> </w:t>
          </w:r>
        </w:p>
        <w:p w14:paraId="2646D32C" w14:textId="77777777" w:rsidR="00CF380F" w:rsidRDefault="00CF380F" w:rsidP="0097274F">
          <w:pPr>
            <w:ind w:left="720" w:hanging="720"/>
          </w:pPr>
          <w:r>
            <w:t xml:space="preserve">World Bank, 2022. </w:t>
          </w:r>
          <w:r w:rsidRPr="00BE42F6">
            <w:rPr>
              <w:rStyle w:val="Emphasis"/>
            </w:rPr>
            <w:t>World Bank (2022) World Development Report 2022: Finance for an Equitable Recovery.</w:t>
          </w:r>
          <w:r>
            <w:t xml:space="preserve"> Washington, DC: World Bank. Available at: </w:t>
          </w:r>
          <w:hyperlink r:id="rId36" w:history="1">
            <w:r w:rsidRPr="00433F4E">
              <w:rPr>
                <w:rStyle w:val="Hyperlink"/>
              </w:rPr>
              <w:t>https://www.worldbank.org/en/publication/wdr2022</w:t>
            </w:r>
          </w:hyperlink>
          <w:r>
            <w:t xml:space="preserve"> </w:t>
          </w:r>
        </w:p>
        <w:p w14:paraId="66E66233" w14:textId="28C33B7C" w:rsidR="00B435AD" w:rsidRDefault="00B435AD" w:rsidP="0097274F">
          <w:pPr>
            <w:ind w:left="720" w:hanging="720"/>
          </w:pPr>
          <w:r>
            <w:rPr>
              <w:shd w:val="clear" w:color="auto" w:fill="FFFFFF"/>
            </w:rPr>
            <w:t>Zarifis, A., Holland, C.P. and Milne, A., 2023. Evaluating the impact of AI on insurance: The four emerging AI-and data-driven business models. </w:t>
          </w:r>
          <w:r>
            <w:rPr>
              <w:i/>
              <w:iCs/>
              <w:shd w:val="clear" w:color="auto" w:fill="FFFFFF"/>
            </w:rPr>
            <w:t>Emerald Open Research</w:t>
          </w:r>
          <w:r>
            <w:rPr>
              <w:shd w:val="clear" w:color="auto" w:fill="FFFFFF"/>
            </w:rPr>
            <w:t>, </w:t>
          </w:r>
          <w:r>
            <w:rPr>
              <w:i/>
              <w:iCs/>
              <w:shd w:val="clear" w:color="auto" w:fill="FFFFFF"/>
            </w:rPr>
            <w:t>1</w:t>
          </w:r>
          <w:r>
            <w:rPr>
              <w:shd w:val="clear" w:color="auto" w:fill="FFFFFF"/>
            </w:rPr>
            <w:t>(1).</w:t>
          </w:r>
        </w:p>
        <w:p w14:paraId="7F890C1F" w14:textId="77777777" w:rsidR="00CA09F3" w:rsidRPr="00341C46" w:rsidRDefault="00000000" w:rsidP="0097274F">
          <w:pPr>
            <w:ind w:left="720" w:hanging="720"/>
            <w:rPr>
              <w:rFonts w:cs="Times New Roman"/>
            </w:rPr>
          </w:pPr>
        </w:p>
      </w:sdtContent>
    </w:sdt>
    <w:sectPr w:rsidR="00CA09F3" w:rsidRPr="00341C46" w:rsidSect="00341C4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101D2" w14:textId="77777777" w:rsidR="00CF438D" w:rsidRDefault="00CF438D" w:rsidP="00341C46">
      <w:pPr>
        <w:spacing w:after="0" w:line="240" w:lineRule="auto"/>
      </w:pPr>
      <w:r>
        <w:separator/>
      </w:r>
    </w:p>
  </w:endnote>
  <w:endnote w:type="continuationSeparator" w:id="0">
    <w:p w14:paraId="2825E6D0" w14:textId="77777777" w:rsidR="00CF438D" w:rsidRDefault="00CF438D" w:rsidP="00341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1393A" w14:textId="77777777" w:rsidR="00AD3EAE" w:rsidRDefault="00AD3E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907FB" w14:textId="77777777" w:rsidR="00AD3EAE" w:rsidRDefault="00AD3E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539658"/>
      <w:docPartObj>
        <w:docPartGallery w:val="Page Numbers (Bottom of Page)"/>
        <w:docPartUnique/>
      </w:docPartObj>
    </w:sdtPr>
    <w:sdtEndPr>
      <w:rPr>
        <w:noProof/>
      </w:rPr>
    </w:sdtEndPr>
    <w:sdtContent>
      <w:p w14:paraId="587666DE" w14:textId="4C2E025B" w:rsidR="00AD3EAE" w:rsidRDefault="00AD3EAE">
        <w:pPr>
          <w:pStyle w:val="Footer"/>
          <w:jc w:val="center"/>
        </w:pPr>
        <w:r>
          <w:fldChar w:fldCharType="begin"/>
        </w:r>
        <w:r>
          <w:instrText xml:space="preserve"> PAGE   \* MERGEFORMAT </w:instrText>
        </w:r>
        <w:r>
          <w:fldChar w:fldCharType="separate"/>
        </w:r>
        <w:r w:rsidR="00CA2B0C">
          <w:rPr>
            <w:noProof/>
          </w:rPr>
          <w:t>1</w:t>
        </w:r>
        <w:r>
          <w:rPr>
            <w:noProof/>
          </w:rPr>
          <w:fldChar w:fldCharType="end"/>
        </w:r>
      </w:p>
    </w:sdtContent>
  </w:sdt>
  <w:p w14:paraId="0EFE9A69" w14:textId="77777777" w:rsidR="00AD3EAE" w:rsidRDefault="00AD3E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13071" w14:textId="77777777" w:rsidR="00CF438D" w:rsidRDefault="00CF438D" w:rsidP="00341C46">
      <w:pPr>
        <w:spacing w:after="0" w:line="240" w:lineRule="auto"/>
      </w:pPr>
      <w:r>
        <w:separator/>
      </w:r>
    </w:p>
  </w:footnote>
  <w:footnote w:type="continuationSeparator" w:id="0">
    <w:p w14:paraId="2BAF79DC" w14:textId="77777777" w:rsidR="00CF438D" w:rsidRDefault="00CF438D" w:rsidP="00341C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E5E8D" w14:textId="77777777" w:rsidR="00AD3EAE" w:rsidRDefault="00AD3E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D0F2F" w14:textId="77777777" w:rsidR="00AD3EAE" w:rsidRDefault="00AD3E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F8590" w14:textId="77777777" w:rsidR="00AD3EAE" w:rsidRDefault="00AD3E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236E"/>
    <w:multiLevelType w:val="hybridMultilevel"/>
    <w:tmpl w:val="9B8E3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5B29BA"/>
    <w:multiLevelType w:val="multilevel"/>
    <w:tmpl w:val="219C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AF2366"/>
    <w:multiLevelType w:val="hybridMultilevel"/>
    <w:tmpl w:val="B276E92C"/>
    <w:lvl w:ilvl="0" w:tplc="D21883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4777383">
    <w:abstractNumId w:val="0"/>
  </w:num>
  <w:num w:numId="2" w16cid:durableId="229195664">
    <w:abstractNumId w:val="2"/>
  </w:num>
  <w:num w:numId="3" w16cid:durableId="1821464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677A"/>
    <w:rsid w:val="00047735"/>
    <w:rsid w:val="00107936"/>
    <w:rsid w:val="00115B96"/>
    <w:rsid w:val="00135940"/>
    <w:rsid w:val="00141C78"/>
    <w:rsid w:val="001A7F35"/>
    <w:rsid w:val="001C3A35"/>
    <w:rsid w:val="001C4020"/>
    <w:rsid w:val="00232650"/>
    <w:rsid w:val="0030674F"/>
    <w:rsid w:val="00324CCD"/>
    <w:rsid w:val="00341C46"/>
    <w:rsid w:val="0035668C"/>
    <w:rsid w:val="00360F77"/>
    <w:rsid w:val="00392F89"/>
    <w:rsid w:val="003C1E11"/>
    <w:rsid w:val="00436B5E"/>
    <w:rsid w:val="00480872"/>
    <w:rsid w:val="00483228"/>
    <w:rsid w:val="004A11F6"/>
    <w:rsid w:val="004B3664"/>
    <w:rsid w:val="004D519C"/>
    <w:rsid w:val="004F075E"/>
    <w:rsid w:val="005539D8"/>
    <w:rsid w:val="005C37DC"/>
    <w:rsid w:val="0065184A"/>
    <w:rsid w:val="00652E12"/>
    <w:rsid w:val="006538EB"/>
    <w:rsid w:val="0066350F"/>
    <w:rsid w:val="00677585"/>
    <w:rsid w:val="00682906"/>
    <w:rsid w:val="006903C6"/>
    <w:rsid w:val="006B7DC6"/>
    <w:rsid w:val="00765F5B"/>
    <w:rsid w:val="00795EFE"/>
    <w:rsid w:val="007A7DDD"/>
    <w:rsid w:val="007D1947"/>
    <w:rsid w:val="00830556"/>
    <w:rsid w:val="0085745C"/>
    <w:rsid w:val="00866D16"/>
    <w:rsid w:val="00871B6B"/>
    <w:rsid w:val="00891F59"/>
    <w:rsid w:val="008B7EAF"/>
    <w:rsid w:val="008D043C"/>
    <w:rsid w:val="008D72AF"/>
    <w:rsid w:val="008E7A7F"/>
    <w:rsid w:val="00910AF7"/>
    <w:rsid w:val="00912217"/>
    <w:rsid w:val="00931CAA"/>
    <w:rsid w:val="0094344A"/>
    <w:rsid w:val="0097274F"/>
    <w:rsid w:val="00983FDC"/>
    <w:rsid w:val="0099392D"/>
    <w:rsid w:val="009E15DC"/>
    <w:rsid w:val="00A12B58"/>
    <w:rsid w:val="00A9717D"/>
    <w:rsid w:val="00AA2A91"/>
    <w:rsid w:val="00AA5447"/>
    <w:rsid w:val="00AD3EAE"/>
    <w:rsid w:val="00AF0147"/>
    <w:rsid w:val="00B074D2"/>
    <w:rsid w:val="00B238DD"/>
    <w:rsid w:val="00B36BA2"/>
    <w:rsid w:val="00B435AD"/>
    <w:rsid w:val="00B7235F"/>
    <w:rsid w:val="00BD325C"/>
    <w:rsid w:val="00BE42F6"/>
    <w:rsid w:val="00C61F02"/>
    <w:rsid w:val="00C92C5D"/>
    <w:rsid w:val="00CA09F3"/>
    <w:rsid w:val="00CA2B0C"/>
    <w:rsid w:val="00CD1C88"/>
    <w:rsid w:val="00CF3732"/>
    <w:rsid w:val="00CF380F"/>
    <w:rsid w:val="00CF438D"/>
    <w:rsid w:val="00D2662A"/>
    <w:rsid w:val="00D64D15"/>
    <w:rsid w:val="00D854A5"/>
    <w:rsid w:val="00DB545A"/>
    <w:rsid w:val="00DF6975"/>
    <w:rsid w:val="00E15338"/>
    <w:rsid w:val="00E52CD6"/>
    <w:rsid w:val="00E64D7E"/>
    <w:rsid w:val="00EE3287"/>
    <w:rsid w:val="00F11DAD"/>
    <w:rsid w:val="00F4611A"/>
    <w:rsid w:val="00F51E28"/>
    <w:rsid w:val="00F53A93"/>
    <w:rsid w:val="00F733B9"/>
    <w:rsid w:val="00F850EF"/>
    <w:rsid w:val="00FA1ECA"/>
    <w:rsid w:val="00FC47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02600345-8CB1-45E2-BF3E-686E4ED7D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C4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41C46"/>
    <w:pPr>
      <w:keepNext/>
      <w:keepLines/>
      <w:spacing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autoRedefine/>
    <w:uiPriority w:val="9"/>
    <w:unhideWhenUsed/>
    <w:qFormat/>
    <w:rsid w:val="00FC478D"/>
    <w:pPr>
      <w:keepNext/>
      <w:keepLines/>
      <w:spacing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autoRedefine/>
    <w:uiPriority w:val="9"/>
    <w:unhideWhenUsed/>
    <w:qFormat/>
    <w:rsid w:val="00F51E28"/>
    <w:pPr>
      <w:keepNext/>
      <w:keepLines/>
      <w:spacing w:after="0"/>
      <w:outlineLvl w:val="2"/>
    </w:pPr>
    <w:rPr>
      <w:rFonts w:eastAsiaTheme="majorEastAsia" w:cstheme="majorBidi"/>
      <w:b/>
      <w:color w:val="1F4D78" w:themeColor="accent1" w:themeShade="7F"/>
      <w:szCs w:val="24"/>
    </w:rPr>
  </w:style>
  <w:style w:type="paragraph" w:styleId="Heading4">
    <w:name w:val="heading 4"/>
    <w:basedOn w:val="Normal"/>
    <w:next w:val="Normal"/>
    <w:link w:val="Heading4Char"/>
    <w:uiPriority w:val="9"/>
    <w:unhideWhenUsed/>
    <w:qFormat/>
    <w:rsid w:val="0068290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341C46"/>
    <w:rPr>
      <w:rFonts w:ascii="Times New Roman" w:eastAsiaTheme="majorEastAsia" w:hAnsi="Times New Roman" w:cstheme="majorBidi"/>
      <w:b/>
      <w:color w:val="2E74B5" w:themeColor="accent1" w:themeShade="BF"/>
      <w:sz w:val="28"/>
      <w:szCs w:val="32"/>
    </w:rPr>
  </w:style>
  <w:style w:type="paragraph" w:styleId="TOCHeading">
    <w:name w:val="TOC Heading"/>
    <w:basedOn w:val="Heading1"/>
    <w:next w:val="Normal"/>
    <w:autoRedefine/>
    <w:uiPriority w:val="39"/>
    <w:unhideWhenUsed/>
    <w:qFormat/>
    <w:rsid w:val="00341C46"/>
    <w:pPr>
      <w:spacing w:before="120" w:after="120"/>
      <w:jc w:val="center"/>
      <w:outlineLvl w:val="9"/>
    </w:pPr>
    <w:rPr>
      <w:lang w:val="en-US"/>
    </w:rPr>
  </w:style>
  <w:style w:type="paragraph" w:styleId="TOC1">
    <w:name w:val="toc 1"/>
    <w:basedOn w:val="Normal"/>
    <w:next w:val="Normal"/>
    <w:autoRedefine/>
    <w:uiPriority w:val="39"/>
    <w:unhideWhenUsed/>
    <w:rsid w:val="005539D8"/>
    <w:pPr>
      <w:tabs>
        <w:tab w:val="right" w:leader="dot" w:pos="9016"/>
      </w:tabs>
      <w:spacing w:after="100"/>
    </w:pPr>
    <w:rPr>
      <w:rFonts w:cs="Times New Roman"/>
      <w:b/>
      <w:noProof/>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9E15DC"/>
    <w:rPr>
      <w:rFonts w:ascii="Times New Roman" w:eastAsiaTheme="majorEastAsia" w:hAnsi="Times New Roman" w:cstheme="majorBidi"/>
      <w:b/>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341C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C46"/>
    <w:rPr>
      <w:rFonts w:ascii="Times New Roman" w:hAnsi="Times New Roman"/>
      <w:sz w:val="24"/>
    </w:rPr>
  </w:style>
  <w:style w:type="paragraph" w:styleId="Footer">
    <w:name w:val="footer"/>
    <w:basedOn w:val="Normal"/>
    <w:link w:val="FooterChar"/>
    <w:uiPriority w:val="99"/>
    <w:unhideWhenUsed/>
    <w:rsid w:val="00341C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C46"/>
    <w:rPr>
      <w:rFonts w:ascii="Times New Roman" w:hAnsi="Times New Roman"/>
      <w:sz w:val="24"/>
    </w:rPr>
  </w:style>
  <w:style w:type="character" w:customStyle="1" w:styleId="Heading3Char">
    <w:name w:val="Heading 3 Char"/>
    <w:basedOn w:val="DefaultParagraphFont"/>
    <w:link w:val="Heading3"/>
    <w:uiPriority w:val="9"/>
    <w:rsid w:val="00F51E28"/>
    <w:rPr>
      <w:rFonts w:ascii="Times New Roman" w:eastAsiaTheme="majorEastAsia" w:hAnsi="Times New Roman" w:cstheme="majorBidi"/>
      <w:b/>
      <w:color w:val="1F4D78" w:themeColor="accent1" w:themeShade="7F"/>
      <w:sz w:val="24"/>
      <w:szCs w:val="24"/>
    </w:rPr>
  </w:style>
  <w:style w:type="paragraph" w:styleId="TOC3">
    <w:name w:val="toc 3"/>
    <w:basedOn w:val="Normal"/>
    <w:next w:val="Normal"/>
    <w:autoRedefine/>
    <w:uiPriority w:val="39"/>
    <w:unhideWhenUsed/>
    <w:rsid w:val="0085745C"/>
    <w:pPr>
      <w:spacing w:after="100"/>
      <w:ind w:left="480"/>
    </w:pPr>
  </w:style>
  <w:style w:type="character" w:customStyle="1" w:styleId="Heading4Char">
    <w:name w:val="Heading 4 Char"/>
    <w:basedOn w:val="DefaultParagraphFont"/>
    <w:link w:val="Heading4"/>
    <w:uiPriority w:val="9"/>
    <w:rsid w:val="00682906"/>
    <w:rPr>
      <w:rFonts w:asciiTheme="majorHAnsi" w:eastAsiaTheme="majorEastAsia" w:hAnsiTheme="majorHAnsi" w:cstheme="majorBidi"/>
      <w:i/>
      <w:iCs/>
      <w:color w:val="2E74B5" w:themeColor="accent1" w:themeShade="BF"/>
      <w:sz w:val="24"/>
    </w:rPr>
  </w:style>
  <w:style w:type="character" w:styleId="Strong">
    <w:name w:val="Strong"/>
    <w:basedOn w:val="DefaultParagraphFont"/>
    <w:uiPriority w:val="22"/>
    <w:qFormat/>
    <w:rsid w:val="00FC478D"/>
    <w:rPr>
      <w:b/>
      <w:bCs/>
    </w:rPr>
  </w:style>
  <w:style w:type="paragraph" w:styleId="NormalWeb">
    <w:name w:val="Normal (Web)"/>
    <w:basedOn w:val="Normal"/>
    <w:uiPriority w:val="99"/>
    <w:unhideWhenUsed/>
    <w:rsid w:val="0066350F"/>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66350F"/>
    <w:rPr>
      <w:i/>
      <w:iCs/>
    </w:rPr>
  </w:style>
  <w:style w:type="paragraph" w:styleId="Caption">
    <w:name w:val="caption"/>
    <w:basedOn w:val="Normal"/>
    <w:next w:val="Normal"/>
    <w:uiPriority w:val="35"/>
    <w:unhideWhenUsed/>
    <w:qFormat/>
    <w:rsid w:val="00830556"/>
    <w:pPr>
      <w:spacing w:after="200" w:line="240" w:lineRule="auto"/>
    </w:pPr>
    <w:rPr>
      <w:i/>
      <w:iCs/>
      <w:color w:val="44546A" w:themeColor="text2"/>
      <w:sz w:val="18"/>
      <w:szCs w:val="18"/>
    </w:rPr>
  </w:style>
  <w:style w:type="paragraph" w:styleId="Quote">
    <w:name w:val="Quote"/>
    <w:basedOn w:val="Normal"/>
    <w:next w:val="Normal"/>
    <w:link w:val="QuoteChar"/>
    <w:autoRedefine/>
    <w:uiPriority w:val="29"/>
    <w:qFormat/>
    <w:rsid w:val="00830556"/>
    <w:pPr>
      <w:spacing w:after="0"/>
      <w:ind w:right="864"/>
      <w:jc w:val="center"/>
    </w:pPr>
    <w:rPr>
      <w:i/>
      <w:iCs/>
      <w:color w:val="404040" w:themeColor="text1" w:themeTint="BF"/>
    </w:rPr>
  </w:style>
  <w:style w:type="character" w:customStyle="1" w:styleId="QuoteChar">
    <w:name w:val="Quote Char"/>
    <w:basedOn w:val="DefaultParagraphFont"/>
    <w:link w:val="Quote"/>
    <w:uiPriority w:val="29"/>
    <w:rsid w:val="00830556"/>
    <w:rPr>
      <w:rFonts w:ascii="Times New Roman" w:hAnsi="Times New Roman"/>
      <w:i/>
      <w:iCs/>
      <w:color w:val="404040" w:themeColor="text1" w:themeTint="BF"/>
      <w:sz w:val="24"/>
    </w:rPr>
  </w:style>
  <w:style w:type="paragraph" w:styleId="TableofFigures">
    <w:name w:val="table of figures"/>
    <w:basedOn w:val="Normal"/>
    <w:next w:val="Normal"/>
    <w:uiPriority w:val="99"/>
    <w:unhideWhenUsed/>
    <w:rsid w:val="00652E1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241270">
      <w:bodyDiv w:val="1"/>
      <w:marLeft w:val="0"/>
      <w:marRight w:val="0"/>
      <w:marTop w:val="0"/>
      <w:marBottom w:val="0"/>
      <w:divBdr>
        <w:top w:val="none" w:sz="0" w:space="0" w:color="auto"/>
        <w:left w:val="none" w:sz="0" w:space="0" w:color="auto"/>
        <w:bottom w:val="none" w:sz="0" w:space="0" w:color="auto"/>
        <w:right w:val="none" w:sz="0" w:space="0" w:color="auto"/>
      </w:divBdr>
    </w:div>
    <w:div w:id="804928607">
      <w:bodyDiv w:val="1"/>
      <w:marLeft w:val="0"/>
      <w:marRight w:val="0"/>
      <w:marTop w:val="0"/>
      <w:marBottom w:val="0"/>
      <w:divBdr>
        <w:top w:val="none" w:sz="0" w:space="0" w:color="auto"/>
        <w:left w:val="none" w:sz="0" w:space="0" w:color="auto"/>
        <w:bottom w:val="none" w:sz="0" w:space="0" w:color="auto"/>
        <w:right w:val="none" w:sz="0" w:space="0" w:color="auto"/>
      </w:divBdr>
    </w:div>
    <w:div w:id="962034631">
      <w:bodyDiv w:val="1"/>
      <w:marLeft w:val="0"/>
      <w:marRight w:val="0"/>
      <w:marTop w:val="0"/>
      <w:marBottom w:val="0"/>
      <w:divBdr>
        <w:top w:val="none" w:sz="0" w:space="0" w:color="auto"/>
        <w:left w:val="none" w:sz="0" w:space="0" w:color="auto"/>
        <w:bottom w:val="none" w:sz="0" w:space="0" w:color="auto"/>
        <w:right w:val="none" w:sz="0" w:space="0" w:color="auto"/>
      </w:divBdr>
    </w:div>
    <w:div w:id="1094939578">
      <w:bodyDiv w:val="1"/>
      <w:marLeft w:val="0"/>
      <w:marRight w:val="0"/>
      <w:marTop w:val="0"/>
      <w:marBottom w:val="0"/>
      <w:divBdr>
        <w:top w:val="none" w:sz="0" w:space="0" w:color="auto"/>
        <w:left w:val="none" w:sz="0" w:space="0" w:color="auto"/>
        <w:bottom w:val="none" w:sz="0" w:space="0" w:color="auto"/>
        <w:right w:val="none" w:sz="0" w:space="0" w:color="auto"/>
      </w:divBdr>
    </w:div>
    <w:div w:id="1161774010">
      <w:bodyDiv w:val="1"/>
      <w:marLeft w:val="0"/>
      <w:marRight w:val="0"/>
      <w:marTop w:val="0"/>
      <w:marBottom w:val="0"/>
      <w:divBdr>
        <w:top w:val="none" w:sz="0" w:space="0" w:color="auto"/>
        <w:left w:val="none" w:sz="0" w:space="0" w:color="auto"/>
        <w:bottom w:val="none" w:sz="0" w:space="0" w:color="auto"/>
        <w:right w:val="none" w:sz="0" w:space="0" w:color="auto"/>
      </w:divBdr>
    </w:div>
    <w:div w:id="1795363120">
      <w:bodyDiv w:val="1"/>
      <w:marLeft w:val="0"/>
      <w:marRight w:val="0"/>
      <w:marTop w:val="0"/>
      <w:marBottom w:val="0"/>
      <w:divBdr>
        <w:top w:val="none" w:sz="0" w:space="0" w:color="auto"/>
        <w:left w:val="none" w:sz="0" w:space="0" w:color="auto"/>
        <w:bottom w:val="none" w:sz="0" w:space="0" w:color="auto"/>
        <w:right w:val="none" w:sz="0" w:space="0" w:color="auto"/>
      </w:divBdr>
    </w:div>
    <w:div w:id="1930961203">
      <w:bodyDiv w:val="1"/>
      <w:marLeft w:val="0"/>
      <w:marRight w:val="0"/>
      <w:marTop w:val="0"/>
      <w:marBottom w:val="0"/>
      <w:divBdr>
        <w:top w:val="none" w:sz="0" w:space="0" w:color="auto"/>
        <w:left w:val="none" w:sz="0" w:space="0" w:color="auto"/>
        <w:bottom w:val="none" w:sz="0" w:space="0" w:color="auto"/>
        <w:right w:val="none" w:sz="0" w:space="0" w:color="auto"/>
      </w:divBdr>
    </w:div>
    <w:div w:id="2066415992">
      <w:bodyDiv w:val="1"/>
      <w:marLeft w:val="0"/>
      <w:marRight w:val="0"/>
      <w:marTop w:val="0"/>
      <w:marBottom w:val="0"/>
      <w:divBdr>
        <w:top w:val="none" w:sz="0" w:space="0" w:color="auto"/>
        <w:left w:val="none" w:sz="0" w:space="0" w:color="auto"/>
        <w:bottom w:val="none" w:sz="0" w:space="0" w:color="auto"/>
        <w:right w:val="none" w:sz="0" w:space="0" w:color="auto"/>
      </w:divBdr>
      <w:divsChild>
        <w:div w:id="840701353">
          <w:marLeft w:val="0"/>
          <w:marRight w:val="0"/>
          <w:marTop w:val="600"/>
          <w:marBottom w:val="45"/>
          <w:divBdr>
            <w:top w:val="none" w:sz="0" w:space="0" w:color="auto"/>
            <w:left w:val="none" w:sz="0" w:space="0" w:color="auto"/>
            <w:bottom w:val="none" w:sz="0" w:space="0" w:color="auto"/>
            <w:right w:val="none" w:sz="0" w:space="0" w:color="auto"/>
          </w:divBdr>
        </w:div>
      </w:divsChild>
    </w:div>
    <w:div w:id="2105035417">
      <w:bodyDiv w:val="1"/>
      <w:marLeft w:val="0"/>
      <w:marRight w:val="0"/>
      <w:marTop w:val="0"/>
      <w:marBottom w:val="0"/>
      <w:divBdr>
        <w:top w:val="none" w:sz="0" w:space="0" w:color="auto"/>
        <w:left w:val="none" w:sz="0" w:space="0" w:color="auto"/>
        <w:bottom w:val="none" w:sz="0" w:space="0" w:color="auto"/>
        <w:right w:val="none" w:sz="0" w:space="0" w:color="auto"/>
      </w:divBdr>
      <w:divsChild>
        <w:div w:id="45034382">
          <w:marLeft w:val="0"/>
          <w:marRight w:val="0"/>
          <w:marTop w:val="0"/>
          <w:marBottom w:val="0"/>
          <w:divBdr>
            <w:top w:val="dotted" w:sz="2" w:space="0" w:color="E5E5E5"/>
            <w:left w:val="dotted" w:sz="2" w:space="0" w:color="E5E5E5"/>
            <w:bottom w:val="dotted" w:sz="12" w:space="0" w:color="E5E5E5"/>
            <w:right w:val="dotted" w:sz="2" w:space="0" w:color="E5E5E5"/>
          </w:divBdr>
          <w:divsChild>
            <w:div w:id="2674691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diagramData" Target="diagrams/data1.xml"/><Relationship Id="rId26"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diagramColors" Target="diagrams/colors1.xml"/><Relationship Id="rId34" Type="http://schemas.openxmlformats.org/officeDocument/2006/relationships/hyperlink" Target="https://www.sage.com/investors/financial-information/annual-report/"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diagramQuickStyle" Target="diagrams/quickStyle2.xml"/><Relationship Id="rId33" Type="http://schemas.openxmlformats.org/officeDocument/2006/relationships/hyperlink" Target="https://www.oecd.org/en/publications/oecd-framework-for-the-classification-of-ai-systems_cb6d9eca-en.htm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diagramQuickStyle" Target="diagrams/quickStyle1.xml"/><Relationship Id="rId29" Type="http://schemas.openxmlformats.org/officeDocument/2006/relationships/hyperlink" Target="https://events.economist.com/custom-events/insuring-the-future-assessing-ais-potential-in-the-insurance-industry-tokyo/?gad_source=1&amp;gad_campaignid=23668605590&amp;gbraid=0AAAAADf-PMK9U9FCJ9ECwfA42BeDo_LpY&amp;gclid=Cj0KCQjwve7NBhC-ARIsALZy9HVFa4mAZrIKGA0uozMtf9TY3BywQmSZiJojsW8asaV_zTeGH0D8VYgaAoFZEALw_wc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diagramLayout" Target="diagrams/layout2.xml"/><Relationship Id="rId32" Type="http://schemas.openxmlformats.org/officeDocument/2006/relationships/hyperlink" Target="https://ico.org.uk/for-organisations/uk-gdpr-guidance-and-resource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diagramData" Target="diagrams/data2.xml"/><Relationship Id="rId28" Type="http://schemas.openxmlformats.org/officeDocument/2006/relationships/hyperlink" Target="https://digital-strategy.ec.europa.eu/en/library/proposal-regulation-laying-down-harmonised-rules-artificial-intelligence" TargetMode="External"/><Relationship Id="rId36" Type="http://schemas.openxmlformats.org/officeDocument/2006/relationships/hyperlink" Target="https://www.worldbank.org/en/publication/wdr2022" TargetMode="External"/><Relationship Id="rId10" Type="http://schemas.openxmlformats.org/officeDocument/2006/relationships/header" Target="header1.xml"/><Relationship Id="rId19" Type="http://schemas.openxmlformats.org/officeDocument/2006/relationships/diagramLayout" Target="diagrams/layout1.xml"/><Relationship Id="rId31" Type="http://schemas.openxmlformats.org/officeDocument/2006/relationships/hyperlink" Target="https://www.iso.org/standard/77304.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microsoft.com/office/2007/relationships/diagramDrawing" Target="diagrams/drawing1.xml"/><Relationship Id="rId27" Type="http://schemas.microsoft.com/office/2007/relationships/diagramDrawing" Target="diagrams/drawing2.xml"/><Relationship Id="rId30" Type="http://schemas.openxmlformats.org/officeDocument/2006/relationships/hyperlink" Target="https://www.gov.uk/government/publications/ai-regulation-a-pro-innovation-approach/white-paper" TargetMode="External"/><Relationship Id="rId35" Type="http://schemas.openxmlformats.org/officeDocument/2006/relationships/hyperlink" Target="https://digitallibrary.un.org/record/3942554?v=pdf&amp;ln=en" TargetMode="Externa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6DA62E-C5D4-4A44-BFE3-D5C2F4EFF260}" type="doc">
      <dgm:prSet loTypeId="urn:microsoft.com/office/officeart/2009/3/layout/HorizontalOrganizationChart" loCatId="hierarchy" qsTypeId="urn:microsoft.com/office/officeart/2005/8/quickstyle/simple3" qsCatId="simple" csTypeId="urn:microsoft.com/office/officeart/2005/8/colors/accent2_1" csCatId="accent2" phldr="1"/>
      <dgm:spPr/>
      <dgm:t>
        <a:bodyPr/>
        <a:lstStyle/>
        <a:p>
          <a:endParaRPr lang="en-GB"/>
        </a:p>
      </dgm:t>
    </dgm:pt>
    <dgm:pt modelId="{3DEDB406-35AA-4A7C-9D76-89F76DD67966}">
      <dgm:prSet phldrT="[Text]"/>
      <dgm:spPr/>
      <dgm:t>
        <a:bodyPr/>
        <a:lstStyle/>
        <a:p>
          <a:r>
            <a:rPr lang="en-GB"/>
            <a:t>AI Risk Categories</a:t>
          </a:r>
        </a:p>
      </dgm:t>
    </dgm:pt>
    <dgm:pt modelId="{7F54EE5C-0272-4EC2-B540-E29C59E37002}" type="parTrans" cxnId="{0BB2A615-D127-43A0-BC1E-F35F10E16625}">
      <dgm:prSet/>
      <dgm:spPr/>
      <dgm:t>
        <a:bodyPr/>
        <a:lstStyle/>
        <a:p>
          <a:endParaRPr lang="en-GB"/>
        </a:p>
      </dgm:t>
    </dgm:pt>
    <dgm:pt modelId="{D2C79814-9F18-486A-9337-1666B6CA5D8E}" type="sibTrans" cxnId="{0BB2A615-D127-43A0-BC1E-F35F10E16625}">
      <dgm:prSet/>
      <dgm:spPr/>
      <dgm:t>
        <a:bodyPr/>
        <a:lstStyle/>
        <a:p>
          <a:endParaRPr lang="en-GB"/>
        </a:p>
      </dgm:t>
    </dgm:pt>
    <dgm:pt modelId="{4B5BEECA-5D3C-4D54-B993-C9D0BABCB08E}">
      <dgm:prSet phldrT="[Text]"/>
      <dgm:spPr/>
      <dgm:t>
        <a:bodyPr/>
        <a:lstStyle/>
        <a:p>
          <a:r>
            <a:rPr lang="en-GB"/>
            <a:t>Operational</a:t>
          </a:r>
        </a:p>
      </dgm:t>
    </dgm:pt>
    <dgm:pt modelId="{36616572-DBDD-4397-B272-A01F3B9D578F}" type="parTrans" cxnId="{936832B9-D5A7-4F3D-9042-C337B52310BA}">
      <dgm:prSet/>
      <dgm:spPr/>
      <dgm:t>
        <a:bodyPr/>
        <a:lstStyle/>
        <a:p>
          <a:endParaRPr lang="en-GB"/>
        </a:p>
      </dgm:t>
    </dgm:pt>
    <dgm:pt modelId="{7FFF3C81-88AB-4EE3-BA56-247B93BFED3D}" type="sibTrans" cxnId="{936832B9-D5A7-4F3D-9042-C337B52310BA}">
      <dgm:prSet/>
      <dgm:spPr/>
      <dgm:t>
        <a:bodyPr/>
        <a:lstStyle/>
        <a:p>
          <a:endParaRPr lang="en-GB"/>
        </a:p>
      </dgm:t>
    </dgm:pt>
    <dgm:pt modelId="{D4F4262B-29D4-4A12-8560-C513B2E36B36}">
      <dgm:prSet phldrT="[Text]"/>
      <dgm:spPr/>
      <dgm:t>
        <a:bodyPr/>
        <a:lstStyle/>
        <a:p>
          <a:r>
            <a:rPr lang="en-GB"/>
            <a:t>Ethical</a:t>
          </a:r>
        </a:p>
      </dgm:t>
    </dgm:pt>
    <dgm:pt modelId="{867CC97D-5957-4B29-81D1-FEA6D70871DD}" type="parTrans" cxnId="{DBFE8157-6B6E-4406-B027-D2BBF70C5C15}">
      <dgm:prSet/>
      <dgm:spPr/>
      <dgm:t>
        <a:bodyPr/>
        <a:lstStyle/>
        <a:p>
          <a:endParaRPr lang="en-GB"/>
        </a:p>
      </dgm:t>
    </dgm:pt>
    <dgm:pt modelId="{CFF0F1CC-5DBB-412B-82DB-F6250E404925}" type="sibTrans" cxnId="{DBFE8157-6B6E-4406-B027-D2BBF70C5C15}">
      <dgm:prSet/>
      <dgm:spPr/>
      <dgm:t>
        <a:bodyPr/>
        <a:lstStyle/>
        <a:p>
          <a:endParaRPr lang="en-GB"/>
        </a:p>
      </dgm:t>
    </dgm:pt>
    <dgm:pt modelId="{6BCDC3E0-E655-4900-8BCA-768BB067BD29}">
      <dgm:prSet phldrT="[Text]"/>
      <dgm:spPr/>
      <dgm:t>
        <a:bodyPr/>
        <a:lstStyle/>
        <a:p>
          <a:r>
            <a:rPr lang="en-GB"/>
            <a:t>Cybersecurity</a:t>
          </a:r>
        </a:p>
      </dgm:t>
    </dgm:pt>
    <dgm:pt modelId="{FBC67B65-9E05-4963-AE02-A0D52A0C9895}" type="parTrans" cxnId="{D6C8AA0D-F140-46A9-862D-AD6AE32C0506}">
      <dgm:prSet/>
      <dgm:spPr/>
      <dgm:t>
        <a:bodyPr/>
        <a:lstStyle/>
        <a:p>
          <a:endParaRPr lang="en-GB"/>
        </a:p>
      </dgm:t>
    </dgm:pt>
    <dgm:pt modelId="{91D56E67-B706-40C0-B2D3-223810822856}" type="sibTrans" cxnId="{D6C8AA0D-F140-46A9-862D-AD6AE32C0506}">
      <dgm:prSet/>
      <dgm:spPr/>
      <dgm:t>
        <a:bodyPr/>
        <a:lstStyle/>
        <a:p>
          <a:endParaRPr lang="en-GB"/>
        </a:p>
      </dgm:t>
    </dgm:pt>
    <dgm:pt modelId="{12644645-EC8A-4F9B-9135-E515B3400577}">
      <dgm:prSet phldrT="[Text]"/>
      <dgm:spPr/>
      <dgm:t>
        <a:bodyPr/>
        <a:lstStyle/>
        <a:p>
          <a:r>
            <a:rPr lang="en-GB"/>
            <a:t>Regulatory</a:t>
          </a:r>
        </a:p>
      </dgm:t>
    </dgm:pt>
    <dgm:pt modelId="{8AB45B27-74F8-4B0C-AB3D-4D9961ACE746}" type="parTrans" cxnId="{F6581F3E-71D2-41CE-8D22-0C9A81B24B86}">
      <dgm:prSet/>
      <dgm:spPr/>
      <dgm:t>
        <a:bodyPr/>
        <a:lstStyle/>
        <a:p>
          <a:endParaRPr lang="en-GB"/>
        </a:p>
      </dgm:t>
    </dgm:pt>
    <dgm:pt modelId="{431BC598-908A-47D8-BB0D-CEB211E88405}" type="sibTrans" cxnId="{F6581F3E-71D2-41CE-8D22-0C9A81B24B86}">
      <dgm:prSet/>
      <dgm:spPr/>
      <dgm:t>
        <a:bodyPr/>
        <a:lstStyle/>
        <a:p>
          <a:endParaRPr lang="en-GB"/>
        </a:p>
      </dgm:t>
    </dgm:pt>
    <dgm:pt modelId="{7D0409C4-46DC-4F70-A724-14A145382EA5}" type="pres">
      <dgm:prSet presAssocID="{2C6DA62E-C5D4-4A44-BFE3-D5C2F4EFF260}" presName="hierChild1" presStyleCnt="0">
        <dgm:presLayoutVars>
          <dgm:orgChart val="1"/>
          <dgm:chPref val="1"/>
          <dgm:dir/>
          <dgm:animOne val="branch"/>
          <dgm:animLvl val="lvl"/>
          <dgm:resizeHandles/>
        </dgm:presLayoutVars>
      </dgm:prSet>
      <dgm:spPr/>
    </dgm:pt>
    <dgm:pt modelId="{40BADA80-8186-4DFB-901F-8F32D8984458}" type="pres">
      <dgm:prSet presAssocID="{3DEDB406-35AA-4A7C-9D76-89F76DD67966}" presName="hierRoot1" presStyleCnt="0">
        <dgm:presLayoutVars>
          <dgm:hierBranch val="init"/>
        </dgm:presLayoutVars>
      </dgm:prSet>
      <dgm:spPr/>
    </dgm:pt>
    <dgm:pt modelId="{DAF77519-167C-439D-B335-231893B6A5BB}" type="pres">
      <dgm:prSet presAssocID="{3DEDB406-35AA-4A7C-9D76-89F76DD67966}" presName="rootComposite1" presStyleCnt="0"/>
      <dgm:spPr/>
    </dgm:pt>
    <dgm:pt modelId="{FAC5B8B0-EC87-4E5B-88FD-050E71ED16CA}" type="pres">
      <dgm:prSet presAssocID="{3DEDB406-35AA-4A7C-9D76-89F76DD67966}" presName="rootText1" presStyleLbl="node0" presStyleIdx="0" presStyleCnt="1">
        <dgm:presLayoutVars>
          <dgm:chPref val="3"/>
        </dgm:presLayoutVars>
      </dgm:prSet>
      <dgm:spPr/>
    </dgm:pt>
    <dgm:pt modelId="{0BCEB202-0FE8-432E-B43F-71EB55B7C19C}" type="pres">
      <dgm:prSet presAssocID="{3DEDB406-35AA-4A7C-9D76-89F76DD67966}" presName="rootConnector1" presStyleLbl="node1" presStyleIdx="0" presStyleCnt="0"/>
      <dgm:spPr/>
    </dgm:pt>
    <dgm:pt modelId="{2BF90E9B-B204-4E27-99EB-D6022A88EC27}" type="pres">
      <dgm:prSet presAssocID="{3DEDB406-35AA-4A7C-9D76-89F76DD67966}" presName="hierChild2" presStyleCnt="0"/>
      <dgm:spPr/>
    </dgm:pt>
    <dgm:pt modelId="{0E38F32E-683E-4A33-86AC-1FC19D39F0B6}" type="pres">
      <dgm:prSet presAssocID="{36616572-DBDD-4397-B272-A01F3B9D578F}" presName="Name64" presStyleLbl="parChTrans1D2" presStyleIdx="0" presStyleCnt="4"/>
      <dgm:spPr/>
    </dgm:pt>
    <dgm:pt modelId="{F790F1E6-ADDB-4004-88DD-0883C77A0507}" type="pres">
      <dgm:prSet presAssocID="{4B5BEECA-5D3C-4D54-B993-C9D0BABCB08E}" presName="hierRoot2" presStyleCnt="0">
        <dgm:presLayoutVars>
          <dgm:hierBranch val="init"/>
        </dgm:presLayoutVars>
      </dgm:prSet>
      <dgm:spPr/>
    </dgm:pt>
    <dgm:pt modelId="{5F428FC3-241D-48E4-B8DE-3921FF878F1E}" type="pres">
      <dgm:prSet presAssocID="{4B5BEECA-5D3C-4D54-B993-C9D0BABCB08E}" presName="rootComposite" presStyleCnt="0"/>
      <dgm:spPr/>
    </dgm:pt>
    <dgm:pt modelId="{D57AE211-72E8-4ECB-80AB-B0F2EF8CC3B3}" type="pres">
      <dgm:prSet presAssocID="{4B5BEECA-5D3C-4D54-B993-C9D0BABCB08E}" presName="rootText" presStyleLbl="node2" presStyleIdx="0" presStyleCnt="4">
        <dgm:presLayoutVars>
          <dgm:chPref val="3"/>
        </dgm:presLayoutVars>
      </dgm:prSet>
      <dgm:spPr/>
    </dgm:pt>
    <dgm:pt modelId="{08D50126-A41F-44CC-88A1-289DAC441EB0}" type="pres">
      <dgm:prSet presAssocID="{4B5BEECA-5D3C-4D54-B993-C9D0BABCB08E}" presName="rootConnector" presStyleLbl="node2" presStyleIdx="0" presStyleCnt="4"/>
      <dgm:spPr/>
    </dgm:pt>
    <dgm:pt modelId="{BC4F3D77-901D-4B2A-9EB0-8C0B0E385697}" type="pres">
      <dgm:prSet presAssocID="{4B5BEECA-5D3C-4D54-B993-C9D0BABCB08E}" presName="hierChild4" presStyleCnt="0"/>
      <dgm:spPr/>
    </dgm:pt>
    <dgm:pt modelId="{72D86EB2-5163-4167-925A-45A5D0EAA062}" type="pres">
      <dgm:prSet presAssocID="{4B5BEECA-5D3C-4D54-B993-C9D0BABCB08E}" presName="hierChild5" presStyleCnt="0"/>
      <dgm:spPr/>
    </dgm:pt>
    <dgm:pt modelId="{431EF06E-F2DC-4B6A-80B7-6DFA84332D52}" type="pres">
      <dgm:prSet presAssocID="{867CC97D-5957-4B29-81D1-FEA6D70871DD}" presName="Name64" presStyleLbl="parChTrans1D2" presStyleIdx="1" presStyleCnt="4"/>
      <dgm:spPr/>
    </dgm:pt>
    <dgm:pt modelId="{E18EB532-FFEB-41C3-B35D-5ED8FB718602}" type="pres">
      <dgm:prSet presAssocID="{D4F4262B-29D4-4A12-8560-C513B2E36B36}" presName="hierRoot2" presStyleCnt="0">
        <dgm:presLayoutVars>
          <dgm:hierBranch val="init"/>
        </dgm:presLayoutVars>
      </dgm:prSet>
      <dgm:spPr/>
    </dgm:pt>
    <dgm:pt modelId="{89BEF3DD-9F11-42DC-B201-8DC76DEDDFD8}" type="pres">
      <dgm:prSet presAssocID="{D4F4262B-29D4-4A12-8560-C513B2E36B36}" presName="rootComposite" presStyleCnt="0"/>
      <dgm:spPr/>
    </dgm:pt>
    <dgm:pt modelId="{AA9336ED-B405-45EE-BC82-67B2B8E157A0}" type="pres">
      <dgm:prSet presAssocID="{D4F4262B-29D4-4A12-8560-C513B2E36B36}" presName="rootText" presStyleLbl="node2" presStyleIdx="1" presStyleCnt="4">
        <dgm:presLayoutVars>
          <dgm:chPref val="3"/>
        </dgm:presLayoutVars>
      </dgm:prSet>
      <dgm:spPr/>
    </dgm:pt>
    <dgm:pt modelId="{0A8D0377-8219-4C35-820C-3ADE836424D7}" type="pres">
      <dgm:prSet presAssocID="{D4F4262B-29D4-4A12-8560-C513B2E36B36}" presName="rootConnector" presStyleLbl="node2" presStyleIdx="1" presStyleCnt="4"/>
      <dgm:spPr/>
    </dgm:pt>
    <dgm:pt modelId="{77EC83FD-DC37-481D-BDD4-3894EBFE7D9C}" type="pres">
      <dgm:prSet presAssocID="{D4F4262B-29D4-4A12-8560-C513B2E36B36}" presName="hierChild4" presStyleCnt="0"/>
      <dgm:spPr/>
    </dgm:pt>
    <dgm:pt modelId="{9D9B7F2E-1879-4D07-8794-254636AB0A85}" type="pres">
      <dgm:prSet presAssocID="{D4F4262B-29D4-4A12-8560-C513B2E36B36}" presName="hierChild5" presStyleCnt="0"/>
      <dgm:spPr/>
    </dgm:pt>
    <dgm:pt modelId="{C3848349-2DE9-4963-975A-AC94143FFA3E}" type="pres">
      <dgm:prSet presAssocID="{FBC67B65-9E05-4963-AE02-A0D52A0C9895}" presName="Name64" presStyleLbl="parChTrans1D2" presStyleIdx="2" presStyleCnt="4"/>
      <dgm:spPr/>
    </dgm:pt>
    <dgm:pt modelId="{F5FA9E22-4084-472A-97E1-1B6D60F36E61}" type="pres">
      <dgm:prSet presAssocID="{6BCDC3E0-E655-4900-8BCA-768BB067BD29}" presName="hierRoot2" presStyleCnt="0">
        <dgm:presLayoutVars>
          <dgm:hierBranch val="init"/>
        </dgm:presLayoutVars>
      </dgm:prSet>
      <dgm:spPr/>
    </dgm:pt>
    <dgm:pt modelId="{6E33AB08-00B2-496D-B6E4-4812EFE3CAE6}" type="pres">
      <dgm:prSet presAssocID="{6BCDC3E0-E655-4900-8BCA-768BB067BD29}" presName="rootComposite" presStyleCnt="0"/>
      <dgm:spPr/>
    </dgm:pt>
    <dgm:pt modelId="{3B946135-25E4-47DE-84E8-B9F9D2C4454C}" type="pres">
      <dgm:prSet presAssocID="{6BCDC3E0-E655-4900-8BCA-768BB067BD29}" presName="rootText" presStyleLbl="node2" presStyleIdx="2" presStyleCnt="4">
        <dgm:presLayoutVars>
          <dgm:chPref val="3"/>
        </dgm:presLayoutVars>
      </dgm:prSet>
      <dgm:spPr/>
    </dgm:pt>
    <dgm:pt modelId="{683AC2F4-1AFE-4F99-8151-96483432D401}" type="pres">
      <dgm:prSet presAssocID="{6BCDC3E0-E655-4900-8BCA-768BB067BD29}" presName="rootConnector" presStyleLbl="node2" presStyleIdx="2" presStyleCnt="4"/>
      <dgm:spPr/>
    </dgm:pt>
    <dgm:pt modelId="{DA5BBA4D-6FDC-4983-9CBA-BA81C4E6EC6F}" type="pres">
      <dgm:prSet presAssocID="{6BCDC3E0-E655-4900-8BCA-768BB067BD29}" presName="hierChild4" presStyleCnt="0"/>
      <dgm:spPr/>
    </dgm:pt>
    <dgm:pt modelId="{9B6FE22A-CF4C-4CAB-AAB9-50FD84A906A5}" type="pres">
      <dgm:prSet presAssocID="{6BCDC3E0-E655-4900-8BCA-768BB067BD29}" presName="hierChild5" presStyleCnt="0"/>
      <dgm:spPr/>
    </dgm:pt>
    <dgm:pt modelId="{F1517CE7-35D3-4BBA-BF24-DA712E0521E4}" type="pres">
      <dgm:prSet presAssocID="{8AB45B27-74F8-4B0C-AB3D-4D9961ACE746}" presName="Name64" presStyleLbl="parChTrans1D2" presStyleIdx="3" presStyleCnt="4"/>
      <dgm:spPr/>
    </dgm:pt>
    <dgm:pt modelId="{936B7BF5-5672-49CA-88DC-CEA97E54580F}" type="pres">
      <dgm:prSet presAssocID="{12644645-EC8A-4F9B-9135-E515B3400577}" presName="hierRoot2" presStyleCnt="0">
        <dgm:presLayoutVars>
          <dgm:hierBranch val="init"/>
        </dgm:presLayoutVars>
      </dgm:prSet>
      <dgm:spPr/>
    </dgm:pt>
    <dgm:pt modelId="{C37FE185-29F2-47FE-962A-3187E446B7C5}" type="pres">
      <dgm:prSet presAssocID="{12644645-EC8A-4F9B-9135-E515B3400577}" presName="rootComposite" presStyleCnt="0"/>
      <dgm:spPr/>
    </dgm:pt>
    <dgm:pt modelId="{C5FCEF87-570D-4011-A3E0-EB64344B62E0}" type="pres">
      <dgm:prSet presAssocID="{12644645-EC8A-4F9B-9135-E515B3400577}" presName="rootText" presStyleLbl="node2" presStyleIdx="3" presStyleCnt="4">
        <dgm:presLayoutVars>
          <dgm:chPref val="3"/>
        </dgm:presLayoutVars>
      </dgm:prSet>
      <dgm:spPr/>
    </dgm:pt>
    <dgm:pt modelId="{A80F8933-1F14-43EF-AC31-9EAAEA8DA905}" type="pres">
      <dgm:prSet presAssocID="{12644645-EC8A-4F9B-9135-E515B3400577}" presName="rootConnector" presStyleLbl="node2" presStyleIdx="3" presStyleCnt="4"/>
      <dgm:spPr/>
    </dgm:pt>
    <dgm:pt modelId="{E22F11E7-A95A-4754-8480-D45A78273C20}" type="pres">
      <dgm:prSet presAssocID="{12644645-EC8A-4F9B-9135-E515B3400577}" presName="hierChild4" presStyleCnt="0"/>
      <dgm:spPr/>
    </dgm:pt>
    <dgm:pt modelId="{4539E578-2E66-4B56-91EA-B73D62EF0210}" type="pres">
      <dgm:prSet presAssocID="{12644645-EC8A-4F9B-9135-E515B3400577}" presName="hierChild5" presStyleCnt="0"/>
      <dgm:spPr/>
    </dgm:pt>
    <dgm:pt modelId="{EE0BC97C-7AEC-478C-B87E-C2F042211916}" type="pres">
      <dgm:prSet presAssocID="{3DEDB406-35AA-4A7C-9D76-89F76DD67966}" presName="hierChild3" presStyleCnt="0"/>
      <dgm:spPr/>
    </dgm:pt>
  </dgm:ptLst>
  <dgm:cxnLst>
    <dgm:cxn modelId="{3B46C30B-F1E3-42E6-AFB7-988EB2F388B8}" type="presOf" srcId="{8AB45B27-74F8-4B0C-AB3D-4D9961ACE746}" destId="{F1517CE7-35D3-4BBA-BF24-DA712E0521E4}" srcOrd="0" destOrd="0" presId="urn:microsoft.com/office/officeart/2009/3/layout/HorizontalOrganizationChart"/>
    <dgm:cxn modelId="{D6C8AA0D-F140-46A9-862D-AD6AE32C0506}" srcId="{3DEDB406-35AA-4A7C-9D76-89F76DD67966}" destId="{6BCDC3E0-E655-4900-8BCA-768BB067BD29}" srcOrd="2" destOrd="0" parTransId="{FBC67B65-9E05-4963-AE02-A0D52A0C9895}" sibTransId="{91D56E67-B706-40C0-B2D3-223810822856}"/>
    <dgm:cxn modelId="{0BB2A615-D127-43A0-BC1E-F35F10E16625}" srcId="{2C6DA62E-C5D4-4A44-BFE3-D5C2F4EFF260}" destId="{3DEDB406-35AA-4A7C-9D76-89F76DD67966}" srcOrd="0" destOrd="0" parTransId="{7F54EE5C-0272-4EC2-B540-E29C59E37002}" sibTransId="{D2C79814-9F18-486A-9337-1666B6CA5D8E}"/>
    <dgm:cxn modelId="{61A65616-6FE6-4C0B-9C0E-443B0BC18AD1}" type="presOf" srcId="{6BCDC3E0-E655-4900-8BCA-768BB067BD29}" destId="{683AC2F4-1AFE-4F99-8151-96483432D401}" srcOrd="1" destOrd="0" presId="urn:microsoft.com/office/officeart/2009/3/layout/HorizontalOrganizationChart"/>
    <dgm:cxn modelId="{F6B8651B-26D8-4295-BC14-DF69B768F1C2}" type="presOf" srcId="{D4F4262B-29D4-4A12-8560-C513B2E36B36}" destId="{AA9336ED-B405-45EE-BC82-67B2B8E157A0}" srcOrd="0" destOrd="0" presId="urn:microsoft.com/office/officeart/2009/3/layout/HorizontalOrganizationChart"/>
    <dgm:cxn modelId="{626C3D1C-26E3-41BA-B9B9-07097890C99F}" type="presOf" srcId="{3DEDB406-35AA-4A7C-9D76-89F76DD67966}" destId="{0BCEB202-0FE8-432E-B43F-71EB55B7C19C}" srcOrd="1" destOrd="0" presId="urn:microsoft.com/office/officeart/2009/3/layout/HorizontalOrganizationChart"/>
    <dgm:cxn modelId="{CA745623-20D0-4CA8-9840-58823542C11D}" type="presOf" srcId="{2C6DA62E-C5D4-4A44-BFE3-D5C2F4EFF260}" destId="{7D0409C4-46DC-4F70-A724-14A145382EA5}" srcOrd="0" destOrd="0" presId="urn:microsoft.com/office/officeart/2009/3/layout/HorizontalOrganizationChart"/>
    <dgm:cxn modelId="{C789932D-A9AE-41E7-AEC5-0B4954C60E9D}" type="presOf" srcId="{4B5BEECA-5D3C-4D54-B993-C9D0BABCB08E}" destId="{08D50126-A41F-44CC-88A1-289DAC441EB0}" srcOrd="1" destOrd="0" presId="urn:microsoft.com/office/officeart/2009/3/layout/HorizontalOrganizationChart"/>
    <dgm:cxn modelId="{D740F231-FAA7-4815-B91A-D8FFE45CC1B7}" type="presOf" srcId="{12644645-EC8A-4F9B-9135-E515B3400577}" destId="{C5FCEF87-570D-4011-A3E0-EB64344B62E0}" srcOrd="0" destOrd="0" presId="urn:microsoft.com/office/officeart/2009/3/layout/HorizontalOrganizationChart"/>
    <dgm:cxn modelId="{F6581F3E-71D2-41CE-8D22-0C9A81B24B86}" srcId="{3DEDB406-35AA-4A7C-9D76-89F76DD67966}" destId="{12644645-EC8A-4F9B-9135-E515B3400577}" srcOrd="3" destOrd="0" parTransId="{8AB45B27-74F8-4B0C-AB3D-4D9961ACE746}" sibTransId="{431BC598-908A-47D8-BB0D-CEB211E88405}"/>
    <dgm:cxn modelId="{5EC6416A-F660-48DF-A6AE-E578F71E019A}" type="presOf" srcId="{3DEDB406-35AA-4A7C-9D76-89F76DD67966}" destId="{FAC5B8B0-EC87-4E5B-88FD-050E71ED16CA}" srcOrd="0" destOrd="0" presId="urn:microsoft.com/office/officeart/2009/3/layout/HorizontalOrganizationChart"/>
    <dgm:cxn modelId="{DBFE8157-6B6E-4406-B027-D2BBF70C5C15}" srcId="{3DEDB406-35AA-4A7C-9D76-89F76DD67966}" destId="{D4F4262B-29D4-4A12-8560-C513B2E36B36}" srcOrd="1" destOrd="0" parTransId="{867CC97D-5957-4B29-81D1-FEA6D70871DD}" sibTransId="{CFF0F1CC-5DBB-412B-82DB-F6250E404925}"/>
    <dgm:cxn modelId="{E86D227F-AAAE-4F94-B66A-CEF777288C0B}" type="presOf" srcId="{4B5BEECA-5D3C-4D54-B993-C9D0BABCB08E}" destId="{D57AE211-72E8-4ECB-80AB-B0F2EF8CC3B3}" srcOrd="0" destOrd="0" presId="urn:microsoft.com/office/officeart/2009/3/layout/HorizontalOrganizationChart"/>
    <dgm:cxn modelId="{9EEE7581-92C8-4365-9796-CD226FBE949C}" type="presOf" srcId="{36616572-DBDD-4397-B272-A01F3B9D578F}" destId="{0E38F32E-683E-4A33-86AC-1FC19D39F0B6}" srcOrd="0" destOrd="0" presId="urn:microsoft.com/office/officeart/2009/3/layout/HorizontalOrganizationChart"/>
    <dgm:cxn modelId="{ABCF9A9D-21AF-4E8E-8684-7A996DBC6037}" type="presOf" srcId="{12644645-EC8A-4F9B-9135-E515B3400577}" destId="{A80F8933-1F14-43EF-AC31-9EAAEA8DA905}" srcOrd="1" destOrd="0" presId="urn:microsoft.com/office/officeart/2009/3/layout/HorizontalOrganizationChart"/>
    <dgm:cxn modelId="{99E8DDB3-D634-4F05-B63A-694C5CA763A5}" type="presOf" srcId="{D4F4262B-29D4-4A12-8560-C513B2E36B36}" destId="{0A8D0377-8219-4C35-820C-3ADE836424D7}" srcOrd="1" destOrd="0" presId="urn:microsoft.com/office/officeart/2009/3/layout/HorizontalOrganizationChart"/>
    <dgm:cxn modelId="{936832B9-D5A7-4F3D-9042-C337B52310BA}" srcId="{3DEDB406-35AA-4A7C-9D76-89F76DD67966}" destId="{4B5BEECA-5D3C-4D54-B993-C9D0BABCB08E}" srcOrd="0" destOrd="0" parTransId="{36616572-DBDD-4397-B272-A01F3B9D578F}" sibTransId="{7FFF3C81-88AB-4EE3-BA56-247B93BFED3D}"/>
    <dgm:cxn modelId="{616B42BC-BACA-40C7-A61A-35E6CB8B07FB}" type="presOf" srcId="{6BCDC3E0-E655-4900-8BCA-768BB067BD29}" destId="{3B946135-25E4-47DE-84E8-B9F9D2C4454C}" srcOrd="0" destOrd="0" presId="urn:microsoft.com/office/officeart/2009/3/layout/HorizontalOrganizationChart"/>
    <dgm:cxn modelId="{D7580FD3-D163-43FB-8AB1-E0B52ACD60F3}" type="presOf" srcId="{FBC67B65-9E05-4963-AE02-A0D52A0C9895}" destId="{C3848349-2DE9-4963-975A-AC94143FFA3E}" srcOrd="0" destOrd="0" presId="urn:microsoft.com/office/officeart/2009/3/layout/HorizontalOrganizationChart"/>
    <dgm:cxn modelId="{D5FE7ED4-2167-4C2B-A324-30D12337D033}" type="presOf" srcId="{867CC97D-5957-4B29-81D1-FEA6D70871DD}" destId="{431EF06E-F2DC-4B6A-80B7-6DFA84332D52}" srcOrd="0" destOrd="0" presId="urn:microsoft.com/office/officeart/2009/3/layout/HorizontalOrganizationChart"/>
    <dgm:cxn modelId="{1073B75B-8D6C-4C86-AFE5-B16E3A41E7E5}" type="presParOf" srcId="{7D0409C4-46DC-4F70-A724-14A145382EA5}" destId="{40BADA80-8186-4DFB-901F-8F32D8984458}" srcOrd="0" destOrd="0" presId="urn:microsoft.com/office/officeart/2009/3/layout/HorizontalOrganizationChart"/>
    <dgm:cxn modelId="{9462D4A0-E063-4120-B598-7C83720F5769}" type="presParOf" srcId="{40BADA80-8186-4DFB-901F-8F32D8984458}" destId="{DAF77519-167C-439D-B335-231893B6A5BB}" srcOrd="0" destOrd="0" presId="urn:microsoft.com/office/officeart/2009/3/layout/HorizontalOrganizationChart"/>
    <dgm:cxn modelId="{C04D653E-7B85-40F0-A05C-27BA4C9FF365}" type="presParOf" srcId="{DAF77519-167C-439D-B335-231893B6A5BB}" destId="{FAC5B8B0-EC87-4E5B-88FD-050E71ED16CA}" srcOrd="0" destOrd="0" presId="urn:microsoft.com/office/officeart/2009/3/layout/HorizontalOrganizationChart"/>
    <dgm:cxn modelId="{CFA44316-8882-40A4-B0C3-AA4F8F5CDF5D}" type="presParOf" srcId="{DAF77519-167C-439D-B335-231893B6A5BB}" destId="{0BCEB202-0FE8-432E-B43F-71EB55B7C19C}" srcOrd="1" destOrd="0" presId="urn:microsoft.com/office/officeart/2009/3/layout/HorizontalOrganizationChart"/>
    <dgm:cxn modelId="{B65EF645-CA24-4843-8CE5-C6FA23AB1A73}" type="presParOf" srcId="{40BADA80-8186-4DFB-901F-8F32D8984458}" destId="{2BF90E9B-B204-4E27-99EB-D6022A88EC27}" srcOrd="1" destOrd="0" presId="urn:microsoft.com/office/officeart/2009/3/layout/HorizontalOrganizationChart"/>
    <dgm:cxn modelId="{BB465DBD-2DBF-4624-B561-B1FF83CD7D40}" type="presParOf" srcId="{2BF90E9B-B204-4E27-99EB-D6022A88EC27}" destId="{0E38F32E-683E-4A33-86AC-1FC19D39F0B6}" srcOrd="0" destOrd="0" presId="urn:microsoft.com/office/officeart/2009/3/layout/HorizontalOrganizationChart"/>
    <dgm:cxn modelId="{8CF3A3B0-E7BD-4409-B033-1BC6345FC4EC}" type="presParOf" srcId="{2BF90E9B-B204-4E27-99EB-D6022A88EC27}" destId="{F790F1E6-ADDB-4004-88DD-0883C77A0507}" srcOrd="1" destOrd="0" presId="urn:microsoft.com/office/officeart/2009/3/layout/HorizontalOrganizationChart"/>
    <dgm:cxn modelId="{546114BF-E92D-49F2-8DDD-29DCE45B2094}" type="presParOf" srcId="{F790F1E6-ADDB-4004-88DD-0883C77A0507}" destId="{5F428FC3-241D-48E4-B8DE-3921FF878F1E}" srcOrd="0" destOrd="0" presId="urn:microsoft.com/office/officeart/2009/3/layout/HorizontalOrganizationChart"/>
    <dgm:cxn modelId="{1AC3954F-4A92-4880-947F-03EE4D9FAD5B}" type="presParOf" srcId="{5F428FC3-241D-48E4-B8DE-3921FF878F1E}" destId="{D57AE211-72E8-4ECB-80AB-B0F2EF8CC3B3}" srcOrd="0" destOrd="0" presId="urn:microsoft.com/office/officeart/2009/3/layout/HorizontalOrganizationChart"/>
    <dgm:cxn modelId="{9CE42D5A-F8B3-4BA3-B40E-0CE1EFF4FA7C}" type="presParOf" srcId="{5F428FC3-241D-48E4-B8DE-3921FF878F1E}" destId="{08D50126-A41F-44CC-88A1-289DAC441EB0}" srcOrd="1" destOrd="0" presId="urn:microsoft.com/office/officeart/2009/3/layout/HorizontalOrganizationChart"/>
    <dgm:cxn modelId="{65C65F4A-ECEB-4812-876C-6FFDD467FCA5}" type="presParOf" srcId="{F790F1E6-ADDB-4004-88DD-0883C77A0507}" destId="{BC4F3D77-901D-4B2A-9EB0-8C0B0E385697}" srcOrd="1" destOrd="0" presId="urn:microsoft.com/office/officeart/2009/3/layout/HorizontalOrganizationChart"/>
    <dgm:cxn modelId="{309BA2EF-0C8E-44F2-910E-146CB1123DF3}" type="presParOf" srcId="{F790F1E6-ADDB-4004-88DD-0883C77A0507}" destId="{72D86EB2-5163-4167-925A-45A5D0EAA062}" srcOrd="2" destOrd="0" presId="urn:microsoft.com/office/officeart/2009/3/layout/HorizontalOrganizationChart"/>
    <dgm:cxn modelId="{B2D3A30C-ACDC-494B-BF03-8ADD73389E05}" type="presParOf" srcId="{2BF90E9B-B204-4E27-99EB-D6022A88EC27}" destId="{431EF06E-F2DC-4B6A-80B7-6DFA84332D52}" srcOrd="2" destOrd="0" presId="urn:microsoft.com/office/officeart/2009/3/layout/HorizontalOrganizationChart"/>
    <dgm:cxn modelId="{ED702932-8B47-48E4-86C1-ADF4B6AEC3A9}" type="presParOf" srcId="{2BF90E9B-B204-4E27-99EB-D6022A88EC27}" destId="{E18EB532-FFEB-41C3-B35D-5ED8FB718602}" srcOrd="3" destOrd="0" presId="urn:microsoft.com/office/officeart/2009/3/layout/HorizontalOrganizationChart"/>
    <dgm:cxn modelId="{40252CC5-2C43-4F5B-AF97-55E6FE307AD7}" type="presParOf" srcId="{E18EB532-FFEB-41C3-B35D-5ED8FB718602}" destId="{89BEF3DD-9F11-42DC-B201-8DC76DEDDFD8}" srcOrd="0" destOrd="0" presId="urn:microsoft.com/office/officeart/2009/3/layout/HorizontalOrganizationChart"/>
    <dgm:cxn modelId="{708311D3-7291-418B-BB64-70DE714B50D2}" type="presParOf" srcId="{89BEF3DD-9F11-42DC-B201-8DC76DEDDFD8}" destId="{AA9336ED-B405-45EE-BC82-67B2B8E157A0}" srcOrd="0" destOrd="0" presId="urn:microsoft.com/office/officeart/2009/3/layout/HorizontalOrganizationChart"/>
    <dgm:cxn modelId="{69C8B548-5BBB-45B2-A8E8-9CA4CBB5DE1C}" type="presParOf" srcId="{89BEF3DD-9F11-42DC-B201-8DC76DEDDFD8}" destId="{0A8D0377-8219-4C35-820C-3ADE836424D7}" srcOrd="1" destOrd="0" presId="urn:microsoft.com/office/officeart/2009/3/layout/HorizontalOrganizationChart"/>
    <dgm:cxn modelId="{B134EA9E-154E-4490-ABC0-B6C7CDACF6B3}" type="presParOf" srcId="{E18EB532-FFEB-41C3-B35D-5ED8FB718602}" destId="{77EC83FD-DC37-481D-BDD4-3894EBFE7D9C}" srcOrd="1" destOrd="0" presId="urn:microsoft.com/office/officeart/2009/3/layout/HorizontalOrganizationChart"/>
    <dgm:cxn modelId="{8EC01361-0C02-4B90-BB3E-EB8C671259E7}" type="presParOf" srcId="{E18EB532-FFEB-41C3-B35D-5ED8FB718602}" destId="{9D9B7F2E-1879-4D07-8794-254636AB0A85}" srcOrd="2" destOrd="0" presId="urn:microsoft.com/office/officeart/2009/3/layout/HorizontalOrganizationChart"/>
    <dgm:cxn modelId="{673ED6CB-73D2-49D4-A3C5-19FF27C90594}" type="presParOf" srcId="{2BF90E9B-B204-4E27-99EB-D6022A88EC27}" destId="{C3848349-2DE9-4963-975A-AC94143FFA3E}" srcOrd="4" destOrd="0" presId="urn:microsoft.com/office/officeart/2009/3/layout/HorizontalOrganizationChart"/>
    <dgm:cxn modelId="{5A53EB2B-57BB-4FD2-A67A-6C6D0A8305B5}" type="presParOf" srcId="{2BF90E9B-B204-4E27-99EB-D6022A88EC27}" destId="{F5FA9E22-4084-472A-97E1-1B6D60F36E61}" srcOrd="5" destOrd="0" presId="urn:microsoft.com/office/officeart/2009/3/layout/HorizontalOrganizationChart"/>
    <dgm:cxn modelId="{E6AC2E74-E184-406B-B56B-C9ECB3F21A8E}" type="presParOf" srcId="{F5FA9E22-4084-472A-97E1-1B6D60F36E61}" destId="{6E33AB08-00B2-496D-B6E4-4812EFE3CAE6}" srcOrd="0" destOrd="0" presId="urn:microsoft.com/office/officeart/2009/3/layout/HorizontalOrganizationChart"/>
    <dgm:cxn modelId="{A940C757-A8F0-47FF-B04D-41285E7DF1B7}" type="presParOf" srcId="{6E33AB08-00B2-496D-B6E4-4812EFE3CAE6}" destId="{3B946135-25E4-47DE-84E8-B9F9D2C4454C}" srcOrd="0" destOrd="0" presId="urn:microsoft.com/office/officeart/2009/3/layout/HorizontalOrganizationChart"/>
    <dgm:cxn modelId="{888EC642-6570-4BFA-B344-96837BD614A0}" type="presParOf" srcId="{6E33AB08-00B2-496D-B6E4-4812EFE3CAE6}" destId="{683AC2F4-1AFE-4F99-8151-96483432D401}" srcOrd="1" destOrd="0" presId="urn:microsoft.com/office/officeart/2009/3/layout/HorizontalOrganizationChart"/>
    <dgm:cxn modelId="{188E9778-85A4-4493-B55D-2D3D1ACB679B}" type="presParOf" srcId="{F5FA9E22-4084-472A-97E1-1B6D60F36E61}" destId="{DA5BBA4D-6FDC-4983-9CBA-BA81C4E6EC6F}" srcOrd="1" destOrd="0" presId="urn:microsoft.com/office/officeart/2009/3/layout/HorizontalOrganizationChart"/>
    <dgm:cxn modelId="{C1DC811F-E934-4178-8F22-CC1743805B52}" type="presParOf" srcId="{F5FA9E22-4084-472A-97E1-1B6D60F36E61}" destId="{9B6FE22A-CF4C-4CAB-AAB9-50FD84A906A5}" srcOrd="2" destOrd="0" presId="urn:microsoft.com/office/officeart/2009/3/layout/HorizontalOrganizationChart"/>
    <dgm:cxn modelId="{E47F7948-E7B7-40FC-9BB2-7DA13BF9BF1D}" type="presParOf" srcId="{2BF90E9B-B204-4E27-99EB-D6022A88EC27}" destId="{F1517CE7-35D3-4BBA-BF24-DA712E0521E4}" srcOrd="6" destOrd="0" presId="urn:microsoft.com/office/officeart/2009/3/layout/HorizontalOrganizationChart"/>
    <dgm:cxn modelId="{A6625735-B908-4D77-A9B9-2D5A2362CA91}" type="presParOf" srcId="{2BF90E9B-B204-4E27-99EB-D6022A88EC27}" destId="{936B7BF5-5672-49CA-88DC-CEA97E54580F}" srcOrd="7" destOrd="0" presId="urn:microsoft.com/office/officeart/2009/3/layout/HorizontalOrganizationChart"/>
    <dgm:cxn modelId="{B9D76135-22A6-4D44-8439-ABDFA34C4527}" type="presParOf" srcId="{936B7BF5-5672-49CA-88DC-CEA97E54580F}" destId="{C37FE185-29F2-47FE-962A-3187E446B7C5}" srcOrd="0" destOrd="0" presId="urn:microsoft.com/office/officeart/2009/3/layout/HorizontalOrganizationChart"/>
    <dgm:cxn modelId="{B6C5B30A-9938-4A52-8823-E78E8C26B72C}" type="presParOf" srcId="{C37FE185-29F2-47FE-962A-3187E446B7C5}" destId="{C5FCEF87-570D-4011-A3E0-EB64344B62E0}" srcOrd="0" destOrd="0" presId="urn:microsoft.com/office/officeart/2009/3/layout/HorizontalOrganizationChart"/>
    <dgm:cxn modelId="{CEE13F35-4BB6-4B0C-8390-A294E6AFCCEC}" type="presParOf" srcId="{C37FE185-29F2-47FE-962A-3187E446B7C5}" destId="{A80F8933-1F14-43EF-AC31-9EAAEA8DA905}" srcOrd="1" destOrd="0" presId="urn:microsoft.com/office/officeart/2009/3/layout/HorizontalOrganizationChart"/>
    <dgm:cxn modelId="{F70718F5-6904-4EAA-A9D9-4228AD0F5F4B}" type="presParOf" srcId="{936B7BF5-5672-49CA-88DC-CEA97E54580F}" destId="{E22F11E7-A95A-4754-8480-D45A78273C20}" srcOrd="1" destOrd="0" presId="urn:microsoft.com/office/officeart/2009/3/layout/HorizontalOrganizationChart"/>
    <dgm:cxn modelId="{BFCC6A77-9070-4A91-884A-436DCA1A9146}" type="presParOf" srcId="{936B7BF5-5672-49CA-88DC-CEA97E54580F}" destId="{4539E578-2E66-4B56-91EA-B73D62EF0210}" srcOrd="2" destOrd="0" presId="urn:microsoft.com/office/officeart/2009/3/layout/HorizontalOrganizationChart"/>
    <dgm:cxn modelId="{F776E945-4724-4239-B25F-179C9CF3FB66}" type="presParOf" srcId="{40BADA80-8186-4DFB-901F-8F32D8984458}" destId="{EE0BC97C-7AEC-478C-B87E-C2F042211916}" srcOrd="2" destOrd="0" presId="urn:microsoft.com/office/officeart/2009/3/layout/HorizontalOrganizationChar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C6DA62E-C5D4-4A44-BFE3-D5C2F4EFF260}" type="doc">
      <dgm:prSet loTypeId="urn:microsoft.com/office/officeart/2005/8/layout/radial6" loCatId="cycle" qsTypeId="urn:microsoft.com/office/officeart/2005/8/quickstyle/simple3" qsCatId="simple" csTypeId="urn:microsoft.com/office/officeart/2005/8/colors/colorful4" csCatId="colorful" phldr="1"/>
      <dgm:spPr/>
      <dgm:t>
        <a:bodyPr/>
        <a:lstStyle/>
        <a:p>
          <a:endParaRPr lang="en-GB"/>
        </a:p>
      </dgm:t>
    </dgm:pt>
    <dgm:pt modelId="{3DEDB406-35AA-4A7C-9D76-89F76DD67966}">
      <dgm:prSet phldrT="[Text]"/>
      <dgm:spPr/>
      <dgm:t>
        <a:bodyPr/>
        <a:lstStyle/>
        <a:p>
          <a:pPr algn="ctr"/>
          <a:r>
            <a:rPr lang="en-GB"/>
            <a:t>Data Governance Lifecycle</a:t>
          </a:r>
        </a:p>
      </dgm:t>
    </dgm:pt>
    <dgm:pt modelId="{7F54EE5C-0272-4EC2-B540-E29C59E37002}" type="parTrans" cxnId="{0BB2A615-D127-43A0-BC1E-F35F10E16625}">
      <dgm:prSet/>
      <dgm:spPr/>
      <dgm:t>
        <a:bodyPr/>
        <a:lstStyle/>
        <a:p>
          <a:pPr algn="ctr"/>
          <a:endParaRPr lang="en-GB"/>
        </a:p>
      </dgm:t>
    </dgm:pt>
    <dgm:pt modelId="{D2C79814-9F18-486A-9337-1666B6CA5D8E}" type="sibTrans" cxnId="{0BB2A615-D127-43A0-BC1E-F35F10E16625}">
      <dgm:prSet/>
      <dgm:spPr/>
      <dgm:t>
        <a:bodyPr/>
        <a:lstStyle/>
        <a:p>
          <a:pPr algn="ctr"/>
          <a:endParaRPr lang="en-GB"/>
        </a:p>
      </dgm:t>
    </dgm:pt>
    <dgm:pt modelId="{4B5BEECA-5D3C-4D54-B993-C9D0BABCB08E}">
      <dgm:prSet phldrT="[Text]"/>
      <dgm:spPr/>
      <dgm:t>
        <a:bodyPr/>
        <a:lstStyle/>
        <a:p>
          <a:pPr algn="ctr"/>
          <a:r>
            <a:rPr lang="en-GB"/>
            <a:t>Collection</a:t>
          </a:r>
        </a:p>
      </dgm:t>
    </dgm:pt>
    <dgm:pt modelId="{36616572-DBDD-4397-B272-A01F3B9D578F}" type="parTrans" cxnId="{936832B9-D5A7-4F3D-9042-C337B52310BA}">
      <dgm:prSet/>
      <dgm:spPr/>
      <dgm:t>
        <a:bodyPr/>
        <a:lstStyle/>
        <a:p>
          <a:pPr algn="ctr"/>
          <a:endParaRPr lang="en-GB"/>
        </a:p>
      </dgm:t>
    </dgm:pt>
    <dgm:pt modelId="{7FFF3C81-88AB-4EE3-BA56-247B93BFED3D}" type="sibTrans" cxnId="{936832B9-D5A7-4F3D-9042-C337B52310BA}">
      <dgm:prSet/>
      <dgm:spPr/>
      <dgm:t>
        <a:bodyPr/>
        <a:lstStyle/>
        <a:p>
          <a:pPr algn="ctr"/>
          <a:endParaRPr lang="en-GB"/>
        </a:p>
      </dgm:t>
    </dgm:pt>
    <dgm:pt modelId="{D4F4262B-29D4-4A12-8560-C513B2E36B36}">
      <dgm:prSet phldrT="[Text]"/>
      <dgm:spPr/>
      <dgm:t>
        <a:bodyPr/>
        <a:lstStyle/>
        <a:p>
          <a:pPr algn="ctr"/>
          <a:r>
            <a:rPr lang="en-GB"/>
            <a:t>Storage</a:t>
          </a:r>
        </a:p>
      </dgm:t>
    </dgm:pt>
    <dgm:pt modelId="{867CC97D-5957-4B29-81D1-FEA6D70871DD}" type="parTrans" cxnId="{DBFE8157-6B6E-4406-B027-D2BBF70C5C15}">
      <dgm:prSet/>
      <dgm:spPr/>
      <dgm:t>
        <a:bodyPr/>
        <a:lstStyle/>
        <a:p>
          <a:pPr algn="ctr"/>
          <a:endParaRPr lang="en-GB"/>
        </a:p>
      </dgm:t>
    </dgm:pt>
    <dgm:pt modelId="{CFF0F1CC-5DBB-412B-82DB-F6250E404925}" type="sibTrans" cxnId="{DBFE8157-6B6E-4406-B027-D2BBF70C5C15}">
      <dgm:prSet/>
      <dgm:spPr/>
      <dgm:t>
        <a:bodyPr/>
        <a:lstStyle/>
        <a:p>
          <a:pPr algn="ctr"/>
          <a:endParaRPr lang="en-GB"/>
        </a:p>
      </dgm:t>
    </dgm:pt>
    <dgm:pt modelId="{6BCDC3E0-E655-4900-8BCA-768BB067BD29}">
      <dgm:prSet phldrT="[Text]"/>
      <dgm:spPr/>
      <dgm:t>
        <a:bodyPr/>
        <a:lstStyle/>
        <a:p>
          <a:pPr algn="ctr"/>
          <a:r>
            <a:rPr lang="en-GB"/>
            <a:t>Processing</a:t>
          </a:r>
        </a:p>
      </dgm:t>
    </dgm:pt>
    <dgm:pt modelId="{FBC67B65-9E05-4963-AE02-A0D52A0C9895}" type="parTrans" cxnId="{D6C8AA0D-F140-46A9-862D-AD6AE32C0506}">
      <dgm:prSet/>
      <dgm:spPr/>
      <dgm:t>
        <a:bodyPr/>
        <a:lstStyle/>
        <a:p>
          <a:pPr algn="ctr"/>
          <a:endParaRPr lang="en-GB"/>
        </a:p>
      </dgm:t>
    </dgm:pt>
    <dgm:pt modelId="{91D56E67-B706-40C0-B2D3-223810822856}" type="sibTrans" cxnId="{D6C8AA0D-F140-46A9-862D-AD6AE32C0506}">
      <dgm:prSet/>
      <dgm:spPr/>
      <dgm:t>
        <a:bodyPr/>
        <a:lstStyle/>
        <a:p>
          <a:pPr algn="ctr"/>
          <a:endParaRPr lang="en-GB"/>
        </a:p>
      </dgm:t>
    </dgm:pt>
    <dgm:pt modelId="{12644645-EC8A-4F9B-9135-E515B3400577}">
      <dgm:prSet phldrT="[Text]"/>
      <dgm:spPr/>
      <dgm:t>
        <a:bodyPr/>
        <a:lstStyle/>
        <a:p>
          <a:pPr algn="ctr"/>
          <a:r>
            <a:rPr lang="en-GB"/>
            <a:t>Governance</a:t>
          </a:r>
        </a:p>
      </dgm:t>
    </dgm:pt>
    <dgm:pt modelId="{8AB45B27-74F8-4B0C-AB3D-4D9961ACE746}" type="parTrans" cxnId="{F6581F3E-71D2-41CE-8D22-0C9A81B24B86}">
      <dgm:prSet/>
      <dgm:spPr/>
      <dgm:t>
        <a:bodyPr/>
        <a:lstStyle/>
        <a:p>
          <a:pPr algn="ctr"/>
          <a:endParaRPr lang="en-GB"/>
        </a:p>
      </dgm:t>
    </dgm:pt>
    <dgm:pt modelId="{431BC598-908A-47D8-BB0D-CEB211E88405}" type="sibTrans" cxnId="{F6581F3E-71D2-41CE-8D22-0C9A81B24B86}">
      <dgm:prSet/>
      <dgm:spPr/>
      <dgm:t>
        <a:bodyPr/>
        <a:lstStyle/>
        <a:p>
          <a:pPr algn="ctr"/>
          <a:endParaRPr lang="en-GB"/>
        </a:p>
      </dgm:t>
    </dgm:pt>
    <dgm:pt modelId="{086150BB-6CF5-45FC-9548-E5712CB25C5A}">
      <dgm:prSet phldrT="[Text]"/>
      <dgm:spPr/>
      <dgm:t>
        <a:bodyPr/>
        <a:lstStyle/>
        <a:p>
          <a:pPr algn="ctr"/>
          <a:r>
            <a:rPr lang="en-GB"/>
            <a:t>Compliance</a:t>
          </a:r>
        </a:p>
      </dgm:t>
    </dgm:pt>
    <dgm:pt modelId="{C4DE15A5-0E5B-4126-B3E6-1553499CEEA6}" type="parTrans" cxnId="{0A86B0B3-516F-4E62-906D-011AF34FE286}">
      <dgm:prSet/>
      <dgm:spPr/>
      <dgm:t>
        <a:bodyPr/>
        <a:lstStyle/>
        <a:p>
          <a:endParaRPr lang="en-GB"/>
        </a:p>
      </dgm:t>
    </dgm:pt>
    <dgm:pt modelId="{2EC29753-7096-47B7-AB71-97671433E2B2}" type="sibTrans" cxnId="{0A86B0B3-516F-4E62-906D-011AF34FE286}">
      <dgm:prSet/>
      <dgm:spPr/>
      <dgm:t>
        <a:bodyPr/>
        <a:lstStyle/>
        <a:p>
          <a:endParaRPr lang="en-GB"/>
        </a:p>
      </dgm:t>
    </dgm:pt>
    <dgm:pt modelId="{B320CA08-A27F-40EF-BE67-820DB4DEBE14}" type="pres">
      <dgm:prSet presAssocID="{2C6DA62E-C5D4-4A44-BFE3-D5C2F4EFF260}" presName="Name0" presStyleCnt="0">
        <dgm:presLayoutVars>
          <dgm:chMax val="1"/>
          <dgm:dir/>
          <dgm:animLvl val="ctr"/>
          <dgm:resizeHandles val="exact"/>
        </dgm:presLayoutVars>
      </dgm:prSet>
      <dgm:spPr/>
    </dgm:pt>
    <dgm:pt modelId="{4925F58D-3DDC-4D62-AEC7-61B4D136F17F}" type="pres">
      <dgm:prSet presAssocID="{3DEDB406-35AA-4A7C-9D76-89F76DD67966}" presName="centerShape" presStyleLbl="node0" presStyleIdx="0" presStyleCnt="1"/>
      <dgm:spPr/>
    </dgm:pt>
    <dgm:pt modelId="{EA548337-07DA-435E-8736-F985E9416F7D}" type="pres">
      <dgm:prSet presAssocID="{4B5BEECA-5D3C-4D54-B993-C9D0BABCB08E}" presName="node" presStyleLbl="node1" presStyleIdx="0" presStyleCnt="5">
        <dgm:presLayoutVars>
          <dgm:bulletEnabled val="1"/>
        </dgm:presLayoutVars>
      </dgm:prSet>
      <dgm:spPr/>
    </dgm:pt>
    <dgm:pt modelId="{018FD4E5-DC61-40FD-B6F6-A23B6936BDAC}" type="pres">
      <dgm:prSet presAssocID="{4B5BEECA-5D3C-4D54-B993-C9D0BABCB08E}" presName="dummy" presStyleCnt="0"/>
      <dgm:spPr/>
    </dgm:pt>
    <dgm:pt modelId="{76482952-F3EE-4133-AC0B-ED979AD5CE1E}" type="pres">
      <dgm:prSet presAssocID="{7FFF3C81-88AB-4EE3-BA56-247B93BFED3D}" presName="sibTrans" presStyleLbl="sibTrans2D1" presStyleIdx="0" presStyleCnt="5"/>
      <dgm:spPr/>
    </dgm:pt>
    <dgm:pt modelId="{09151E22-193A-4021-9B04-873524579867}" type="pres">
      <dgm:prSet presAssocID="{D4F4262B-29D4-4A12-8560-C513B2E36B36}" presName="node" presStyleLbl="node1" presStyleIdx="1" presStyleCnt="5">
        <dgm:presLayoutVars>
          <dgm:bulletEnabled val="1"/>
        </dgm:presLayoutVars>
      </dgm:prSet>
      <dgm:spPr/>
    </dgm:pt>
    <dgm:pt modelId="{B8EC5713-6079-4685-8865-1F56670DC8EC}" type="pres">
      <dgm:prSet presAssocID="{D4F4262B-29D4-4A12-8560-C513B2E36B36}" presName="dummy" presStyleCnt="0"/>
      <dgm:spPr/>
    </dgm:pt>
    <dgm:pt modelId="{127B0CA4-0FFB-4D7A-9D5B-F1B601636BC2}" type="pres">
      <dgm:prSet presAssocID="{CFF0F1CC-5DBB-412B-82DB-F6250E404925}" presName="sibTrans" presStyleLbl="sibTrans2D1" presStyleIdx="1" presStyleCnt="5"/>
      <dgm:spPr/>
    </dgm:pt>
    <dgm:pt modelId="{05F411FB-A200-400E-BC2E-A1447AC9DDAA}" type="pres">
      <dgm:prSet presAssocID="{6BCDC3E0-E655-4900-8BCA-768BB067BD29}" presName="node" presStyleLbl="node1" presStyleIdx="2" presStyleCnt="5">
        <dgm:presLayoutVars>
          <dgm:bulletEnabled val="1"/>
        </dgm:presLayoutVars>
      </dgm:prSet>
      <dgm:spPr/>
    </dgm:pt>
    <dgm:pt modelId="{8FE70ADE-66DB-41B0-91B9-A6B509E5EAD4}" type="pres">
      <dgm:prSet presAssocID="{6BCDC3E0-E655-4900-8BCA-768BB067BD29}" presName="dummy" presStyleCnt="0"/>
      <dgm:spPr/>
    </dgm:pt>
    <dgm:pt modelId="{128DCEE4-4990-4E0A-BC27-7869E719CB9D}" type="pres">
      <dgm:prSet presAssocID="{91D56E67-B706-40C0-B2D3-223810822856}" presName="sibTrans" presStyleLbl="sibTrans2D1" presStyleIdx="2" presStyleCnt="5"/>
      <dgm:spPr/>
    </dgm:pt>
    <dgm:pt modelId="{4EC14FC8-721E-4CA9-9D29-42786F993021}" type="pres">
      <dgm:prSet presAssocID="{12644645-EC8A-4F9B-9135-E515B3400577}" presName="node" presStyleLbl="node1" presStyleIdx="3" presStyleCnt="5">
        <dgm:presLayoutVars>
          <dgm:bulletEnabled val="1"/>
        </dgm:presLayoutVars>
      </dgm:prSet>
      <dgm:spPr/>
    </dgm:pt>
    <dgm:pt modelId="{A12EC69C-6F5B-4219-ABB0-102F5C679478}" type="pres">
      <dgm:prSet presAssocID="{12644645-EC8A-4F9B-9135-E515B3400577}" presName="dummy" presStyleCnt="0"/>
      <dgm:spPr/>
    </dgm:pt>
    <dgm:pt modelId="{3EB62B2A-2BC4-43E8-8DD9-E32341F67423}" type="pres">
      <dgm:prSet presAssocID="{431BC598-908A-47D8-BB0D-CEB211E88405}" presName="sibTrans" presStyleLbl="sibTrans2D1" presStyleIdx="3" presStyleCnt="5"/>
      <dgm:spPr/>
    </dgm:pt>
    <dgm:pt modelId="{27119AC8-8F08-468E-9BCE-A4B0B0AEFD9C}" type="pres">
      <dgm:prSet presAssocID="{086150BB-6CF5-45FC-9548-E5712CB25C5A}" presName="node" presStyleLbl="node1" presStyleIdx="4" presStyleCnt="5">
        <dgm:presLayoutVars>
          <dgm:bulletEnabled val="1"/>
        </dgm:presLayoutVars>
      </dgm:prSet>
      <dgm:spPr/>
    </dgm:pt>
    <dgm:pt modelId="{634C5B86-1802-4731-99D3-D2F3AF04B382}" type="pres">
      <dgm:prSet presAssocID="{086150BB-6CF5-45FC-9548-E5712CB25C5A}" presName="dummy" presStyleCnt="0"/>
      <dgm:spPr/>
    </dgm:pt>
    <dgm:pt modelId="{AFFD0313-0774-4EDF-AA8E-F5D3049724AB}" type="pres">
      <dgm:prSet presAssocID="{2EC29753-7096-47B7-AB71-97671433E2B2}" presName="sibTrans" presStyleLbl="sibTrans2D1" presStyleIdx="4" presStyleCnt="5"/>
      <dgm:spPr/>
    </dgm:pt>
  </dgm:ptLst>
  <dgm:cxnLst>
    <dgm:cxn modelId="{D6C8AA0D-F140-46A9-862D-AD6AE32C0506}" srcId="{3DEDB406-35AA-4A7C-9D76-89F76DD67966}" destId="{6BCDC3E0-E655-4900-8BCA-768BB067BD29}" srcOrd="2" destOrd="0" parTransId="{FBC67B65-9E05-4963-AE02-A0D52A0C9895}" sibTransId="{91D56E67-B706-40C0-B2D3-223810822856}"/>
    <dgm:cxn modelId="{0BB2A615-D127-43A0-BC1E-F35F10E16625}" srcId="{2C6DA62E-C5D4-4A44-BFE3-D5C2F4EFF260}" destId="{3DEDB406-35AA-4A7C-9D76-89F76DD67966}" srcOrd="0" destOrd="0" parTransId="{7F54EE5C-0272-4EC2-B540-E29C59E37002}" sibTransId="{D2C79814-9F18-486A-9337-1666B6CA5D8E}"/>
    <dgm:cxn modelId="{05C75E21-CC90-4BD4-89F6-1D10E5C0560B}" type="presOf" srcId="{4B5BEECA-5D3C-4D54-B993-C9D0BABCB08E}" destId="{EA548337-07DA-435E-8736-F985E9416F7D}" srcOrd="0" destOrd="0" presId="urn:microsoft.com/office/officeart/2005/8/layout/radial6"/>
    <dgm:cxn modelId="{A808F928-9772-43E4-9A53-149EBB1F9FB1}" type="presOf" srcId="{086150BB-6CF5-45FC-9548-E5712CB25C5A}" destId="{27119AC8-8F08-468E-9BCE-A4B0B0AEFD9C}" srcOrd="0" destOrd="0" presId="urn:microsoft.com/office/officeart/2005/8/layout/radial6"/>
    <dgm:cxn modelId="{F6581F3E-71D2-41CE-8D22-0C9A81B24B86}" srcId="{3DEDB406-35AA-4A7C-9D76-89F76DD67966}" destId="{12644645-EC8A-4F9B-9135-E515B3400577}" srcOrd="3" destOrd="0" parTransId="{8AB45B27-74F8-4B0C-AB3D-4D9961ACE746}" sibTransId="{431BC598-908A-47D8-BB0D-CEB211E88405}"/>
    <dgm:cxn modelId="{E883D46D-A2A9-4839-8706-F609EFB96F85}" type="presOf" srcId="{2EC29753-7096-47B7-AB71-97671433E2B2}" destId="{AFFD0313-0774-4EDF-AA8E-F5D3049724AB}" srcOrd="0" destOrd="0" presId="urn:microsoft.com/office/officeart/2005/8/layout/radial6"/>
    <dgm:cxn modelId="{DBFE8157-6B6E-4406-B027-D2BBF70C5C15}" srcId="{3DEDB406-35AA-4A7C-9D76-89F76DD67966}" destId="{D4F4262B-29D4-4A12-8560-C513B2E36B36}" srcOrd="1" destOrd="0" parTransId="{867CC97D-5957-4B29-81D1-FEA6D70871DD}" sibTransId="{CFF0F1CC-5DBB-412B-82DB-F6250E404925}"/>
    <dgm:cxn modelId="{EA7E5B7A-6041-492E-ABF7-0E48A7D9A552}" type="presOf" srcId="{CFF0F1CC-5DBB-412B-82DB-F6250E404925}" destId="{127B0CA4-0FFB-4D7A-9D5B-F1B601636BC2}" srcOrd="0" destOrd="0" presId="urn:microsoft.com/office/officeart/2005/8/layout/radial6"/>
    <dgm:cxn modelId="{78407AA7-9DAD-4C24-B2F5-0B748ADEC676}" type="presOf" srcId="{6BCDC3E0-E655-4900-8BCA-768BB067BD29}" destId="{05F411FB-A200-400E-BC2E-A1447AC9DDAA}" srcOrd="0" destOrd="0" presId="urn:microsoft.com/office/officeart/2005/8/layout/radial6"/>
    <dgm:cxn modelId="{0A86B0B3-516F-4E62-906D-011AF34FE286}" srcId="{3DEDB406-35AA-4A7C-9D76-89F76DD67966}" destId="{086150BB-6CF5-45FC-9548-E5712CB25C5A}" srcOrd="4" destOrd="0" parTransId="{C4DE15A5-0E5B-4126-B3E6-1553499CEEA6}" sibTransId="{2EC29753-7096-47B7-AB71-97671433E2B2}"/>
    <dgm:cxn modelId="{936832B9-D5A7-4F3D-9042-C337B52310BA}" srcId="{3DEDB406-35AA-4A7C-9D76-89F76DD67966}" destId="{4B5BEECA-5D3C-4D54-B993-C9D0BABCB08E}" srcOrd="0" destOrd="0" parTransId="{36616572-DBDD-4397-B272-A01F3B9D578F}" sibTransId="{7FFF3C81-88AB-4EE3-BA56-247B93BFED3D}"/>
    <dgm:cxn modelId="{CBB681BB-E45F-4EE5-BC88-34A5C25CFF0F}" type="presOf" srcId="{431BC598-908A-47D8-BB0D-CEB211E88405}" destId="{3EB62B2A-2BC4-43E8-8DD9-E32341F67423}" srcOrd="0" destOrd="0" presId="urn:microsoft.com/office/officeart/2005/8/layout/radial6"/>
    <dgm:cxn modelId="{C5835ADB-FBC3-4961-957D-325788175AA9}" type="presOf" srcId="{7FFF3C81-88AB-4EE3-BA56-247B93BFED3D}" destId="{76482952-F3EE-4133-AC0B-ED979AD5CE1E}" srcOrd="0" destOrd="0" presId="urn:microsoft.com/office/officeart/2005/8/layout/radial6"/>
    <dgm:cxn modelId="{896489DF-E477-471D-B2B9-82FD896B674B}" type="presOf" srcId="{91D56E67-B706-40C0-B2D3-223810822856}" destId="{128DCEE4-4990-4E0A-BC27-7869E719CB9D}" srcOrd="0" destOrd="0" presId="urn:microsoft.com/office/officeart/2005/8/layout/radial6"/>
    <dgm:cxn modelId="{86FD3BE3-BB7B-4BD0-BAA2-3FBB4F7AD0F5}" type="presOf" srcId="{2C6DA62E-C5D4-4A44-BFE3-D5C2F4EFF260}" destId="{B320CA08-A27F-40EF-BE67-820DB4DEBE14}" srcOrd="0" destOrd="0" presId="urn:microsoft.com/office/officeart/2005/8/layout/radial6"/>
    <dgm:cxn modelId="{01AC89E7-DF40-46F3-82ED-C473916B3D60}" type="presOf" srcId="{12644645-EC8A-4F9B-9135-E515B3400577}" destId="{4EC14FC8-721E-4CA9-9D29-42786F993021}" srcOrd="0" destOrd="0" presId="urn:microsoft.com/office/officeart/2005/8/layout/radial6"/>
    <dgm:cxn modelId="{E1A6FDF9-05CE-4C27-B215-F1527C2599FB}" type="presOf" srcId="{D4F4262B-29D4-4A12-8560-C513B2E36B36}" destId="{09151E22-193A-4021-9B04-873524579867}" srcOrd="0" destOrd="0" presId="urn:microsoft.com/office/officeart/2005/8/layout/radial6"/>
    <dgm:cxn modelId="{623C96FF-9228-45EF-AF4D-888C1E49C219}" type="presOf" srcId="{3DEDB406-35AA-4A7C-9D76-89F76DD67966}" destId="{4925F58D-3DDC-4D62-AEC7-61B4D136F17F}" srcOrd="0" destOrd="0" presId="urn:microsoft.com/office/officeart/2005/8/layout/radial6"/>
    <dgm:cxn modelId="{BC71D880-6FCD-4276-8100-33FDB9DA3630}" type="presParOf" srcId="{B320CA08-A27F-40EF-BE67-820DB4DEBE14}" destId="{4925F58D-3DDC-4D62-AEC7-61B4D136F17F}" srcOrd="0" destOrd="0" presId="urn:microsoft.com/office/officeart/2005/8/layout/radial6"/>
    <dgm:cxn modelId="{1ED79561-B8F5-465F-807C-5ECCBA0C978C}" type="presParOf" srcId="{B320CA08-A27F-40EF-BE67-820DB4DEBE14}" destId="{EA548337-07DA-435E-8736-F985E9416F7D}" srcOrd="1" destOrd="0" presId="urn:microsoft.com/office/officeart/2005/8/layout/radial6"/>
    <dgm:cxn modelId="{B0DF3E5A-B029-4E91-94C7-2393C84280B3}" type="presParOf" srcId="{B320CA08-A27F-40EF-BE67-820DB4DEBE14}" destId="{018FD4E5-DC61-40FD-B6F6-A23B6936BDAC}" srcOrd="2" destOrd="0" presId="urn:microsoft.com/office/officeart/2005/8/layout/radial6"/>
    <dgm:cxn modelId="{C9126C2A-CAA5-4248-87EB-CF46F0BA3390}" type="presParOf" srcId="{B320CA08-A27F-40EF-BE67-820DB4DEBE14}" destId="{76482952-F3EE-4133-AC0B-ED979AD5CE1E}" srcOrd="3" destOrd="0" presId="urn:microsoft.com/office/officeart/2005/8/layout/radial6"/>
    <dgm:cxn modelId="{B15172F8-9F09-414A-9A0A-5D3F0F40D573}" type="presParOf" srcId="{B320CA08-A27F-40EF-BE67-820DB4DEBE14}" destId="{09151E22-193A-4021-9B04-873524579867}" srcOrd="4" destOrd="0" presId="urn:microsoft.com/office/officeart/2005/8/layout/radial6"/>
    <dgm:cxn modelId="{51B4E1ED-7903-45EE-BE72-A895F5BFAF29}" type="presParOf" srcId="{B320CA08-A27F-40EF-BE67-820DB4DEBE14}" destId="{B8EC5713-6079-4685-8865-1F56670DC8EC}" srcOrd="5" destOrd="0" presId="urn:microsoft.com/office/officeart/2005/8/layout/radial6"/>
    <dgm:cxn modelId="{B96A6F70-7D05-4171-B3D6-C9CD6D3BB450}" type="presParOf" srcId="{B320CA08-A27F-40EF-BE67-820DB4DEBE14}" destId="{127B0CA4-0FFB-4D7A-9D5B-F1B601636BC2}" srcOrd="6" destOrd="0" presId="urn:microsoft.com/office/officeart/2005/8/layout/radial6"/>
    <dgm:cxn modelId="{C018B44D-20B6-439A-90F8-2770D05D1414}" type="presParOf" srcId="{B320CA08-A27F-40EF-BE67-820DB4DEBE14}" destId="{05F411FB-A200-400E-BC2E-A1447AC9DDAA}" srcOrd="7" destOrd="0" presId="urn:microsoft.com/office/officeart/2005/8/layout/radial6"/>
    <dgm:cxn modelId="{25AD4FCC-84F5-4C74-B16D-60FB20D08AE4}" type="presParOf" srcId="{B320CA08-A27F-40EF-BE67-820DB4DEBE14}" destId="{8FE70ADE-66DB-41B0-91B9-A6B509E5EAD4}" srcOrd="8" destOrd="0" presId="urn:microsoft.com/office/officeart/2005/8/layout/radial6"/>
    <dgm:cxn modelId="{CB27BF5E-5F1F-429A-817E-59035EC20D02}" type="presParOf" srcId="{B320CA08-A27F-40EF-BE67-820DB4DEBE14}" destId="{128DCEE4-4990-4E0A-BC27-7869E719CB9D}" srcOrd="9" destOrd="0" presId="urn:microsoft.com/office/officeart/2005/8/layout/radial6"/>
    <dgm:cxn modelId="{5C6C8077-E213-4CF3-A1FE-FE6831FE6698}" type="presParOf" srcId="{B320CA08-A27F-40EF-BE67-820DB4DEBE14}" destId="{4EC14FC8-721E-4CA9-9D29-42786F993021}" srcOrd="10" destOrd="0" presId="urn:microsoft.com/office/officeart/2005/8/layout/radial6"/>
    <dgm:cxn modelId="{9F357E5C-B245-4AA8-BE8C-1A489EC434BE}" type="presParOf" srcId="{B320CA08-A27F-40EF-BE67-820DB4DEBE14}" destId="{A12EC69C-6F5B-4219-ABB0-102F5C679478}" srcOrd="11" destOrd="0" presId="urn:microsoft.com/office/officeart/2005/8/layout/radial6"/>
    <dgm:cxn modelId="{E73BB490-CBD0-4C42-9C81-C3A7C0A5F101}" type="presParOf" srcId="{B320CA08-A27F-40EF-BE67-820DB4DEBE14}" destId="{3EB62B2A-2BC4-43E8-8DD9-E32341F67423}" srcOrd="12" destOrd="0" presId="urn:microsoft.com/office/officeart/2005/8/layout/radial6"/>
    <dgm:cxn modelId="{FC74DC86-3D85-4B34-92EE-84486443FFDA}" type="presParOf" srcId="{B320CA08-A27F-40EF-BE67-820DB4DEBE14}" destId="{27119AC8-8F08-468E-9BCE-A4B0B0AEFD9C}" srcOrd="13" destOrd="0" presId="urn:microsoft.com/office/officeart/2005/8/layout/radial6"/>
    <dgm:cxn modelId="{EAADAAEB-C540-4AD9-B2F1-10EC9A593852}" type="presParOf" srcId="{B320CA08-A27F-40EF-BE67-820DB4DEBE14}" destId="{634C5B86-1802-4731-99D3-D2F3AF04B382}" srcOrd="14" destOrd="0" presId="urn:microsoft.com/office/officeart/2005/8/layout/radial6"/>
    <dgm:cxn modelId="{0FBBECED-7558-4AC3-BE60-30A4EDFF5F52}" type="presParOf" srcId="{B320CA08-A27F-40EF-BE67-820DB4DEBE14}" destId="{AFFD0313-0774-4EDF-AA8E-F5D3049724AB}" srcOrd="15" destOrd="0" presId="urn:microsoft.com/office/officeart/2005/8/layout/radial6"/>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517CE7-35D3-4BBA-BF24-DA712E0521E4}">
      <dsp:nvSpPr>
        <dsp:cNvPr id="0" name=""/>
        <dsp:cNvSpPr/>
      </dsp:nvSpPr>
      <dsp:spPr>
        <a:xfrm>
          <a:off x="1911692" y="1314450"/>
          <a:ext cx="329514" cy="1062685"/>
        </a:xfrm>
        <a:custGeom>
          <a:avLst/>
          <a:gdLst/>
          <a:ahLst/>
          <a:cxnLst/>
          <a:rect l="0" t="0" r="0" b="0"/>
          <a:pathLst>
            <a:path>
              <a:moveTo>
                <a:pt x="0" y="0"/>
              </a:moveTo>
              <a:lnTo>
                <a:pt x="164757" y="0"/>
              </a:lnTo>
              <a:lnTo>
                <a:pt x="164757" y="1062685"/>
              </a:lnTo>
              <a:lnTo>
                <a:pt x="329514" y="1062685"/>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848349-2DE9-4963-975A-AC94143FFA3E}">
      <dsp:nvSpPr>
        <dsp:cNvPr id="0" name=""/>
        <dsp:cNvSpPr/>
      </dsp:nvSpPr>
      <dsp:spPr>
        <a:xfrm>
          <a:off x="1911692" y="1314450"/>
          <a:ext cx="329514" cy="354228"/>
        </a:xfrm>
        <a:custGeom>
          <a:avLst/>
          <a:gdLst/>
          <a:ahLst/>
          <a:cxnLst/>
          <a:rect l="0" t="0" r="0" b="0"/>
          <a:pathLst>
            <a:path>
              <a:moveTo>
                <a:pt x="0" y="0"/>
              </a:moveTo>
              <a:lnTo>
                <a:pt x="164757" y="0"/>
              </a:lnTo>
              <a:lnTo>
                <a:pt x="164757" y="354228"/>
              </a:lnTo>
              <a:lnTo>
                <a:pt x="329514" y="354228"/>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1EF06E-F2DC-4B6A-80B7-6DFA84332D52}">
      <dsp:nvSpPr>
        <dsp:cNvPr id="0" name=""/>
        <dsp:cNvSpPr/>
      </dsp:nvSpPr>
      <dsp:spPr>
        <a:xfrm>
          <a:off x="1911692" y="960221"/>
          <a:ext cx="329514" cy="354228"/>
        </a:xfrm>
        <a:custGeom>
          <a:avLst/>
          <a:gdLst/>
          <a:ahLst/>
          <a:cxnLst/>
          <a:rect l="0" t="0" r="0" b="0"/>
          <a:pathLst>
            <a:path>
              <a:moveTo>
                <a:pt x="0" y="354228"/>
              </a:moveTo>
              <a:lnTo>
                <a:pt x="164757" y="354228"/>
              </a:lnTo>
              <a:lnTo>
                <a:pt x="164757" y="0"/>
              </a:lnTo>
              <a:lnTo>
                <a:pt x="329514" y="0"/>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38F32E-683E-4A33-86AC-1FC19D39F0B6}">
      <dsp:nvSpPr>
        <dsp:cNvPr id="0" name=""/>
        <dsp:cNvSpPr/>
      </dsp:nvSpPr>
      <dsp:spPr>
        <a:xfrm>
          <a:off x="1911692" y="251764"/>
          <a:ext cx="329514" cy="1062685"/>
        </a:xfrm>
        <a:custGeom>
          <a:avLst/>
          <a:gdLst/>
          <a:ahLst/>
          <a:cxnLst/>
          <a:rect l="0" t="0" r="0" b="0"/>
          <a:pathLst>
            <a:path>
              <a:moveTo>
                <a:pt x="0" y="1062685"/>
              </a:moveTo>
              <a:lnTo>
                <a:pt x="164757" y="1062685"/>
              </a:lnTo>
              <a:lnTo>
                <a:pt x="164757" y="0"/>
              </a:lnTo>
              <a:lnTo>
                <a:pt x="329514" y="0"/>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C5B8B0-EC87-4E5B-88FD-050E71ED16CA}">
      <dsp:nvSpPr>
        <dsp:cNvPr id="0" name=""/>
        <dsp:cNvSpPr/>
      </dsp:nvSpPr>
      <dsp:spPr>
        <a:xfrm>
          <a:off x="264118" y="1063194"/>
          <a:ext cx="1647573" cy="50251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AI Risk Categories</a:t>
          </a:r>
        </a:p>
      </dsp:txBody>
      <dsp:txXfrm>
        <a:off x="264118" y="1063194"/>
        <a:ext cx="1647573" cy="502510"/>
      </dsp:txXfrm>
    </dsp:sp>
    <dsp:sp modelId="{D57AE211-72E8-4ECB-80AB-B0F2EF8CC3B3}">
      <dsp:nvSpPr>
        <dsp:cNvPr id="0" name=""/>
        <dsp:cNvSpPr/>
      </dsp:nvSpPr>
      <dsp:spPr>
        <a:xfrm>
          <a:off x="2241207" y="509"/>
          <a:ext cx="1647573" cy="50251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Operational</a:t>
          </a:r>
        </a:p>
      </dsp:txBody>
      <dsp:txXfrm>
        <a:off x="2241207" y="509"/>
        <a:ext cx="1647573" cy="502510"/>
      </dsp:txXfrm>
    </dsp:sp>
    <dsp:sp modelId="{AA9336ED-B405-45EE-BC82-67B2B8E157A0}">
      <dsp:nvSpPr>
        <dsp:cNvPr id="0" name=""/>
        <dsp:cNvSpPr/>
      </dsp:nvSpPr>
      <dsp:spPr>
        <a:xfrm>
          <a:off x="2241207" y="708966"/>
          <a:ext cx="1647573" cy="50251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Ethical</a:t>
          </a:r>
        </a:p>
      </dsp:txBody>
      <dsp:txXfrm>
        <a:off x="2241207" y="708966"/>
        <a:ext cx="1647573" cy="502510"/>
      </dsp:txXfrm>
    </dsp:sp>
    <dsp:sp modelId="{3B946135-25E4-47DE-84E8-B9F9D2C4454C}">
      <dsp:nvSpPr>
        <dsp:cNvPr id="0" name=""/>
        <dsp:cNvSpPr/>
      </dsp:nvSpPr>
      <dsp:spPr>
        <a:xfrm>
          <a:off x="2241207" y="1417423"/>
          <a:ext cx="1647573" cy="50251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Cybersecurity</a:t>
          </a:r>
        </a:p>
      </dsp:txBody>
      <dsp:txXfrm>
        <a:off x="2241207" y="1417423"/>
        <a:ext cx="1647573" cy="502510"/>
      </dsp:txXfrm>
    </dsp:sp>
    <dsp:sp modelId="{C5FCEF87-570D-4011-A3E0-EB64344B62E0}">
      <dsp:nvSpPr>
        <dsp:cNvPr id="0" name=""/>
        <dsp:cNvSpPr/>
      </dsp:nvSpPr>
      <dsp:spPr>
        <a:xfrm>
          <a:off x="2241207" y="2125880"/>
          <a:ext cx="1647573" cy="50251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Regulatory</a:t>
          </a:r>
        </a:p>
      </dsp:txBody>
      <dsp:txXfrm>
        <a:off x="2241207" y="2125880"/>
        <a:ext cx="1647573" cy="5025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FD0313-0774-4EDF-AA8E-F5D3049724AB}">
      <dsp:nvSpPr>
        <dsp:cNvPr id="0" name=""/>
        <dsp:cNvSpPr/>
      </dsp:nvSpPr>
      <dsp:spPr>
        <a:xfrm>
          <a:off x="1656384" y="324684"/>
          <a:ext cx="2164106" cy="2164106"/>
        </a:xfrm>
        <a:prstGeom prst="blockArc">
          <a:avLst>
            <a:gd name="adj1" fmla="val 11880000"/>
            <a:gd name="adj2" fmla="val 16200000"/>
            <a:gd name="adj3" fmla="val 4640"/>
          </a:avLst>
        </a:prstGeom>
        <a:gradFill rotWithShape="0">
          <a:gsLst>
            <a:gs pos="0">
              <a:schemeClr val="accent4">
                <a:hueOff val="10395692"/>
                <a:satOff val="-47968"/>
                <a:lumOff val="1765"/>
                <a:alphaOff val="0"/>
                <a:lumMod val="110000"/>
                <a:satMod val="105000"/>
                <a:tint val="67000"/>
              </a:schemeClr>
            </a:gs>
            <a:gs pos="50000">
              <a:schemeClr val="accent4">
                <a:hueOff val="10395692"/>
                <a:satOff val="-47968"/>
                <a:lumOff val="1765"/>
                <a:alphaOff val="0"/>
                <a:lumMod val="105000"/>
                <a:satMod val="103000"/>
                <a:tint val="73000"/>
              </a:schemeClr>
            </a:gs>
            <a:gs pos="100000">
              <a:schemeClr val="accent4">
                <a:hueOff val="10395692"/>
                <a:satOff val="-47968"/>
                <a:lumOff val="1765"/>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3EB62B2A-2BC4-43E8-8DD9-E32341F67423}">
      <dsp:nvSpPr>
        <dsp:cNvPr id="0" name=""/>
        <dsp:cNvSpPr/>
      </dsp:nvSpPr>
      <dsp:spPr>
        <a:xfrm>
          <a:off x="1656384" y="324684"/>
          <a:ext cx="2164106" cy="2164106"/>
        </a:xfrm>
        <a:prstGeom prst="blockArc">
          <a:avLst>
            <a:gd name="adj1" fmla="val 7560000"/>
            <a:gd name="adj2" fmla="val 11880000"/>
            <a:gd name="adj3" fmla="val 4640"/>
          </a:avLst>
        </a:prstGeom>
        <a:gradFill rotWithShape="0">
          <a:gsLst>
            <a:gs pos="0">
              <a:schemeClr val="accent4">
                <a:hueOff val="7796769"/>
                <a:satOff val="-35976"/>
                <a:lumOff val="1324"/>
                <a:alphaOff val="0"/>
                <a:lumMod val="110000"/>
                <a:satMod val="105000"/>
                <a:tint val="67000"/>
              </a:schemeClr>
            </a:gs>
            <a:gs pos="50000">
              <a:schemeClr val="accent4">
                <a:hueOff val="7796769"/>
                <a:satOff val="-35976"/>
                <a:lumOff val="1324"/>
                <a:alphaOff val="0"/>
                <a:lumMod val="105000"/>
                <a:satMod val="103000"/>
                <a:tint val="73000"/>
              </a:schemeClr>
            </a:gs>
            <a:gs pos="100000">
              <a:schemeClr val="accent4">
                <a:hueOff val="7796769"/>
                <a:satOff val="-35976"/>
                <a:lumOff val="1324"/>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128DCEE4-4990-4E0A-BC27-7869E719CB9D}">
      <dsp:nvSpPr>
        <dsp:cNvPr id="0" name=""/>
        <dsp:cNvSpPr/>
      </dsp:nvSpPr>
      <dsp:spPr>
        <a:xfrm>
          <a:off x="1656384" y="324684"/>
          <a:ext cx="2164106" cy="2164106"/>
        </a:xfrm>
        <a:prstGeom prst="blockArc">
          <a:avLst>
            <a:gd name="adj1" fmla="val 3240000"/>
            <a:gd name="adj2" fmla="val 7560000"/>
            <a:gd name="adj3" fmla="val 4640"/>
          </a:avLst>
        </a:prstGeom>
        <a:gradFill rotWithShape="0">
          <a:gsLst>
            <a:gs pos="0">
              <a:schemeClr val="accent4">
                <a:hueOff val="5197846"/>
                <a:satOff val="-23984"/>
                <a:lumOff val="883"/>
                <a:alphaOff val="0"/>
                <a:lumMod val="110000"/>
                <a:satMod val="105000"/>
                <a:tint val="67000"/>
              </a:schemeClr>
            </a:gs>
            <a:gs pos="50000">
              <a:schemeClr val="accent4">
                <a:hueOff val="5197846"/>
                <a:satOff val="-23984"/>
                <a:lumOff val="883"/>
                <a:alphaOff val="0"/>
                <a:lumMod val="105000"/>
                <a:satMod val="103000"/>
                <a:tint val="73000"/>
              </a:schemeClr>
            </a:gs>
            <a:gs pos="100000">
              <a:schemeClr val="accent4">
                <a:hueOff val="5197846"/>
                <a:satOff val="-23984"/>
                <a:lumOff val="883"/>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127B0CA4-0FFB-4D7A-9D5B-F1B601636BC2}">
      <dsp:nvSpPr>
        <dsp:cNvPr id="0" name=""/>
        <dsp:cNvSpPr/>
      </dsp:nvSpPr>
      <dsp:spPr>
        <a:xfrm>
          <a:off x="1656384" y="324684"/>
          <a:ext cx="2164106" cy="2164106"/>
        </a:xfrm>
        <a:prstGeom prst="blockArc">
          <a:avLst>
            <a:gd name="adj1" fmla="val 20520000"/>
            <a:gd name="adj2" fmla="val 3240000"/>
            <a:gd name="adj3" fmla="val 4640"/>
          </a:avLst>
        </a:prstGeom>
        <a:gradFill rotWithShape="0">
          <a:gsLst>
            <a:gs pos="0">
              <a:schemeClr val="accent4">
                <a:hueOff val="2598923"/>
                <a:satOff val="-11992"/>
                <a:lumOff val="441"/>
                <a:alphaOff val="0"/>
                <a:lumMod val="110000"/>
                <a:satMod val="105000"/>
                <a:tint val="67000"/>
              </a:schemeClr>
            </a:gs>
            <a:gs pos="50000">
              <a:schemeClr val="accent4">
                <a:hueOff val="2598923"/>
                <a:satOff val="-11992"/>
                <a:lumOff val="441"/>
                <a:alphaOff val="0"/>
                <a:lumMod val="105000"/>
                <a:satMod val="103000"/>
                <a:tint val="73000"/>
              </a:schemeClr>
            </a:gs>
            <a:gs pos="100000">
              <a:schemeClr val="accent4">
                <a:hueOff val="2598923"/>
                <a:satOff val="-11992"/>
                <a:lumOff val="441"/>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76482952-F3EE-4133-AC0B-ED979AD5CE1E}">
      <dsp:nvSpPr>
        <dsp:cNvPr id="0" name=""/>
        <dsp:cNvSpPr/>
      </dsp:nvSpPr>
      <dsp:spPr>
        <a:xfrm>
          <a:off x="1656384" y="324684"/>
          <a:ext cx="2164106" cy="2164106"/>
        </a:xfrm>
        <a:prstGeom prst="blockArc">
          <a:avLst>
            <a:gd name="adj1" fmla="val 16200000"/>
            <a:gd name="adj2" fmla="val 20520000"/>
            <a:gd name="adj3" fmla="val 464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4925F58D-3DDC-4D62-AEC7-61B4D136F17F}">
      <dsp:nvSpPr>
        <dsp:cNvPr id="0" name=""/>
        <dsp:cNvSpPr/>
      </dsp:nvSpPr>
      <dsp:spPr>
        <a:xfrm>
          <a:off x="2240357" y="908657"/>
          <a:ext cx="996160" cy="996160"/>
        </a:xfrm>
        <a:prstGeom prst="ellipse">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Data Governance Lifecycle</a:t>
          </a:r>
        </a:p>
      </dsp:txBody>
      <dsp:txXfrm>
        <a:off x="2386241" y="1054541"/>
        <a:ext cx="704392" cy="704392"/>
      </dsp:txXfrm>
    </dsp:sp>
    <dsp:sp modelId="{EA548337-07DA-435E-8736-F985E9416F7D}">
      <dsp:nvSpPr>
        <dsp:cNvPr id="0" name=""/>
        <dsp:cNvSpPr/>
      </dsp:nvSpPr>
      <dsp:spPr>
        <a:xfrm>
          <a:off x="2389781" y="1131"/>
          <a:ext cx="697312" cy="697312"/>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Collection</a:t>
          </a:r>
        </a:p>
      </dsp:txBody>
      <dsp:txXfrm>
        <a:off x="2491900" y="103250"/>
        <a:ext cx="493074" cy="493074"/>
      </dsp:txXfrm>
    </dsp:sp>
    <dsp:sp modelId="{09151E22-193A-4021-9B04-873524579867}">
      <dsp:nvSpPr>
        <dsp:cNvPr id="0" name=""/>
        <dsp:cNvSpPr/>
      </dsp:nvSpPr>
      <dsp:spPr>
        <a:xfrm>
          <a:off x="3395000" y="731465"/>
          <a:ext cx="697312" cy="697312"/>
        </a:xfrm>
        <a:prstGeom prst="ellipse">
          <a:avLst/>
        </a:prstGeom>
        <a:gradFill rotWithShape="0">
          <a:gsLst>
            <a:gs pos="0">
              <a:schemeClr val="accent4">
                <a:hueOff val="2598923"/>
                <a:satOff val="-11992"/>
                <a:lumOff val="441"/>
                <a:alphaOff val="0"/>
                <a:lumMod val="110000"/>
                <a:satMod val="105000"/>
                <a:tint val="67000"/>
              </a:schemeClr>
            </a:gs>
            <a:gs pos="50000">
              <a:schemeClr val="accent4">
                <a:hueOff val="2598923"/>
                <a:satOff val="-11992"/>
                <a:lumOff val="441"/>
                <a:alphaOff val="0"/>
                <a:lumMod val="105000"/>
                <a:satMod val="103000"/>
                <a:tint val="73000"/>
              </a:schemeClr>
            </a:gs>
            <a:gs pos="100000">
              <a:schemeClr val="accent4">
                <a:hueOff val="2598923"/>
                <a:satOff val="-11992"/>
                <a:lumOff val="44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Storage</a:t>
          </a:r>
        </a:p>
      </dsp:txBody>
      <dsp:txXfrm>
        <a:off x="3497119" y="833584"/>
        <a:ext cx="493074" cy="493074"/>
      </dsp:txXfrm>
    </dsp:sp>
    <dsp:sp modelId="{05F411FB-A200-400E-BC2E-A1447AC9DDAA}">
      <dsp:nvSpPr>
        <dsp:cNvPr id="0" name=""/>
        <dsp:cNvSpPr/>
      </dsp:nvSpPr>
      <dsp:spPr>
        <a:xfrm>
          <a:off x="3011041" y="1913172"/>
          <a:ext cx="697312" cy="697312"/>
        </a:xfrm>
        <a:prstGeom prst="ellipse">
          <a:avLst/>
        </a:prstGeom>
        <a:gradFill rotWithShape="0">
          <a:gsLst>
            <a:gs pos="0">
              <a:schemeClr val="accent4">
                <a:hueOff val="5197846"/>
                <a:satOff val="-23984"/>
                <a:lumOff val="883"/>
                <a:alphaOff val="0"/>
                <a:lumMod val="110000"/>
                <a:satMod val="105000"/>
                <a:tint val="67000"/>
              </a:schemeClr>
            </a:gs>
            <a:gs pos="50000">
              <a:schemeClr val="accent4">
                <a:hueOff val="5197846"/>
                <a:satOff val="-23984"/>
                <a:lumOff val="883"/>
                <a:alphaOff val="0"/>
                <a:lumMod val="105000"/>
                <a:satMod val="103000"/>
                <a:tint val="73000"/>
              </a:schemeClr>
            </a:gs>
            <a:gs pos="100000">
              <a:schemeClr val="accent4">
                <a:hueOff val="5197846"/>
                <a:satOff val="-23984"/>
                <a:lumOff val="88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Processing</a:t>
          </a:r>
        </a:p>
      </dsp:txBody>
      <dsp:txXfrm>
        <a:off x="3113160" y="2015291"/>
        <a:ext cx="493074" cy="493074"/>
      </dsp:txXfrm>
    </dsp:sp>
    <dsp:sp modelId="{4EC14FC8-721E-4CA9-9D29-42786F993021}">
      <dsp:nvSpPr>
        <dsp:cNvPr id="0" name=""/>
        <dsp:cNvSpPr/>
      </dsp:nvSpPr>
      <dsp:spPr>
        <a:xfrm>
          <a:off x="1768521" y="1913172"/>
          <a:ext cx="697312" cy="697312"/>
        </a:xfrm>
        <a:prstGeom prst="ellipse">
          <a:avLst/>
        </a:prstGeom>
        <a:gradFill rotWithShape="0">
          <a:gsLst>
            <a:gs pos="0">
              <a:schemeClr val="accent4">
                <a:hueOff val="7796769"/>
                <a:satOff val="-35976"/>
                <a:lumOff val="1324"/>
                <a:alphaOff val="0"/>
                <a:lumMod val="110000"/>
                <a:satMod val="105000"/>
                <a:tint val="67000"/>
              </a:schemeClr>
            </a:gs>
            <a:gs pos="50000">
              <a:schemeClr val="accent4">
                <a:hueOff val="7796769"/>
                <a:satOff val="-35976"/>
                <a:lumOff val="1324"/>
                <a:alphaOff val="0"/>
                <a:lumMod val="105000"/>
                <a:satMod val="103000"/>
                <a:tint val="73000"/>
              </a:schemeClr>
            </a:gs>
            <a:gs pos="100000">
              <a:schemeClr val="accent4">
                <a:hueOff val="7796769"/>
                <a:satOff val="-35976"/>
                <a:lumOff val="132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Governance</a:t>
          </a:r>
        </a:p>
      </dsp:txBody>
      <dsp:txXfrm>
        <a:off x="1870640" y="2015291"/>
        <a:ext cx="493074" cy="493074"/>
      </dsp:txXfrm>
    </dsp:sp>
    <dsp:sp modelId="{27119AC8-8F08-468E-9BCE-A4B0B0AEFD9C}">
      <dsp:nvSpPr>
        <dsp:cNvPr id="0" name=""/>
        <dsp:cNvSpPr/>
      </dsp:nvSpPr>
      <dsp:spPr>
        <a:xfrm>
          <a:off x="1384562" y="731465"/>
          <a:ext cx="697312" cy="697312"/>
        </a:xfrm>
        <a:prstGeom prst="ellipse">
          <a:avLst/>
        </a:prstGeom>
        <a:gradFill rotWithShape="0">
          <a:gsLst>
            <a:gs pos="0">
              <a:schemeClr val="accent4">
                <a:hueOff val="10395692"/>
                <a:satOff val="-47968"/>
                <a:lumOff val="1765"/>
                <a:alphaOff val="0"/>
                <a:lumMod val="110000"/>
                <a:satMod val="105000"/>
                <a:tint val="67000"/>
              </a:schemeClr>
            </a:gs>
            <a:gs pos="50000">
              <a:schemeClr val="accent4">
                <a:hueOff val="10395692"/>
                <a:satOff val="-47968"/>
                <a:lumOff val="1765"/>
                <a:alphaOff val="0"/>
                <a:lumMod val="105000"/>
                <a:satMod val="103000"/>
                <a:tint val="73000"/>
              </a:schemeClr>
            </a:gs>
            <a:gs pos="100000">
              <a:schemeClr val="accent4">
                <a:hueOff val="10395692"/>
                <a:satOff val="-47968"/>
                <a:lumOff val="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Compliance</a:t>
          </a:r>
        </a:p>
      </dsp:txBody>
      <dsp:txXfrm>
        <a:off x="1486681" y="833584"/>
        <a:ext cx="493074" cy="493074"/>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C5842-1D93-441D-A310-4E3EF61E0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7117</Words>
  <Characters>40569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ASus</cp:lastModifiedBy>
  <cp:revision>7</cp:revision>
  <dcterms:created xsi:type="dcterms:W3CDTF">2026-03-20T04:38:00Z</dcterms:created>
  <dcterms:modified xsi:type="dcterms:W3CDTF">2026-03-26T13:25:00Z</dcterms:modified>
</cp:coreProperties>
</file>