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6537C" w14:textId="3614A628" w:rsidR="00114548" w:rsidRDefault="00114548">
      <w:r>
        <w:rPr>
          <w:noProof/>
        </w:rPr>
        <w:drawing>
          <wp:inline distT="0" distB="0" distL="0" distR="0" wp14:anchorId="5137264B" wp14:editId="4BC4FC5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14548" w:rsidRPr="00114548" w14:paraId="1D22A0AE" w14:textId="77777777" w:rsidTr="00114548">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07A4128" w14:textId="77777777" w:rsidR="00114548" w:rsidRPr="00114548" w:rsidRDefault="00114548" w:rsidP="00114548">
            <w:pPr>
              <w:rPr>
                <w:b/>
              </w:rPr>
            </w:pPr>
            <w:r w:rsidRPr="00114548">
              <w:rPr>
                <w:b/>
              </w:rPr>
              <w:t xml:space="preserve">LEVEL 5 ASSESSMENT SPECIFICATION </w:t>
            </w:r>
          </w:p>
        </w:tc>
      </w:tr>
    </w:tbl>
    <w:p w14:paraId="547B0482" w14:textId="77777777" w:rsidR="00114548" w:rsidRPr="00114548" w:rsidRDefault="00114548" w:rsidP="00114548">
      <w:pPr>
        <w:rPr>
          <w:b/>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14548" w:rsidRPr="00114548" w14:paraId="5F28CAB4"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E68CC24" w14:textId="77777777" w:rsidR="00114548" w:rsidRPr="00114548" w:rsidRDefault="00114548" w:rsidP="00114548">
            <w:pPr>
              <w:rPr>
                <w:b/>
              </w:rPr>
            </w:pPr>
            <w:r w:rsidRPr="00114548">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56C3D8B" w14:textId="676582D2" w:rsidR="00114548" w:rsidRPr="00114548" w:rsidRDefault="00114548" w:rsidP="00114548">
            <w:pPr>
              <w:rPr>
                <w:b/>
              </w:rPr>
            </w:pPr>
            <w:r>
              <w:rPr>
                <w:b/>
              </w:rPr>
              <w:t>Sarah Louise Hoffmann</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481EDBE" w14:textId="77777777" w:rsidR="00114548" w:rsidRPr="00114548" w:rsidRDefault="00114548" w:rsidP="00114548">
            <w:pPr>
              <w:rPr>
                <w:b/>
              </w:rPr>
            </w:pPr>
            <w:r w:rsidRPr="00114548">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078A4940" w14:textId="20D1D761" w:rsidR="00114548" w:rsidRPr="00114548" w:rsidRDefault="00114548" w:rsidP="00114548">
            <w:pPr>
              <w:rPr>
                <w:b/>
              </w:rPr>
            </w:pPr>
            <w:r>
              <w:rPr>
                <w:b/>
              </w:rPr>
              <w:t>2315599</w:t>
            </w:r>
          </w:p>
        </w:tc>
      </w:tr>
      <w:tr w:rsidR="00114548" w:rsidRPr="00114548" w14:paraId="25979CA6"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AF54CE8" w14:textId="77777777" w:rsidR="00114548" w:rsidRPr="00114548" w:rsidRDefault="00114548" w:rsidP="00114548">
            <w:pPr>
              <w:rPr>
                <w:b/>
              </w:rPr>
            </w:pPr>
            <w:r w:rsidRPr="00114548">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F94413C" w14:textId="77777777" w:rsidR="00114548" w:rsidRPr="00114548" w:rsidRDefault="00114548" w:rsidP="00114548">
            <w:pPr>
              <w:rPr>
                <w:b/>
              </w:rPr>
            </w:pPr>
            <w:r w:rsidRPr="00114548">
              <w:rPr>
                <w:b/>
              </w:rPr>
              <w:t xml:space="preserve">LLB (Law and Legal Practice) </w:t>
            </w:r>
          </w:p>
        </w:tc>
      </w:tr>
      <w:tr w:rsidR="00114548" w:rsidRPr="00114548" w14:paraId="7B1090F3"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4615DE7" w14:textId="77777777" w:rsidR="00114548" w:rsidRPr="00114548" w:rsidRDefault="00114548" w:rsidP="00114548">
            <w:pPr>
              <w:rPr>
                <w:b/>
              </w:rPr>
            </w:pPr>
            <w:r w:rsidRPr="00114548">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665C3956" w14:textId="77777777" w:rsidR="00114548" w:rsidRPr="00114548" w:rsidRDefault="00114548" w:rsidP="00114548">
            <w:pPr>
              <w:rPr>
                <w:b/>
              </w:rPr>
            </w:pPr>
            <w:r w:rsidRPr="00114548">
              <w:rPr>
                <w:b/>
              </w:rPr>
              <w:t xml:space="preserve">Tort Law </w:t>
            </w:r>
          </w:p>
        </w:tc>
      </w:tr>
      <w:tr w:rsidR="00114548" w:rsidRPr="00114548" w14:paraId="5F35814F" w14:textId="77777777" w:rsidTr="00114548">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9FB4D55" w14:textId="77777777" w:rsidR="00114548" w:rsidRPr="00114548" w:rsidRDefault="00114548" w:rsidP="00114548">
            <w:pPr>
              <w:rPr>
                <w:b/>
              </w:rPr>
            </w:pPr>
            <w:r w:rsidRPr="00114548">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18D29843" w14:textId="77777777" w:rsidR="00114548" w:rsidRPr="00114548" w:rsidRDefault="00114548" w:rsidP="00114548">
            <w:pPr>
              <w:rPr>
                <w:b/>
              </w:rPr>
            </w:pPr>
            <w:r w:rsidRPr="00114548">
              <w:rPr>
                <w:b/>
              </w:rPr>
              <w:t>Causation</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22808C5" w14:textId="77777777" w:rsidR="00114548" w:rsidRPr="00114548" w:rsidRDefault="00114548" w:rsidP="00114548">
            <w:pPr>
              <w:rPr>
                <w:b/>
              </w:rPr>
            </w:pPr>
            <w:r w:rsidRPr="00114548">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4E563E1" w14:textId="77777777" w:rsidR="00114548" w:rsidRPr="00114548" w:rsidRDefault="00114548" w:rsidP="00114548">
            <w:pPr>
              <w:rPr>
                <w:b/>
              </w:rPr>
            </w:pPr>
            <w:r w:rsidRPr="00114548">
              <w:rPr>
                <w:b/>
              </w:rPr>
              <w:t>2000</w:t>
            </w:r>
          </w:p>
        </w:tc>
      </w:tr>
    </w:tbl>
    <w:p w14:paraId="7D2885CC" w14:textId="77777777" w:rsidR="00114548" w:rsidRDefault="00114548"/>
    <w:p w14:paraId="4D5D099A" w14:textId="77777777" w:rsidR="004B0077" w:rsidRDefault="004B0077"/>
    <w:p w14:paraId="6FAA0B1D" w14:textId="69794993" w:rsidR="004B0077" w:rsidRDefault="004B0077">
      <w:r>
        <w:br w:type="page"/>
      </w:r>
    </w:p>
    <w:p w14:paraId="370C0883" w14:textId="2F5E1132" w:rsidR="001D2DCA" w:rsidRPr="00F42ABF" w:rsidRDefault="00463894" w:rsidP="001D2DCA">
      <w:pPr>
        <w:jc w:val="both"/>
        <w:rPr>
          <w:sz w:val="28"/>
          <w:szCs w:val="28"/>
        </w:rPr>
      </w:pPr>
      <w:r>
        <w:rPr>
          <w:sz w:val="28"/>
          <w:szCs w:val="28"/>
        </w:rPr>
        <w:lastRenderedPageBreak/>
        <w:t xml:space="preserve">This </w:t>
      </w:r>
      <w:r w:rsidR="00CD68EB">
        <w:rPr>
          <w:sz w:val="28"/>
          <w:szCs w:val="28"/>
        </w:rPr>
        <w:t xml:space="preserve">assessment </w:t>
      </w:r>
      <w:r w:rsidR="001D2DCA" w:rsidRPr="00F42ABF">
        <w:rPr>
          <w:sz w:val="28"/>
          <w:szCs w:val="28"/>
        </w:rPr>
        <w:t>is to evaluate the tests used to determine causation regarding the duty of care</w:t>
      </w:r>
      <w:r w:rsidR="0030336A">
        <w:rPr>
          <w:sz w:val="28"/>
          <w:szCs w:val="28"/>
        </w:rPr>
        <w:t xml:space="preserve"> in tort la</w:t>
      </w:r>
      <w:r w:rsidR="00CD68EB">
        <w:rPr>
          <w:sz w:val="28"/>
          <w:szCs w:val="28"/>
        </w:rPr>
        <w:t>w in the UK</w:t>
      </w:r>
      <w:r w:rsidR="0030336A">
        <w:rPr>
          <w:sz w:val="28"/>
          <w:szCs w:val="28"/>
        </w:rPr>
        <w:t>.</w:t>
      </w:r>
      <w:r w:rsidR="001D2DCA" w:rsidRPr="00F42ABF">
        <w:rPr>
          <w:sz w:val="28"/>
          <w:szCs w:val="28"/>
        </w:rPr>
        <w:t xml:space="preserve"> </w:t>
      </w:r>
    </w:p>
    <w:p w14:paraId="00CB75B2" w14:textId="1321E0F7" w:rsidR="00953CD4" w:rsidRPr="00F42ABF" w:rsidRDefault="00953CD4" w:rsidP="001D2DCA">
      <w:pPr>
        <w:jc w:val="both"/>
        <w:rPr>
          <w:sz w:val="28"/>
          <w:szCs w:val="28"/>
        </w:rPr>
      </w:pPr>
      <w:r w:rsidRPr="00F42ABF">
        <w:rPr>
          <w:sz w:val="28"/>
          <w:szCs w:val="28"/>
        </w:rPr>
        <w:t xml:space="preserve">Tort </w:t>
      </w:r>
      <w:r w:rsidR="00CD68EB">
        <w:rPr>
          <w:sz w:val="28"/>
          <w:szCs w:val="28"/>
        </w:rPr>
        <w:t>is</w:t>
      </w:r>
      <w:r w:rsidRPr="00F42ABF">
        <w:rPr>
          <w:sz w:val="28"/>
          <w:szCs w:val="28"/>
        </w:rPr>
        <w:t xml:space="preserve"> described as the area of civil law which</w:t>
      </w:r>
      <w:r w:rsidR="00CD68EB">
        <w:rPr>
          <w:sz w:val="28"/>
          <w:szCs w:val="28"/>
        </w:rPr>
        <w:t xml:space="preserve"> can </w:t>
      </w:r>
      <w:r w:rsidRPr="00F42ABF">
        <w:rPr>
          <w:sz w:val="28"/>
          <w:szCs w:val="28"/>
        </w:rPr>
        <w:t>provide a remedy for a party</w:t>
      </w:r>
      <w:r w:rsidR="00B71B12" w:rsidRPr="00F42ABF">
        <w:rPr>
          <w:sz w:val="28"/>
          <w:szCs w:val="28"/>
        </w:rPr>
        <w:t xml:space="preserve"> who has been injured or suffered. The word tort itself </w:t>
      </w:r>
      <w:r w:rsidR="00B34735" w:rsidRPr="00F42ABF">
        <w:rPr>
          <w:sz w:val="28"/>
          <w:szCs w:val="28"/>
        </w:rPr>
        <w:t xml:space="preserve">is Latin for </w:t>
      </w:r>
      <w:proofErr w:type="spellStart"/>
      <w:r w:rsidR="00B34735" w:rsidRPr="00F42ABF">
        <w:rPr>
          <w:sz w:val="28"/>
          <w:szCs w:val="28"/>
        </w:rPr>
        <w:t>tortum</w:t>
      </w:r>
      <w:proofErr w:type="spellEnd"/>
      <w:r w:rsidR="00B34735" w:rsidRPr="00F42ABF">
        <w:rPr>
          <w:sz w:val="28"/>
          <w:szCs w:val="28"/>
        </w:rPr>
        <w:t xml:space="preserve"> which means wrong. </w:t>
      </w:r>
      <w:r w:rsidR="00021B76" w:rsidRPr="00F42ABF">
        <w:rPr>
          <w:sz w:val="28"/>
          <w:szCs w:val="28"/>
        </w:rPr>
        <w:t xml:space="preserve">Tort is </w:t>
      </w:r>
      <w:r w:rsidR="00814B5F">
        <w:rPr>
          <w:sz w:val="28"/>
          <w:szCs w:val="28"/>
        </w:rPr>
        <w:t xml:space="preserve">a </w:t>
      </w:r>
      <w:r w:rsidR="00724B96" w:rsidRPr="00F42ABF">
        <w:rPr>
          <w:sz w:val="28"/>
          <w:szCs w:val="28"/>
        </w:rPr>
        <w:t>grea</w:t>
      </w:r>
      <w:r w:rsidR="00C24C28">
        <w:rPr>
          <w:sz w:val="28"/>
          <w:szCs w:val="28"/>
        </w:rPr>
        <w:t>t</w:t>
      </w:r>
      <w:r w:rsidR="00021B76" w:rsidRPr="00F42ABF">
        <w:rPr>
          <w:sz w:val="28"/>
          <w:szCs w:val="28"/>
        </w:rPr>
        <w:t xml:space="preserve"> source of litigation </w:t>
      </w:r>
      <w:r w:rsidR="00DA41DD" w:rsidRPr="00F42ABF">
        <w:rPr>
          <w:sz w:val="28"/>
          <w:szCs w:val="28"/>
        </w:rPr>
        <w:t xml:space="preserve">which is that of negligence. </w:t>
      </w:r>
    </w:p>
    <w:p w14:paraId="605EE331" w14:textId="486DE37A" w:rsidR="0084253E" w:rsidRPr="0084253E" w:rsidRDefault="0084253E" w:rsidP="0084253E">
      <w:pPr>
        <w:jc w:val="both"/>
        <w:rPr>
          <w:sz w:val="28"/>
          <w:szCs w:val="28"/>
        </w:rPr>
      </w:pPr>
      <w:r w:rsidRPr="0084253E">
        <w:rPr>
          <w:sz w:val="28"/>
          <w:szCs w:val="28"/>
        </w:rPr>
        <w:t xml:space="preserve">Causation is a fundamental concept in tort law, essential for establishing liability. This essay provides an overview of the various tests used to determine causation and distinguishes between factual </w:t>
      </w:r>
      <w:r w:rsidR="00814B5F">
        <w:rPr>
          <w:sz w:val="28"/>
          <w:szCs w:val="28"/>
        </w:rPr>
        <w:t xml:space="preserve">causation </w:t>
      </w:r>
      <w:r w:rsidRPr="0084253E">
        <w:rPr>
          <w:sz w:val="28"/>
          <w:szCs w:val="28"/>
        </w:rPr>
        <w:t>and legal causation.</w:t>
      </w:r>
    </w:p>
    <w:p w14:paraId="06C142C7" w14:textId="05857B78" w:rsidR="0084253E" w:rsidRPr="00F42ABF" w:rsidRDefault="0084253E" w:rsidP="0084253E">
      <w:pPr>
        <w:jc w:val="both"/>
        <w:rPr>
          <w:sz w:val="28"/>
          <w:szCs w:val="28"/>
        </w:rPr>
      </w:pPr>
      <w:r w:rsidRPr="0084253E">
        <w:rPr>
          <w:sz w:val="28"/>
          <w:szCs w:val="28"/>
        </w:rPr>
        <w:t xml:space="preserve">Causation in tort law refers to the relationship between the defendant’s conduct </w:t>
      </w:r>
      <w:r w:rsidR="009F14C1">
        <w:rPr>
          <w:sz w:val="28"/>
          <w:szCs w:val="28"/>
        </w:rPr>
        <w:t xml:space="preserve">which resulted </w:t>
      </w:r>
      <w:r w:rsidR="00DC5F9B">
        <w:rPr>
          <w:sz w:val="28"/>
          <w:szCs w:val="28"/>
        </w:rPr>
        <w:t>in harming the</w:t>
      </w:r>
      <w:r w:rsidRPr="0084253E">
        <w:rPr>
          <w:sz w:val="28"/>
          <w:szCs w:val="28"/>
        </w:rPr>
        <w:t xml:space="preserve"> plaintiff. It is a crucial element that must be proven for a claim to succeed (Klar, 2013).</w:t>
      </w:r>
    </w:p>
    <w:p w14:paraId="004931F9" w14:textId="482C9763" w:rsidR="000A370A" w:rsidRPr="00F42ABF" w:rsidRDefault="000A370A" w:rsidP="0084253E">
      <w:pPr>
        <w:jc w:val="both"/>
        <w:rPr>
          <w:sz w:val="28"/>
          <w:szCs w:val="28"/>
        </w:rPr>
      </w:pPr>
      <w:r w:rsidRPr="00F42ABF">
        <w:rPr>
          <w:sz w:val="28"/>
          <w:szCs w:val="28"/>
        </w:rPr>
        <w:t xml:space="preserve">The main difference between </w:t>
      </w:r>
      <w:r w:rsidR="00DC5F9B">
        <w:rPr>
          <w:sz w:val="28"/>
          <w:szCs w:val="28"/>
        </w:rPr>
        <w:t xml:space="preserve">criminal </w:t>
      </w:r>
      <w:r w:rsidRPr="00F42ABF">
        <w:rPr>
          <w:sz w:val="28"/>
          <w:szCs w:val="28"/>
        </w:rPr>
        <w:t>law and</w:t>
      </w:r>
      <w:r w:rsidR="00DC5F9B">
        <w:rPr>
          <w:sz w:val="28"/>
          <w:szCs w:val="28"/>
        </w:rPr>
        <w:t xml:space="preserve"> tort</w:t>
      </w:r>
      <w:r w:rsidRPr="00F42ABF">
        <w:rPr>
          <w:sz w:val="28"/>
          <w:szCs w:val="28"/>
        </w:rPr>
        <w:t xml:space="preserve"> law is the nature of their objectives</w:t>
      </w:r>
      <w:r w:rsidR="00DC5F9B">
        <w:rPr>
          <w:sz w:val="28"/>
          <w:szCs w:val="28"/>
        </w:rPr>
        <w:t xml:space="preserve"> of the two laws</w:t>
      </w:r>
      <w:r w:rsidRPr="00F42ABF">
        <w:rPr>
          <w:sz w:val="28"/>
          <w:szCs w:val="28"/>
        </w:rPr>
        <w:t xml:space="preserve">. </w:t>
      </w:r>
      <w:r w:rsidR="00DC6924" w:rsidRPr="00F42ABF">
        <w:rPr>
          <w:sz w:val="28"/>
          <w:szCs w:val="28"/>
        </w:rPr>
        <w:t>The purpose of criminal law is to enforce the laws of the UK by punishing those who break the law. Whereas tort law</w:t>
      </w:r>
      <w:r w:rsidR="00EE0A42" w:rsidRPr="00F42ABF">
        <w:rPr>
          <w:sz w:val="28"/>
          <w:szCs w:val="28"/>
        </w:rPr>
        <w:t xml:space="preserve"> is to enforce the law by compensation those who</w:t>
      </w:r>
      <w:r w:rsidR="00686642">
        <w:rPr>
          <w:sz w:val="28"/>
          <w:szCs w:val="28"/>
        </w:rPr>
        <w:t xml:space="preserve"> have </w:t>
      </w:r>
      <w:r w:rsidR="00EE0A42" w:rsidRPr="00F42ABF">
        <w:rPr>
          <w:sz w:val="28"/>
          <w:szCs w:val="28"/>
        </w:rPr>
        <w:t>suffer</w:t>
      </w:r>
      <w:r w:rsidR="00686642">
        <w:rPr>
          <w:sz w:val="28"/>
          <w:szCs w:val="28"/>
        </w:rPr>
        <w:t>ed</w:t>
      </w:r>
      <w:r w:rsidR="00EE0A42" w:rsidRPr="00F42ABF">
        <w:rPr>
          <w:sz w:val="28"/>
          <w:szCs w:val="28"/>
        </w:rPr>
        <w:t xml:space="preserve"> damage</w:t>
      </w:r>
      <w:r w:rsidR="009244F2" w:rsidRPr="00F42ABF">
        <w:rPr>
          <w:sz w:val="28"/>
          <w:szCs w:val="28"/>
        </w:rPr>
        <w:t xml:space="preserve"> when the tort law is broken. The primary focus in tort is the loss or </w:t>
      </w:r>
      <w:r w:rsidR="00724B96" w:rsidRPr="00F42ABF">
        <w:rPr>
          <w:sz w:val="28"/>
          <w:szCs w:val="28"/>
        </w:rPr>
        <w:t>damage</w:t>
      </w:r>
      <w:r w:rsidR="009244F2" w:rsidRPr="00F42ABF">
        <w:rPr>
          <w:sz w:val="28"/>
          <w:szCs w:val="28"/>
        </w:rPr>
        <w:t xml:space="preserve"> suffered by the injured party known as the claimant</w:t>
      </w:r>
      <w:r w:rsidR="00BE10FF" w:rsidRPr="00F42ABF">
        <w:rPr>
          <w:sz w:val="28"/>
          <w:szCs w:val="28"/>
        </w:rPr>
        <w:t>.</w:t>
      </w:r>
      <w:r w:rsidR="00D60357" w:rsidRPr="00F42ABF">
        <w:rPr>
          <w:sz w:val="28"/>
          <w:szCs w:val="28"/>
        </w:rPr>
        <w:t xml:space="preserve"> In the instances of defamation cases, the law of tort allows for punishment of the defendants by using use of exemplary damages. </w:t>
      </w:r>
      <w:r w:rsidR="006E7DEC" w:rsidRPr="00F42ABF">
        <w:rPr>
          <w:sz w:val="28"/>
          <w:szCs w:val="28"/>
        </w:rPr>
        <w:t xml:space="preserve">The main purpose of tort law is compensation. This means putting the claimant back </w:t>
      </w:r>
      <w:r w:rsidR="002F306A" w:rsidRPr="00F42ABF">
        <w:rPr>
          <w:sz w:val="28"/>
          <w:szCs w:val="28"/>
        </w:rPr>
        <w:t>to how they were before they suffered damages or lo</w:t>
      </w:r>
      <w:r w:rsidR="004650EE" w:rsidRPr="00F42ABF">
        <w:rPr>
          <w:sz w:val="28"/>
          <w:szCs w:val="28"/>
        </w:rPr>
        <w:t xml:space="preserve">ss in other words how they would have been had the tort not occurred. </w:t>
      </w:r>
    </w:p>
    <w:p w14:paraId="396F7E23" w14:textId="22487237" w:rsidR="000A370A" w:rsidRPr="00F42ABF" w:rsidRDefault="00AF07E8" w:rsidP="0084253E">
      <w:pPr>
        <w:jc w:val="both"/>
        <w:rPr>
          <w:sz w:val="28"/>
          <w:szCs w:val="28"/>
        </w:rPr>
      </w:pPr>
      <w:r w:rsidRPr="00F42ABF">
        <w:rPr>
          <w:sz w:val="28"/>
          <w:szCs w:val="28"/>
        </w:rPr>
        <w:t>The term</w:t>
      </w:r>
      <w:r w:rsidR="000C5C52">
        <w:rPr>
          <w:sz w:val="28"/>
          <w:szCs w:val="28"/>
        </w:rPr>
        <w:t xml:space="preserve"> of</w:t>
      </w:r>
      <w:r w:rsidRPr="00F42ABF">
        <w:rPr>
          <w:sz w:val="28"/>
          <w:szCs w:val="28"/>
        </w:rPr>
        <w:t xml:space="preserve"> “compensation culture” refers to a social trend where individuals are increasingly inclined to seek compensation through legal means for various grievances, often </w:t>
      </w:r>
      <w:r w:rsidR="004103F3">
        <w:rPr>
          <w:sz w:val="28"/>
          <w:szCs w:val="28"/>
        </w:rPr>
        <w:t>viewed</w:t>
      </w:r>
      <w:r w:rsidRPr="00F42ABF">
        <w:rPr>
          <w:sz w:val="28"/>
          <w:szCs w:val="28"/>
        </w:rPr>
        <w:t xml:space="preserve"> as minor </w:t>
      </w:r>
      <w:r w:rsidR="004103F3">
        <w:rPr>
          <w:sz w:val="28"/>
          <w:szCs w:val="28"/>
        </w:rPr>
        <w:t>and sometimes</w:t>
      </w:r>
      <w:r w:rsidRPr="00F42ABF">
        <w:rPr>
          <w:sz w:val="28"/>
          <w:szCs w:val="28"/>
        </w:rPr>
        <w:t xml:space="preserve"> frivolous.</w:t>
      </w:r>
      <w:r w:rsidR="005344CF">
        <w:rPr>
          <w:sz w:val="28"/>
          <w:szCs w:val="28"/>
        </w:rPr>
        <w:t xml:space="preserve"> Many commercial advertisements on radio, television and social media have made this easily accessible for people to be able to start a compensation claim. Many solicitors will offer a no win no fee</w:t>
      </w:r>
      <w:r w:rsidR="0003127C">
        <w:rPr>
          <w:sz w:val="28"/>
          <w:szCs w:val="28"/>
        </w:rPr>
        <w:t xml:space="preserve"> to take on the work pro bono.</w:t>
      </w:r>
      <w:r w:rsidRPr="00F42ABF">
        <w:rPr>
          <w:sz w:val="28"/>
          <w:szCs w:val="28"/>
        </w:rPr>
        <w:t xml:space="preserve"> This phenomenon has sparked significant debate, particularly in the UK, where it is often portrayed as a growing problem that burdens the legal system and fosters a litigious mindset. </w:t>
      </w:r>
      <w:r w:rsidR="00ED6327" w:rsidRPr="00F42ABF">
        <w:rPr>
          <w:sz w:val="28"/>
          <w:szCs w:val="28"/>
        </w:rPr>
        <w:t xml:space="preserve">The phrase </w:t>
      </w:r>
      <w:r w:rsidR="00ED6327" w:rsidRPr="00F42ABF">
        <w:rPr>
          <w:sz w:val="28"/>
          <w:szCs w:val="28"/>
        </w:rPr>
        <w:lastRenderedPageBreak/>
        <w:t>“compensation culture” was popularised in the UK during the 1990s, largely through media coverage that highlighted seemingly absurd legal claims and large compensation payouts.  The notion implies a shift towards a more litigious society, where the pursuit of compensation is seen as a primary response to accidents and injuries</w:t>
      </w:r>
      <w:r w:rsidR="00B656D9" w:rsidRPr="00F42ABF">
        <w:rPr>
          <w:sz w:val="28"/>
          <w:szCs w:val="28"/>
        </w:rPr>
        <w:t xml:space="preserve"> instead of focussing on the two secondary objectives of tort being deterrence and justice.</w:t>
      </w:r>
    </w:p>
    <w:p w14:paraId="13BE3D39" w14:textId="2F93FF1A" w:rsidR="002D0574" w:rsidRPr="0084253E" w:rsidRDefault="002D0574" w:rsidP="0084253E">
      <w:pPr>
        <w:jc w:val="both"/>
        <w:rPr>
          <w:sz w:val="28"/>
          <w:szCs w:val="28"/>
        </w:rPr>
      </w:pPr>
      <w:r w:rsidRPr="00F42ABF">
        <w:rPr>
          <w:sz w:val="28"/>
          <w:szCs w:val="28"/>
        </w:rPr>
        <w:t>The Compensation Act 2006 encompasses several important provisions aimed at clarifying and improving the legal landscape for compensation claims. One of the primary objectives of the Act is to address the deterrent effect of potential liability on desirable activities.</w:t>
      </w:r>
    </w:p>
    <w:p w14:paraId="392BA8EE" w14:textId="0425E343" w:rsidR="0084253E" w:rsidRPr="0084253E" w:rsidRDefault="00492FFB" w:rsidP="0084253E">
      <w:pPr>
        <w:jc w:val="both"/>
        <w:rPr>
          <w:sz w:val="28"/>
          <w:szCs w:val="28"/>
        </w:rPr>
      </w:pPr>
      <w:r>
        <w:rPr>
          <w:sz w:val="28"/>
          <w:szCs w:val="28"/>
        </w:rPr>
        <w:t>The term of f</w:t>
      </w:r>
      <w:r w:rsidR="0084253E" w:rsidRPr="0084253E">
        <w:rPr>
          <w:sz w:val="28"/>
          <w:szCs w:val="28"/>
        </w:rPr>
        <w:t>actual causation</w:t>
      </w:r>
      <w:r>
        <w:rPr>
          <w:sz w:val="28"/>
          <w:szCs w:val="28"/>
        </w:rPr>
        <w:t xml:space="preserve"> which is</w:t>
      </w:r>
      <w:r w:rsidR="0084253E" w:rsidRPr="0084253E">
        <w:rPr>
          <w:sz w:val="28"/>
          <w:szCs w:val="28"/>
        </w:rPr>
        <w:t xml:space="preserve"> also known as “cause-in-fact,” is established using the but-for test. It determines whether the defendant’s actions were a necessary condition for the occurrence of the harm. For example, in </w:t>
      </w:r>
      <w:r w:rsidR="0084253E" w:rsidRPr="0084253E">
        <w:rPr>
          <w:i/>
          <w:iCs/>
          <w:sz w:val="28"/>
          <w:szCs w:val="28"/>
        </w:rPr>
        <w:t>Barnett v Chelsea &amp; Kensington Hospital Management Committee</w:t>
      </w:r>
      <w:r w:rsidR="0084253E" w:rsidRPr="0084253E">
        <w:rPr>
          <w:sz w:val="28"/>
          <w:szCs w:val="28"/>
        </w:rPr>
        <w:t> (1969), the court used the but-for test to conclude that the hospital’s negligence was not the factual cause of the patient’s death</w:t>
      </w:r>
      <w:r w:rsidR="00CF5BDC" w:rsidRPr="00F42ABF">
        <w:rPr>
          <w:sz w:val="28"/>
          <w:szCs w:val="28"/>
        </w:rPr>
        <w:t>.</w:t>
      </w:r>
    </w:p>
    <w:p w14:paraId="26A1EC02" w14:textId="36515872" w:rsidR="0084253E" w:rsidRPr="0084253E" w:rsidRDefault="0084253E" w:rsidP="0084253E">
      <w:pPr>
        <w:jc w:val="both"/>
        <w:rPr>
          <w:sz w:val="28"/>
          <w:szCs w:val="28"/>
        </w:rPr>
      </w:pPr>
      <w:r w:rsidRPr="0084253E">
        <w:rPr>
          <w:sz w:val="28"/>
          <w:szCs w:val="28"/>
        </w:rPr>
        <w:t>Legal causation, or “proximate cause,” involves determining whether the harm was a foreseeable consequence of the defendant’s actions. It sets the legal boundaries for liability, ensuring that defendants are not held liable for remote or unforeseeable consequences. The case of </w:t>
      </w:r>
      <w:r w:rsidRPr="0084253E">
        <w:rPr>
          <w:i/>
          <w:iCs/>
          <w:sz w:val="28"/>
          <w:szCs w:val="28"/>
        </w:rPr>
        <w:t xml:space="preserve">Wagon </w:t>
      </w:r>
      <w:r w:rsidR="00724B96" w:rsidRPr="0084253E">
        <w:rPr>
          <w:i/>
          <w:iCs/>
          <w:sz w:val="28"/>
          <w:szCs w:val="28"/>
        </w:rPr>
        <w:t xml:space="preserve">Mound </w:t>
      </w:r>
      <w:r w:rsidR="00724B96" w:rsidRPr="0084253E">
        <w:rPr>
          <w:sz w:val="28"/>
          <w:szCs w:val="28"/>
        </w:rPr>
        <w:t>(</w:t>
      </w:r>
      <w:r w:rsidRPr="0084253E">
        <w:rPr>
          <w:sz w:val="28"/>
          <w:szCs w:val="28"/>
        </w:rPr>
        <w:t xml:space="preserve">1961) </w:t>
      </w:r>
      <w:r w:rsidR="00FC07A8" w:rsidRPr="00F42ABF">
        <w:rPr>
          <w:sz w:val="28"/>
          <w:szCs w:val="28"/>
        </w:rPr>
        <w:t xml:space="preserve">it </w:t>
      </w:r>
      <w:r w:rsidRPr="0084253E">
        <w:rPr>
          <w:sz w:val="28"/>
          <w:szCs w:val="28"/>
        </w:rPr>
        <w:t xml:space="preserve">illustrates this principle, where the court held that the damage was not a foreseeable result of the defendant’s actions (Overseas Tankship (UK) Ltd v Morts Dock &amp; Engineering Co Ltd </w:t>
      </w:r>
      <w:r w:rsidR="00FC07A8" w:rsidRPr="00F42ABF">
        <w:rPr>
          <w:sz w:val="28"/>
          <w:szCs w:val="28"/>
        </w:rPr>
        <w:t>[</w:t>
      </w:r>
      <w:r w:rsidRPr="0084253E">
        <w:rPr>
          <w:sz w:val="28"/>
          <w:szCs w:val="28"/>
        </w:rPr>
        <w:t>1961</w:t>
      </w:r>
      <w:r w:rsidR="00FC07A8" w:rsidRPr="00F42ABF">
        <w:rPr>
          <w:sz w:val="28"/>
          <w:szCs w:val="28"/>
        </w:rPr>
        <w:t>].</w:t>
      </w:r>
    </w:p>
    <w:p w14:paraId="5303535A" w14:textId="1BE6ECDA" w:rsidR="0084253E" w:rsidRPr="0084253E" w:rsidRDefault="003E6280" w:rsidP="0084253E">
      <w:pPr>
        <w:jc w:val="both"/>
        <w:rPr>
          <w:sz w:val="28"/>
          <w:szCs w:val="28"/>
        </w:rPr>
      </w:pPr>
      <w:r w:rsidRPr="00F42ABF">
        <w:rPr>
          <w:sz w:val="28"/>
          <w:szCs w:val="28"/>
        </w:rPr>
        <w:t>C</w:t>
      </w:r>
      <w:r w:rsidR="0084253E" w:rsidRPr="0084253E">
        <w:rPr>
          <w:sz w:val="28"/>
          <w:szCs w:val="28"/>
        </w:rPr>
        <w:t>ausation is a critical element in tort law, requiring both factual and legal analysis. Understanding the distinction between factual and legal causation, and the various tests used to establish them, is essential for determining liability in tort cases.</w:t>
      </w:r>
    </w:p>
    <w:p w14:paraId="0D836035" w14:textId="7B88B397" w:rsidR="00CC535B" w:rsidRPr="00F42ABF" w:rsidRDefault="00CC535B" w:rsidP="00CC535B">
      <w:pPr>
        <w:jc w:val="both"/>
        <w:rPr>
          <w:sz w:val="28"/>
          <w:szCs w:val="28"/>
        </w:rPr>
      </w:pPr>
      <w:r w:rsidRPr="00F42ABF">
        <w:rPr>
          <w:sz w:val="28"/>
          <w:szCs w:val="28"/>
        </w:rPr>
        <w:t xml:space="preserve">The </w:t>
      </w:r>
      <w:r w:rsidR="00F42EC4" w:rsidRPr="00F42ABF">
        <w:rPr>
          <w:sz w:val="28"/>
          <w:szCs w:val="28"/>
        </w:rPr>
        <w:t>concept of duty of care in the UK forms the principle in tort law. This is to ensure that individuals and organisations act</w:t>
      </w:r>
      <w:r w:rsidR="0033306E" w:rsidRPr="00F42ABF">
        <w:rPr>
          <w:sz w:val="28"/>
          <w:szCs w:val="28"/>
        </w:rPr>
        <w:t xml:space="preserve"> with reasonable care as to avoid harm to </w:t>
      </w:r>
      <w:r w:rsidR="00522876" w:rsidRPr="00F42ABF">
        <w:rPr>
          <w:sz w:val="28"/>
          <w:szCs w:val="28"/>
        </w:rPr>
        <w:t>ot</w:t>
      </w:r>
      <w:r w:rsidR="0033306E" w:rsidRPr="00F42ABF">
        <w:rPr>
          <w:sz w:val="28"/>
          <w:szCs w:val="28"/>
        </w:rPr>
        <w:t xml:space="preserve">hers. </w:t>
      </w:r>
      <w:r w:rsidR="00522876" w:rsidRPr="00F42ABF">
        <w:rPr>
          <w:sz w:val="28"/>
          <w:szCs w:val="28"/>
        </w:rPr>
        <w:t>In the event of failure to take such action, the result could mean that the defendant</w:t>
      </w:r>
      <w:r w:rsidR="00022643" w:rsidRPr="00F42ABF">
        <w:rPr>
          <w:sz w:val="28"/>
          <w:szCs w:val="28"/>
        </w:rPr>
        <w:t xml:space="preserve"> could be liable to pay damages to the injured party or who has suffered a loss </w:t>
      </w:r>
      <w:r w:rsidR="00F01605" w:rsidRPr="00F42ABF">
        <w:rPr>
          <w:sz w:val="28"/>
          <w:szCs w:val="28"/>
        </w:rPr>
        <w:t xml:space="preserve">because of the breach of duty of care. </w:t>
      </w:r>
    </w:p>
    <w:p w14:paraId="55FEF58B" w14:textId="58B7CFF8" w:rsidR="00577C7A" w:rsidRPr="00F42ABF" w:rsidRDefault="00577C7A" w:rsidP="00577C7A">
      <w:pPr>
        <w:jc w:val="both"/>
        <w:rPr>
          <w:sz w:val="28"/>
          <w:szCs w:val="28"/>
        </w:rPr>
      </w:pPr>
      <w:r w:rsidRPr="00F42ABF">
        <w:rPr>
          <w:sz w:val="28"/>
          <w:szCs w:val="28"/>
        </w:rPr>
        <w:lastRenderedPageBreak/>
        <w:t xml:space="preserve">Establishing causation is a fundamental aspect of tort law, particularly in cases involving a breach of duty of care. The concept of causation links the defendant’s breach to the claimant’s harm, ensuring that liability is appropriately assigned. Various tests have been developed to determine causation, each with its own application and nuances. </w:t>
      </w:r>
      <w:r w:rsidR="005B2296" w:rsidRPr="00F42ABF">
        <w:rPr>
          <w:sz w:val="28"/>
          <w:szCs w:val="28"/>
        </w:rPr>
        <w:t>By examining these tests, their advantages, limitations, and potential reforms, this essay will provide a comprehensive understanding of how causation is determined in legal contexts</w:t>
      </w:r>
      <w:r w:rsidR="005F75E4" w:rsidRPr="00F42ABF">
        <w:rPr>
          <w:sz w:val="28"/>
          <w:szCs w:val="28"/>
        </w:rPr>
        <w:t xml:space="preserve"> and evaluate the tests used to establish causation in relation to a breach of duty of care, focusing on the “but for” test and the thin skull rule.</w:t>
      </w:r>
    </w:p>
    <w:p w14:paraId="7D934648" w14:textId="1624A087" w:rsidR="002C5F9E" w:rsidRPr="00F42ABF" w:rsidRDefault="002C5F9E" w:rsidP="002C5F9E">
      <w:pPr>
        <w:jc w:val="both"/>
        <w:rPr>
          <w:sz w:val="28"/>
          <w:szCs w:val="28"/>
        </w:rPr>
      </w:pPr>
      <w:r w:rsidRPr="00F42ABF">
        <w:rPr>
          <w:sz w:val="28"/>
          <w:szCs w:val="28"/>
        </w:rPr>
        <w:t>A duty of care refers to the legal obligation imposed on individuals and organizations to adhere to a standard of reasonable care while performing any acts that could foreseeably harm others. This concept has evolved through common law, with landmark cases such as Donoghue v Stevenson [1932] establishing the foundation for modern duty of care principles.</w:t>
      </w:r>
    </w:p>
    <w:p w14:paraId="3382681B" w14:textId="1FA830B9" w:rsidR="007E6041" w:rsidRPr="00F42ABF" w:rsidRDefault="00AE6B89" w:rsidP="007E6041">
      <w:pPr>
        <w:jc w:val="both"/>
        <w:rPr>
          <w:sz w:val="28"/>
          <w:szCs w:val="28"/>
        </w:rPr>
      </w:pPr>
      <w:r w:rsidRPr="00F42ABF">
        <w:rPr>
          <w:sz w:val="28"/>
          <w:szCs w:val="28"/>
        </w:rPr>
        <w:t xml:space="preserve">The landmark case of Donoghue v Stevenson </w:t>
      </w:r>
      <w:r w:rsidR="00A311BD" w:rsidRPr="00F42ABF">
        <w:rPr>
          <w:sz w:val="28"/>
          <w:szCs w:val="28"/>
        </w:rPr>
        <w:t>[1932] established the foundation of the modern duty of care principles</w:t>
      </w:r>
      <w:r w:rsidR="009766BD" w:rsidRPr="00F42ABF">
        <w:rPr>
          <w:sz w:val="28"/>
          <w:szCs w:val="28"/>
        </w:rPr>
        <w:t xml:space="preserve">. In this case it was determined </w:t>
      </w:r>
      <w:r w:rsidR="001E5379" w:rsidRPr="00F42ABF">
        <w:rPr>
          <w:sz w:val="28"/>
          <w:szCs w:val="28"/>
        </w:rPr>
        <w:t xml:space="preserve">by Lord Atkin, </w:t>
      </w:r>
      <w:r w:rsidR="009766BD" w:rsidRPr="00F42ABF">
        <w:rPr>
          <w:sz w:val="28"/>
          <w:szCs w:val="28"/>
        </w:rPr>
        <w:t xml:space="preserve">that the “neighbour principle” which states that individuals must take reasonable care to avoid acts or omission that could </w:t>
      </w:r>
      <w:r w:rsidR="00014A57" w:rsidRPr="00F42ABF">
        <w:rPr>
          <w:sz w:val="28"/>
          <w:szCs w:val="28"/>
        </w:rPr>
        <w:t>injuries their “neighbours” who are defined as those who are closely and affected directly by their actions.</w:t>
      </w:r>
    </w:p>
    <w:p w14:paraId="4F32668F" w14:textId="62320006" w:rsidR="00C73331" w:rsidRPr="00F42ABF" w:rsidRDefault="00724B96" w:rsidP="00CC535B">
      <w:pPr>
        <w:jc w:val="both"/>
        <w:rPr>
          <w:sz w:val="28"/>
          <w:szCs w:val="28"/>
        </w:rPr>
      </w:pPr>
      <w:r w:rsidRPr="00F42ABF">
        <w:rPr>
          <w:sz w:val="28"/>
          <w:szCs w:val="28"/>
        </w:rPr>
        <w:t>However,</w:t>
      </w:r>
      <w:r w:rsidR="003D0A33" w:rsidRPr="00F42ABF">
        <w:rPr>
          <w:sz w:val="28"/>
          <w:szCs w:val="28"/>
        </w:rPr>
        <w:t xml:space="preserve"> this case has faced criticism</w:t>
      </w:r>
      <w:r w:rsidR="00066942" w:rsidRPr="00F42ABF">
        <w:rPr>
          <w:sz w:val="28"/>
          <w:szCs w:val="28"/>
        </w:rPr>
        <w:t xml:space="preserve">. Critics have argued that the </w:t>
      </w:r>
      <w:r w:rsidR="008011FD" w:rsidRPr="00F42ABF">
        <w:rPr>
          <w:sz w:val="28"/>
          <w:szCs w:val="28"/>
        </w:rPr>
        <w:t xml:space="preserve">principal concept is too vague and broad thus making it difficult to apply consistently. </w:t>
      </w:r>
      <w:r w:rsidR="00523A91" w:rsidRPr="00F42ABF">
        <w:rPr>
          <w:sz w:val="28"/>
          <w:szCs w:val="28"/>
        </w:rPr>
        <w:t>The definition as to what qualifies as a “neighbour” is open to interpretation.</w:t>
      </w:r>
      <w:r w:rsidR="004300BB" w:rsidRPr="00F42ABF">
        <w:rPr>
          <w:sz w:val="28"/>
          <w:szCs w:val="28"/>
        </w:rPr>
        <w:t xml:space="preserve"> This has led to concern that the principle could lead to an overextension of liability. This could mean that defendants are held responsible for an unreasonably wide range of potential claims against them. This could </w:t>
      </w:r>
      <w:r w:rsidR="0000647A" w:rsidRPr="00F42ABF">
        <w:rPr>
          <w:sz w:val="28"/>
          <w:szCs w:val="28"/>
        </w:rPr>
        <w:t xml:space="preserve">result in an increase and an </w:t>
      </w:r>
      <w:proofErr w:type="gramStart"/>
      <w:r w:rsidR="0000647A" w:rsidRPr="00F42ABF">
        <w:rPr>
          <w:sz w:val="28"/>
          <w:szCs w:val="28"/>
        </w:rPr>
        <w:t>overwhelming numbers of claims</w:t>
      </w:r>
      <w:proofErr w:type="gramEnd"/>
      <w:r w:rsidR="0000647A" w:rsidRPr="00F42ABF">
        <w:rPr>
          <w:sz w:val="28"/>
          <w:szCs w:val="28"/>
        </w:rPr>
        <w:t xml:space="preserve"> being brought against people and an increase in litigation which would lead to the courts being overrun with litigation claims. </w:t>
      </w:r>
      <w:r w:rsidR="007C3F24" w:rsidRPr="00F42ABF">
        <w:rPr>
          <w:sz w:val="28"/>
          <w:szCs w:val="28"/>
        </w:rPr>
        <w:t xml:space="preserve">In addition, the neighbour principle may </w:t>
      </w:r>
      <w:r w:rsidR="00520AC8" w:rsidRPr="00F42ABF">
        <w:rPr>
          <w:sz w:val="28"/>
          <w:szCs w:val="28"/>
        </w:rPr>
        <w:t>have economic and social implications. Business may face an increase for insurance costs and</w:t>
      </w:r>
      <w:r w:rsidR="00262A46" w:rsidRPr="00F42ABF">
        <w:rPr>
          <w:sz w:val="28"/>
          <w:szCs w:val="28"/>
        </w:rPr>
        <w:t xml:space="preserve"> constraints to operations due to the increased risk in liability. </w:t>
      </w:r>
    </w:p>
    <w:p w14:paraId="09036E9A" w14:textId="7C0CCC11" w:rsidR="0043776B" w:rsidRPr="00F42ABF" w:rsidRDefault="00C64B62" w:rsidP="00CC535B">
      <w:pPr>
        <w:jc w:val="both"/>
        <w:rPr>
          <w:sz w:val="28"/>
          <w:szCs w:val="28"/>
        </w:rPr>
      </w:pPr>
      <w:r w:rsidRPr="00F42ABF">
        <w:rPr>
          <w:sz w:val="28"/>
          <w:szCs w:val="28"/>
        </w:rPr>
        <w:lastRenderedPageBreak/>
        <w:t xml:space="preserve">The </w:t>
      </w:r>
      <w:proofErr w:type="gramStart"/>
      <w:r w:rsidRPr="00F42ABF">
        <w:rPr>
          <w:sz w:val="28"/>
          <w:szCs w:val="28"/>
        </w:rPr>
        <w:t>principle</w:t>
      </w:r>
      <w:proofErr w:type="gramEnd"/>
      <w:r w:rsidRPr="00F42ABF">
        <w:rPr>
          <w:sz w:val="28"/>
          <w:szCs w:val="28"/>
        </w:rPr>
        <w:t xml:space="preserve"> grants </w:t>
      </w:r>
      <w:proofErr w:type="spellStart"/>
      <w:r w:rsidRPr="00F42ABF">
        <w:rPr>
          <w:sz w:val="28"/>
          <w:szCs w:val="28"/>
        </w:rPr>
        <w:t>judges</w:t>
      </w:r>
      <w:proofErr w:type="spellEnd"/>
      <w:r w:rsidRPr="00F42ABF">
        <w:rPr>
          <w:sz w:val="28"/>
          <w:szCs w:val="28"/>
        </w:rPr>
        <w:t xml:space="preserve"> discretion in determining the existence of duty of care. Which can lead to incon</w:t>
      </w:r>
      <w:r w:rsidR="00CE5BC7" w:rsidRPr="00F42ABF">
        <w:rPr>
          <w:sz w:val="28"/>
          <w:szCs w:val="28"/>
        </w:rPr>
        <w:t xml:space="preserve">sistent and unpredictable outcomes. This unpredictability can be </w:t>
      </w:r>
      <w:r w:rsidR="00554872" w:rsidRPr="00F42ABF">
        <w:rPr>
          <w:sz w:val="28"/>
          <w:szCs w:val="28"/>
        </w:rPr>
        <w:t xml:space="preserve">problematics for the claims and defendants. </w:t>
      </w:r>
    </w:p>
    <w:p w14:paraId="23DFCB78" w14:textId="1E2AF7BE" w:rsidR="0043776B" w:rsidRPr="00F42ABF" w:rsidRDefault="00554872" w:rsidP="00CC535B">
      <w:pPr>
        <w:jc w:val="both"/>
        <w:rPr>
          <w:sz w:val="28"/>
          <w:szCs w:val="28"/>
        </w:rPr>
      </w:pPr>
      <w:r w:rsidRPr="00F42ABF">
        <w:rPr>
          <w:sz w:val="28"/>
          <w:szCs w:val="28"/>
        </w:rPr>
        <w:t>Compared to the neighbour test, the Caparo test</w:t>
      </w:r>
      <w:r w:rsidR="00061D17" w:rsidRPr="00F42ABF">
        <w:rPr>
          <w:sz w:val="28"/>
          <w:szCs w:val="28"/>
        </w:rPr>
        <w:t xml:space="preserve"> provides clearer guidelines for establishing duty of care as seen in the Caparo Industries plc v Dickman [1990] case. The Caparo test’s three-stage approach which is foreseeability, proximity and whether it is fair, just and reasonable is seen as a more precise method</w:t>
      </w:r>
      <w:r w:rsidR="007A01A3" w:rsidRPr="00F42ABF">
        <w:rPr>
          <w:sz w:val="28"/>
          <w:szCs w:val="28"/>
        </w:rPr>
        <w:t>.</w:t>
      </w:r>
    </w:p>
    <w:p w14:paraId="72626E99" w14:textId="5C051C21" w:rsidR="00D11759" w:rsidRPr="00D11759" w:rsidRDefault="00D11759" w:rsidP="00D11759">
      <w:pPr>
        <w:jc w:val="both"/>
        <w:rPr>
          <w:sz w:val="28"/>
          <w:szCs w:val="28"/>
        </w:rPr>
      </w:pPr>
      <w:r w:rsidRPr="00D11759">
        <w:rPr>
          <w:sz w:val="28"/>
          <w:szCs w:val="28"/>
        </w:rPr>
        <w:t xml:space="preserve">The but-for test is a fundamental principle in tort law used to determine factual causation. This essay explores the definition and application of the but-for test, examines landmark cases such as Barnett v Chelsea </w:t>
      </w:r>
      <w:r w:rsidR="005E4E5F" w:rsidRPr="00F42ABF">
        <w:rPr>
          <w:sz w:val="28"/>
          <w:szCs w:val="28"/>
        </w:rPr>
        <w:t>and</w:t>
      </w:r>
      <w:r w:rsidRPr="00D11759">
        <w:rPr>
          <w:sz w:val="28"/>
          <w:szCs w:val="28"/>
        </w:rPr>
        <w:t xml:space="preserve"> Kensington Hospital Management Committee (1969), and </w:t>
      </w:r>
      <w:r w:rsidR="00724B96" w:rsidRPr="00D11759">
        <w:rPr>
          <w:sz w:val="28"/>
          <w:szCs w:val="28"/>
        </w:rPr>
        <w:t>an</w:t>
      </w:r>
      <w:r w:rsidR="00724B96" w:rsidRPr="00F42ABF">
        <w:rPr>
          <w:sz w:val="28"/>
          <w:szCs w:val="28"/>
        </w:rPr>
        <w:t>alyse</w:t>
      </w:r>
      <w:r w:rsidRPr="00D11759">
        <w:rPr>
          <w:sz w:val="28"/>
          <w:szCs w:val="28"/>
        </w:rPr>
        <w:t xml:space="preserve"> the strengths and limitations of this test.</w:t>
      </w:r>
    </w:p>
    <w:p w14:paraId="58AAEA5A" w14:textId="2A5F40EA" w:rsidR="00D11759" w:rsidRPr="00F42ABF" w:rsidRDefault="00D11759" w:rsidP="00D11759">
      <w:pPr>
        <w:jc w:val="both"/>
        <w:rPr>
          <w:sz w:val="28"/>
          <w:szCs w:val="28"/>
        </w:rPr>
      </w:pPr>
      <w:r w:rsidRPr="00D11759">
        <w:rPr>
          <w:sz w:val="28"/>
          <w:szCs w:val="28"/>
        </w:rPr>
        <w:t>The but-for test asks whether the harm would have occurred but for the defendant’s breach of duty. It is a straightforward test used to establish factual causation by determining if the defendant's actions were a necessary condition for the occurrence of the harm</w:t>
      </w:r>
      <w:r w:rsidR="00616104" w:rsidRPr="00F42ABF">
        <w:rPr>
          <w:sz w:val="28"/>
          <w:szCs w:val="28"/>
        </w:rPr>
        <w:t xml:space="preserve">. In the case of </w:t>
      </w:r>
      <w:r w:rsidR="00616104" w:rsidRPr="00D11759">
        <w:rPr>
          <w:sz w:val="28"/>
          <w:szCs w:val="28"/>
        </w:rPr>
        <w:t>Barnett v Chelsea &amp; Kensington Hospital Management Committee (1969)</w:t>
      </w:r>
      <w:r w:rsidR="00616104" w:rsidRPr="00F42ABF">
        <w:rPr>
          <w:sz w:val="28"/>
          <w:szCs w:val="28"/>
        </w:rPr>
        <w:t xml:space="preserve">, the </w:t>
      </w:r>
      <w:r w:rsidR="00097743" w:rsidRPr="00F42ABF">
        <w:rPr>
          <w:sz w:val="28"/>
          <w:szCs w:val="28"/>
        </w:rPr>
        <w:t xml:space="preserve">had to decide whether the hospital was at </w:t>
      </w:r>
      <w:r w:rsidR="00584D08" w:rsidRPr="00F42ABF">
        <w:rPr>
          <w:sz w:val="28"/>
          <w:szCs w:val="28"/>
        </w:rPr>
        <w:t xml:space="preserve">negligent </w:t>
      </w:r>
      <w:r w:rsidR="00097743" w:rsidRPr="00F42ABF">
        <w:rPr>
          <w:sz w:val="28"/>
          <w:szCs w:val="28"/>
        </w:rPr>
        <w:t>for failing to treat the patien</w:t>
      </w:r>
      <w:r w:rsidR="00584D08" w:rsidRPr="00F42ABF">
        <w:rPr>
          <w:sz w:val="28"/>
          <w:szCs w:val="28"/>
        </w:rPr>
        <w:t>t</w:t>
      </w:r>
      <w:r w:rsidR="00097743" w:rsidRPr="00F42ABF">
        <w:rPr>
          <w:sz w:val="28"/>
          <w:szCs w:val="28"/>
        </w:rPr>
        <w:t xml:space="preserve"> was the case of the patient’s death. The court in this case concluded that the patient would have died regardless</w:t>
      </w:r>
      <w:r w:rsidR="00F514CF" w:rsidRPr="00F42ABF">
        <w:rPr>
          <w:sz w:val="28"/>
          <w:szCs w:val="28"/>
        </w:rPr>
        <w:t xml:space="preserve"> of the actions taken by the doctors at the hospital. </w:t>
      </w:r>
    </w:p>
    <w:p w14:paraId="1E828D92" w14:textId="4F188B15" w:rsidR="00E92E8C" w:rsidRPr="00F42ABF" w:rsidRDefault="00A478EC" w:rsidP="00E92E8C">
      <w:pPr>
        <w:jc w:val="both"/>
        <w:rPr>
          <w:sz w:val="28"/>
          <w:szCs w:val="28"/>
        </w:rPr>
      </w:pPr>
      <w:r w:rsidRPr="00F42ABF">
        <w:rPr>
          <w:sz w:val="28"/>
          <w:szCs w:val="28"/>
        </w:rPr>
        <w:t xml:space="preserve">Whilst the but-for-test is straightforward and easy to apply, it has also been </w:t>
      </w:r>
      <w:r w:rsidR="00724B96" w:rsidRPr="00F42ABF">
        <w:rPr>
          <w:sz w:val="28"/>
          <w:szCs w:val="28"/>
        </w:rPr>
        <w:t>cri</w:t>
      </w:r>
      <w:r w:rsidR="00724B96">
        <w:rPr>
          <w:sz w:val="28"/>
          <w:szCs w:val="28"/>
        </w:rPr>
        <w:t xml:space="preserve">ticised </w:t>
      </w:r>
      <w:r w:rsidRPr="00F42ABF">
        <w:rPr>
          <w:sz w:val="28"/>
          <w:szCs w:val="28"/>
        </w:rPr>
        <w:t>for the in</w:t>
      </w:r>
      <w:r w:rsidR="00E92E8C" w:rsidRPr="00F42ABF">
        <w:rPr>
          <w:sz w:val="28"/>
          <w:szCs w:val="28"/>
        </w:rPr>
        <w:t xml:space="preserve">ability to address causation in complex </w:t>
      </w:r>
      <w:r w:rsidR="00724B96" w:rsidRPr="00F42ABF">
        <w:rPr>
          <w:sz w:val="28"/>
          <w:szCs w:val="28"/>
        </w:rPr>
        <w:t>scenarios</w:t>
      </w:r>
      <w:r w:rsidR="00E92E8C" w:rsidRPr="00F42ABF">
        <w:rPr>
          <w:sz w:val="28"/>
          <w:szCs w:val="28"/>
        </w:rPr>
        <w:t xml:space="preserve">. The case of Barnett v Chelsea &amp; Kensington Hospital Management Committee [1969], the court held that the hospital’s negligence did not cause the patient’s death, as the death would have occurred regardless of the breach. </w:t>
      </w:r>
      <w:r w:rsidR="00724B96" w:rsidRPr="00F42ABF">
        <w:rPr>
          <w:sz w:val="28"/>
          <w:szCs w:val="28"/>
        </w:rPr>
        <w:t>Therefore,</w:t>
      </w:r>
      <w:r w:rsidR="00F10128" w:rsidRPr="00F42ABF">
        <w:rPr>
          <w:sz w:val="28"/>
          <w:szCs w:val="28"/>
        </w:rPr>
        <w:t xml:space="preserve"> the but-for-test was not satisfied. </w:t>
      </w:r>
      <w:r w:rsidR="00E92E8C" w:rsidRPr="00F42ABF">
        <w:rPr>
          <w:sz w:val="28"/>
          <w:szCs w:val="28"/>
        </w:rPr>
        <w:t>This highlights the test’s limitation in addressing situations with concurrent causes.</w:t>
      </w:r>
      <w:r w:rsidR="009A1544" w:rsidRPr="00F42ABF">
        <w:rPr>
          <w:sz w:val="28"/>
          <w:szCs w:val="28"/>
        </w:rPr>
        <w:t xml:space="preserve"> The but-for-test may fail to establish causation effectively leading to potential inju</w:t>
      </w:r>
      <w:r w:rsidR="00851E53" w:rsidRPr="00F42ABF">
        <w:rPr>
          <w:sz w:val="28"/>
          <w:szCs w:val="28"/>
        </w:rPr>
        <w:t>stices</w:t>
      </w:r>
      <w:r w:rsidR="00C47377" w:rsidRPr="00F42ABF">
        <w:rPr>
          <w:sz w:val="28"/>
          <w:szCs w:val="28"/>
        </w:rPr>
        <w:t>.</w:t>
      </w:r>
    </w:p>
    <w:p w14:paraId="40ED81A3" w14:textId="648B02BA" w:rsidR="00DF5373" w:rsidRPr="00DF5373" w:rsidRDefault="00DF5373" w:rsidP="00DF5373">
      <w:pPr>
        <w:jc w:val="both"/>
        <w:rPr>
          <w:sz w:val="28"/>
          <w:szCs w:val="28"/>
        </w:rPr>
      </w:pPr>
      <w:r w:rsidRPr="00DF5373">
        <w:rPr>
          <w:sz w:val="28"/>
          <w:szCs w:val="28"/>
        </w:rPr>
        <w:t xml:space="preserve">The thin skull rule, also known as the “egg-shell skull” rule, is a principle in tort law that holds a defendant liable for the plaintiff’s unforeseeable and unusual reactions to the defendant’s negligent or intentional act. </w:t>
      </w:r>
    </w:p>
    <w:p w14:paraId="1400060F" w14:textId="3A402A31" w:rsidR="00DF5373" w:rsidRPr="00DF5373" w:rsidRDefault="00DF5373" w:rsidP="00DF5373">
      <w:pPr>
        <w:jc w:val="both"/>
        <w:rPr>
          <w:sz w:val="28"/>
          <w:szCs w:val="28"/>
        </w:rPr>
      </w:pPr>
      <w:r w:rsidRPr="00DF5373">
        <w:rPr>
          <w:sz w:val="28"/>
          <w:szCs w:val="28"/>
        </w:rPr>
        <w:lastRenderedPageBreak/>
        <w:t xml:space="preserve">The thin skull rule asserts that a defendant must “take their victim as they find them.” This means that if a plaintiff has a pre-existing condition </w:t>
      </w:r>
      <w:r w:rsidR="0080365B">
        <w:rPr>
          <w:sz w:val="28"/>
          <w:szCs w:val="28"/>
        </w:rPr>
        <w:t>which could make them more prone to</w:t>
      </w:r>
      <w:r w:rsidRPr="00DF5373">
        <w:rPr>
          <w:sz w:val="28"/>
          <w:szCs w:val="28"/>
        </w:rPr>
        <w:t xml:space="preserve"> injury, the</w:t>
      </w:r>
      <w:r w:rsidR="004137C8">
        <w:rPr>
          <w:sz w:val="28"/>
          <w:szCs w:val="28"/>
        </w:rPr>
        <w:t>n the</w:t>
      </w:r>
      <w:r w:rsidRPr="00DF5373">
        <w:rPr>
          <w:sz w:val="28"/>
          <w:szCs w:val="28"/>
        </w:rPr>
        <w:t xml:space="preserve"> defendant is still fully liable for all the consequences of their actions, even if the injuries </w:t>
      </w:r>
      <w:r w:rsidR="004137C8">
        <w:rPr>
          <w:sz w:val="28"/>
          <w:szCs w:val="28"/>
        </w:rPr>
        <w:t xml:space="preserve">sustained </w:t>
      </w:r>
      <w:r w:rsidRPr="00DF5373">
        <w:rPr>
          <w:sz w:val="28"/>
          <w:szCs w:val="28"/>
        </w:rPr>
        <w:t>are more severe than what would have been expected in a person without such a condition (Smith, 2018).</w:t>
      </w:r>
    </w:p>
    <w:p w14:paraId="5CB49679" w14:textId="2AF5B2D7" w:rsidR="00DF5373" w:rsidRPr="00F42ABF" w:rsidRDefault="00DF5373" w:rsidP="00DF5373">
      <w:pPr>
        <w:jc w:val="both"/>
        <w:rPr>
          <w:sz w:val="28"/>
          <w:szCs w:val="28"/>
        </w:rPr>
      </w:pPr>
      <w:r w:rsidRPr="00DF5373">
        <w:rPr>
          <w:sz w:val="28"/>
          <w:szCs w:val="28"/>
        </w:rPr>
        <w:t>A landmark case illustrating the thin skull rule is </w:t>
      </w:r>
      <w:r w:rsidRPr="00DF5373">
        <w:rPr>
          <w:i/>
          <w:iCs/>
          <w:sz w:val="28"/>
          <w:szCs w:val="28"/>
        </w:rPr>
        <w:t>Smith v Leech Brain &amp; Co Ltd</w:t>
      </w:r>
      <w:r w:rsidRPr="00DF5373">
        <w:rPr>
          <w:sz w:val="28"/>
          <w:szCs w:val="28"/>
        </w:rPr>
        <w:t> (1962). In this case, the plaintiff suffered a burn due to the defendant’s negligence, which later triggered a pre-existing cancerous condition, leading to the plaintiff’s death. The court held the defendant liable for the full extent of the injury, emphasi</w:t>
      </w:r>
      <w:r w:rsidR="00A46A1A" w:rsidRPr="00F42ABF">
        <w:rPr>
          <w:sz w:val="28"/>
          <w:szCs w:val="28"/>
        </w:rPr>
        <w:t>s</w:t>
      </w:r>
      <w:r w:rsidRPr="00DF5373">
        <w:rPr>
          <w:sz w:val="28"/>
          <w:szCs w:val="28"/>
        </w:rPr>
        <w:t>ing that the defendant must take the victim as they find them</w:t>
      </w:r>
      <w:r w:rsidR="00431F5A" w:rsidRPr="00F42ABF">
        <w:rPr>
          <w:sz w:val="28"/>
          <w:szCs w:val="28"/>
        </w:rPr>
        <w:t xml:space="preserve">. The judgement in this case </w:t>
      </w:r>
      <w:r w:rsidR="00D40BC7" w:rsidRPr="00F42ABF">
        <w:rPr>
          <w:sz w:val="28"/>
          <w:szCs w:val="28"/>
        </w:rPr>
        <w:t>reinforced that employers have a duty to anticipate hazards in the workplaces particularly work environments where risks</w:t>
      </w:r>
      <w:r w:rsidR="00970FEE" w:rsidRPr="00F42ABF">
        <w:rPr>
          <w:sz w:val="28"/>
          <w:szCs w:val="28"/>
        </w:rPr>
        <w:t xml:space="preserve"> are presents </w:t>
      </w:r>
      <w:r w:rsidR="00CC7EB2">
        <w:rPr>
          <w:sz w:val="28"/>
          <w:szCs w:val="28"/>
        </w:rPr>
        <w:t>a</w:t>
      </w:r>
      <w:r w:rsidR="00970FEE" w:rsidRPr="00F42ABF">
        <w:rPr>
          <w:sz w:val="28"/>
          <w:szCs w:val="28"/>
        </w:rPr>
        <w:t xml:space="preserve">s in the case with molten metal. The failure by the employer to provide </w:t>
      </w:r>
      <w:r w:rsidR="00724B96" w:rsidRPr="00F42ABF">
        <w:rPr>
          <w:sz w:val="28"/>
          <w:szCs w:val="28"/>
        </w:rPr>
        <w:t>adequate</w:t>
      </w:r>
      <w:r w:rsidR="00970FEE" w:rsidRPr="00F42ABF">
        <w:rPr>
          <w:sz w:val="28"/>
          <w:szCs w:val="28"/>
        </w:rPr>
        <w:t xml:space="preserve"> protective measures to protect their </w:t>
      </w:r>
      <w:r w:rsidR="00724B96" w:rsidRPr="00F42ABF">
        <w:rPr>
          <w:sz w:val="28"/>
          <w:szCs w:val="28"/>
        </w:rPr>
        <w:t>employees</w:t>
      </w:r>
      <w:r w:rsidR="00970FEE" w:rsidRPr="00F42ABF">
        <w:rPr>
          <w:sz w:val="28"/>
          <w:szCs w:val="28"/>
        </w:rPr>
        <w:t xml:space="preserve"> can leads to findings of negligence. </w:t>
      </w:r>
    </w:p>
    <w:p w14:paraId="4DE61279" w14:textId="6E7CD4E9" w:rsidR="00431F5A" w:rsidRPr="00F42ABF" w:rsidRDefault="00630EBB" w:rsidP="00DF5373">
      <w:pPr>
        <w:jc w:val="both"/>
        <w:rPr>
          <w:sz w:val="28"/>
          <w:szCs w:val="28"/>
        </w:rPr>
      </w:pPr>
      <w:r w:rsidRPr="00F42ABF">
        <w:rPr>
          <w:sz w:val="28"/>
          <w:szCs w:val="28"/>
        </w:rPr>
        <w:t xml:space="preserve">The fairness of this rules is that victims can expect to receive full compensation for the injuries </w:t>
      </w:r>
      <w:r w:rsidR="00F97712" w:rsidRPr="00F42ABF">
        <w:rPr>
          <w:sz w:val="28"/>
          <w:szCs w:val="28"/>
        </w:rPr>
        <w:t xml:space="preserve">sustained </w:t>
      </w:r>
      <w:proofErr w:type="gramStart"/>
      <w:r w:rsidR="00F97712" w:rsidRPr="00F42ABF">
        <w:rPr>
          <w:sz w:val="28"/>
          <w:szCs w:val="28"/>
        </w:rPr>
        <w:t>regardless</w:t>
      </w:r>
      <w:proofErr w:type="gramEnd"/>
      <w:r w:rsidR="00F97712" w:rsidRPr="00F42ABF">
        <w:rPr>
          <w:sz w:val="28"/>
          <w:szCs w:val="28"/>
        </w:rPr>
        <w:t xml:space="preserve"> if </w:t>
      </w:r>
      <w:proofErr w:type="spellStart"/>
      <w:r w:rsidR="00F97712" w:rsidRPr="00F42ABF">
        <w:rPr>
          <w:sz w:val="28"/>
          <w:szCs w:val="28"/>
        </w:rPr>
        <w:t>the</w:t>
      </w:r>
      <w:proofErr w:type="spellEnd"/>
      <w:r w:rsidR="00F97712" w:rsidRPr="00F42ABF">
        <w:rPr>
          <w:sz w:val="28"/>
          <w:szCs w:val="28"/>
        </w:rPr>
        <w:t xml:space="preserve"> had any pre-existing conditions. This should then act as a deterrence for organisations to have greater care and protection for their </w:t>
      </w:r>
      <w:r w:rsidR="00724B96" w:rsidRPr="00F42ABF">
        <w:rPr>
          <w:sz w:val="28"/>
          <w:szCs w:val="28"/>
        </w:rPr>
        <w:t>employees</w:t>
      </w:r>
      <w:r w:rsidR="00F97712" w:rsidRPr="00F42ABF">
        <w:rPr>
          <w:sz w:val="28"/>
          <w:szCs w:val="28"/>
        </w:rPr>
        <w:t xml:space="preserve"> in the knowledge that they would be fully </w:t>
      </w:r>
      <w:r w:rsidR="00724B96" w:rsidRPr="00F42ABF">
        <w:rPr>
          <w:sz w:val="28"/>
          <w:szCs w:val="28"/>
        </w:rPr>
        <w:t>liable</w:t>
      </w:r>
      <w:r w:rsidR="00F97712" w:rsidRPr="00F42ABF">
        <w:rPr>
          <w:sz w:val="28"/>
          <w:szCs w:val="28"/>
        </w:rPr>
        <w:t xml:space="preserve"> for any harm caused. </w:t>
      </w:r>
    </w:p>
    <w:p w14:paraId="5EA38C73" w14:textId="7E666BFC" w:rsidR="00A46A1A" w:rsidRPr="00F42ABF" w:rsidRDefault="00CC7EB2" w:rsidP="00DF5373">
      <w:pPr>
        <w:jc w:val="both"/>
        <w:rPr>
          <w:sz w:val="28"/>
          <w:szCs w:val="28"/>
        </w:rPr>
      </w:pPr>
      <w:r w:rsidRPr="00F42ABF">
        <w:rPr>
          <w:sz w:val="28"/>
          <w:szCs w:val="28"/>
        </w:rPr>
        <w:t>However,</w:t>
      </w:r>
      <w:r w:rsidR="00F97712" w:rsidRPr="00F42ABF">
        <w:rPr>
          <w:sz w:val="28"/>
          <w:szCs w:val="28"/>
        </w:rPr>
        <w:t xml:space="preserve"> this rule </w:t>
      </w:r>
      <w:r w:rsidR="00281FF2" w:rsidRPr="00F42ABF">
        <w:rPr>
          <w:sz w:val="28"/>
          <w:szCs w:val="28"/>
        </w:rPr>
        <w:t>means that defendants may face potential</w:t>
      </w:r>
      <w:r w:rsidR="00E96375" w:rsidRPr="00F42ABF">
        <w:rPr>
          <w:sz w:val="28"/>
          <w:szCs w:val="28"/>
        </w:rPr>
        <w:t xml:space="preserve"> disproportionate liabilities which could be seen as unfair. </w:t>
      </w:r>
      <w:r w:rsidR="001F5A06" w:rsidRPr="00F42ABF">
        <w:rPr>
          <w:sz w:val="28"/>
          <w:szCs w:val="28"/>
        </w:rPr>
        <w:t>According to White, 2020, t</w:t>
      </w:r>
      <w:r w:rsidR="00E96375" w:rsidRPr="00F42ABF">
        <w:rPr>
          <w:sz w:val="28"/>
          <w:szCs w:val="28"/>
        </w:rPr>
        <w:t>he rule could also lead to higher insurance costs</w:t>
      </w:r>
      <w:r w:rsidR="009B1483" w:rsidRPr="00F42ABF">
        <w:rPr>
          <w:sz w:val="28"/>
          <w:szCs w:val="28"/>
        </w:rPr>
        <w:t xml:space="preserve"> for </w:t>
      </w:r>
      <w:r w:rsidR="00724B96" w:rsidRPr="00F42ABF">
        <w:rPr>
          <w:sz w:val="28"/>
          <w:szCs w:val="28"/>
        </w:rPr>
        <w:t>increased</w:t>
      </w:r>
      <w:r w:rsidR="009B1483" w:rsidRPr="00F42ABF">
        <w:rPr>
          <w:sz w:val="28"/>
          <w:szCs w:val="28"/>
        </w:rPr>
        <w:t xml:space="preserve"> risk of severe claims </w:t>
      </w:r>
      <w:r w:rsidR="00724B96" w:rsidRPr="00F42ABF">
        <w:rPr>
          <w:sz w:val="28"/>
          <w:szCs w:val="28"/>
        </w:rPr>
        <w:t>particularly</w:t>
      </w:r>
      <w:r w:rsidR="009B1483" w:rsidRPr="00F42ABF">
        <w:rPr>
          <w:sz w:val="28"/>
          <w:szCs w:val="28"/>
        </w:rPr>
        <w:t xml:space="preserve"> at those with high risks jobs. </w:t>
      </w:r>
    </w:p>
    <w:p w14:paraId="6332D1C9" w14:textId="2B2D6498" w:rsidR="00CC535B" w:rsidRPr="00F42ABF" w:rsidRDefault="00723BFF" w:rsidP="00CC535B">
      <w:pPr>
        <w:jc w:val="both"/>
        <w:rPr>
          <w:b/>
          <w:bCs/>
          <w:sz w:val="28"/>
          <w:szCs w:val="28"/>
          <w:u w:val="single"/>
        </w:rPr>
      </w:pPr>
      <w:r w:rsidRPr="00F42ABF">
        <w:rPr>
          <w:b/>
          <w:bCs/>
          <w:sz w:val="28"/>
          <w:szCs w:val="28"/>
          <w:u w:val="single"/>
        </w:rPr>
        <w:t>The need of reform</w:t>
      </w:r>
    </w:p>
    <w:p w14:paraId="28B69B4D" w14:textId="7FA8EABA" w:rsidR="00CC535B" w:rsidRPr="00F42ABF" w:rsidRDefault="00960390" w:rsidP="003218BA">
      <w:pPr>
        <w:jc w:val="both"/>
        <w:rPr>
          <w:sz w:val="28"/>
          <w:szCs w:val="28"/>
        </w:rPr>
      </w:pPr>
      <w:r w:rsidRPr="00F42ABF">
        <w:rPr>
          <w:sz w:val="28"/>
          <w:szCs w:val="28"/>
        </w:rPr>
        <w:t xml:space="preserve">Criticisms </w:t>
      </w:r>
      <w:r w:rsidR="00723BFF" w:rsidRPr="00F42ABF">
        <w:rPr>
          <w:sz w:val="28"/>
          <w:szCs w:val="28"/>
        </w:rPr>
        <w:t>have</w:t>
      </w:r>
      <w:r w:rsidR="00CC535B" w:rsidRPr="00F42ABF">
        <w:rPr>
          <w:sz w:val="28"/>
          <w:szCs w:val="28"/>
        </w:rPr>
        <w:t xml:space="preserve"> highlight</w:t>
      </w:r>
      <w:r w:rsidR="00723BFF" w:rsidRPr="00F42ABF">
        <w:rPr>
          <w:sz w:val="28"/>
          <w:szCs w:val="28"/>
        </w:rPr>
        <w:t>ed</w:t>
      </w:r>
      <w:r w:rsidR="00CC535B" w:rsidRPr="00F42ABF">
        <w:rPr>
          <w:sz w:val="28"/>
          <w:szCs w:val="28"/>
        </w:rPr>
        <w:t xml:space="preserve"> the ongoing debate about the best way to balance the need for a fair and predictable legal framework with the flexibility to address diverse and evolving societal needs</w:t>
      </w:r>
      <w:r w:rsidR="00357DB6" w:rsidRPr="00F42ABF">
        <w:rPr>
          <w:sz w:val="28"/>
          <w:szCs w:val="28"/>
        </w:rPr>
        <w:t xml:space="preserve"> by de</w:t>
      </w:r>
      <w:r w:rsidR="00CC535B" w:rsidRPr="00F42ABF">
        <w:rPr>
          <w:sz w:val="28"/>
          <w:szCs w:val="28"/>
        </w:rPr>
        <w:t>veloping sector-specific guidelines for duty of care. For example, creating detailed standards for medical negligence, workplace safety, and public authorities. This approach can help tailor the duty of care to the unique needs and risks of different sectors</w:t>
      </w:r>
      <w:r w:rsidR="00724B96">
        <w:rPr>
          <w:sz w:val="28"/>
          <w:szCs w:val="28"/>
        </w:rPr>
        <w:t>.</w:t>
      </w:r>
    </w:p>
    <w:p w14:paraId="3FA0791C" w14:textId="0E41CE38" w:rsidR="00CC535B" w:rsidRPr="00F42ABF" w:rsidRDefault="00CC535B" w:rsidP="003218BA">
      <w:pPr>
        <w:jc w:val="both"/>
        <w:rPr>
          <w:sz w:val="28"/>
          <w:szCs w:val="28"/>
        </w:rPr>
      </w:pPr>
      <w:r w:rsidRPr="00F42ABF">
        <w:rPr>
          <w:sz w:val="28"/>
          <w:szCs w:val="28"/>
        </w:rPr>
        <w:lastRenderedPageBreak/>
        <w:t>Enhancing judicial training to ensure more consistent application of duty of care principles. This could help mitigate the issue of unpredictability and ensure that similar cases are treated similarly</w:t>
      </w:r>
      <w:r w:rsidR="00724B96">
        <w:rPr>
          <w:sz w:val="28"/>
          <w:szCs w:val="28"/>
        </w:rPr>
        <w:t>.</w:t>
      </w:r>
    </w:p>
    <w:p w14:paraId="0C83E3B7" w14:textId="0D90FC82" w:rsidR="00CC535B" w:rsidRPr="00F42ABF" w:rsidRDefault="00357DB6" w:rsidP="003218BA">
      <w:pPr>
        <w:jc w:val="both"/>
        <w:rPr>
          <w:sz w:val="28"/>
          <w:szCs w:val="28"/>
        </w:rPr>
      </w:pPr>
      <w:r w:rsidRPr="00F42ABF">
        <w:rPr>
          <w:sz w:val="28"/>
          <w:szCs w:val="28"/>
        </w:rPr>
        <w:t>C</w:t>
      </w:r>
      <w:r w:rsidR="00CC535B" w:rsidRPr="00F42ABF">
        <w:rPr>
          <w:sz w:val="28"/>
          <w:szCs w:val="28"/>
        </w:rPr>
        <w:t>onducting economic impact assessments before imposing new duties of care. This would help balance the need for protecting individuals with the potential economic implications for businesses and public bodies</w:t>
      </w:r>
      <w:r w:rsidR="00724B96">
        <w:rPr>
          <w:sz w:val="28"/>
          <w:szCs w:val="28"/>
        </w:rPr>
        <w:t>.</w:t>
      </w:r>
    </w:p>
    <w:p w14:paraId="752F2523" w14:textId="77777777" w:rsidR="00CC535B" w:rsidRPr="00F42ABF" w:rsidRDefault="00CC535B" w:rsidP="003218BA">
      <w:pPr>
        <w:jc w:val="both"/>
        <w:rPr>
          <w:sz w:val="28"/>
          <w:szCs w:val="28"/>
        </w:rPr>
      </w:pPr>
      <w:r w:rsidRPr="00F42ABF">
        <w:rPr>
          <w:sz w:val="28"/>
          <w:szCs w:val="28"/>
        </w:rPr>
        <w:t>These proposed reforms aim to address the criticisms by providing clearer, more predictable, and context-specific guidelines for establishing a duty of care.</w:t>
      </w:r>
    </w:p>
    <w:p w14:paraId="70612FCF" w14:textId="758A7093" w:rsidR="00431C3D" w:rsidRPr="00F42ABF" w:rsidRDefault="003E57BE" w:rsidP="003218BA">
      <w:pPr>
        <w:jc w:val="both"/>
        <w:rPr>
          <w:sz w:val="28"/>
          <w:szCs w:val="28"/>
        </w:rPr>
      </w:pPr>
      <w:r w:rsidRPr="00F42ABF">
        <w:rPr>
          <w:sz w:val="28"/>
          <w:szCs w:val="28"/>
        </w:rPr>
        <w:t xml:space="preserve">As stated by Miller, 2022, by introducing a system where liability is proportionate to the </w:t>
      </w:r>
      <w:r w:rsidR="007E4D0A" w:rsidRPr="00F42ABF">
        <w:rPr>
          <w:sz w:val="28"/>
          <w:szCs w:val="28"/>
        </w:rPr>
        <w:t xml:space="preserve">foreseeability of the harm this would then balance the level of fairness to both the plaintiff and defendant. </w:t>
      </w:r>
    </w:p>
    <w:p w14:paraId="414C6ABC" w14:textId="77777777" w:rsidR="00F42ABF" w:rsidRDefault="00F42ABF">
      <w:pPr>
        <w:rPr>
          <w:b/>
          <w:bCs/>
          <w:sz w:val="28"/>
          <w:szCs w:val="28"/>
          <w:u w:val="single"/>
        </w:rPr>
      </w:pPr>
      <w:r>
        <w:rPr>
          <w:b/>
          <w:bCs/>
          <w:sz w:val="28"/>
          <w:szCs w:val="28"/>
          <w:u w:val="single"/>
        </w:rPr>
        <w:br w:type="page"/>
      </w:r>
    </w:p>
    <w:p w14:paraId="7797EB9E" w14:textId="4E4ED4F4" w:rsidR="00C96C17" w:rsidRPr="00F42ABF" w:rsidRDefault="00C96C17" w:rsidP="00431C3D">
      <w:pPr>
        <w:jc w:val="both"/>
        <w:rPr>
          <w:b/>
          <w:bCs/>
          <w:sz w:val="28"/>
          <w:szCs w:val="28"/>
          <w:u w:val="single"/>
        </w:rPr>
      </w:pPr>
      <w:r w:rsidRPr="00F42ABF">
        <w:rPr>
          <w:b/>
          <w:bCs/>
          <w:sz w:val="28"/>
          <w:szCs w:val="28"/>
          <w:u w:val="single"/>
        </w:rPr>
        <w:lastRenderedPageBreak/>
        <w:t xml:space="preserve">References </w:t>
      </w:r>
    </w:p>
    <w:p w14:paraId="4AC1D015" w14:textId="6D414570" w:rsidR="00E730B3" w:rsidRPr="00F42ABF" w:rsidRDefault="00E730B3" w:rsidP="00431C3D">
      <w:pPr>
        <w:jc w:val="both"/>
        <w:rPr>
          <w:sz w:val="28"/>
          <w:szCs w:val="28"/>
        </w:rPr>
      </w:pPr>
      <w:r w:rsidRPr="00F42ABF">
        <w:rPr>
          <w:sz w:val="28"/>
          <w:szCs w:val="28"/>
        </w:rPr>
        <w:t>Arvind, T.T. and Steele, J. eds., 2012. </w:t>
      </w:r>
      <w:r w:rsidRPr="00F42ABF">
        <w:rPr>
          <w:i/>
          <w:iCs/>
          <w:sz w:val="28"/>
          <w:szCs w:val="28"/>
        </w:rPr>
        <w:t>Tort law and the legislature: common law, statute and the dynamics of legal change</w:t>
      </w:r>
      <w:r w:rsidRPr="00F42ABF">
        <w:rPr>
          <w:sz w:val="28"/>
          <w:szCs w:val="28"/>
        </w:rPr>
        <w:t>. Bloomsbury Publishing.</w:t>
      </w:r>
    </w:p>
    <w:p w14:paraId="6D47D1B8" w14:textId="77777777" w:rsidR="00EF794B" w:rsidRPr="00F42ABF" w:rsidRDefault="00EF794B" w:rsidP="00431C3D">
      <w:pPr>
        <w:jc w:val="both"/>
        <w:rPr>
          <w:sz w:val="28"/>
          <w:szCs w:val="28"/>
        </w:rPr>
      </w:pPr>
    </w:p>
    <w:p w14:paraId="48FAB1F7" w14:textId="46D4D04C" w:rsidR="00E730B3" w:rsidRPr="00F42ABF" w:rsidRDefault="00EF794B" w:rsidP="00431C3D">
      <w:pPr>
        <w:jc w:val="both"/>
        <w:rPr>
          <w:sz w:val="28"/>
          <w:szCs w:val="28"/>
        </w:rPr>
      </w:pPr>
      <w:r w:rsidRPr="00F42ABF">
        <w:rPr>
          <w:sz w:val="28"/>
          <w:szCs w:val="28"/>
        </w:rPr>
        <w:t>Brennan, C., 2021. </w:t>
      </w:r>
      <w:r w:rsidRPr="00F42ABF">
        <w:rPr>
          <w:i/>
          <w:iCs/>
          <w:sz w:val="28"/>
          <w:szCs w:val="28"/>
        </w:rPr>
        <w:t>Tort Law Concentrate: Law Revision and Study Guide</w:t>
      </w:r>
      <w:r w:rsidRPr="00F42ABF">
        <w:rPr>
          <w:sz w:val="28"/>
          <w:szCs w:val="28"/>
        </w:rPr>
        <w:t>. oxford university press.</w:t>
      </w:r>
    </w:p>
    <w:p w14:paraId="4AE8C704" w14:textId="77777777" w:rsidR="00954B2E" w:rsidRPr="00F42ABF" w:rsidRDefault="00954B2E" w:rsidP="00954B2E">
      <w:pPr>
        <w:jc w:val="both"/>
        <w:rPr>
          <w:sz w:val="28"/>
          <w:szCs w:val="28"/>
        </w:rPr>
      </w:pPr>
    </w:p>
    <w:p w14:paraId="137E8F78" w14:textId="4E5C6DB0" w:rsidR="00954B2E" w:rsidRPr="00954B2E" w:rsidRDefault="00954B2E" w:rsidP="00954B2E">
      <w:pPr>
        <w:jc w:val="both"/>
        <w:rPr>
          <w:sz w:val="28"/>
          <w:szCs w:val="28"/>
        </w:rPr>
      </w:pPr>
      <w:r w:rsidRPr="00954B2E">
        <w:rPr>
          <w:sz w:val="28"/>
          <w:szCs w:val="28"/>
        </w:rPr>
        <w:t>Brown, A. (2019). </w:t>
      </w:r>
      <w:r w:rsidRPr="00954B2E">
        <w:rPr>
          <w:i/>
          <w:iCs/>
          <w:sz w:val="28"/>
          <w:szCs w:val="28"/>
        </w:rPr>
        <w:t>Tort Law: Text and Materials</w:t>
      </w:r>
      <w:r w:rsidRPr="00954B2E">
        <w:rPr>
          <w:sz w:val="28"/>
          <w:szCs w:val="28"/>
        </w:rPr>
        <w:t>. Oxford University Press.</w:t>
      </w:r>
    </w:p>
    <w:p w14:paraId="3B587ECC" w14:textId="77777777" w:rsidR="00954B2E" w:rsidRPr="00F42ABF" w:rsidRDefault="00954B2E" w:rsidP="00431C3D">
      <w:pPr>
        <w:jc w:val="both"/>
        <w:rPr>
          <w:sz w:val="28"/>
          <w:szCs w:val="28"/>
        </w:rPr>
      </w:pPr>
    </w:p>
    <w:p w14:paraId="4F6C4E3E" w14:textId="0858928C" w:rsidR="00087093" w:rsidRPr="00F42ABF" w:rsidRDefault="00087093" w:rsidP="00431C3D">
      <w:pPr>
        <w:jc w:val="both"/>
        <w:rPr>
          <w:sz w:val="28"/>
          <w:szCs w:val="28"/>
        </w:rPr>
      </w:pPr>
      <w:r w:rsidRPr="00F42ABF">
        <w:rPr>
          <w:sz w:val="28"/>
          <w:szCs w:val="28"/>
        </w:rPr>
        <w:t xml:space="preserve">Finch, E. and Fafinski, S., 2019. </w:t>
      </w:r>
      <w:r w:rsidRPr="00F42ABF">
        <w:rPr>
          <w:i/>
          <w:iCs/>
          <w:sz w:val="28"/>
          <w:szCs w:val="28"/>
        </w:rPr>
        <w:t>Tort Law.</w:t>
      </w:r>
      <w:r w:rsidRPr="00F42ABF">
        <w:rPr>
          <w:sz w:val="28"/>
          <w:szCs w:val="28"/>
        </w:rPr>
        <w:t xml:space="preserve"> Pearson. </w:t>
      </w:r>
    </w:p>
    <w:p w14:paraId="480C71E3" w14:textId="77777777" w:rsidR="00087093" w:rsidRPr="00F42ABF" w:rsidRDefault="00087093" w:rsidP="00431C3D">
      <w:pPr>
        <w:jc w:val="both"/>
        <w:rPr>
          <w:sz w:val="28"/>
          <w:szCs w:val="28"/>
        </w:rPr>
      </w:pPr>
    </w:p>
    <w:p w14:paraId="0902751F" w14:textId="091364BE" w:rsidR="00087093" w:rsidRPr="00F42ABF" w:rsidRDefault="00087093" w:rsidP="00431C3D">
      <w:pPr>
        <w:jc w:val="both"/>
        <w:rPr>
          <w:sz w:val="28"/>
          <w:szCs w:val="28"/>
        </w:rPr>
      </w:pPr>
      <w:r w:rsidRPr="00F42ABF">
        <w:rPr>
          <w:sz w:val="28"/>
          <w:szCs w:val="28"/>
        </w:rPr>
        <w:t>Green, S. and Gardner, J., 2024. </w:t>
      </w:r>
      <w:r w:rsidRPr="00F42ABF">
        <w:rPr>
          <w:i/>
          <w:iCs/>
          <w:sz w:val="28"/>
          <w:szCs w:val="28"/>
        </w:rPr>
        <w:t>Tort Law</w:t>
      </w:r>
      <w:r w:rsidRPr="00F42ABF">
        <w:rPr>
          <w:sz w:val="28"/>
          <w:szCs w:val="28"/>
        </w:rPr>
        <w:t>. Bloomsbury Publishing.</w:t>
      </w:r>
    </w:p>
    <w:p w14:paraId="4391B560" w14:textId="77777777" w:rsidR="00EC070D" w:rsidRPr="00F42ABF" w:rsidRDefault="00EC070D" w:rsidP="00431C3D">
      <w:pPr>
        <w:jc w:val="both"/>
        <w:rPr>
          <w:sz w:val="28"/>
          <w:szCs w:val="28"/>
        </w:rPr>
      </w:pPr>
    </w:p>
    <w:p w14:paraId="436EB46D" w14:textId="3A14E2D5" w:rsidR="00D446DC" w:rsidRPr="00F42ABF" w:rsidRDefault="00EC070D" w:rsidP="00431C3D">
      <w:pPr>
        <w:jc w:val="both"/>
        <w:rPr>
          <w:sz w:val="28"/>
          <w:szCs w:val="28"/>
        </w:rPr>
      </w:pPr>
      <w:r w:rsidRPr="00F42ABF">
        <w:rPr>
          <w:sz w:val="28"/>
          <w:szCs w:val="28"/>
        </w:rPr>
        <w:t>Hand, J. (2010). The Compensation Culture: Cliché or Cause for Concern? </w:t>
      </w:r>
      <w:r w:rsidRPr="00F42ABF">
        <w:rPr>
          <w:i/>
          <w:iCs/>
          <w:sz w:val="28"/>
          <w:szCs w:val="28"/>
        </w:rPr>
        <w:t>Journal of Law and Society</w:t>
      </w:r>
      <w:r w:rsidR="00F42ABF">
        <w:rPr>
          <w:i/>
          <w:iCs/>
          <w:sz w:val="28"/>
          <w:szCs w:val="28"/>
        </w:rPr>
        <w:t>.</w:t>
      </w:r>
    </w:p>
    <w:p w14:paraId="5D16FCC1" w14:textId="77777777" w:rsidR="00EC070D" w:rsidRPr="00F42ABF" w:rsidRDefault="00EC070D" w:rsidP="00431C3D">
      <w:pPr>
        <w:jc w:val="both"/>
        <w:rPr>
          <w:sz w:val="28"/>
          <w:szCs w:val="28"/>
        </w:rPr>
      </w:pPr>
    </w:p>
    <w:p w14:paraId="026148B3" w14:textId="3938645A" w:rsidR="00087093" w:rsidRPr="00F42ABF" w:rsidRDefault="00BE0DD8" w:rsidP="00431C3D">
      <w:pPr>
        <w:jc w:val="both"/>
        <w:rPr>
          <w:sz w:val="28"/>
          <w:szCs w:val="28"/>
        </w:rPr>
      </w:pPr>
      <w:r w:rsidRPr="00F42ABF">
        <w:rPr>
          <w:sz w:val="28"/>
          <w:szCs w:val="28"/>
        </w:rPr>
        <w:t>Harlow, C., 2005. </w:t>
      </w:r>
      <w:r w:rsidRPr="00F42ABF">
        <w:rPr>
          <w:i/>
          <w:iCs/>
          <w:sz w:val="28"/>
          <w:szCs w:val="28"/>
        </w:rPr>
        <w:t>Understanding tort law</w:t>
      </w:r>
      <w:r w:rsidRPr="00F42ABF">
        <w:rPr>
          <w:sz w:val="28"/>
          <w:szCs w:val="28"/>
        </w:rPr>
        <w:t>. Sweet &amp; Maxwell.</w:t>
      </w:r>
    </w:p>
    <w:p w14:paraId="3C3001BC" w14:textId="77777777" w:rsidR="00C64AAF" w:rsidRPr="00F42ABF" w:rsidRDefault="00C64AAF" w:rsidP="00C64AAF">
      <w:pPr>
        <w:jc w:val="both"/>
        <w:rPr>
          <w:sz w:val="28"/>
          <w:szCs w:val="28"/>
        </w:rPr>
      </w:pPr>
    </w:p>
    <w:p w14:paraId="784CD25D" w14:textId="34B2C678" w:rsidR="00B95A26" w:rsidRPr="00B95A26" w:rsidRDefault="00B95A26" w:rsidP="00B95A26">
      <w:pPr>
        <w:jc w:val="both"/>
        <w:rPr>
          <w:sz w:val="28"/>
          <w:szCs w:val="28"/>
        </w:rPr>
      </w:pPr>
      <w:r w:rsidRPr="00B95A26">
        <w:rPr>
          <w:sz w:val="28"/>
          <w:szCs w:val="28"/>
        </w:rPr>
        <w:t>Harris, J. (2021). “Insurance and the Thin Skull Rule”. </w:t>
      </w:r>
      <w:r w:rsidRPr="00B95A26">
        <w:rPr>
          <w:i/>
          <w:iCs/>
          <w:sz w:val="28"/>
          <w:szCs w:val="28"/>
        </w:rPr>
        <w:t>Journal of Insurance Law</w:t>
      </w:r>
      <w:r w:rsidRPr="00F42ABF">
        <w:rPr>
          <w:sz w:val="28"/>
          <w:szCs w:val="28"/>
        </w:rPr>
        <w:t>.</w:t>
      </w:r>
    </w:p>
    <w:p w14:paraId="59F30F91" w14:textId="77777777" w:rsidR="00B95A26" w:rsidRPr="00F42ABF" w:rsidRDefault="00B95A26" w:rsidP="00C64AAF">
      <w:pPr>
        <w:jc w:val="both"/>
        <w:rPr>
          <w:sz w:val="28"/>
          <w:szCs w:val="28"/>
        </w:rPr>
      </w:pPr>
    </w:p>
    <w:p w14:paraId="0B0549B2" w14:textId="284D6532" w:rsidR="003965DB" w:rsidRPr="00D11759" w:rsidRDefault="003965DB" w:rsidP="00C64AAF">
      <w:pPr>
        <w:jc w:val="both"/>
        <w:rPr>
          <w:sz w:val="28"/>
          <w:szCs w:val="28"/>
        </w:rPr>
      </w:pPr>
      <w:r w:rsidRPr="00D11759">
        <w:rPr>
          <w:sz w:val="28"/>
          <w:szCs w:val="28"/>
        </w:rPr>
        <w:t>Hart, H.L.A., &amp; Honoré, T. (1985). </w:t>
      </w:r>
      <w:r w:rsidRPr="00D11759">
        <w:rPr>
          <w:i/>
          <w:iCs/>
          <w:sz w:val="28"/>
          <w:szCs w:val="28"/>
        </w:rPr>
        <w:t>Causation in the Law</w:t>
      </w:r>
      <w:r w:rsidRPr="00D11759">
        <w:rPr>
          <w:sz w:val="28"/>
          <w:szCs w:val="28"/>
        </w:rPr>
        <w:t>. Oxford University Press.</w:t>
      </w:r>
    </w:p>
    <w:p w14:paraId="02423C45" w14:textId="77777777" w:rsidR="00C64AAF" w:rsidRPr="00F42ABF" w:rsidRDefault="00C64AAF" w:rsidP="00431C3D">
      <w:pPr>
        <w:jc w:val="both"/>
        <w:rPr>
          <w:sz w:val="28"/>
          <w:szCs w:val="28"/>
        </w:rPr>
      </w:pPr>
    </w:p>
    <w:p w14:paraId="3E53DC83" w14:textId="18BF6995" w:rsidR="00087093" w:rsidRPr="00F42ABF" w:rsidRDefault="00087093" w:rsidP="00431C3D">
      <w:pPr>
        <w:jc w:val="both"/>
        <w:rPr>
          <w:sz w:val="28"/>
          <w:szCs w:val="28"/>
        </w:rPr>
      </w:pPr>
      <w:r w:rsidRPr="00F42ABF">
        <w:rPr>
          <w:sz w:val="28"/>
          <w:szCs w:val="28"/>
        </w:rPr>
        <w:t>Hodgson, J. and Lewthwaite, J., 2007. </w:t>
      </w:r>
      <w:r w:rsidRPr="00F42ABF">
        <w:rPr>
          <w:i/>
          <w:iCs/>
          <w:sz w:val="28"/>
          <w:szCs w:val="28"/>
        </w:rPr>
        <w:t>Tort law textbook</w:t>
      </w:r>
      <w:r w:rsidRPr="00F42ABF">
        <w:rPr>
          <w:sz w:val="28"/>
          <w:szCs w:val="28"/>
        </w:rPr>
        <w:t>. Oxford University Press.</w:t>
      </w:r>
    </w:p>
    <w:p w14:paraId="3DB8AA3F" w14:textId="77777777" w:rsidR="00087093" w:rsidRPr="00F42ABF" w:rsidRDefault="00087093" w:rsidP="00431C3D">
      <w:pPr>
        <w:jc w:val="both"/>
        <w:rPr>
          <w:sz w:val="28"/>
          <w:szCs w:val="28"/>
        </w:rPr>
      </w:pPr>
    </w:p>
    <w:p w14:paraId="323F548C" w14:textId="692EA68F" w:rsidR="00087093" w:rsidRPr="00F42ABF" w:rsidRDefault="00087093" w:rsidP="00431C3D">
      <w:pPr>
        <w:jc w:val="both"/>
        <w:rPr>
          <w:sz w:val="28"/>
          <w:szCs w:val="28"/>
        </w:rPr>
      </w:pPr>
      <w:r w:rsidRPr="00F42ABF">
        <w:rPr>
          <w:sz w:val="28"/>
          <w:szCs w:val="28"/>
        </w:rPr>
        <w:lastRenderedPageBreak/>
        <w:t xml:space="preserve">Horsey, K. and Rackley, E., 2019. </w:t>
      </w:r>
      <w:r w:rsidRPr="00F42ABF">
        <w:rPr>
          <w:i/>
          <w:iCs/>
          <w:sz w:val="28"/>
          <w:szCs w:val="28"/>
        </w:rPr>
        <w:t xml:space="preserve">Kinder’s Casebook on Torts. </w:t>
      </w:r>
      <w:r w:rsidRPr="00F42ABF">
        <w:rPr>
          <w:sz w:val="28"/>
          <w:szCs w:val="28"/>
        </w:rPr>
        <w:t xml:space="preserve">Oxford University press. </w:t>
      </w:r>
    </w:p>
    <w:p w14:paraId="6297AEEC" w14:textId="77777777" w:rsidR="00087093" w:rsidRPr="00F42ABF" w:rsidRDefault="00087093" w:rsidP="00431C3D">
      <w:pPr>
        <w:jc w:val="both"/>
        <w:rPr>
          <w:sz w:val="28"/>
          <w:szCs w:val="28"/>
        </w:rPr>
      </w:pPr>
    </w:p>
    <w:p w14:paraId="429B5939" w14:textId="70680BC0" w:rsidR="00087093" w:rsidRPr="00F42ABF" w:rsidRDefault="00087093" w:rsidP="00431C3D">
      <w:pPr>
        <w:jc w:val="both"/>
        <w:rPr>
          <w:sz w:val="28"/>
          <w:szCs w:val="28"/>
        </w:rPr>
      </w:pPr>
      <w:r w:rsidRPr="00F42ABF">
        <w:rPr>
          <w:sz w:val="28"/>
          <w:szCs w:val="28"/>
        </w:rPr>
        <w:t>Horsey, K. and Rackley, E., 2023. </w:t>
      </w:r>
      <w:r w:rsidRPr="00F42ABF">
        <w:rPr>
          <w:i/>
          <w:iCs/>
          <w:sz w:val="28"/>
          <w:szCs w:val="28"/>
        </w:rPr>
        <w:t>Casebook on Tort Law</w:t>
      </w:r>
      <w:r w:rsidRPr="00F42ABF">
        <w:rPr>
          <w:sz w:val="28"/>
          <w:szCs w:val="28"/>
        </w:rPr>
        <w:t>. Oxford University press.</w:t>
      </w:r>
    </w:p>
    <w:p w14:paraId="5C979877" w14:textId="77777777" w:rsidR="00087093" w:rsidRPr="00F42ABF" w:rsidRDefault="00087093" w:rsidP="00431C3D">
      <w:pPr>
        <w:jc w:val="both"/>
        <w:rPr>
          <w:sz w:val="28"/>
          <w:szCs w:val="28"/>
        </w:rPr>
      </w:pPr>
    </w:p>
    <w:p w14:paraId="78711E73" w14:textId="77777777" w:rsidR="000D2076" w:rsidRPr="000D2076" w:rsidRDefault="000D2076" w:rsidP="000D2076">
      <w:pPr>
        <w:jc w:val="both"/>
        <w:rPr>
          <w:sz w:val="28"/>
          <w:szCs w:val="28"/>
        </w:rPr>
      </w:pPr>
      <w:r w:rsidRPr="000D2076">
        <w:rPr>
          <w:sz w:val="28"/>
          <w:szCs w:val="28"/>
        </w:rPr>
        <w:t>Jones, L. (2020). </w:t>
      </w:r>
      <w:r w:rsidRPr="000D2076">
        <w:rPr>
          <w:i/>
          <w:iCs/>
          <w:sz w:val="28"/>
          <w:szCs w:val="28"/>
        </w:rPr>
        <w:t>Principles of Tort Law</w:t>
      </w:r>
      <w:r w:rsidRPr="000D2076">
        <w:rPr>
          <w:sz w:val="28"/>
          <w:szCs w:val="28"/>
        </w:rPr>
        <w:t>. Cambridge University Press.</w:t>
      </w:r>
    </w:p>
    <w:p w14:paraId="2AC03610" w14:textId="77777777" w:rsidR="00D34D05" w:rsidRPr="00F42ABF" w:rsidRDefault="00D34D05" w:rsidP="00D34D05">
      <w:pPr>
        <w:jc w:val="both"/>
        <w:rPr>
          <w:sz w:val="28"/>
          <w:szCs w:val="28"/>
        </w:rPr>
      </w:pPr>
    </w:p>
    <w:p w14:paraId="2F4F5FA1" w14:textId="1BE13BCF" w:rsidR="00D34D05" w:rsidRPr="00D34D05" w:rsidRDefault="00D34D05" w:rsidP="00D34D05">
      <w:pPr>
        <w:jc w:val="both"/>
        <w:rPr>
          <w:sz w:val="28"/>
          <w:szCs w:val="28"/>
        </w:rPr>
      </w:pPr>
      <w:r w:rsidRPr="00D34D05">
        <w:rPr>
          <w:sz w:val="28"/>
          <w:szCs w:val="28"/>
        </w:rPr>
        <w:t>Klar, L.N. (2013). </w:t>
      </w:r>
      <w:r w:rsidRPr="00D34D05">
        <w:rPr>
          <w:i/>
          <w:iCs/>
          <w:sz w:val="28"/>
          <w:szCs w:val="28"/>
        </w:rPr>
        <w:t>Tort Law</w:t>
      </w:r>
      <w:r w:rsidRPr="00D34D05">
        <w:rPr>
          <w:sz w:val="28"/>
          <w:szCs w:val="28"/>
        </w:rPr>
        <w:t>. Thomson Reuters.</w:t>
      </w:r>
    </w:p>
    <w:p w14:paraId="3E965057" w14:textId="77777777" w:rsidR="00F42ABF" w:rsidRPr="00F42ABF" w:rsidRDefault="00F42ABF" w:rsidP="00431C3D">
      <w:pPr>
        <w:jc w:val="both"/>
        <w:rPr>
          <w:sz w:val="28"/>
          <w:szCs w:val="28"/>
        </w:rPr>
      </w:pPr>
    </w:p>
    <w:p w14:paraId="2FBACF24" w14:textId="2A0C8D52" w:rsidR="000D2076" w:rsidRPr="00F42ABF" w:rsidRDefault="00876EA9" w:rsidP="00431C3D">
      <w:pPr>
        <w:jc w:val="both"/>
        <w:rPr>
          <w:sz w:val="28"/>
          <w:szCs w:val="28"/>
        </w:rPr>
      </w:pPr>
      <w:r w:rsidRPr="00F42ABF">
        <w:rPr>
          <w:sz w:val="28"/>
          <w:szCs w:val="28"/>
        </w:rPr>
        <w:t>Legislation.gov.uk. (2024). Compensation Act 2006</w:t>
      </w:r>
    </w:p>
    <w:p w14:paraId="6CBAFF49" w14:textId="77777777" w:rsidR="00876EA9" w:rsidRPr="00F42ABF" w:rsidRDefault="00876EA9" w:rsidP="00431C3D">
      <w:pPr>
        <w:jc w:val="both"/>
        <w:rPr>
          <w:sz w:val="28"/>
          <w:szCs w:val="28"/>
        </w:rPr>
      </w:pPr>
    </w:p>
    <w:p w14:paraId="5CBABBCB" w14:textId="701E7C68" w:rsidR="00087093" w:rsidRPr="00F42ABF" w:rsidRDefault="00087093" w:rsidP="00431C3D">
      <w:pPr>
        <w:jc w:val="both"/>
        <w:rPr>
          <w:sz w:val="28"/>
          <w:szCs w:val="28"/>
        </w:rPr>
      </w:pPr>
      <w:r w:rsidRPr="00F42ABF">
        <w:rPr>
          <w:sz w:val="28"/>
          <w:szCs w:val="28"/>
        </w:rPr>
        <w:t>Lunney, M. and Oliphant, K., 2013. </w:t>
      </w:r>
      <w:r w:rsidRPr="00F42ABF">
        <w:rPr>
          <w:i/>
          <w:iCs/>
          <w:sz w:val="28"/>
          <w:szCs w:val="28"/>
        </w:rPr>
        <w:t>Tort law: text and materials</w:t>
      </w:r>
      <w:r w:rsidRPr="00F42ABF">
        <w:rPr>
          <w:sz w:val="28"/>
          <w:szCs w:val="28"/>
        </w:rPr>
        <w:t>. Oxford University Press, USA.</w:t>
      </w:r>
    </w:p>
    <w:p w14:paraId="0D8F3F9F" w14:textId="77777777" w:rsidR="00087093" w:rsidRPr="00F42ABF" w:rsidRDefault="00087093" w:rsidP="00431C3D">
      <w:pPr>
        <w:jc w:val="both"/>
        <w:rPr>
          <w:sz w:val="28"/>
          <w:szCs w:val="28"/>
        </w:rPr>
      </w:pPr>
    </w:p>
    <w:p w14:paraId="02C33DA8" w14:textId="3EC102A5" w:rsidR="00087093" w:rsidRPr="00F42ABF" w:rsidRDefault="00087093" w:rsidP="00431C3D">
      <w:pPr>
        <w:jc w:val="both"/>
        <w:rPr>
          <w:sz w:val="28"/>
          <w:szCs w:val="28"/>
        </w:rPr>
      </w:pPr>
      <w:r w:rsidRPr="00F42ABF">
        <w:rPr>
          <w:sz w:val="28"/>
          <w:szCs w:val="28"/>
        </w:rPr>
        <w:t>McBride, N.J. and Bagshaw, R., 2008. </w:t>
      </w:r>
      <w:r w:rsidRPr="00F42ABF">
        <w:rPr>
          <w:i/>
          <w:iCs/>
          <w:sz w:val="28"/>
          <w:szCs w:val="28"/>
        </w:rPr>
        <w:t>Tort law</w:t>
      </w:r>
      <w:r w:rsidRPr="00F42ABF">
        <w:rPr>
          <w:sz w:val="28"/>
          <w:szCs w:val="28"/>
        </w:rPr>
        <w:t>. Pearson Education.</w:t>
      </w:r>
    </w:p>
    <w:p w14:paraId="6CFAC1B8" w14:textId="77777777" w:rsidR="00E16400" w:rsidRPr="00F42ABF" w:rsidRDefault="00E16400" w:rsidP="00431C3D">
      <w:pPr>
        <w:jc w:val="both"/>
        <w:rPr>
          <w:sz w:val="28"/>
          <w:szCs w:val="28"/>
        </w:rPr>
      </w:pPr>
    </w:p>
    <w:p w14:paraId="6137146C" w14:textId="145DC928" w:rsidR="000D2076" w:rsidRPr="00F42ABF" w:rsidRDefault="00E16400" w:rsidP="00431C3D">
      <w:pPr>
        <w:jc w:val="both"/>
        <w:rPr>
          <w:sz w:val="28"/>
          <w:szCs w:val="28"/>
        </w:rPr>
      </w:pPr>
      <w:r w:rsidRPr="00F42ABF">
        <w:rPr>
          <w:sz w:val="28"/>
          <w:szCs w:val="28"/>
        </w:rPr>
        <w:t>Miller, R. (2022). “Proportional Liability in Tort Law”. </w:t>
      </w:r>
      <w:r w:rsidRPr="00F42ABF">
        <w:rPr>
          <w:i/>
          <w:iCs/>
          <w:sz w:val="28"/>
          <w:szCs w:val="28"/>
        </w:rPr>
        <w:t>Modern Law Review</w:t>
      </w:r>
    </w:p>
    <w:p w14:paraId="67E6D147" w14:textId="77777777" w:rsidR="00E16400" w:rsidRPr="00F42ABF" w:rsidRDefault="00E16400" w:rsidP="00431C3D">
      <w:pPr>
        <w:jc w:val="both"/>
        <w:rPr>
          <w:sz w:val="28"/>
          <w:szCs w:val="28"/>
        </w:rPr>
      </w:pPr>
    </w:p>
    <w:p w14:paraId="4E011992" w14:textId="13AFFAD9" w:rsidR="00087093" w:rsidRPr="00F42ABF" w:rsidRDefault="00990BA5" w:rsidP="00431C3D">
      <w:pPr>
        <w:jc w:val="both"/>
        <w:rPr>
          <w:sz w:val="28"/>
          <w:szCs w:val="28"/>
        </w:rPr>
      </w:pPr>
      <w:r w:rsidRPr="00F42ABF">
        <w:rPr>
          <w:sz w:val="28"/>
          <w:szCs w:val="28"/>
        </w:rPr>
        <w:t>Smith, T. (2018). </w:t>
      </w:r>
      <w:r w:rsidRPr="00F42ABF">
        <w:rPr>
          <w:i/>
          <w:iCs/>
          <w:sz w:val="28"/>
          <w:szCs w:val="28"/>
        </w:rPr>
        <w:t>The Law of Torts</w:t>
      </w:r>
      <w:r w:rsidRPr="00F42ABF">
        <w:rPr>
          <w:sz w:val="28"/>
          <w:szCs w:val="28"/>
        </w:rPr>
        <w:t>. Sweet &amp; Maxwell</w:t>
      </w:r>
    </w:p>
    <w:p w14:paraId="74097048" w14:textId="77777777" w:rsidR="00990BA5" w:rsidRPr="00F42ABF" w:rsidRDefault="00990BA5" w:rsidP="00431C3D">
      <w:pPr>
        <w:jc w:val="both"/>
        <w:rPr>
          <w:sz w:val="28"/>
          <w:szCs w:val="28"/>
        </w:rPr>
      </w:pPr>
    </w:p>
    <w:p w14:paraId="17210085" w14:textId="4B887BC5" w:rsidR="00087093" w:rsidRPr="00F42ABF" w:rsidRDefault="00087093" w:rsidP="00431C3D">
      <w:pPr>
        <w:jc w:val="both"/>
        <w:rPr>
          <w:sz w:val="28"/>
          <w:szCs w:val="28"/>
        </w:rPr>
      </w:pPr>
      <w:r w:rsidRPr="00F42ABF">
        <w:rPr>
          <w:sz w:val="28"/>
          <w:szCs w:val="28"/>
        </w:rPr>
        <w:t>Steele, J., 2010. </w:t>
      </w:r>
      <w:r w:rsidRPr="00F42ABF">
        <w:rPr>
          <w:i/>
          <w:iCs/>
          <w:sz w:val="28"/>
          <w:szCs w:val="28"/>
        </w:rPr>
        <w:t>Tort law: text, cases, and materials</w:t>
      </w:r>
      <w:r w:rsidRPr="00F42ABF">
        <w:rPr>
          <w:sz w:val="28"/>
          <w:szCs w:val="28"/>
        </w:rPr>
        <w:t>. Oxford University Press, USA.</w:t>
      </w:r>
    </w:p>
    <w:p w14:paraId="300E9568" w14:textId="77777777" w:rsidR="00BF0FB8" w:rsidRPr="00F42ABF" w:rsidRDefault="00BF0FB8" w:rsidP="00431C3D">
      <w:pPr>
        <w:jc w:val="both"/>
        <w:rPr>
          <w:sz w:val="28"/>
          <w:szCs w:val="28"/>
        </w:rPr>
      </w:pPr>
    </w:p>
    <w:p w14:paraId="16462C0B" w14:textId="1D145506" w:rsidR="00BF0FB8" w:rsidRPr="00F42ABF" w:rsidRDefault="00BF0FB8" w:rsidP="00431C3D">
      <w:pPr>
        <w:jc w:val="both"/>
        <w:rPr>
          <w:sz w:val="28"/>
          <w:szCs w:val="28"/>
        </w:rPr>
      </w:pPr>
      <w:r w:rsidRPr="00F42ABF">
        <w:rPr>
          <w:sz w:val="28"/>
          <w:szCs w:val="28"/>
        </w:rPr>
        <w:t>Walker, R. (1993). </w:t>
      </w:r>
      <w:r w:rsidRPr="00F42ABF">
        <w:rPr>
          <w:i/>
          <w:iCs/>
          <w:sz w:val="28"/>
          <w:szCs w:val="28"/>
        </w:rPr>
        <w:t>Compensation Culture</w:t>
      </w:r>
      <w:r w:rsidRPr="00F42ABF">
        <w:rPr>
          <w:sz w:val="28"/>
          <w:szCs w:val="28"/>
        </w:rPr>
        <w:t>. The Times</w:t>
      </w:r>
    </w:p>
    <w:p w14:paraId="554A8DBF" w14:textId="77777777" w:rsidR="00BF0FB8" w:rsidRPr="00F42ABF" w:rsidRDefault="00BF0FB8" w:rsidP="00431C3D">
      <w:pPr>
        <w:jc w:val="both"/>
        <w:rPr>
          <w:sz w:val="28"/>
          <w:szCs w:val="28"/>
        </w:rPr>
      </w:pPr>
    </w:p>
    <w:p w14:paraId="41F70BAF" w14:textId="3A868289" w:rsidR="00FE507E" w:rsidRPr="00F42ABF" w:rsidRDefault="00FE507E" w:rsidP="00431C3D">
      <w:pPr>
        <w:jc w:val="both"/>
        <w:rPr>
          <w:sz w:val="28"/>
          <w:szCs w:val="28"/>
        </w:rPr>
      </w:pPr>
      <w:r w:rsidRPr="00F42ABF">
        <w:rPr>
          <w:sz w:val="28"/>
          <w:szCs w:val="28"/>
        </w:rPr>
        <w:lastRenderedPageBreak/>
        <w:t>White, D. (2020). “Insurance Premiums and Tort Liability”. </w:t>
      </w:r>
      <w:r w:rsidRPr="00F42ABF">
        <w:rPr>
          <w:i/>
          <w:iCs/>
          <w:sz w:val="28"/>
          <w:szCs w:val="28"/>
        </w:rPr>
        <w:t>Insurance Law Journal</w:t>
      </w:r>
      <w:r w:rsidRPr="00F42ABF">
        <w:rPr>
          <w:sz w:val="28"/>
          <w:szCs w:val="28"/>
        </w:rPr>
        <w:t>,</w:t>
      </w:r>
    </w:p>
    <w:sectPr w:rsidR="00FE507E" w:rsidRPr="00F42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3746D"/>
    <w:multiLevelType w:val="multilevel"/>
    <w:tmpl w:val="7C7AC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C6852"/>
    <w:multiLevelType w:val="multilevel"/>
    <w:tmpl w:val="CB925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85C32"/>
    <w:multiLevelType w:val="multilevel"/>
    <w:tmpl w:val="429A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75255"/>
    <w:multiLevelType w:val="multilevel"/>
    <w:tmpl w:val="A40C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D1173"/>
    <w:multiLevelType w:val="hybridMultilevel"/>
    <w:tmpl w:val="866A2888"/>
    <w:lvl w:ilvl="0" w:tplc="48A4469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CCB1476"/>
    <w:multiLevelType w:val="multilevel"/>
    <w:tmpl w:val="6CC8C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302524"/>
    <w:multiLevelType w:val="multilevel"/>
    <w:tmpl w:val="25CE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6657E"/>
    <w:multiLevelType w:val="multilevel"/>
    <w:tmpl w:val="C41C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752CE5"/>
    <w:multiLevelType w:val="multilevel"/>
    <w:tmpl w:val="2532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575361"/>
    <w:multiLevelType w:val="multilevel"/>
    <w:tmpl w:val="E9D0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C401DF"/>
    <w:multiLevelType w:val="multilevel"/>
    <w:tmpl w:val="D5BC3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464F6E"/>
    <w:multiLevelType w:val="multilevel"/>
    <w:tmpl w:val="D9D6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812BD6"/>
    <w:multiLevelType w:val="multilevel"/>
    <w:tmpl w:val="CDF2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601E3"/>
    <w:multiLevelType w:val="multilevel"/>
    <w:tmpl w:val="19EE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30581D"/>
    <w:multiLevelType w:val="multilevel"/>
    <w:tmpl w:val="1714C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0F2F22"/>
    <w:multiLevelType w:val="multilevel"/>
    <w:tmpl w:val="BC3C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960AF3"/>
    <w:multiLevelType w:val="multilevel"/>
    <w:tmpl w:val="9EB4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8A2231"/>
    <w:multiLevelType w:val="multilevel"/>
    <w:tmpl w:val="E77E4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42430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9686073">
    <w:abstractNumId w:val="16"/>
  </w:num>
  <w:num w:numId="3" w16cid:durableId="1218934366">
    <w:abstractNumId w:val="6"/>
  </w:num>
  <w:num w:numId="4" w16cid:durableId="899634725">
    <w:abstractNumId w:val="12"/>
  </w:num>
  <w:num w:numId="5" w16cid:durableId="1659916154">
    <w:abstractNumId w:val="2"/>
  </w:num>
  <w:num w:numId="6" w16cid:durableId="452014773">
    <w:abstractNumId w:val="9"/>
  </w:num>
  <w:num w:numId="7" w16cid:durableId="350498449">
    <w:abstractNumId w:val="3"/>
  </w:num>
  <w:num w:numId="8" w16cid:durableId="273371565">
    <w:abstractNumId w:val="7"/>
  </w:num>
  <w:num w:numId="9" w16cid:durableId="190653862">
    <w:abstractNumId w:val="7"/>
    <w:lvlOverride w:ilvl="1">
      <w:lvl w:ilvl="1">
        <w:numFmt w:val="bullet"/>
        <w:lvlText w:val=""/>
        <w:lvlJc w:val="left"/>
        <w:pPr>
          <w:tabs>
            <w:tab w:val="num" w:pos="1440"/>
          </w:tabs>
          <w:ind w:left="1440" w:hanging="360"/>
        </w:pPr>
        <w:rPr>
          <w:rFonts w:ascii="Symbol" w:hAnsi="Symbol" w:hint="default"/>
          <w:sz w:val="20"/>
        </w:rPr>
      </w:lvl>
    </w:lvlOverride>
  </w:num>
  <w:num w:numId="10" w16cid:durableId="1191604829">
    <w:abstractNumId w:val="7"/>
    <w:lvlOverride w:ilvl="1">
      <w:lvl w:ilvl="1">
        <w:numFmt w:val="bullet"/>
        <w:lvlText w:val=""/>
        <w:lvlJc w:val="left"/>
        <w:pPr>
          <w:tabs>
            <w:tab w:val="num" w:pos="1440"/>
          </w:tabs>
          <w:ind w:left="1440" w:hanging="360"/>
        </w:pPr>
        <w:rPr>
          <w:rFonts w:ascii="Symbol" w:hAnsi="Symbol" w:hint="default"/>
          <w:sz w:val="20"/>
        </w:rPr>
      </w:lvl>
    </w:lvlOverride>
  </w:num>
  <w:num w:numId="11" w16cid:durableId="107623801">
    <w:abstractNumId w:val="7"/>
    <w:lvlOverride w:ilvl="1">
      <w:lvl w:ilvl="1">
        <w:numFmt w:val="bullet"/>
        <w:lvlText w:val=""/>
        <w:lvlJc w:val="left"/>
        <w:pPr>
          <w:tabs>
            <w:tab w:val="num" w:pos="1440"/>
          </w:tabs>
          <w:ind w:left="1440" w:hanging="360"/>
        </w:pPr>
        <w:rPr>
          <w:rFonts w:ascii="Symbol" w:hAnsi="Symbol" w:hint="default"/>
          <w:sz w:val="20"/>
        </w:rPr>
      </w:lvl>
    </w:lvlOverride>
  </w:num>
  <w:num w:numId="12" w16cid:durableId="2076587887">
    <w:abstractNumId w:val="7"/>
    <w:lvlOverride w:ilvl="1">
      <w:lvl w:ilvl="1">
        <w:numFmt w:val="bullet"/>
        <w:lvlText w:val=""/>
        <w:lvlJc w:val="left"/>
        <w:pPr>
          <w:tabs>
            <w:tab w:val="num" w:pos="1440"/>
          </w:tabs>
          <w:ind w:left="1440" w:hanging="360"/>
        </w:pPr>
        <w:rPr>
          <w:rFonts w:ascii="Symbol" w:hAnsi="Symbol" w:hint="default"/>
          <w:sz w:val="20"/>
        </w:rPr>
      </w:lvl>
    </w:lvlOverride>
  </w:num>
  <w:num w:numId="13" w16cid:durableId="1479155076">
    <w:abstractNumId w:val="7"/>
    <w:lvlOverride w:ilvl="1">
      <w:lvl w:ilvl="1">
        <w:numFmt w:val="bullet"/>
        <w:lvlText w:val=""/>
        <w:lvlJc w:val="left"/>
        <w:pPr>
          <w:tabs>
            <w:tab w:val="num" w:pos="1440"/>
          </w:tabs>
          <w:ind w:left="1440" w:hanging="360"/>
        </w:pPr>
        <w:rPr>
          <w:rFonts w:ascii="Symbol" w:hAnsi="Symbol" w:hint="default"/>
          <w:sz w:val="20"/>
        </w:rPr>
      </w:lvl>
    </w:lvlOverride>
  </w:num>
  <w:num w:numId="14" w16cid:durableId="2138258439">
    <w:abstractNumId w:val="1"/>
  </w:num>
  <w:num w:numId="15" w16cid:durableId="1011302311">
    <w:abstractNumId w:val="1"/>
    <w:lvlOverride w:ilvl="1">
      <w:lvl w:ilvl="1">
        <w:numFmt w:val="bullet"/>
        <w:lvlText w:val=""/>
        <w:lvlJc w:val="left"/>
        <w:pPr>
          <w:tabs>
            <w:tab w:val="num" w:pos="1440"/>
          </w:tabs>
          <w:ind w:left="1440" w:hanging="360"/>
        </w:pPr>
        <w:rPr>
          <w:rFonts w:ascii="Symbol" w:hAnsi="Symbol" w:hint="default"/>
          <w:sz w:val="20"/>
        </w:rPr>
      </w:lvl>
    </w:lvlOverride>
  </w:num>
  <w:num w:numId="16" w16cid:durableId="1105349339">
    <w:abstractNumId w:val="1"/>
    <w:lvlOverride w:ilvl="1">
      <w:lvl w:ilvl="1">
        <w:numFmt w:val="bullet"/>
        <w:lvlText w:val=""/>
        <w:lvlJc w:val="left"/>
        <w:pPr>
          <w:tabs>
            <w:tab w:val="num" w:pos="1440"/>
          </w:tabs>
          <w:ind w:left="1440" w:hanging="360"/>
        </w:pPr>
        <w:rPr>
          <w:rFonts w:ascii="Symbol" w:hAnsi="Symbol" w:hint="default"/>
          <w:sz w:val="20"/>
        </w:rPr>
      </w:lvl>
    </w:lvlOverride>
  </w:num>
  <w:num w:numId="17" w16cid:durableId="1956211887">
    <w:abstractNumId w:val="1"/>
    <w:lvlOverride w:ilvl="1">
      <w:lvl w:ilvl="1">
        <w:numFmt w:val="bullet"/>
        <w:lvlText w:val=""/>
        <w:lvlJc w:val="left"/>
        <w:pPr>
          <w:tabs>
            <w:tab w:val="num" w:pos="1440"/>
          </w:tabs>
          <w:ind w:left="1440" w:hanging="360"/>
        </w:pPr>
        <w:rPr>
          <w:rFonts w:ascii="Symbol" w:hAnsi="Symbol" w:hint="default"/>
          <w:sz w:val="20"/>
        </w:rPr>
      </w:lvl>
    </w:lvlOverride>
  </w:num>
  <w:num w:numId="18" w16cid:durableId="715858370">
    <w:abstractNumId w:val="1"/>
    <w:lvlOverride w:ilvl="1">
      <w:lvl w:ilvl="1">
        <w:numFmt w:val="bullet"/>
        <w:lvlText w:val=""/>
        <w:lvlJc w:val="left"/>
        <w:pPr>
          <w:tabs>
            <w:tab w:val="num" w:pos="1440"/>
          </w:tabs>
          <w:ind w:left="1440" w:hanging="360"/>
        </w:pPr>
        <w:rPr>
          <w:rFonts w:ascii="Symbol" w:hAnsi="Symbol" w:hint="default"/>
          <w:sz w:val="20"/>
        </w:rPr>
      </w:lvl>
    </w:lvlOverride>
  </w:num>
  <w:num w:numId="19" w16cid:durableId="551625113">
    <w:abstractNumId w:val="1"/>
    <w:lvlOverride w:ilvl="1">
      <w:lvl w:ilvl="1">
        <w:numFmt w:val="bullet"/>
        <w:lvlText w:val=""/>
        <w:lvlJc w:val="left"/>
        <w:pPr>
          <w:tabs>
            <w:tab w:val="num" w:pos="1440"/>
          </w:tabs>
          <w:ind w:left="1440" w:hanging="360"/>
        </w:pPr>
        <w:rPr>
          <w:rFonts w:ascii="Symbol" w:hAnsi="Symbol" w:hint="default"/>
          <w:sz w:val="20"/>
        </w:rPr>
      </w:lvl>
    </w:lvlOverride>
  </w:num>
  <w:num w:numId="20" w16cid:durableId="1440562340">
    <w:abstractNumId w:val="8"/>
  </w:num>
  <w:num w:numId="21" w16cid:durableId="1884172452">
    <w:abstractNumId w:val="15"/>
  </w:num>
  <w:num w:numId="22" w16cid:durableId="1458065975">
    <w:abstractNumId w:val="11"/>
  </w:num>
  <w:num w:numId="23" w16cid:durableId="1079443649">
    <w:abstractNumId w:val="17"/>
  </w:num>
  <w:num w:numId="24" w16cid:durableId="434862106">
    <w:abstractNumId w:val="5"/>
  </w:num>
  <w:num w:numId="25" w16cid:durableId="228200364">
    <w:abstractNumId w:val="14"/>
  </w:num>
  <w:num w:numId="26" w16cid:durableId="1036347292">
    <w:abstractNumId w:val="0"/>
  </w:num>
  <w:num w:numId="27" w16cid:durableId="527717910">
    <w:abstractNumId w:val="13"/>
  </w:num>
  <w:num w:numId="28" w16cid:durableId="1834450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48"/>
    <w:rsid w:val="0000647A"/>
    <w:rsid w:val="00014A57"/>
    <w:rsid w:val="00021B76"/>
    <w:rsid w:val="00022643"/>
    <w:rsid w:val="0003127C"/>
    <w:rsid w:val="00035324"/>
    <w:rsid w:val="00061D17"/>
    <w:rsid w:val="00066942"/>
    <w:rsid w:val="00087093"/>
    <w:rsid w:val="00097743"/>
    <w:rsid w:val="000A370A"/>
    <w:rsid w:val="000C5C52"/>
    <w:rsid w:val="000D2076"/>
    <w:rsid w:val="00111EEB"/>
    <w:rsid w:val="00114548"/>
    <w:rsid w:val="0016628D"/>
    <w:rsid w:val="001B59BF"/>
    <w:rsid w:val="001D2DCA"/>
    <w:rsid w:val="001E5379"/>
    <w:rsid w:val="001F5A06"/>
    <w:rsid w:val="002467CA"/>
    <w:rsid w:val="00262A46"/>
    <w:rsid w:val="002661AF"/>
    <w:rsid w:val="00281FF2"/>
    <w:rsid w:val="002C5F9E"/>
    <w:rsid w:val="002D0574"/>
    <w:rsid w:val="002F063D"/>
    <w:rsid w:val="002F306A"/>
    <w:rsid w:val="0030336A"/>
    <w:rsid w:val="003218BA"/>
    <w:rsid w:val="00326667"/>
    <w:rsid w:val="0033306E"/>
    <w:rsid w:val="0035786F"/>
    <w:rsid w:val="00357DB6"/>
    <w:rsid w:val="003620F9"/>
    <w:rsid w:val="00366074"/>
    <w:rsid w:val="0039385A"/>
    <w:rsid w:val="003965DB"/>
    <w:rsid w:val="003978F8"/>
    <w:rsid w:val="003D0A33"/>
    <w:rsid w:val="003E57BE"/>
    <w:rsid w:val="003E6280"/>
    <w:rsid w:val="003F24AB"/>
    <w:rsid w:val="004103F3"/>
    <w:rsid w:val="004137C8"/>
    <w:rsid w:val="004300BB"/>
    <w:rsid w:val="00431C3D"/>
    <w:rsid w:val="00431F5A"/>
    <w:rsid w:val="0043210C"/>
    <w:rsid w:val="0043776B"/>
    <w:rsid w:val="00463894"/>
    <w:rsid w:val="004650EE"/>
    <w:rsid w:val="0046657A"/>
    <w:rsid w:val="004822E8"/>
    <w:rsid w:val="00492FFB"/>
    <w:rsid w:val="004B0077"/>
    <w:rsid w:val="004F69D1"/>
    <w:rsid w:val="00520AC8"/>
    <w:rsid w:val="00521CCA"/>
    <w:rsid w:val="00522876"/>
    <w:rsid w:val="00523A91"/>
    <w:rsid w:val="005344CF"/>
    <w:rsid w:val="00541E94"/>
    <w:rsid w:val="0054465E"/>
    <w:rsid w:val="00554872"/>
    <w:rsid w:val="00577C7A"/>
    <w:rsid w:val="00584D08"/>
    <w:rsid w:val="005B2296"/>
    <w:rsid w:val="005C363F"/>
    <w:rsid w:val="005E4E5F"/>
    <w:rsid w:val="005F7044"/>
    <w:rsid w:val="005F75E4"/>
    <w:rsid w:val="00612A19"/>
    <w:rsid w:val="00616104"/>
    <w:rsid w:val="00630EBB"/>
    <w:rsid w:val="006810D2"/>
    <w:rsid w:val="00685EB0"/>
    <w:rsid w:val="00686642"/>
    <w:rsid w:val="006B7525"/>
    <w:rsid w:val="006E7DEC"/>
    <w:rsid w:val="00723BFF"/>
    <w:rsid w:val="00724B96"/>
    <w:rsid w:val="00725B2A"/>
    <w:rsid w:val="00747814"/>
    <w:rsid w:val="00792F31"/>
    <w:rsid w:val="007A01A3"/>
    <w:rsid w:val="007A5DD4"/>
    <w:rsid w:val="007C2959"/>
    <w:rsid w:val="007C3F24"/>
    <w:rsid w:val="007E4D0A"/>
    <w:rsid w:val="007E6041"/>
    <w:rsid w:val="008011FD"/>
    <w:rsid w:val="0080365B"/>
    <w:rsid w:val="00814B5F"/>
    <w:rsid w:val="0084253E"/>
    <w:rsid w:val="008433E1"/>
    <w:rsid w:val="00851E53"/>
    <w:rsid w:val="00876EA9"/>
    <w:rsid w:val="008E4635"/>
    <w:rsid w:val="008F091A"/>
    <w:rsid w:val="0090634F"/>
    <w:rsid w:val="009244F2"/>
    <w:rsid w:val="00953CD4"/>
    <w:rsid w:val="00954B2E"/>
    <w:rsid w:val="00960390"/>
    <w:rsid w:val="00970FEE"/>
    <w:rsid w:val="009766BD"/>
    <w:rsid w:val="00990BA5"/>
    <w:rsid w:val="009A1544"/>
    <w:rsid w:val="009B1483"/>
    <w:rsid w:val="009D6BA4"/>
    <w:rsid w:val="009E5474"/>
    <w:rsid w:val="009F14C1"/>
    <w:rsid w:val="00A2315E"/>
    <w:rsid w:val="00A23DD1"/>
    <w:rsid w:val="00A311BD"/>
    <w:rsid w:val="00A43C63"/>
    <w:rsid w:val="00A46A1A"/>
    <w:rsid w:val="00A478EC"/>
    <w:rsid w:val="00A61D4F"/>
    <w:rsid w:val="00A917C5"/>
    <w:rsid w:val="00AE6B89"/>
    <w:rsid w:val="00AF07E8"/>
    <w:rsid w:val="00B01294"/>
    <w:rsid w:val="00B34735"/>
    <w:rsid w:val="00B506EC"/>
    <w:rsid w:val="00B62392"/>
    <w:rsid w:val="00B656D9"/>
    <w:rsid w:val="00B71B12"/>
    <w:rsid w:val="00B91E37"/>
    <w:rsid w:val="00B95A26"/>
    <w:rsid w:val="00BE0DD8"/>
    <w:rsid w:val="00BE10FF"/>
    <w:rsid w:val="00BF0FB8"/>
    <w:rsid w:val="00C24C28"/>
    <w:rsid w:val="00C47377"/>
    <w:rsid w:val="00C64AAF"/>
    <w:rsid w:val="00C64B62"/>
    <w:rsid w:val="00C73331"/>
    <w:rsid w:val="00C7528B"/>
    <w:rsid w:val="00C87A83"/>
    <w:rsid w:val="00C96C17"/>
    <w:rsid w:val="00CC535B"/>
    <w:rsid w:val="00CC7EB2"/>
    <w:rsid w:val="00CD68EB"/>
    <w:rsid w:val="00CE2B1E"/>
    <w:rsid w:val="00CE5BC7"/>
    <w:rsid w:val="00CF4B25"/>
    <w:rsid w:val="00CF5BDC"/>
    <w:rsid w:val="00D11759"/>
    <w:rsid w:val="00D34D05"/>
    <w:rsid w:val="00D40BC7"/>
    <w:rsid w:val="00D446DC"/>
    <w:rsid w:val="00D60357"/>
    <w:rsid w:val="00DA41DD"/>
    <w:rsid w:val="00DC5F9B"/>
    <w:rsid w:val="00DC6924"/>
    <w:rsid w:val="00DD5792"/>
    <w:rsid w:val="00DF5373"/>
    <w:rsid w:val="00E11F50"/>
    <w:rsid w:val="00E16400"/>
    <w:rsid w:val="00E40803"/>
    <w:rsid w:val="00E730B3"/>
    <w:rsid w:val="00E925D6"/>
    <w:rsid w:val="00E92E8C"/>
    <w:rsid w:val="00E96375"/>
    <w:rsid w:val="00EA503A"/>
    <w:rsid w:val="00EC070D"/>
    <w:rsid w:val="00ED6327"/>
    <w:rsid w:val="00EE0A42"/>
    <w:rsid w:val="00EE205E"/>
    <w:rsid w:val="00EF794B"/>
    <w:rsid w:val="00F01605"/>
    <w:rsid w:val="00F10128"/>
    <w:rsid w:val="00F35836"/>
    <w:rsid w:val="00F42ABF"/>
    <w:rsid w:val="00F42EC4"/>
    <w:rsid w:val="00F514CF"/>
    <w:rsid w:val="00F65959"/>
    <w:rsid w:val="00F97712"/>
    <w:rsid w:val="00FA360D"/>
    <w:rsid w:val="00FC07A8"/>
    <w:rsid w:val="00FE5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7FE6"/>
  <w15:chartTrackingRefBased/>
  <w15:docId w15:val="{9EBE2BB7-85FC-4D7A-B589-16453645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5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5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5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5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5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5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5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5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5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5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5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5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5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5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5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548"/>
    <w:rPr>
      <w:rFonts w:eastAsiaTheme="majorEastAsia" w:cstheme="majorBidi"/>
      <w:color w:val="272727" w:themeColor="text1" w:themeTint="D8"/>
    </w:rPr>
  </w:style>
  <w:style w:type="paragraph" w:styleId="Title">
    <w:name w:val="Title"/>
    <w:basedOn w:val="Normal"/>
    <w:next w:val="Normal"/>
    <w:link w:val="TitleChar"/>
    <w:uiPriority w:val="10"/>
    <w:qFormat/>
    <w:rsid w:val="00114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5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5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5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548"/>
    <w:pPr>
      <w:spacing w:before="160"/>
      <w:jc w:val="center"/>
    </w:pPr>
    <w:rPr>
      <w:i/>
      <w:iCs/>
      <w:color w:val="404040" w:themeColor="text1" w:themeTint="BF"/>
    </w:rPr>
  </w:style>
  <w:style w:type="character" w:customStyle="1" w:styleId="QuoteChar">
    <w:name w:val="Quote Char"/>
    <w:basedOn w:val="DefaultParagraphFont"/>
    <w:link w:val="Quote"/>
    <w:uiPriority w:val="29"/>
    <w:rsid w:val="00114548"/>
    <w:rPr>
      <w:i/>
      <w:iCs/>
      <w:color w:val="404040" w:themeColor="text1" w:themeTint="BF"/>
    </w:rPr>
  </w:style>
  <w:style w:type="paragraph" w:styleId="ListParagraph">
    <w:name w:val="List Paragraph"/>
    <w:basedOn w:val="Normal"/>
    <w:uiPriority w:val="34"/>
    <w:qFormat/>
    <w:rsid w:val="00114548"/>
    <w:pPr>
      <w:ind w:left="720"/>
      <w:contextualSpacing/>
    </w:pPr>
  </w:style>
  <w:style w:type="character" w:styleId="IntenseEmphasis">
    <w:name w:val="Intense Emphasis"/>
    <w:basedOn w:val="DefaultParagraphFont"/>
    <w:uiPriority w:val="21"/>
    <w:qFormat/>
    <w:rsid w:val="00114548"/>
    <w:rPr>
      <w:i/>
      <w:iCs/>
      <w:color w:val="0F4761" w:themeColor="accent1" w:themeShade="BF"/>
    </w:rPr>
  </w:style>
  <w:style w:type="paragraph" w:styleId="IntenseQuote">
    <w:name w:val="Intense Quote"/>
    <w:basedOn w:val="Normal"/>
    <w:next w:val="Normal"/>
    <w:link w:val="IntenseQuoteChar"/>
    <w:uiPriority w:val="30"/>
    <w:qFormat/>
    <w:rsid w:val="00114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548"/>
    <w:rPr>
      <w:i/>
      <w:iCs/>
      <w:color w:val="0F4761" w:themeColor="accent1" w:themeShade="BF"/>
    </w:rPr>
  </w:style>
  <w:style w:type="character" w:styleId="IntenseReference">
    <w:name w:val="Intense Reference"/>
    <w:basedOn w:val="DefaultParagraphFont"/>
    <w:uiPriority w:val="32"/>
    <w:qFormat/>
    <w:rsid w:val="00114548"/>
    <w:rPr>
      <w:b/>
      <w:bCs/>
      <w:smallCaps/>
      <w:color w:val="0F4761" w:themeColor="accent1" w:themeShade="BF"/>
      <w:spacing w:val="5"/>
    </w:rPr>
  </w:style>
  <w:style w:type="paragraph" w:styleId="NormalWeb">
    <w:name w:val="Normal (Web)"/>
    <w:basedOn w:val="Normal"/>
    <w:uiPriority w:val="99"/>
    <w:semiHidden/>
    <w:unhideWhenUsed/>
    <w:rsid w:val="003620F9"/>
    <w:rPr>
      <w:rFonts w:ascii="Times New Roman" w:hAnsi="Times New Roman" w:cs="Times New Roman"/>
    </w:rPr>
  </w:style>
  <w:style w:type="character" w:styleId="Hyperlink">
    <w:name w:val="Hyperlink"/>
    <w:basedOn w:val="DefaultParagraphFont"/>
    <w:uiPriority w:val="99"/>
    <w:unhideWhenUsed/>
    <w:rsid w:val="00ED6327"/>
    <w:rPr>
      <w:color w:val="467886" w:themeColor="hyperlink"/>
      <w:u w:val="single"/>
    </w:rPr>
  </w:style>
  <w:style w:type="character" w:styleId="UnresolvedMention">
    <w:name w:val="Unresolved Mention"/>
    <w:basedOn w:val="DefaultParagraphFont"/>
    <w:uiPriority w:val="99"/>
    <w:semiHidden/>
    <w:unhideWhenUsed/>
    <w:rsid w:val="00ED6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8885">
      <w:bodyDiv w:val="1"/>
      <w:marLeft w:val="0"/>
      <w:marRight w:val="0"/>
      <w:marTop w:val="0"/>
      <w:marBottom w:val="0"/>
      <w:divBdr>
        <w:top w:val="none" w:sz="0" w:space="0" w:color="auto"/>
        <w:left w:val="none" w:sz="0" w:space="0" w:color="auto"/>
        <w:bottom w:val="none" w:sz="0" w:space="0" w:color="auto"/>
        <w:right w:val="none" w:sz="0" w:space="0" w:color="auto"/>
      </w:divBdr>
    </w:div>
    <w:div w:id="166553468">
      <w:bodyDiv w:val="1"/>
      <w:marLeft w:val="0"/>
      <w:marRight w:val="0"/>
      <w:marTop w:val="0"/>
      <w:marBottom w:val="0"/>
      <w:divBdr>
        <w:top w:val="none" w:sz="0" w:space="0" w:color="auto"/>
        <w:left w:val="none" w:sz="0" w:space="0" w:color="auto"/>
        <w:bottom w:val="none" w:sz="0" w:space="0" w:color="auto"/>
        <w:right w:val="none" w:sz="0" w:space="0" w:color="auto"/>
      </w:divBdr>
    </w:div>
    <w:div w:id="185950947">
      <w:bodyDiv w:val="1"/>
      <w:marLeft w:val="0"/>
      <w:marRight w:val="0"/>
      <w:marTop w:val="0"/>
      <w:marBottom w:val="0"/>
      <w:divBdr>
        <w:top w:val="none" w:sz="0" w:space="0" w:color="auto"/>
        <w:left w:val="none" w:sz="0" w:space="0" w:color="auto"/>
        <w:bottom w:val="none" w:sz="0" w:space="0" w:color="auto"/>
        <w:right w:val="none" w:sz="0" w:space="0" w:color="auto"/>
      </w:divBdr>
    </w:div>
    <w:div w:id="216357205">
      <w:bodyDiv w:val="1"/>
      <w:marLeft w:val="0"/>
      <w:marRight w:val="0"/>
      <w:marTop w:val="0"/>
      <w:marBottom w:val="0"/>
      <w:divBdr>
        <w:top w:val="none" w:sz="0" w:space="0" w:color="auto"/>
        <w:left w:val="none" w:sz="0" w:space="0" w:color="auto"/>
        <w:bottom w:val="none" w:sz="0" w:space="0" w:color="auto"/>
        <w:right w:val="none" w:sz="0" w:space="0" w:color="auto"/>
      </w:divBdr>
    </w:div>
    <w:div w:id="308634122">
      <w:bodyDiv w:val="1"/>
      <w:marLeft w:val="0"/>
      <w:marRight w:val="0"/>
      <w:marTop w:val="0"/>
      <w:marBottom w:val="0"/>
      <w:divBdr>
        <w:top w:val="none" w:sz="0" w:space="0" w:color="auto"/>
        <w:left w:val="none" w:sz="0" w:space="0" w:color="auto"/>
        <w:bottom w:val="none" w:sz="0" w:space="0" w:color="auto"/>
        <w:right w:val="none" w:sz="0" w:space="0" w:color="auto"/>
      </w:divBdr>
      <w:divsChild>
        <w:div w:id="196547992">
          <w:marLeft w:val="0"/>
          <w:marRight w:val="0"/>
          <w:marTop w:val="0"/>
          <w:marBottom w:val="0"/>
          <w:divBdr>
            <w:top w:val="none" w:sz="0" w:space="0" w:color="auto"/>
            <w:left w:val="none" w:sz="0" w:space="0" w:color="auto"/>
            <w:bottom w:val="none" w:sz="0" w:space="0" w:color="auto"/>
            <w:right w:val="none" w:sz="0" w:space="0" w:color="auto"/>
          </w:divBdr>
        </w:div>
        <w:div w:id="420029417">
          <w:marLeft w:val="0"/>
          <w:marRight w:val="0"/>
          <w:marTop w:val="0"/>
          <w:marBottom w:val="0"/>
          <w:divBdr>
            <w:top w:val="none" w:sz="0" w:space="0" w:color="auto"/>
            <w:left w:val="none" w:sz="0" w:space="0" w:color="auto"/>
            <w:bottom w:val="none" w:sz="0" w:space="0" w:color="auto"/>
            <w:right w:val="none" w:sz="0" w:space="0" w:color="auto"/>
          </w:divBdr>
        </w:div>
        <w:div w:id="1325007806">
          <w:marLeft w:val="0"/>
          <w:marRight w:val="0"/>
          <w:marTop w:val="0"/>
          <w:marBottom w:val="0"/>
          <w:divBdr>
            <w:top w:val="none" w:sz="0" w:space="0" w:color="auto"/>
            <w:left w:val="none" w:sz="0" w:space="0" w:color="auto"/>
            <w:bottom w:val="none" w:sz="0" w:space="0" w:color="auto"/>
            <w:right w:val="none" w:sz="0" w:space="0" w:color="auto"/>
          </w:divBdr>
        </w:div>
        <w:div w:id="601572518">
          <w:marLeft w:val="0"/>
          <w:marRight w:val="0"/>
          <w:marTop w:val="0"/>
          <w:marBottom w:val="0"/>
          <w:divBdr>
            <w:top w:val="none" w:sz="0" w:space="0" w:color="auto"/>
            <w:left w:val="none" w:sz="0" w:space="0" w:color="auto"/>
            <w:bottom w:val="none" w:sz="0" w:space="0" w:color="auto"/>
            <w:right w:val="none" w:sz="0" w:space="0" w:color="auto"/>
          </w:divBdr>
        </w:div>
        <w:div w:id="1703825731">
          <w:marLeft w:val="0"/>
          <w:marRight w:val="0"/>
          <w:marTop w:val="0"/>
          <w:marBottom w:val="0"/>
          <w:divBdr>
            <w:top w:val="none" w:sz="0" w:space="0" w:color="auto"/>
            <w:left w:val="none" w:sz="0" w:space="0" w:color="auto"/>
            <w:bottom w:val="none" w:sz="0" w:space="0" w:color="auto"/>
            <w:right w:val="none" w:sz="0" w:space="0" w:color="auto"/>
          </w:divBdr>
        </w:div>
      </w:divsChild>
    </w:div>
    <w:div w:id="398407512">
      <w:bodyDiv w:val="1"/>
      <w:marLeft w:val="0"/>
      <w:marRight w:val="0"/>
      <w:marTop w:val="0"/>
      <w:marBottom w:val="0"/>
      <w:divBdr>
        <w:top w:val="none" w:sz="0" w:space="0" w:color="auto"/>
        <w:left w:val="none" w:sz="0" w:space="0" w:color="auto"/>
        <w:bottom w:val="none" w:sz="0" w:space="0" w:color="auto"/>
        <w:right w:val="none" w:sz="0" w:space="0" w:color="auto"/>
      </w:divBdr>
    </w:div>
    <w:div w:id="432946228">
      <w:bodyDiv w:val="1"/>
      <w:marLeft w:val="0"/>
      <w:marRight w:val="0"/>
      <w:marTop w:val="0"/>
      <w:marBottom w:val="0"/>
      <w:divBdr>
        <w:top w:val="none" w:sz="0" w:space="0" w:color="auto"/>
        <w:left w:val="none" w:sz="0" w:space="0" w:color="auto"/>
        <w:bottom w:val="none" w:sz="0" w:space="0" w:color="auto"/>
        <w:right w:val="none" w:sz="0" w:space="0" w:color="auto"/>
      </w:divBdr>
    </w:div>
    <w:div w:id="450363808">
      <w:bodyDiv w:val="1"/>
      <w:marLeft w:val="0"/>
      <w:marRight w:val="0"/>
      <w:marTop w:val="0"/>
      <w:marBottom w:val="0"/>
      <w:divBdr>
        <w:top w:val="none" w:sz="0" w:space="0" w:color="auto"/>
        <w:left w:val="none" w:sz="0" w:space="0" w:color="auto"/>
        <w:bottom w:val="none" w:sz="0" w:space="0" w:color="auto"/>
        <w:right w:val="none" w:sz="0" w:space="0" w:color="auto"/>
      </w:divBdr>
    </w:div>
    <w:div w:id="516189085">
      <w:bodyDiv w:val="1"/>
      <w:marLeft w:val="0"/>
      <w:marRight w:val="0"/>
      <w:marTop w:val="0"/>
      <w:marBottom w:val="0"/>
      <w:divBdr>
        <w:top w:val="none" w:sz="0" w:space="0" w:color="auto"/>
        <w:left w:val="none" w:sz="0" w:space="0" w:color="auto"/>
        <w:bottom w:val="none" w:sz="0" w:space="0" w:color="auto"/>
        <w:right w:val="none" w:sz="0" w:space="0" w:color="auto"/>
      </w:divBdr>
    </w:div>
    <w:div w:id="621807633">
      <w:bodyDiv w:val="1"/>
      <w:marLeft w:val="0"/>
      <w:marRight w:val="0"/>
      <w:marTop w:val="0"/>
      <w:marBottom w:val="0"/>
      <w:divBdr>
        <w:top w:val="none" w:sz="0" w:space="0" w:color="auto"/>
        <w:left w:val="none" w:sz="0" w:space="0" w:color="auto"/>
        <w:bottom w:val="none" w:sz="0" w:space="0" w:color="auto"/>
        <w:right w:val="none" w:sz="0" w:space="0" w:color="auto"/>
      </w:divBdr>
    </w:div>
    <w:div w:id="810754180">
      <w:bodyDiv w:val="1"/>
      <w:marLeft w:val="0"/>
      <w:marRight w:val="0"/>
      <w:marTop w:val="0"/>
      <w:marBottom w:val="0"/>
      <w:divBdr>
        <w:top w:val="none" w:sz="0" w:space="0" w:color="auto"/>
        <w:left w:val="none" w:sz="0" w:space="0" w:color="auto"/>
        <w:bottom w:val="none" w:sz="0" w:space="0" w:color="auto"/>
        <w:right w:val="none" w:sz="0" w:space="0" w:color="auto"/>
      </w:divBdr>
    </w:div>
    <w:div w:id="856505857">
      <w:bodyDiv w:val="1"/>
      <w:marLeft w:val="0"/>
      <w:marRight w:val="0"/>
      <w:marTop w:val="0"/>
      <w:marBottom w:val="0"/>
      <w:divBdr>
        <w:top w:val="none" w:sz="0" w:space="0" w:color="auto"/>
        <w:left w:val="none" w:sz="0" w:space="0" w:color="auto"/>
        <w:bottom w:val="none" w:sz="0" w:space="0" w:color="auto"/>
        <w:right w:val="none" w:sz="0" w:space="0" w:color="auto"/>
      </w:divBdr>
    </w:div>
    <w:div w:id="917977399">
      <w:bodyDiv w:val="1"/>
      <w:marLeft w:val="0"/>
      <w:marRight w:val="0"/>
      <w:marTop w:val="0"/>
      <w:marBottom w:val="0"/>
      <w:divBdr>
        <w:top w:val="none" w:sz="0" w:space="0" w:color="auto"/>
        <w:left w:val="none" w:sz="0" w:space="0" w:color="auto"/>
        <w:bottom w:val="none" w:sz="0" w:space="0" w:color="auto"/>
        <w:right w:val="none" w:sz="0" w:space="0" w:color="auto"/>
      </w:divBdr>
    </w:div>
    <w:div w:id="1028143913">
      <w:bodyDiv w:val="1"/>
      <w:marLeft w:val="0"/>
      <w:marRight w:val="0"/>
      <w:marTop w:val="0"/>
      <w:marBottom w:val="0"/>
      <w:divBdr>
        <w:top w:val="none" w:sz="0" w:space="0" w:color="auto"/>
        <w:left w:val="none" w:sz="0" w:space="0" w:color="auto"/>
        <w:bottom w:val="none" w:sz="0" w:space="0" w:color="auto"/>
        <w:right w:val="none" w:sz="0" w:space="0" w:color="auto"/>
      </w:divBdr>
      <w:divsChild>
        <w:div w:id="1112869864">
          <w:marLeft w:val="0"/>
          <w:marRight w:val="0"/>
          <w:marTop w:val="0"/>
          <w:marBottom w:val="0"/>
          <w:divBdr>
            <w:top w:val="none" w:sz="0" w:space="0" w:color="auto"/>
            <w:left w:val="none" w:sz="0" w:space="0" w:color="auto"/>
            <w:bottom w:val="none" w:sz="0" w:space="0" w:color="auto"/>
            <w:right w:val="none" w:sz="0" w:space="0" w:color="auto"/>
          </w:divBdr>
        </w:div>
        <w:div w:id="1426414387">
          <w:marLeft w:val="0"/>
          <w:marRight w:val="0"/>
          <w:marTop w:val="0"/>
          <w:marBottom w:val="0"/>
          <w:divBdr>
            <w:top w:val="none" w:sz="0" w:space="0" w:color="auto"/>
            <w:left w:val="none" w:sz="0" w:space="0" w:color="auto"/>
            <w:bottom w:val="none" w:sz="0" w:space="0" w:color="auto"/>
            <w:right w:val="none" w:sz="0" w:space="0" w:color="auto"/>
          </w:divBdr>
        </w:div>
        <w:div w:id="330917466">
          <w:marLeft w:val="0"/>
          <w:marRight w:val="0"/>
          <w:marTop w:val="0"/>
          <w:marBottom w:val="0"/>
          <w:divBdr>
            <w:top w:val="none" w:sz="0" w:space="0" w:color="auto"/>
            <w:left w:val="none" w:sz="0" w:space="0" w:color="auto"/>
            <w:bottom w:val="none" w:sz="0" w:space="0" w:color="auto"/>
            <w:right w:val="none" w:sz="0" w:space="0" w:color="auto"/>
          </w:divBdr>
        </w:div>
        <w:div w:id="1214152114">
          <w:marLeft w:val="0"/>
          <w:marRight w:val="0"/>
          <w:marTop w:val="0"/>
          <w:marBottom w:val="0"/>
          <w:divBdr>
            <w:top w:val="none" w:sz="0" w:space="0" w:color="auto"/>
            <w:left w:val="none" w:sz="0" w:space="0" w:color="auto"/>
            <w:bottom w:val="none" w:sz="0" w:space="0" w:color="auto"/>
            <w:right w:val="none" w:sz="0" w:space="0" w:color="auto"/>
          </w:divBdr>
        </w:div>
        <w:div w:id="494998304">
          <w:marLeft w:val="0"/>
          <w:marRight w:val="0"/>
          <w:marTop w:val="0"/>
          <w:marBottom w:val="0"/>
          <w:divBdr>
            <w:top w:val="none" w:sz="0" w:space="0" w:color="auto"/>
            <w:left w:val="none" w:sz="0" w:space="0" w:color="auto"/>
            <w:bottom w:val="none" w:sz="0" w:space="0" w:color="auto"/>
            <w:right w:val="none" w:sz="0" w:space="0" w:color="auto"/>
          </w:divBdr>
        </w:div>
      </w:divsChild>
    </w:div>
    <w:div w:id="1031804438">
      <w:bodyDiv w:val="1"/>
      <w:marLeft w:val="0"/>
      <w:marRight w:val="0"/>
      <w:marTop w:val="0"/>
      <w:marBottom w:val="0"/>
      <w:divBdr>
        <w:top w:val="none" w:sz="0" w:space="0" w:color="auto"/>
        <w:left w:val="none" w:sz="0" w:space="0" w:color="auto"/>
        <w:bottom w:val="none" w:sz="0" w:space="0" w:color="auto"/>
        <w:right w:val="none" w:sz="0" w:space="0" w:color="auto"/>
      </w:divBdr>
      <w:divsChild>
        <w:div w:id="1737820674">
          <w:marLeft w:val="0"/>
          <w:marRight w:val="0"/>
          <w:marTop w:val="0"/>
          <w:marBottom w:val="0"/>
          <w:divBdr>
            <w:top w:val="none" w:sz="0" w:space="0" w:color="auto"/>
            <w:left w:val="none" w:sz="0" w:space="0" w:color="auto"/>
            <w:bottom w:val="none" w:sz="0" w:space="0" w:color="auto"/>
            <w:right w:val="none" w:sz="0" w:space="0" w:color="auto"/>
          </w:divBdr>
        </w:div>
        <w:div w:id="1919559240">
          <w:marLeft w:val="0"/>
          <w:marRight w:val="0"/>
          <w:marTop w:val="0"/>
          <w:marBottom w:val="0"/>
          <w:divBdr>
            <w:top w:val="none" w:sz="0" w:space="0" w:color="auto"/>
            <w:left w:val="none" w:sz="0" w:space="0" w:color="auto"/>
            <w:bottom w:val="none" w:sz="0" w:space="0" w:color="auto"/>
            <w:right w:val="none" w:sz="0" w:space="0" w:color="auto"/>
          </w:divBdr>
        </w:div>
        <w:div w:id="1014771902">
          <w:marLeft w:val="0"/>
          <w:marRight w:val="0"/>
          <w:marTop w:val="0"/>
          <w:marBottom w:val="0"/>
          <w:divBdr>
            <w:top w:val="none" w:sz="0" w:space="0" w:color="auto"/>
            <w:left w:val="none" w:sz="0" w:space="0" w:color="auto"/>
            <w:bottom w:val="none" w:sz="0" w:space="0" w:color="auto"/>
            <w:right w:val="none" w:sz="0" w:space="0" w:color="auto"/>
          </w:divBdr>
        </w:div>
        <w:div w:id="1924141556">
          <w:marLeft w:val="0"/>
          <w:marRight w:val="0"/>
          <w:marTop w:val="0"/>
          <w:marBottom w:val="0"/>
          <w:divBdr>
            <w:top w:val="none" w:sz="0" w:space="0" w:color="auto"/>
            <w:left w:val="none" w:sz="0" w:space="0" w:color="auto"/>
            <w:bottom w:val="none" w:sz="0" w:space="0" w:color="auto"/>
            <w:right w:val="none" w:sz="0" w:space="0" w:color="auto"/>
          </w:divBdr>
        </w:div>
        <w:div w:id="152529962">
          <w:marLeft w:val="0"/>
          <w:marRight w:val="0"/>
          <w:marTop w:val="0"/>
          <w:marBottom w:val="0"/>
          <w:divBdr>
            <w:top w:val="none" w:sz="0" w:space="0" w:color="auto"/>
            <w:left w:val="none" w:sz="0" w:space="0" w:color="auto"/>
            <w:bottom w:val="none" w:sz="0" w:space="0" w:color="auto"/>
            <w:right w:val="none" w:sz="0" w:space="0" w:color="auto"/>
          </w:divBdr>
        </w:div>
      </w:divsChild>
    </w:div>
    <w:div w:id="1342777944">
      <w:bodyDiv w:val="1"/>
      <w:marLeft w:val="0"/>
      <w:marRight w:val="0"/>
      <w:marTop w:val="0"/>
      <w:marBottom w:val="0"/>
      <w:divBdr>
        <w:top w:val="none" w:sz="0" w:space="0" w:color="auto"/>
        <w:left w:val="none" w:sz="0" w:space="0" w:color="auto"/>
        <w:bottom w:val="none" w:sz="0" w:space="0" w:color="auto"/>
        <w:right w:val="none" w:sz="0" w:space="0" w:color="auto"/>
      </w:divBdr>
    </w:div>
    <w:div w:id="1388722260">
      <w:bodyDiv w:val="1"/>
      <w:marLeft w:val="0"/>
      <w:marRight w:val="0"/>
      <w:marTop w:val="0"/>
      <w:marBottom w:val="0"/>
      <w:divBdr>
        <w:top w:val="none" w:sz="0" w:space="0" w:color="auto"/>
        <w:left w:val="none" w:sz="0" w:space="0" w:color="auto"/>
        <w:bottom w:val="none" w:sz="0" w:space="0" w:color="auto"/>
        <w:right w:val="none" w:sz="0" w:space="0" w:color="auto"/>
      </w:divBdr>
    </w:div>
    <w:div w:id="1468936557">
      <w:bodyDiv w:val="1"/>
      <w:marLeft w:val="0"/>
      <w:marRight w:val="0"/>
      <w:marTop w:val="0"/>
      <w:marBottom w:val="0"/>
      <w:divBdr>
        <w:top w:val="none" w:sz="0" w:space="0" w:color="auto"/>
        <w:left w:val="none" w:sz="0" w:space="0" w:color="auto"/>
        <w:bottom w:val="none" w:sz="0" w:space="0" w:color="auto"/>
        <w:right w:val="none" w:sz="0" w:space="0" w:color="auto"/>
      </w:divBdr>
    </w:div>
    <w:div w:id="1502432265">
      <w:bodyDiv w:val="1"/>
      <w:marLeft w:val="0"/>
      <w:marRight w:val="0"/>
      <w:marTop w:val="0"/>
      <w:marBottom w:val="0"/>
      <w:divBdr>
        <w:top w:val="none" w:sz="0" w:space="0" w:color="auto"/>
        <w:left w:val="none" w:sz="0" w:space="0" w:color="auto"/>
        <w:bottom w:val="none" w:sz="0" w:space="0" w:color="auto"/>
        <w:right w:val="none" w:sz="0" w:space="0" w:color="auto"/>
      </w:divBdr>
    </w:div>
    <w:div w:id="1522090486">
      <w:bodyDiv w:val="1"/>
      <w:marLeft w:val="0"/>
      <w:marRight w:val="0"/>
      <w:marTop w:val="0"/>
      <w:marBottom w:val="0"/>
      <w:divBdr>
        <w:top w:val="none" w:sz="0" w:space="0" w:color="auto"/>
        <w:left w:val="none" w:sz="0" w:space="0" w:color="auto"/>
        <w:bottom w:val="none" w:sz="0" w:space="0" w:color="auto"/>
        <w:right w:val="none" w:sz="0" w:space="0" w:color="auto"/>
      </w:divBdr>
    </w:div>
    <w:div w:id="1533230160">
      <w:bodyDiv w:val="1"/>
      <w:marLeft w:val="0"/>
      <w:marRight w:val="0"/>
      <w:marTop w:val="0"/>
      <w:marBottom w:val="0"/>
      <w:divBdr>
        <w:top w:val="none" w:sz="0" w:space="0" w:color="auto"/>
        <w:left w:val="none" w:sz="0" w:space="0" w:color="auto"/>
        <w:bottom w:val="none" w:sz="0" w:space="0" w:color="auto"/>
        <w:right w:val="none" w:sz="0" w:space="0" w:color="auto"/>
      </w:divBdr>
    </w:div>
    <w:div w:id="1604339940">
      <w:bodyDiv w:val="1"/>
      <w:marLeft w:val="0"/>
      <w:marRight w:val="0"/>
      <w:marTop w:val="0"/>
      <w:marBottom w:val="0"/>
      <w:divBdr>
        <w:top w:val="none" w:sz="0" w:space="0" w:color="auto"/>
        <w:left w:val="none" w:sz="0" w:space="0" w:color="auto"/>
        <w:bottom w:val="none" w:sz="0" w:space="0" w:color="auto"/>
        <w:right w:val="none" w:sz="0" w:space="0" w:color="auto"/>
      </w:divBdr>
    </w:div>
    <w:div w:id="1702628078">
      <w:bodyDiv w:val="1"/>
      <w:marLeft w:val="0"/>
      <w:marRight w:val="0"/>
      <w:marTop w:val="0"/>
      <w:marBottom w:val="0"/>
      <w:divBdr>
        <w:top w:val="none" w:sz="0" w:space="0" w:color="auto"/>
        <w:left w:val="none" w:sz="0" w:space="0" w:color="auto"/>
        <w:bottom w:val="none" w:sz="0" w:space="0" w:color="auto"/>
        <w:right w:val="none" w:sz="0" w:space="0" w:color="auto"/>
      </w:divBdr>
    </w:div>
    <w:div w:id="1786805322">
      <w:bodyDiv w:val="1"/>
      <w:marLeft w:val="0"/>
      <w:marRight w:val="0"/>
      <w:marTop w:val="0"/>
      <w:marBottom w:val="0"/>
      <w:divBdr>
        <w:top w:val="none" w:sz="0" w:space="0" w:color="auto"/>
        <w:left w:val="none" w:sz="0" w:space="0" w:color="auto"/>
        <w:bottom w:val="none" w:sz="0" w:space="0" w:color="auto"/>
        <w:right w:val="none" w:sz="0" w:space="0" w:color="auto"/>
      </w:divBdr>
    </w:div>
    <w:div w:id="1811556707">
      <w:bodyDiv w:val="1"/>
      <w:marLeft w:val="0"/>
      <w:marRight w:val="0"/>
      <w:marTop w:val="0"/>
      <w:marBottom w:val="0"/>
      <w:divBdr>
        <w:top w:val="none" w:sz="0" w:space="0" w:color="auto"/>
        <w:left w:val="none" w:sz="0" w:space="0" w:color="auto"/>
        <w:bottom w:val="none" w:sz="0" w:space="0" w:color="auto"/>
        <w:right w:val="none" w:sz="0" w:space="0" w:color="auto"/>
      </w:divBdr>
      <w:divsChild>
        <w:div w:id="1708221125">
          <w:marLeft w:val="0"/>
          <w:marRight w:val="0"/>
          <w:marTop w:val="0"/>
          <w:marBottom w:val="0"/>
          <w:divBdr>
            <w:top w:val="none" w:sz="0" w:space="0" w:color="auto"/>
            <w:left w:val="none" w:sz="0" w:space="0" w:color="auto"/>
            <w:bottom w:val="none" w:sz="0" w:space="0" w:color="auto"/>
            <w:right w:val="none" w:sz="0" w:space="0" w:color="auto"/>
          </w:divBdr>
        </w:div>
        <w:div w:id="1210722513">
          <w:marLeft w:val="0"/>
          <w:marRight w:val="0"/>
          <w:marTop w:val="0"/>
          <w:marBottom w:val="0"/>
          <w:divBdr>
            <w:top w:val="none" w:sz="0" w:space="0" w:color="auto"/>
            <w:left w:val="none" w:sz="0" w:space="0" w:color="auto"/>
            <w:bottom w:val="none" w:sz="0" w:space="0" w:color="auto"/>
            <w:right w:val="none" w:sz="0" w:space="0" w:color="auto"/>
          </w:divBdr>
        </w:div>
        <w:div w:id="1171407559">
          <w:marLeft w:val="0"/>
          <w:marRight w:val="0"/>
          <w:marTop w:val="0"/>
          <w:marBottom w:val="0"/>
          <w:divBdr>
            <w:top w:val="none" w:sz="0" w:space="0" w:color="auto"/>
            <w:left w:val="none" w:sz="0" w:space="0" w:color="auto"/>
            <w:bottom w:val="none" w:sz="0" w:space="0" w:color="auto"/>
            <w:right w:val="none" w:sz="0" w:space="0" w:color="auto"/>
          </w:divBdr>
        </w:div>
        <w:div w:id="426968039">
          <w:marLeft w:val="0"/>
          <w:marRight w:val="0"/>
          <w:marTop w:val="0"/>
          <w:marBottom w:val="0"/>
          <w:divBdr>
            <w:top w:val="none" w:sz="0" w:space="0" w:color="auto"/>
            <w:left w:val="none" w:sz="0" w:space="0" w:color="auto"/>
            <w:bottom w:val="none" w:sz="0" w:space="0" w:color="auto"/>
            <w:right w:val="none" w:sz="0" w:space="0" w:color="auto"/>
          </w:divBdr>
        </w:div>
        <w:div w:id="200479788">
          <w:marLeft w:val="0"/>
          <w:marRight w:val="0"/>
          <w:marTop w:val="0"/>
          <w:marBottom w:val="0"/>
          <w:divBdr>
            <w:top w:val="none" w:sz="0" w:space="0" w:color="auto"/>
            <w:left w:val="none" w:sz="0" w:space="0" w:color="auto"/>
            <w:bottom w:val="none" w:sz="0" w:space="0" w:color="auto"/>
            <w:right w:val="none" w:sz="0" w:space="0" w:color="auto"/>
          </w:divBdr>
        </w:div>
      </w:divsChild>
    </w:div>
    <w:div w:id="1943873735">
      <w:bodyDiv w:val="1"/>
      <w:marLeft w:val="0"/>
      <w:marRight w:val="0"/>
      <w:marTop w:val="0"/>
      <w:marBottom w:val="0"/>
      <w:divBdr>
        <w:top w:val="none" w:sz="0" w:space="0" w:color="auto"/>
        <w:left w:val="none" w:sz="0" w:space="0" w:color="auto"/>
        <w:bottom w:val="none" w:sz="0" w:space="0" w:color="auto"/>
        <w:right w:val="none" w:sz="0" w:space="0" w:color="auto"/>
      </w:divBdr>
    </w:div>
    <w:div w:id="1950352975">
      <w:bodyDiv w:val="1"/>
      <w:marLeft w:val="0"/>
      <w:marRight w:val="0"/>
      <w:marTop w:val="0"/>
      <w:marBottom w:val="0"/>
      <w:divBdr>
        <w:top w:val="none" w:sz="0" w:space="0" w:color="auto"/>
        <w:left w:val="none" w:sz="0" w:space="0" w:color="auto"/>
        <w:bottom w:val="none" w:sz="0" w:space="0" w:color="auto"/>
        <w:right w:val="none" w:sz="0" w:space="0" w:color="auto"/>
      </w:divBdr>
    </w:div>
    <w:div w:id="2023122058">
      <w:bodyDiv w:val="1"/>
      <w:marLeft w:val="0"/>
      <w:marRight w:val="0"/>
      <w:marTop w:val="0"/>
      <w:marBottom w:val="0"/>
      <w:divBdr>
        <w:top w:val="none" w:sz="0" w:space="0" w:color="auto"/>
        <w:left w:val="none" w:sz="0" w:space="0" w:color="auto"/>
        <w:bottom w:val="none" w:sz="0" w:space="0" w:color="auto"/>
        <w:right w:val="none" w:sz="0" w:space="0" w:color="auto"/>
      </w:divBdr>
    </w:div>
    <w:div w:id="205399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2083</Words>
  <Characters>11878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2024-11-07T22:12:00Z</dcterms:created>
  <dcterms:modified xsi:type="dcterms:W3CDTF">2024-11-07T22:12:00Z</dcterms:modified>
</cp:coreProperties>
</file>