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E07AD" w14:textId="77777777" w:rsidR="00270E8E" w:rsidRPr="00270E8E" w:rsidRDefault="00270E8E" w:rsidP="00270E8E">
      <w:pPr>
        <w:jc w:val="center"/>
        <w:rPr>
          <w:rFonts w:ascii="Times New Roman" w:hAnsi="Times New Roman" w:cs="Times New Roman"/>
          <w:sz w:val="44"/>
          <w:szCs w:val="44"/>
        </w:rPr>
      </w:pPr>
    </w:p>
    <w:p w14:paraId="46395D60" w14:textId="77777777" w:rsidR="00270E8E" w:rsidRDefault="00270E8E" w:rsidP="00270E8E">
      <w:pPr>
        <w:ind w:left="720"/>
        <w:jc w:val="center"/>
        <w:rPr>
          <w:rFonts w:ascii="Times New Roman" w:hAnsi="Times New Roman" w:cs="Times New Roman"/>
          <w:sz w:val="44"/>
          <w:szCs w:val="44"/>
        </w:rPr>
      </w:pPr>
      <w:r w:rsidRPr="00270E8E">
        <w:rPr>
          <w:rFonts w:ascii="Times New Roman" w:hAnsi="Times New Roman" w:cs="Times New Roman"/>
          <w:sz w:val="44"/>
          <w:szCs w:val="44"/>
        </w:rPr>
        <w:t>Turning Around The Seaview</w:t>
      </w:r>
    </w:p>
    <w:p w14:paraId="613C82BD" w14:textId="77777777" w:rsidR="00230FE6" w:rsidRDefault="00230FE6" w:rsidP="00270E8E">
      <w:pPr>
        <w:ind w:left="720"/>
        <w:jc w:val="center"/>
        <w:rPr>
          <w:rFonts w:ascii="Times New Roman" w:hAnsi="Times New Roman" w:cs="Times New Roman"/>
          <w:sz w:val="44"/>
          <w:szCs w:val="44"/>
        </w:rPr>
      </w:pPr>
    </w:p>
    <w:p w14:paraId="3D1D1E68" w14:textId="77777777" w:rsidR="00171BB5" w:rsidRDefault="00171BB5" w:rsidP="00270E8E">
      <w:pPr>
        <w:ind w:left="720"/>
        <w:jc w:val="center"/>
        <w:rPr>
          <w:rFonts w:ascii="Times New Roman" w:hAnsi="Times New Roman" w:cs="Times New Roman"/>
          <w:sz w:val="44"/>
          <w:szCs w:val="44"/>
        </w:rPr>
      </w:pPr>
    </w:p>
    <w:p w14:paraId="0ABBDD83" w14:textId="77777777" w:rsidR="00171BB5" w:rsidRDefault="00171BB5" w:rsidP="00270E8E">
      <w:pPr>
        <w:ind w:left="720"/>
        <w:jc w:val="center"/>
        <w:rPr>
          <w:rFonts w:ascii="Times New Roman" w:hAnsi="Times New Roman" w:cs="Times New Roman"/>
          <w:sz w:val="44"/>
          <w:szCs w:val="44"/>
        </w:rPr>
      </w:pPr>
    </w:p>
    <w:p w14:paraId="4865BDB2" w14:textId="77777777" w:rsidR="00171BB5" w:rsidRDefault="00171BB5" w:rsidP="00270E8E">
      <w:pPr>
        <w:ind w:left="720"/>
        <w:jc w:val="center"/>
        <w:rPr>
          <w:rFonts w:ascii="Times New Roman" w:hAnsi="Times New Roman" w:cs="Times New Roman"/>
          <w:sz w:val="44"/>
          <w:szCs w:val="44"/>
        </w:rPr>
      </w:pPr>
    </w:p>
    <w:p w14:paraId="4F8205BF" w14:textId="77777777" w:rsidR="00171BB5" w:rsidRDefault="00171BB5" w:rsidP="00270E8E">
      <w:pPr>
        <w:ind w:left="720"/>
        <w:jc w:val="center"/>
        <w:rPr>
          <w:rFonts w:ascii="Times New Roman" w:hAnsi="Times New Roman" w:cs="Times New Roman"/>
          <w:sz w:val="44"/>
          <w:szCs w:val="44"/>
        </w:rPr>
      </w:pPr>
    </w:p>
    <w:p w14:paraId="7CB9A66F" w14:textId="08CFFAB6" w:rsidR="00FB4E23" w:rsidRDefault="00230FE6" w:rsidP="005F0A03">
      <w:pPr>
        <w:rPr>
          <w:rFonts w:ascii="Times New Roman" w:hAnsi="Times New Roman" w:cs="Times New Roman"/>
          <w:sz w:val="28"/>
          <w:szCs w:val="28"/>
        </w:rPr>
      </w:pPr>
      <w:r>
        <w:rPr>
          <w:rFonts w:ascii="Times New Roman" w:hAnsi="Times New Roman" w:cs="Times New Roman"/>
          <w:sz w:val="28"/>
          <w:szCs w:val="28"/>
        </w:rPr>
        <w:t xml:space="preserve">                     </w:t>
      </w:r>
      <w:r w:rsidR="00FB4E23">
        <w:rPr>
          <w:rFonts w:ascii="Times New Roman" w:hAnsi="Times New Roman" w:cs="Times New Roman"/>
          <w:sz w:val="28"/>
          <w:szCs w:val="28"/>
        </w:rPr>
        <w:t>Student</w:t>
      </w:r>
      <w:r w:rsidR="003C75AE">
        <w:rPr>
          <w:rFonts w:ascii="Times New Roman" w:hAnsi="Times New Roman" w:cs="Times New Roman"/>
          <w:sz w:val="28"/>
          <w:szCs w:val="28"/>
        </w:rPr>
        <w:t>: Florin Ciolacu</w:t>
      </w:r>
    </w:p>
    <w:p w14:paraId="6D0B56D4" w14:textId="0E61F0BE" w:rsidR="00230FE6" w:rsidRPr="00FB4E23" w:rsidRDefault="00230FE6" w:rsidP="005F0A03">
      <w:pPr>
        <w:rPr>
          <w:rFonts w:ascii="Times New Roman" w:hAnsi="Times New Roman" w:cs="Times New Roman"/>
          <w:sz w:val="28"/>
          <w:szCs w:val="28"/>
        </w:rPr>
      </w:pPr>
      <w:r>
        <w:rPr>
          <w:rFonts w:ascii="Times New Roman" w:hAnsi="Times New Roman" w:cs="Times New Roman"/>
          <w:sz w:val="28"/>
          <w:szCs w:val="28"/>
        </w:rPr>
        <w:t xml:space="preserve">                     ID number : 2126259</w:t>
      </w:r>
    </w:p>
    <w:p w14:paraId="21C015E7" w14:textId="7892458A" w:rsidR="00270E8E" w:rsidRDefault="00E16E5D" w:rsidP="005F0A03">
      <w:pPr>
        <w:rPr>
          <w:rFonts w:ascii="Times New Roman" w:hAnsi="Times New Roman" w:cs="Times New Roman"/>
          <w:sz w:val="28"/>
          <w:szCs w:val="28"/>
        </w:rPr>
      </w:pPr>
      <w:r>
        <w:rPr>
          <w:rFonts w:ascii="Times New Roman" w:hAnsi="Times New Roman" w:cs="Times New Roman"/>
          <w:sz w:val="44"/>
          <w:szCs w:val="44"/>
        </w:rPr>
        <w:t xml:space="preserve">             </w:t>
      </w:r>
      <w:r>
        <w:rPr>
          <w:rFonts w:ascii="Times New Roman" w:hAnsi="Times New Roman" w:cs="Times New Roman"/>
          <w:sz w:val="28"/>
          <w:szCs w:val="28"/>
        </w:rPr>
        <w:t xml:space="preserve">Module </w:t>
      </w:r>
      <w:r w:rsidR="00395F7B">
        <w:rPr>
          <w:rFonts w:ascii="Times New Roman" w:hAnsi="Times New Roman" w:cs="Times New Roman"/>
          <w:sz w:val="28"/>
          <w:szCs w:val="28"/>
        </w:rPr>
        <w:t>: Financial Management for the Hotel Industry</w:t>
      </w:r>
    </w:p>
    <w:p w14:paraId="62D8F3B4" w14:textId="5E3BD63B" w:rsidR="007632D1" w:rsidRDefault="007632D1" w:rsidP="005F0A03">
      <w:pPr>
        <w:rPr>
          <w:rFonts w:ascii="Times New Roman" w:hAnsi="Times New Roman" w:cs="Times New Roman"/>
          <w:sz w:val="28"/>
          <w:szCs w:val="28"/>
        </w:rPr>
      </w:pPr>
      <w:r>
        <w:rPr>
          <w:rFonts w:ascii="Times New Roman" w:hAnsi="Times New Roman" w:cs="Times New Roman"/>
          <w:sz w:val="28"/>
          <w:szCs w:val="28"/>
        </w:rPr>
        <w:t xml:space="preserve">                    Report case study : </w:t>
      </w:r>
      <w:r w:rsidR="007E61D5">
        <w:rPr>
          <w:rFonts w:ascii="Times New Roman" w:hAnsi="Times New Roman" w:cs="Times New Roman"/>
          <w:sz w:val="28"/>
          <w:szCs w:val="28"/>
        </w:rPr>
        <w:t xml:space="preserve">The Seaview Resort </w:t>
      </w:r>
    </w:p>
    <w:p w14:paraId="0989E48F" w14:textId="05FA790E" w:rsidR="00C35CB4" w:rsidRDefault="00C35CB4" w:rsidP="005F0A03">
      <w:pPr>
        <w:rPr>
          <w:rFonts w:ascii="Times New Roman" w:hAnsi="Times New Roman" w:cs="Times New Roman"/>
          <w:sz w:val="28"/>
          <w:szCs w:val="28"/>
        </w:rPr>
      </w:pPr>
      <w:r>
        <w:rPr>
          <w:rFonts w:ascii="Times New Roman" w:hAnsi="Times New Roman" w:cs="Times New Roman"/>
          <w:sz w:val="28"/>
          <w:szCs w:val="28"/>
        </w:rPr>
        <w:t xml:space="preserve">                    Module code : BMIH5007</w:t>
      </w:r>
    </w:p>
    <w:p w14:paraId="3D9D8256" w14:textId="579FEB3C" w:rsidR="00C02887" w:rsidRDefault="00C02887" w:rsidP="005F0A03">
      <w:pPr>
        <w:rPr>
          <w:rFonts w:ascii="Times New Roman" w:hAnsi="Times New Roman" w:cs="Times New Roman"/>
          <w:sz w:val="28"/>
          <w:szCs w:val="28"/>
        </w:rPr>
      </w:pPr>
      <w:r>
        <w:rPr>
          <w:rFonts w:ascii="Times New Roman" w:hAnsi="Times New Roman" w:cs="Times New Roman"/>
          <w:sz w:val="28"/>
          <w:szCs w:val="28"/>
        </w:rPr>
        <w:t xml:space="preserve">                    Lecturer : </w:t>
      </w:r>
      <w:proofErr w:type="spellStart"/>
      <w:r>
        <w:rPr>
          <w:rFonts w:ascii="Times New Roman" w:hAnsi="Times New Roman" w:cs="Times New Roman"/>
          <w:sz w:val="28"/>
          <w:szCs w:val="28"/>
        </w:rPr>
        <w:t>Jaliya</w:t>
      </w:r>
      <w:proofErr w:type="spellEnd"/>
      <w:r>
        <w:rPr>
          <w:rFonts w:ascii="Times New Roman" w:hAnsi="Times New Roman" w:cs="Times New Roman"/>
          <w:sz w:val="28"/>
          <w:szCs w:val="28"/>
        </w:rPr>
        <w:t xml:space="preserve"> </w:t>
      </w:r>
      <w:r w:rsidR="007632D1">
        <w:rPr>
          <w:rFonts w:ascii="Times New Roman" w:hAnsi="Times New Roman" w:cs="Times New Roman"/>
          <w:sz w:val="28"/>
          <w:szCs w:val="28"/>
        </w:rPr>
        <w:t xml:space="preserve">de Silva </w:t>
      </w:r>
    </w:p>
    <w:p w14:paraId="48A33BDE" w14:textId="186B9860" w:rsidR="00FB4E23" w:rsidRDefault="00FB4E23">
      <w:pPr>
        <w:rPr>
          <w:rFonts w:ascii="Times New Roman" w:hAnsi="Times New Roman" w:cs="Times New Roman"/>
          <w:sz w:val="28"/>
          <w:szCs w:val="28"/>
        </w:rPr>
      </w:pPr>
      <w:r>
        <w:rPr>
          <w:rFonts w:ascii="Times New Roman" w:hAnsi="Times New Roman" w:cs="Times New Roman"/>
          <w:sz w:val="28"/>
          <w:szCs w:val="28"/>
        </w:rPr>
        <w:t xml:space="preserve">                    </w:t>
      </w:r>
    </w:p>
    <w:p w14:paraId="18A8C7B5" w14:textId="77777777" w:rsidR="00230FE6" w:rsidRDefault="00230FE6">
      <w:pPr>
        <w:rPr>
          <w:rFonts w:ascii="Times New Roman" w:hAnsi="Times New Roman" w:cs="Times New Roman"/>
          <w:sz w:val="28"/>
          <w:szCs w:val="28"/>
        </w:rPr>
      </w:pPr>
    </w:p>
    <w:p w14:paraId="55DAE63D" w14:textId="77777777" w:rsidR="00230FE6" w:rsidRDefault="00230FE6">
      <w:pPr>
        <w:rPr>
          <w:rFonts w:ascii="Times New Roman" w:hAnsi="Times New Roman" w:cs="Times New Roman"/>
          <w:sz w:val="28"/>
          <w:szCs w:val="28"/>
        </w:rPr>
      </w:pPr>
    </w:p>
    <w:p w14:paraId="0C083220" w14:textId="77777777" w:rsidR="00946614" w:rsidRDefault="00946614">
      <w:pPr>
        <w:rPr>
          <w:rFonts w:ascii="Times New Roman" w:hAnsi="Times New Roman" w:cs="Times New Roman"/>
          <w:sz w:val="28"/>
          <w:szCs w:val="28"/>
        </w:rPr>
      </w:pPr>
    </w:p>
    <w:p w14:paraId="59CF7763" w14:textId="77777777" w:rsidR="00946614" w:rsidRDefault="00946614">
      <w:pPr>
        <w:rPr>
          <w:rFonts w:ascii="Times New Roman" w:hAnsi="Times New Roman" w:cs="Times New Roman"/>
          <w:sz w:val="28"/>
          <w:szCs w:val="28"/>
        </w:rPr>
      </w:pPr>
    </w:p>
    <w:p w14:paraId="0AB6D2B2" w14:textId="77777777" w:rsidR="00946614" w:rsidRDefault="00946614">
      <w:pPr>
        <w:rPr>
          <w:rFonts w:ascii="Times New Roman" w:hAnsi="Times New Roman" w:cs="Times New Roman"/>
          <w:sz w:val="28"/>
          <w:szCs w:val="28"/>
        </w:rPr>
      </w:pPr>
    </w:p>
    <w:p w14:paraId="6470D381" w14:textId="77777777" w:rsidR="00946614" w:rsidRDefault="00946614">
      <w:pPr>
        <w:rPr>
          <w:rFonts w:ascii="Times New Roman" w:hAnsi="Times New Roman" w:cs="Times New Roman"/>
          <w:sz w:val="28"/>
          <w:szCs w:val="28"/>
        </w:rPr>
      </w:pPr>
    </w:p>
    <w:p w14:paraId="5253E8B3" w14:textId="77777777" w:rsidR="00946614" w:rsidRDefault="00946614">
      <w:pPr>
        <w:rPr>
          <w:rFonts w:ascii="Times New Roman" w:hAnsi="Times New Roman" w:cs="Times New Roman"/>
          <w:sz w:val="28"/>
          <w:szCs w:val="28"/>
        </w:rPr>
      </w:pPr>
    </w:p>
    <w:p w14:paraId="0B682D64" w14:textId="77777777" w:rsidR="00946614" w:rsidRDefault="00946614">
      <w:pPr>
        <w:rPr>
          <w:rFonts w:ascii="Times New Roman" w:hAnsi="Times New Roman" w:cs="Times New Roman"/>
          <w:sz w:val="28"/>
          <w:szCs w:val="28"/>
        </w:rPr>
      </w:pPr>
    </w:p>
    <w:p w14:paraId="02A2C837" w14:textId="77777777" w:rsidR="00946614" w:rsidRDefault="00946614">
      <w:pPr>
        <w:rPr>
          <w:rFonts w:ascii="Times New Roman" w:hAnsi="Times New Roman" w:cs="Times New Roman"/>
          <w:sz w:val="28"/>
          <w:szCs w:val="28"/>
        </w:rPr>
      </w:pPr>
    </w:p>
    <w:p w14:paraId="0791D12E" w14:textId="77777777" w:rsidR="00946614" w:rsidRDefault="00946614">
      <w:pPr>
        <w:rPr>
          <w:rFonts w:ascii="Times New Roman" w:hAnsi="Times New Roman" w:cs="Times New Roman"/>
          <w:sz w:val="28"/>
          <w:szCs w:val="28"/>
        </w:rPr>
      </w:pPr>
    </w:p>
    <w:p w14:paraId="5FA0CA39" w14:textId="77777777" w:rsidR="00946614" w:rsidRDefault="00946614">
      <w:pPr>
        <w:rPr>
          <w:rFonts w:ascii="Times New Roman" w:hAnsi="Times New Roman" w:cs="Times New Roman"/>
          <w:sz w:val="28"/>
          <w:szCs w:val="28"/>
        </w:rPr>
      </w:pPr>
    </w:p>
    <w:p w14:paraId="212DD081" w14:textId="77777777" w:rsidR="00946614" w:rsidRDefault="00946614">
      <w:pPr>
        <w:rPr>
          <w:rFonts w:ascii="Times New Roman" w:hAnsi="Times New Roman" w:cs="Times New Roman"/>
          <w:sz w:val="28"/>
          <w:szCs w:val="28"/>
        </w:rPr>
      </w:pPr>
    </w:p>
    <w:p w14:paraId="48B1198B" w14:textId="77777777" w:rsidR="00946614" w:rsidRDefault="00946614">
      <w:pPr>
        <w:rPr>
          <w:rFonts w:ascii="Times New Roman" w:hAnsi="Times New Roman" w:cs="Times New Roman"/>
          <w:sz w:val="28"/>
          <w:szCs w:val="28"/>
        </w:rPr>
      </w:pPr>
    </w:p>
    <w:p w14:paraId="54A9EAD3" w14:textId="77777777" w:rsidR="00230FE6" w:rsidRPr="00E16E5D" w:rsidRDefault="00230FE6">
      <w:pPr>
        <w:rPr>
          <w:sz w:val="28"/>
          <w:szCs w:val="28"/>
        </w:rPr>
      </w:pPr>
    </w:p>
    <w:p w14:paraId="6114F337" w14:textId="77777777" w:rsidR="00270E8E" w:rsidRDefault="00270E8E" w:rsidP="00270E8E"/>
    <w:sdt>
      <w:sdtPr>
        <w:rPr>
          <w:rFonts w:asciiTheme="minorHAnsi" w:eastAsiaTheme="minorHAnsi" w:hAnsiTheme="minorHAnsi" w:cstheme="minorBidi"/>
          <w:color w:val="auto"/>
          <w:sz w:val="22"/>
          <w:szCs w:val="22"/>
          <w:lang w:val="en-GB"/>
        </w:rPr>
        <w:id w:val="77414533"/>
        <w:docPartObj>
          <w:docPartGallery w:val="Table of Contents"/>
          <w:docPartUnique/>
        </w:docPartObj>
      </w:sdtPr>
      <w:sdtEndPr>
        <w:rPr>
          <w:b/>
          <w:bCs/>
          <w:noProof/>
        </w:rPr>
      </w:sdtEndPr>
      <w:sdtContent>
        <w:p w14:paraId="7BC37CF0" w14:textId="77777777" w:rsidR="00270E8E" w:rsidRDefault="00270E8E">
          <w:pPr>
            <w:pStyle w:val="TOCHeading"/>
          </w:pPr>
          <w:r>
            <w:t>Contents</w:t>
          </w:r>
        </w:p>
        <w:p w14:paraId="159CFBFA" w14:textId="77777777" w:rsidR="00270E8E" w:rsidRPr="00270E8E" w:rsidRDefault="00270E8E" w:rsidP="00270E8E">
          <w:pPr>
            <w:rPr>
              <w:lang w:val="en-US"/>
            </w:rPr>
          </w:pPr>
        </w:p>
        <w:p w14:paraId="427B51CE" w14:textId="77777777" w:rsidR="00DD383A" w:rsidRDefault="00270E8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1059568" w:history="1">
            <w:r w:rsidR="00DD383A" w:rsidRPr="00A67384">
              <w:rPr>
                <w:rStyle w:val="Hyperlink"/>
                <w:noProof/>
              </w:rPr>
              <w:t>Introduction</w:t>
            </w:r>
            <w:r w:rsidR="00DD383A">
              <w:rPr>
                <w:noProof/>
                <w:webHidden/>
              </w:rPr>
              <w:tab/>
            </w:r>
            <w:r w:rsidR="00DD383A">
              <w:rPr>
                <w:noProof/>
                <w:webHidden/>
              </w:rPr>
              <w:fldChar w:fldCharType="begin"/>
            </w:r>
            <w:r w:rsidR="00DD383A">
              <w:rPr>
                <w:noProof/>
                <w:webHidden/>
              </w:rPr>
              <w:instrText xml:space="preserve"> PAGEREF _Toc151059568 \h </w:instrText>
            </w:r>
            <w:r w:rsidR="00DD383A">
              <w:rPr>
                <w:noProof/>
                <w:webHidden/>
              </w:rPr>
            </w:r>
            <w:r w:rsidR="00DD383A">
              <w:rPr>
                <w:noProof/>
                <w:webHidden/>
              </w:rPr>
              <w:fldChar w:fldCharType="separate"/>
            </w:r>
            <w:r w:rsidR="00DD383A">
              <w:rPr>
                <w:noProof/>
                <w:webHidden/>
              </w:rPr>
              <w:t>3</w:t>
            </w:r>
            <w:r w:rsidR="00DD383A">
              <w:rPr>
                <w:noProof/>
                <w:webHidden/>
              </w:rPr>
              <w:fldChar w:fldCharType="end"/>
            </w:r>
          </w:hyperlink>
        </w:p>
        <w:p w14:paraId="0FFE1738" w14:textId="77777777" w:rsidR="00DD383A" w:rsidRDefault="00000000">
          <w:pPr>
            <w:pStyle w:val="TOC1"/>
            <w:tabs>
              <w:tab w:val="right" w:leader="dot" w:pos="9016"/>
            </w:tabs>
            <w:rPr>
              <w:rFonts w:eastAsiaTheme="minorEastAsia"/>
              <w:noProof/>
              <w:lang w:eastAsia="en-GB"/>
            </w:rPr>
          </w:pPr>
          <w:hyperlink w:anchor="_Toc151059569" w:history="1">
            <w:r w:rsidR="00DD383A" w:rsidRPr="00A67384">
              <w:rPr>
                <w:rStyle w:val="Hyperlink"/>
                <w:noProof/>
              </w:rPr>
              <w:t>Section 1: Analysis of Financial Performance for further insights.</w:t>
            </w:r>
            <w:r w:rsidR="00DD383A">
              <w:rPr>
                <w:noProof/>
                <w:webHidden/>
              </w:rPr>
              <w:tab/>
            </w:r>
            <w:r w:rsidR="00DD383A">
              <w:rPr>
                <w:noProof/>
                <w:webHidden/>
              </w:rPr>
              <w:fldChar w:fldCharType="begin"/>
            </w:r>
            <w:r w:rsidR="00DD383A">
              <w:rPr>
                <w:noProof/>
                <w:webHidden/>
              </w:rPr>
              <w:instrText xml:space="preserve"> PAGEREF _Toc151059569 \h </w:instrText>
            </w:r>
            <w:r w:rsidR="00DD383A">
              <w:rPr>
                <w:noProof/>
                <w:webHidden/>
              </w:rPr>
            </w:r>
            <w:r w:rsidR="00DD383A">
              <w:rPr>
                <w:noProof/>
                <w:webHidden/>
              </w:rPr>
              <w:fldChar w:fldCharType="separate"/>
            </w:r>
            <w:r w:rsidR="00DD383A">
              <w:rPr>
                <w:noProof/>
                <w:webHidden/>
              </w:rPr>
              <w:t>3</w:t>
            </w:r>
            <w:r w:rsidR="00DD383A">
              <w:rPr>
                <w:noProof/>
                <w:webHidden/>
              </w:rPr>
              <w:fldChar w:fldCharType="end"/>
            </w:r>
          </w:hyperlink>
        </w:p>
        <w:p w14:paraId="21CD687B" w14:textId="77777777" w:rsidR="00DD383A" w:rsidRDefault="00000000">
          <w:pPr>
            <w:pStyle w:val="TOC1"/>
            <w:tabs>
              <w:tab w:val="right" w:leader="dot" w:pos="9016"/>
            </w:tabs>
            <w:rPr>
              <w:rFonts w:eastAsiaTheme="minorEastAsia"/>
              <w:noProof/>
              <w:lang w:eastAsia="en-GB"/>
            </w:rPr>
          </w:pPr>
          <w:hyperlink w:anchor="_Toc151059570" w:history="1">
            <w:r w:rsidR="00DD383A" w:rsidRPr="00A67384">
              <w:rPr>
                <w:rStyle w:val="Hyperlink"/>
                <w:noProof/>
              </w:rPr>
              <w:t>Section 2: Key Factors Behind Decline</w:t>
            </w:r>
            <w:r w:rsidR="00DD383A">
              <w:rPr>
                <w:noProof/>
                <w:webHidden/>
              </w:rPr>
              <w:tab/>
            </w:r>
            <w:r w:rsidR="00DD383A">
              <w:rPr>
                <w:noProof/>
                <w:webHidden/>
              </w:rPr>
              <w:fldChar w:fldCharType="begin"/>
            </w:r>
            <w:r w:rsidR="00DD383A">
              <w:rPr>
                <w:noProof/>
                <w:webHidden/>
              </w:rPr>
              <w:instrText xml:space="preserve"> PAGEREF _Toc151059570 \h </w:instrText>
            </w:r>
            <w:r w:rsidR="00DD383A">
              <w:rPr>
                <w:noProof/>
                <w:webHidden/>
              </w:rPr>
            </w:r>
            <w:r w:rsidR="00DD383A">
              <w:rPr>
                <w:noProof/>
                <w:webHidden/>
              </w:rPr>
              <w:fldChar w:fldCharType="separate"/>
            </w:r>
            <w:r w:rsidR="00DD383A">
              <w:rPr>
                <w:noProof/>
                <w:webHidden/>
              </w:rPr>
              <w:t>4</w:t>
            </w:r>
            <w:r w:rsidR="00DD383A">
              <w:rPr>
                <w:noProof/>
                <w:webHidden/>
              </w:rPr>
              <w:fldChar w:fldCharType="end"/>
            </w:r>
          </w:hyperlink>
        </w:p>
        <w:p w14:paraId="602E05CE" w14:textId="77777777" w:rsidR="00DD383A" w:rsidRDefault="00000000">
          <w:pPr>
            <w:pStyle w:val="TOC1"/>
            <w:tabs>
              <w:tab w:val="right" w:leader="dot" w:pos="9016"/>
            </w:tabs>
            <w:rPr>
              <w:rFonts w:eastAsiaTheme="minorEastAsia"/>
              <w:noProof/>
              <w:lang w:eastAsia="en-GB"/>
            </w:rPr>
          </w:pPr>
          <w:hyperlink w:anchor="_Toc151059571" w:history="1">
            <w:r w:rsidR="00DD383A" w:rsidRPr="00A67384">
              <w:rPr>
                <w:rStyle w:val="Hyperlink"/>
                <w:noProof/>
              </w:rPr>
              <w:t>Section 3: Turnaround Strategy and Implementation</w:t>
            </w:r>
            <w:r w:rsidR="00DD383A">
              <w:rPr>
                <w:noProof/>
                <w:webHidden/>
              </w:rPr>
              <w:tab/>
            </w:r>
            <w:r w:rsidR="00DD383A">
              <w:rPr>
                <w:noProof/>
                <w:webHidden/>
              </w:rPr>
              <w:fldChar w:fldCharType="begin"/>
            </w:r>
            <w:r w:rsidR="00DD383A">
              <w:rPr>
                <w:noProof/>
                <w:webHidden/>
              </w:rPr>
              <w:instrText xml:space="preserve"> PAGEREF _Toc151059571 \h </w:instrText>
            </w:r>
            <w:r w:rsidR="00DD383A">
              <w:rPr>
                <w:noProof/>
                <w:webHidden/>
              </w:rPr>
            </w:r>
            <w:r w:rsidR="00DD383A">
              <w:rPr>
                <w:noProof/>
                <w:webHidden/>
              </w:rPr>
              <w:fldChar w:fldCharType="separate"/>
            </w:r>
            <w:r w:rsidR="00DD383A">
              <w:rPr>
                <w:noProof/>
                <w:webHidden/>
              </w:rPr>
              <w:t>5</w:t>
            </w:r>
            <w:r w:rsidR="00DD383A">
              <w:rPr>
                <w:noProof/>
                <w:webHidden/>
              </w:rPr>
              <w:fldChar w:fldCharType="end"/>
            </w:r>
          </w:hyperlink>
        </w:p>
        <w:p w14:paraId="60A1A8D8" w14:textId="77777777" w:rsidR="00DD383A" w:rsidRDefault="00000000">
          <w:pPr>
            <w:pStyle w:val="TOC1"/>
            <w:tabs>
              <w:tab w:val="right" w:leader="dot" w:pos="9016"/>
            </w:tabs>
            <w:rPr>
              <w:rFonts w:eastAsiaTheme="minorEastAsia"/>
              <w:noProof/>
              <w:lang w:eastAsia="en-GB"/>
            </w:rPr>
          </w:pPr>
          <w:hyperlink w:anchor="_Toc151059572" w:history="1">
            <w:r w:rsidR="00DD383A" w:rsidRPr="00A67384">
              <w:rPr>
                <w:rStyle w:val="Hyperlink"/>
                <w:noProof/>
              </w:rPr>
              <w:t>Section 4: Viability Assessment</w:t>
            </w:r>
            <w:r w:rsidR="00DD383A">
              <w:rPr>
                <w:noProof/>
                <w:webHidden/>
              </w:rPr>
              <w:tab/>
            </w:r>
            <w:r w:rsidR="00DD383A">
              <w:rPr>
                <w:noProof/>
                <w:webHidden/>
              </w:rPr>
              <w:fldChar w:fldCharType="begin"/>
            </w:r>
            <w:r w:rsidR="00DD383A">
              <w:rPr>
                <w:noProof/>
                <w:webHidden/>
              </w:rPr>
              <w:instrText xml:space="preserve"> PAGEREF _Toc151059572 \h </w:instrText>
            </w:r>
            <w:r w:rsidR="00DD383A">
              <w:rPr>
                <w:noProof/>
                <w:webHidden/>
              </w:rPr>
            </w:r>
            <w:r w:rsidR="00DD383A">
              <w:rPr>
                <w:noProof/>
                <w:webHidden/>
              </w:rPr>
              <w:fldChar w:fldCharType="separate"/>
            </w:r>
            <w:r w:rsidR="00DD383A">
              <w:rPr>
                <w:noProof/>
                <w:webHidden/>
              </w:rPr>
              <w:t>8</w:t>
            </w:r>
            <w:r w:rsidR="00DD383A">
              <w:rPr>
                <w:noProof/>
                <w:webHidden/>
              </w:rPr>
              <w:fldChar w:fldCharType="end"/>
            </w:r>
          </w:hyperlink>
        </w:p>
        <w:p w14:paraId="34D74DB9" w14:textId="77777777" w:rsidR="00DD383A" w:rsidRDefault="00000000">
          <w:pPr>
            <w:pStyle w:val="TOC1"/>
            <w:tabs>
              <w:tab w:val="right" w:leader="dot" w:pos="9016"/>
            </w:tabs>
            <w:rPr>
              <w:rFonts w:eastAsiaTheme="minorEastAsia"/>
              <w:noProof/>
              <w:lang w:eastAsia="en-GB"/>
            </w:rPr>
          </w:pPr>
          <w:hyperlink w:anchor="_Toc151059573" w:history="1">
            <w:r w:rsidR="00DD383A" w:rsidRPr="00A67384">
              <w:rPr>
                <w:rStyle w:val="Hyperlink"/>
                <w:noProof/>
              </w:rPr>
              <w:t>References</w:t>
            </w:r>
            <w:r w:rsidR="00DD383A">
              <w:rPr>
                <w:noProof/>
                <w:webHidden/>
              </w:rPr>
              <w:tab/>
            </w:r>
            <w:r w:rsidR="00DD383A">
              <w:rPr>
                <w:noProof/>
                <w:webHidden/>
              </w:rPr>
              <w:fldChar w:fldCharType="begin"/>
            </w:r>
            <w:r w:rsidR="00DD383A">
              <w:rPr>
                <w:noProof/>
                <w:webHidden/>
              </w:rPr>
              <w:instrText xml:space="preserve"> PAGEREF _Toc151059573 \h </w:instrText>
            </w:r>
            <w:r w:rsidR="00DD383A">
              <w:rPr>
                <w:noProof/>
                <w:webHidden/>
              </w:rPr>
            </w:r>
            <w:r w:rsidR="00DD383A">
              <w:rPr>
                <w:noProof/>
                <w:webHidden/>
              </w:rPr>
              <w:fldChar w:fldCharType="separate"/>
            </w:r>
            <w:r w:rsidR="00DD383A">
              <w:rPr>
                <w:noProof/>
                <w:webHidden/>
              </w:rPr>
              <w:t>9</w:t>
            </w:r>
            <w:r w:rsidR="00DD383A">
              <w:rPr>
                <w:noProof/>
                <w:webHidden/>
              </w:rPr>
              <w:fldChar w:fldCharType="end"/>
            </w:r>
          </w:hyperlink>
        </w:p>
        <w:p w14:paraId="42CD7139" w14:textId="77777777" w:rsidR="00270E8E" w:rsidRDefault="00270E8E">
          <w:r>
            <w:rPr>
              <w:b/>
              <w:bCs/>
              <w:noProof/>
            </w:rPr>
            <w:fldChar w:fldCharType="end"/>
          </w:r>
        </w:p>
      </w:sdtContent>
    </w:sdt>
    <w:p w14:paraId="5E7D6854" w14:textId="77777777" w:rsidR="00270E8E" w:rsidRDefault="00270E8E">
      <w:r>
        <w:br w:type="page"/>
      </w:r>
    </w:p>
    <w:p w14:paraId="0C184971" w14:textId="77777777" w:rsidR="00270E8E" w:rsidRDefault="00270E8E" w:rsidP="00270E8E"/>
    <w:p w14:paraId="1AC62F3F" w14:textId="77777777" w:rsidR="00270E8E" w:rsidRDefault="00270E8E" w:rsidP="00270E8E">
      <w:pPr>
        <w:pStyle w:val="Heading1"/>
      </w:pPr>
      <w:bookmarkStart w:id="0" w:name="_Toc151059568"/>
      <w:r>
        <w:t>Introduction</w:t>
      </w:r>
      <w:bookmarkEnd w:id="0"/>
    </w:p>
    <w:p w14:paraId="400F4A65" w14:textId="77777777" w:rsidR="00270E8E" w:rsidRPr="00270E8E" w:rsidRDefault="00270E8E" w:rsidP="00270E8E"/>
    <w:p w14:paraId="25A5DB9C" w14:textId="77777777" w:rsidR="00270E8E" w:rsidRDefault="00270E8E" w:rsidP="00DD383A">
      <w:pPr>
        <w:spacing w:line="360" w:lineRule="auto"/>
        <w:jc w:val="both"/>
      </w:pPr>
      <w:r>
        <w:t>Over the last three years, The Seaview Resort has experienced a dramatic decrease in financial performance as revenues decreased and costs increased; net profit margins decreased from 15% in 2020 to just 4% by 2022 due to these factors:</w:t>
      </w:r>
    </w:p>
    <w:p w14:paraId="66E6BE1F" w14:textId="77777777" w:rsidR="00270E8E" w:rsidRDefault="00270E8E" w:rsidP="00DD383A">
      <w:pPr>
        <w:spacing w:line="360" w:lineRule="auto"/>
        <w:jc w:val="both"/>
      </w:pPr>
      <w:r>
        <w:t>Declining average room rates and occupancy as the resort loses its competitive position</w:t>
      </w:r>
    </w:p>
    <w:p w14:paraId="3D188BEB" w14:textId="77777777" w:rsidR="00270E8E" w:rsidRDefault="00270E8E" w:rsidP="00DD383A">
      <w:pPr>
        <w:spacing w:line="360" w:lineRule="auto"/>
        <w:jc w:val="both"/>
      </w:pPr>
      <w:r>
        <w:t>Rising operating expenses associated with outdated facilities and ineffective operations Lack of investment to meet changing customer preferences.</w:t>
      </w:r>
    </w:p>
    <w:p w14:paraId="71BC9C59" w14:textId="0ADE75E3" w:rsidR="00270E8E" w:rsidRDefault="00270E8E" w:rsidP="00DD383A">
      <w:pPr>
        <w:spacing w:line="360" w:lineRule="auto"/>
        <w:jc w:val="both"/>
      </w:pPr>
      <w:r>
        <w:t>As competition from newer resorts with better amenities intensifies, The Seaview Resort needs to devise a three-pronged turnaround strategy designed to increase revenues, cut costs and reposition their offerings. Such initiatives could include:</w:t>
      </w:r>
    </w:p>
    <w:p w14:paraId="6BC6E456" w14:textId="77777777" w:rsidR="00270E8E" w:rsidRDefault="00270E8E" w:rsidP="00DD383A">
      <w:pPr>
        <w:spacing w:line="360" w:lineRule="auto"/>
        <w:jc w:val="both"/>
      </w:pPr>
      <w:r>
        <w:t>-Renovating and refreshing resort amenities to meet modern customer expectations</w:t>
      </w:r>
    </w:p>
    <w:p w14:paraId="4832A78F" w14:textId="77777777" w:rsidR="00270E8E" w:rsidRDefault="00270E8E" w:rsidP="00DD383A">
      <w:pPr>
        <w:spacing w:line="360" w:lineRule="auto"/>
        <w:jc w:val="both"/>
      </w:pPr>
      <w:r>
        <w:t>-Implementing customer-focused service standards and training programs; right sizing staff and operations to maximize efficiency; right sizing staff for improved efficiency; right sizing operations to increase efficiency and right sizing operations to increase effectiveness</w:t>
      </w:r>
    </w:p>
    <w:p w14:paraId="5A52FD94" w14:textId="77777777" w:rsidR="00270E8E" w:rsidRDefault="00270E8E" w:rsidP="00DD383A">
      <w:pPr>
        <w:spacing w:line="360" w:lineRule="auto"/>
        <w:jc w:val="both"/>
      </w:pPr>
      <w:r>
        <w:t>-Renegotiating vendor contracts to secure discounts for supplies and services</w:t>
      </w:r>
    </w:p>
    <w:p w14:paraId="3CD6EE6F" w14:textId="77777777" w:rsidR="00270E8E" w:rsidRDefault="00270E8E" w:rsidP="00DD383A">
      <w:pPr>
        <w:spacing w:line="360" w:lineRule="auto"/>
        <w:jc w:val="both"/>
      </w:pPr>
      <w:r>
        <w:t>-Establish partnerships with travel companies, airlines and event planners</w:t>
      </w:r>
    </w:p>
    <w:p w14:paraId="1C85DFBC" w14:textId="77777777" w:rsidR="00270E8E" w:rsidRDefault="00270E8E" w:rsidP="00DD383A">
      <w:pPr>
        <w:spacing w:line="360" w:lineRule="auto"/>
        <w:jc w:val="both"/>
      </w:pPr>
      <w:r>
        <w:t>-Relaunch marketing campaigns in order to reposition the resort's brand and value proposition</w:t>
      </w:r>
    </w:p>
    <w:p w14:paraId="56E4E6BE" w14:textId="77777777" w:rsidR="00270E8E" w:rsidRDefault="00270E8E" w:rsidP="00DD383A">
      <w:pPr>
        <w:spacing w:line="360" w:lineRule="auto"/>
        <w:jc w:val="both"/>
      </w:pPr>
      <w:r>
        <w:t>Reducing costs while making strategic investments in high-impact areas will allow a resort to return to 65%+ occupancy and PS250+ ADR within two years, projected to improve net profit margins back up to approximately 12-15%. If this strategy cannot be successfully executed, one viable financial option could be selling the property off to another hotel chain or investment group who may see substantial unrealized value in its land, facilities and branding assets.</w:t>
      </w:r>
    </w:p>
    <w:p w14:paraId="2674F0C0" w14:textId="77777777" w:rsidR="00270E8E" w:rsidRDefault="00270E8E" w:rsidP="00DD383A">
      <w:pPr>
        <w:pStyle w:val="Heading1"/>
        <w:spacing w:line="360" w:lineRule="auto"/>
        <w:jc w:val="both"/>
      </w:pPr>
      <w:r>
        <w:t xml:space="preserve"> </w:t>
      </w:r>
      <w:bookmarkStart w:id="1" w:name="_Toc151059569"/>
      <w:r>
        <w:t>Section 1: Analysis of Financial Performance for further insights.</w:t>
      </w:r>
      <w:bookmarkEnd w:id="1"/>
    </w:p>
    <w:p w14:paraId="6F44B48A" w14:textId="77777777" w:rsidR="00270E8E" w:rsidRPr="00270E8E" w:rsidRDefault="00270E8E" w:rsidP="00DD383A">
      <w:pPr>
        <w:spacing w:line="360" w:lineRule="auto"/>
        <w:jc w:val="both"/>
      </w:pPr>
    </w:p>
    <w:p w14:paraId="39CEF437" w14:textId="77777777" w:rsidR="00270E8E" w:rsidRDefault="00270E8E" w:rsidP="00DD383A">
      <w:pPr>
        <w:spacing w:line="360" w:lineRule="auto"/>
        <w:jc w:val="both"/>
      </w:pPr>
      <w:r>
        <w:t>Revenue Analysis Total revenue at The Seaview Resort has seen an 18% decrease over three years, from PS520,000 in 2020 to PS430,000 in 2022 (Financial Performance 2022). This indicates a substantial drop in business at the resort caused by decreased occupancy and daily room rates.</w:t>
      </w:r>
    </w:p>
    <w:p w14:paraId="537BB2FA" w14:textId="77777777" w:rsidR="00270E8E" w:rsidRDefault="00270E8E" w:rsidP="00DD383A">
      <w:pPr>
        <w:spacing w:line="360" w:lineRule="auto"/>
        <w:jc w:val="both"/>
      </w:pPr>
      <w:r>
        <w:lastRenderedPageBreak/>
        <w:t>Occupancy decreased from 75% in 2020 to 60% by 2022 (Additional Financial Information 2022), as average daily room rates fell from PS250 in 2020 to PS210 by 2022 - both metrics suggest major competitiveness issues when it came to attracting guests and charging premium pricing, possibly because newer rival resorts had better facilities, services, and branding capabilities in their offerings.</w:t>
      </w:r>
    </w:p>
    <w:p w14:paraId="4B8E0839" w14:textId="77777777" w:rsidR="00270E8E" w:rsidRDefault="00270E8E" w:rsidP="00DD383A">
      <w:pPr>
        <w:spacing w:line="360" w:lineRule="auto"/>
        <w:jc w:val="both"/>
      </w:pPr>
      <w:r>
        <w:t>Expenses and Profitability</w:t>
      </w:r>
    </w:p>
    <w:p w14:paraId="22DE3FA9" w14:textId="77777777" w:rsidR="00270E8E" w:rsidRDefault="00270E8E" w:rsidP="00DD383A">
      <w:pPr>
        <w:spacing w:line="360" w:lineRule="auto"/>
        <w:jc w:val="both"/>
      </w:pPr>
      <w:r>
        <w:t>While revenues were declining, The Seaview's operating expenses actually increased from PS390,000 to PS450,000 between 2020-2022 (Financial Performance 2022). This 15% rise highlights issues in cost control and efficiency; likely waste or inefficiency areas include staffing costs, utilities usage fees, maintenance requirements for outdated facilities as well as supplies related to them.</w:t>
      </w:r>
    </w:p>
    <w:p w14:paraId="433CFEC7" w14:textId="77777777" w:rsidR="00270E8E" w:rsidRDefault="00270E8E" w:rsidP="00DD383A">
      <w:pPr>
        <w:spacing w:line="360" w:lineRule="auto"/>
        <w:jc w:val="both"/>
      </w:pPr>
      <w:r>
        <w:t>Due to declining revenue and rising costs, overall profitability metrics deteriorated over three years: gross profit margin dropped from 25% to 19% while net profit dropped 78% from PS78,000 to just PS17,500</w:t>
      </w:r>
    </w:p>
    <w:p w14:paraId="1606DD9B" w14:textId="77777777" w:rsidR="00270E8E" w:rsidRDefault="00270E8E" w:rsidP="00DD383A">
      <w:pPr>
        <w:spacing w:line="360" w:lineRule="auto"/>
        <w:jc w:val="both"/>
      </w:pPr>
      <w:r>
        <w:t>Net profit margin has declined rapidly from 15% to 4% (Financial Performance 2022), which indicates its current business model cannot remain sustainable without dramatic change.</w:t>
      </w:r>
    </w:p>
    <w:p w14:paraId="20703776" w14:textId="77777777" w:rsidR="00270E8E" w:rsidRDefault="00270E8E" w:rsidP="00DD383A">
      <w:pPr>
        <w:spacing w:line="360" w:lineRule="auto"/>
        <w:jc w:val="both"/>
      </w:pPr>
      <w:r>
        <w:t>Cash Flow and Financial Stability mes In 2021, The Seaview Resort experienced both profit declines and negative cash flow from operations (at -PS80,000; Cash Flow Analysis 2021), leading to net cash outflow of -PS110,000 that quickly depleted cash reserves of the business.</w:t>
      </w:r>
    </w:p>
    <w:p w14:paraId="0C0C6D88" w14:textId="77777777" w:rsidR="00270E8E" w:rsidRDefault="00270E8E" w:rsidP="00DD383A">
      <w:pPr>
        <w:spacing w:line="360" w:lineRule="auto"/>
        <w:jc w:val="both"/>
      </w:pPr>
      <w:r>
        <w:t>Rising liabilities totalling PS680,000 including long-term debt (PS500,000), declining cash flows pose a substantial threat to The Seaview's financial health and ability to meet obligations (Balance Sheet Analysis 2022). Successive years of losses have also eroded away at its equity cushion.</w:t>
      </w:r>
    </w:p>
    <w:p w14:paraId="53D2AEB5" w14:textId="77777777" w:rsidR="00270E8E" w:rsidRDefault="00270E8E" w:rsidP="00DD383A">
      <w:pPr>
        <w:spacing w:line="360" w:lineRule="auto"/>
        <w:jc w:val="both"/>
      </w:pPr>
      <w:r>
        <w:t>Overall, The Seaview Resort's trends in revenues, expenses, profitability, cash flow and leverage demonstrate its precarious financial state and demand immediate action to be taken to preserve it. These key indicators suggest a substantial decline that requires urgent remedying measures.</w:t>
      </w:r>
    </w:p>
    <w:p w14:paraId="5485275A" w14:textId="77777777" w:rsidR="00270E8E" w:rsidRDefault="00270E8E" w:rsidP="00DD383A">
      <w:pPr>
        <w:pStyle w:val="Heading1"/>
        <w:spacing w:line="360" w:lineRule="auto"/>
        <w:jc w:val="both"/>
      </w:pPr>
      <w:bookmarkStart w:id="2" w:name="_Toc151059570"/>
      <w:r>
        <w:t>Section 2: Key Factors Behind Decline</w:t>
      </w:r>
      <w:bookmarkEnd w:id="2"/>
    </w:p>
    <w:p w14:paraId="13437A1F" w14:textId="77777777" w:rsidR="00270E8E" w:rsidRPr="00270E8E" w:rsidRDefault="00270E8E" w:rsidP="00DD383A">
      <w:pPr>
        <w:spacing w:line="360" w:lineRule="auto"/>
        <w:jc w:val="both"/>
      </w:pPr>
    </w:p>
    <w:p w14:paraId="1EB0A33F" w14:textId="77777777" w:rsidR="00270E8E" w:rsidRDefault="00270E8E" w:rsidP="00DD383A">
      <w:pPr>
        <w:spacing w:line="360" w:lineRule="auto"/>
        <w:jc w:val="both"/>
      </w:pPr>
      <w:r>
        <w:t>Market Competition</w:t>
      </w:r>
    </w:p>
    <w:p w14:paraId="79737343" w14:textId="77777777" w:rsidR="00270E8E" w:rsidRDefault="00270E8E" w:rsidP="00DD383A">
      <w:pPr>
        <w:spacing w:line="360" w:lineRule="auto"/>
        <w:jc w:val="both"/>
      </w:pPr>
      <w:r>
        <w:t>Competition within the coastal resort and hospitality market has become more fierce in recent years, as newer properties offer updated amenities, stylish branding and desirable locations (Market Analysis 2022). Many of these competitors may have taken away some business from The Seaview Resort.</w:t>
      </w:r>
    </w:p>
    <w:p w14:paraId="5D19C733" w14:textId="77777777" w:rsidR="00270E8E" w:rsidRDefault="00270E8E" w:rsidP="00DD383A">
      <w:pPr>
        <w:spacing w:line="360" w:lineRule="auto"/>
        <w:jc w:val="both"/>
      </w:pPr>
      <w:r>
        <w:lastRenderedPageBreak/>
        <w:t>Outdated Facilities</w:t>
      </w:r>
    </w:p>
    <w:p w14:paraId="40FBE517" w14:textId="77777777" w:rsidR="00270E8E" w:rsidRDefault="00270E8E" w:rsidP="00DD383A">
      <w:pPr>
        <w:spacing w:line="360" w:lineRule="auto"/>
        <w:jc w:val="both"/>
      </w:pPr>
      <w:r>
        <w:t>Customer reviews cite The Seaview's outdated, poorly maintained facilities as a major cause of guest dissatisfaction. As it doesn't meet modern expectations in terms of features and amenities that contribute to overall guest experience (Market Analysis 2022), guests may perceive lower value relative to pricing (Market Analysis 2022). Deferred maintenance also drives up operating costs over time.</w:t>
      </w:r>
    </w:p>
    <w:p w14:paraId="1A907CF9" w14:textId="77777777" w:rsidR="00270E8E" w:rsidRDefault="00270E8E" w:rsidP="00DD383A">
      <w:pPr>
        <w:spacing w:line="360" w:lineRule="auto"/>
        <w:jc w:val="both"/>
      </w:pPr>
      <w:r>
        <w:t>Operating Inefficiency</w:t>
      </w:r>
    </w:p>
    <w:p w14:paraId="3417193A" w14:textId="77777777" w:rsidR="00270E8E" w:rsidRDefault="00270E8E" w:rsidP="00DD383A">
      <w:pPr>
        <w:spacing w:line="360" w:lineRule="auto"/>
        <w:jc w:val="both"/>
      </w:pPr>
      <w:r>
        <w:t>Soaring operating expenses combined with declining occupancy points to significant inefficiency in labor, utility usage, supplies, and other costs for The Seaview Hotel. Excess staffing may contribute to excess staff waste from poor practices while its high inventory levels tie up cash while creating unnecessary clutter (Balance Sheet Analysis 2022).</w:t>
      </w:r>
    </w:p>
    <w:p w14:paraId="752F8575" w14:textId="77777777" w:rsidR="00270E8E" w:rsidRDefault="00270E8E" w:rsidP="00DD383A">
      <w:pPr>
        <w:spacing w:line="360" w:lineRule="auto"/>
        <w:jc w:val="both"/>
      </w:pPr>
      <w:r>
        <w:t>Lack of Innovation</w:t>
      </w:r>
    </w:p>
    <w:p w14:paraId="3B1FCCF8" w14:textId="77777777" w:rsidR="00270E8E" w:rsidRDefault="00270E8E" w:rsidP="00DD383A">
      <w:pPr>
        <w:spacing w:line="360" w:lineRule="auto"/>
        <w:jc w:val="both"/>
      </w:pPr>
      <w:r>
        <w:t>Unfortunately, Seaview Resort has fallen behind on keeping pace with evolving consumer preferences and travel trends. Modern guests value unique, authentic local experiences tailored specifically to them (Market Analysis 2022), necessitating more innovative offerings in terms of sustainability, wellness, culinary delights, entertainment technology and much more.</w:t>
      </w:r>
    </w:p>
    <w:p w14:paraId="4E071C7C" w14:textId="77777777" w:rsidR="00270E8E" w:rsidRDefault="00270E8E" w:rsidP="00DD383A">
      <w:pPr>
        <w:spacing w:line="360" w:lineRule="auto"/>
        <w:jc w:val="both"/>
      </w:pPr>
      <w:r>
        <w:t>Negative Reviews and Declining Occupancy</w:t>
      </w:r>
    </w:p>
    <w:p w14:paraId="01DCAB73" w14:textId="77777777" w:rsidR="00270E8E" w:rsidRDefault="00270E8E" w:rsidP="00DD383A">
      <w:pPr>
        <w:spacing w:line="360" w:lineRule="auto"/>
        <w:jc w:val="both"/>
      </w:pPr>
      <w:r>
        <w:t>Negative reviews and declining occupancy have demonstrated to management that guests no longer perceive The Seaview as a top destination. Both its brand image and reputation have taken a hit relative to historical perceptions and new competing resorts; as a result, The Seaview requires a new positioning strategy and identity which feels contemporary and relevant for its guests.</w:t>
      </w:r>
    </w:p>
    <w:p w14:paraId="09AA0B8F" w14:textId="77777777" w:rsidR="00270E8E" w:rsidRDefault="00270E8E" w:rsidP="00DD383A">
      <w:pPr>
        <w:spacing w:line="360" w:lineRule="auto"/>
        <w:jc w:val="both"/>
      </w:pPr>
      <w:r>
        <w:t>Financial Constraints</w:t>
      </w:r>
    </w:p>
    <w:p w14:paraId="5B8A29F1" w14:textId="77777777" w:rsidR="00270E8E" w:rsidRDefault="00270E8E" w:rsidP="00DD383A">
      <w:pPr>
        <w:spacing w:line="360" w:lineRule="auto"/>
        <w:jc w:val="both"/>
      </w:pPr>
      <w:r>
        <w:t xml:space="preserve">Declining cash flows, mounting debt obligations, and an increasingly tenuous equity position severely limit The Seaview's capacity to fund improvements and innovations. This financial Catch-22 further hinders efforts to rejuvenate its appeal. </w:t>
      </w:r>
    </w:p>
    <w:p w14:paraId="5E77EDD6" w14:textId="77777777" w:rsidR="00270E8E" w:rsidRDefault="00270E8E" w:rsidP="00DD383A">
      <w:pPr>
        <w:pStyle w:val="Heading1"/>
        <w:spacing w:line="360" w:lineRule="auto"/>
        <w:jc w:val="both"/>
      </w:pPr>
      <w:bookmarkStart w:id="3" w:name="_Toc151059571"/>
      <w:r>
        <w:t>Section 3: Turnaround Strategy and Implementation</w:t>
      </w:r>
      <w:bookmarkEnd w:id="3"/>
    </w:p>
    <w:p w14:paraId="39EC1FDB" w14:textId="77777777" w:rsidR="00270E8E" w:rsidRPr="00270E8E" w:rsidRDefault="00270E8E" w:rsidP="00DD383A">
      <w:pPr>
        <w:spacing w:line="360" w:lineRule="auto"/>
        <w:jc w:val="both"/>
      </w:pPr>
    </w:p>
    <w:p w14:paraId="328EEABA" w14:textId="77777777" w:rsidR="00270E8E" w:rsidRDefault="00270E8E" w:rsidP="00DD383A">
      <w:pPr>
        <w:spacing w:line="360" w:lineRule="auto"/>
        <w:jc w:val="both"/>
      </w:pPr>
      <w:r>
        <w:t xml:space="preserve">For The Seaview Resort to realize a successful financial turnaround, strategic initiatives focused on increasing revenue and decreasing costs are necessary: </w:t>
      </w:r>
    </w:p>
    <w:p w14:paraId="2FCFB711" w14:textId="77777777" w:rsidR="00270E8E" w:rsidRDefault="00270E8E" w:rsidP="00DD383A">
      <w:pPr>
        <w:spacing w:line="360" w:lineRule="auto"/>
        <w:jc w:val="both"/>
      </w:pPr>
      <w:r>
        <w:lastRenderedPageBreak/>
        <w:t>1. Generating More Revenue: Attract new guests while expanding wallet share</w:t>
      </w:r>
    </w:p>
    <w:p w14:paraId="4EAEC451" w14:textId="77777777" w:rsidR="00270E8E" w:rsidRDefault="00270E8E" w:rsidP="00DD383A">
      <w:pPr>
        <w:spacing w:line="360" w:lineRule="auto"/>
        <w:jc w:val="both"/>
      </w:pPr>
      <w:r>
        <w:t>2. Enhance Operational Efficiency/ Eliminate Waste</w:t>
      </w:r>
    </w:p>
    <w:p w14:paraId="21AE39A9" w14:textId="77777777" w:rsidR="00270E8E" w:rsidRDefault="00270E8E" w:rsidP="00DD383A">
      <w:pPr>
        <w:spacing w:line="360" w:lineRule="auto"/>
        <w:jc w:val="both"/>
      </w:pPr>
      <w:r>
        <w:t>3. Repositioning the Resort: Upgrading Amenities, Experiences, and Branding</w:t>
      </w:r>
    </w:p>
    <w:p w14:paraId="33E6C0E4" w14:textId="77777777" w:rsidR="00270E8E" w:rsidRDefault="00270E8E" w:rsidP="00DD383A">
      <w:pPr>
        <w:spacing w:line="360" w:lineRule="auto"/>
        <w:jc w:val="both"/>
      </w:pPr>
      <w:r>
        <w:t>These strategies focus on immediate issues for stability while setting up long-term profitability growth:</w:t>
      </w:r>
    </w:p>
    <w:p w14:paraId="3682C305" w14:textId="77777777" w:rsidR="00270E8E" w:rsidRDefault="00270E8E" w:rsidP="00DD383A">
      <w:pPr>
        <w:spacing w:line="360" w:lineRule="auto"/>
        <w:jc w:val="both"/>
      </w:pPr>
      <w:r>
        <w:t>-Renovate high-impact guest amenities such as lobby, rooms, pools and restaurants for increased room rates. Modern designs will help enhance these spaces with stylish facelifts that create increased occupancy rates.</w:t>
      </w:r>
    </w:p>
    <w:p w14:paraId="518068A3" w14:textId="77777777" w:rsidR="00270E8E" w:rsidRDefault="00270E8E" w:rsidP="00DD383A">
      <w:pPr>
        <w:spacing w:line="360" w:lineRule="auto"/>
        <w:jc w:val="both"/>
      </w:pPr>
      <w:r>
        <w:t>-Craft new amenities and experiences using local assets such as coast, culture, and cuisine to build upon local strengths. Offering wellness programs or cooking lessons increases revenue opportunities.</w:t>
      </w:r>
    </w:p>
    <w:p w14:paraId="463B1C8A" w14:textId="77777777" w:rsidR="00270E8E" w:rsidRDefault="00270E8E" w:rsidP="00DD383A">
      <w:pPr>
        <w:spacing w:line="360" w:lineRule="auto"/>
        <w:jc w:val="both"/>
      </w:pPr>
      <w:r>
        <w:t>-Form partnerships with leading travel brands, airlines and meeting/event planners to expand marketing and booking channels. Run promotions targeted towards peak need seasons, slower weekdays, multi-night packages as well as providing incentives for direct bookings.</w:t>
      </w:r>
    </w:p>
    <w:p w14:paraId="64C2C67A" w14:textId="77777777" w:rsidR="00270E8E" w:rsidRDefault="00270E8E" w:rsidP="00DD383A">
      <w:pPr>
        <w:spacing w:line="360" w:lineRule="auto"/>
        <w:jc w:val="both"/>
      </w:pPr>
      <w:r>
        <w:t>-Increase bookings through affiliates and online travel agencies with performance-based payments, -only.</w:t>
      </w:r>
    </w:p>
    <w:p w14:paraId="1F452930" w14:textId="77777777" w:rsidR="00270E8E" w:rsidRDefault="00270E8E" w:rsidP="00DD383A">
      <w:pPr>
        <w:spacing w:line="360" w:lineRule="auto"/>
        <w:jc w:val="both"/>
      </w:pPr>
      <w:r>
        <w:t>-Build a guest loyalty program to encourage repeat visits and build customer lifetime value while offering personalized promotions and elite benefits. Reduce Costs.</w:t>
      </w:r>
    </w:p>
    <w:p w14:paraId="3B49DB5F" w14:textId="77777777" w:rsidR="00270E8E" w:rsidRDefault="00270E8E" w:rsidP="00DD383A">
      <w:pPr>
        <w:spacing w:line="360" w:lineRule="auto"/>
        <w:jc w:val="both"/>
      </w:pPr>
      <w:r>
        <w:t>-Conduct a utility audit and implement LED lighting, low-flow plumbing fixtures and upgraded HVAC controls. Evaluate and right size staffing levels according to business demand patterns while adapting schedules accordingly.</w:t>
      </w:r>
    </w:p>
    <w:p w14:paraId="1B71A98D" w14:textId="77777777" w:rsidR="00270E8E" w:rsidRDefault="00270E8E" w:rsidP="00DD383A">
      <w:pPr>
        <w:spacing w:line="360" w:lineRule="auto"/>
        <w:jc w:val="both"/>
      </w:pPr>
      <w:r>
        <w:t>-Renegotiate contracts with vendors and suppliers to obtain at least 10% discounts on goods and services, while eliminating waste through improved inventory management, preventative maintenance and sustainable practices. Finally, postpone non-essential capital expenditures until your balance sheet has become healthier.</w:t>
      </w:r>
    </w:p>
    <w:p w14:paraId="7282381F" w14:textId="77777777" w:rsidR="00270E8E" w:rsidRDefault="00270E8E" w:rsidP="00DD383A">
      <w:pPr>
        <w:spacing w:line="360" w:lineRule="auto"/>
        <w:jc w:val="both"/>
      </w:pPr>
      <w:r>
        <w:t>-Examine savings through policy bundling discounts to lower insurance costs, as well as exploring savings through bundle discounts for property insurance policies.</w:t>
      </w:r>
    </w:p>
    <w:p w14:paraId="08AFFC6B" w14:textId="77777777" w:rsidR="00270E8E" w:rsidRDefault="00270E8E" w:rsidP="00DD383A">
      <w:pPr>
        <w:spacing w:line="360" w:lineRule="auto"/>
        <w:jc w:val="both"/>
      </w:pPr>
      <w:r>
        <w:t>Reposition the Resort</w:t>
      </w:r>
    </w:p>
    <w:p w14:paraId="627351C9" w14:textId="77777777" w:rsidR="00270E8E" w:rsidRDefault="00270E8E" w:rsidP="00DD383A">
      <w:pPr>
        <w:spacing w:line="360" w:lineRule="auto"/>
        <w:jc w:val="both"/>
      </w:pPr>
      <w:r>
        <w:t>-Work with brand agency to create updated logo, graphics, photography and collateral which convey an experience reminiscent of luxury living.</w:t>
      </w:r>
    </w:p>
    <w:p w14:paraId="7D157FB5" w14:textId="77777777" w:rsidR="00270E8E" w:rsidRDefault="00270E8E" w:rsidP="00DD383A">
      <w:pPr>
        <w:spacing w:line="360" w:lineRule="auto"/>
        <w:jc w:val="both"/>
      </w:pPr>
      <w:r>
        <w:lastRenderedPageBreak/>
        <w:t>-Redesign the property website and social media presence to highlight new amenities, experiences, promotions. Focus on lifestyle visuals rather than product images; produce video/photo assets highlighting its location and unique offerings to increase visual appeal.</w:t>
      </w:r>
    </w:p>
    <w:p w14:paraId="3CD12DFA" w14:textId="77777777" w:rsidR="00270E8E" w:rsidRDefault="00270E8E" w:rsidP="00DD383A">
      <w:pPr>
        <w:spacing w:line="360" w:lineRule="auto"/>
        <w:jc w:val="both"/>
      </w:pPr>
      <w:r>
        <w:t>-Launch updated public relations and social media campaigns to reengage travel media and influencers. Host special events to highlight recent enhancements and drive word-of-mouth advertising. Refresh on-site signage and collateral materials in order to inform guests and cross sell amenities available to guests.</w:t>
      </w:r>
    </w:p>
    <w:p w14:paraId="3FDDA6F6" w14:textId="77777777" w:rsidR="00270E8E" w:rsidRDefault="00270E8E" w:rsidP="00DD383A">
      <w:pPr>
        <w:spacing w:line="360" w:lineRule="auto"/>
        <w:jc w:val="both"/>
      </w:pPr>
      <w:r>
        <w:t xml:space="preserve">-Highlight sustainable and community engagement efforts to appeal to eco-conscious </w:t>
      </w:r>
      <w:proofErr w:type="spellStart"/>
      <w:r>
        <w:t>travelers</w:t>
      </w:r>
      <w:proofErr w:type="spellEnd"/>
      <w:r>
        <w:t>.</w:t>
      </w:r>
    </w:p>
    <w:p w14:paraId="355B0EB9" w14:textId="77777777" w:rsidR="00270E8E" w:rsidRDefault="00270E8E" w:rsidP="00DD383A">
      <w:pPr>
        <w:spacing w:line="360" w:lineRule="auto"/>
        <w:jc w:val="both"/>
      </w:pPr>
      <w:r>
        <w:t xml:space="preserve">Proposed Implementation Timeline. </w:t>
      </w:r>
    </w:p>
    <w:p w14:paraId="0150A381" w14:textId="77777777" w:rsidR="00270E8E" w:rsidRDefault="00270E8E" w:rsidP="00DD383A">
      <w:pPr>
        <w:spacing w:line="360" w:lineRule="auto"/>
        <w:jc w:val="both"/>
      </w:pPr>
      <w:r>
        <w:t>Months 1-2. Critical short-term actions to cut costs and increase occupancy: Right-size staffing levels and negotiate vendor discounts.</w:t>
      </w:r>
    </w:p>
    <w:p w14:paraId="0D9D4C9B" w14:textId="77777777" w:rsidR="00270E8E" w:rsidRDefault="00270E8E" w:rsidP="00DD383A">
      <w:pPr>
        <w:spacing w:line="360" w:lineRule="auto"/>
        <w:jc w:val="both"/>
      </w:pPr>
      <w:r>
        <w:t>Launch promotions for low-need dates, packages and loyalty program; list property on OTAs and affiliate channels; initiate website updates and direct booking incentives</w:t>
      </w:r>
    </w:p>
    <w:p w14:paraId="66908763" w14:textId="77777777" w:rsidR="00270E8E" w:rsidRDefault="00270E8E" w:rsidP="00DD383A">
      <w:pPr>
        <w:spacing w:line="360" w:lineRule="auto"/>
        <w:jc w:val="both"/>
      </w:pPr>
      <w:r>
        <w:t>Months 3-4: Start providing visible amenity upgrades that delight guests:</w:t>
      </w:r>
    </w:p>
    <w:p w14:paraId="51A6C555" w14:textId="77777777" w:rsidR="00270E8E" w:rsidRDefault="00270E8E" w:rsidP="00DD383A">
      <w:pPr>
        <w:spacing w:line="360" w:lineRule="auto"/>
        <w:jc w:val="both"/>
      </w:pPr>
      <w:r>
        <w:t>Refresh high-traffic spaces like lobby, restaurants and outdoor areas with new paint or carpet; build offerings leveraging local assets like food, culture and nature; establish co-marketing partnerships with complementary brands; and engage complementary brands to form co-marketing agreements for co-marketing purposes (Mills 5-6). Reposition your brand through awareness rebuilding efforts:</w:t>
      </w:r>
    </w:p>
    <w:p w14:paraId="05ED2061" w14:textId="77777777" w:rsidR="00270E8E" w:rsidRDefault="00270E8E" w:rsidP="00DD383A">
      <w:pPr>
        <w:spacing w:line="360" w:lineRule="auto"/>
        <w:jc w:val="both"/>
      </w:pPr>
      <w:r>
        <w:t>Launch revised logo, visual identity, photography and website; produce video and photo content to highlight property and experiences; engage media and influencers to assist telling revitalization story</w:t>
      </w:r>
    </w:p>
    <w:p w14:paraId="74FFDC30" w14:textId="77777777" w:rsidR="00270E8E" w:rsidRDefault="00270E8E" w:rsidP="00DD383A">
      <w:pPr>
        <w:spacing w:line="360" w:lineRule="auto"/>
        <w:jc w:val="both"/>
      </w:pPr>
      <w:r>
        <w:t>Months 7-12: Large-scale renovations and innovation to transform resort:</w:t>
      </w:r>
    </w:p>
    <w:p w14:paraId="16AF0B0F" w14:textId="77777777" w:rsidR="00270E8E" w:rsidRDefault="00270E8E" w:rsidP="00DD383A">
      <w:pPr>
        <w:spacing w:line="360" w:lineRule="auto"/>
        <w:jc w:val="both"/>
      </w:pPr>
      <w:r>
        <w:t>Complete room, suite and pool enhancements.</w:t>
      </w:r>
    </w:p>
    <w:p w14:paraId="54480E66" w14:textId="77777777" w:rsidR="00270E8E" w:rsidRDefault="00270E8E" w:rsidP="00DD383A">
      <w:pPr>
        <w:spacing w:line="360" w:lineRule="auto"/>
        <w:jc w:val="both"/>
      </w:pPr>
      <w:r>
        <w:t>As demand dictates, new amenities and experiences should be introduced on an as-needed basis, while PR and social campaigns, events, and promotions to maintain momentum are carried out to maintain momentum and accelerate improvements within two years. Our aim is to achieve rapid improvements in key metrics over the course of two years:</w:t>
      </w:r>
    </w:p>
    <w:p w14:paraId="6B5D31A0" w14:textId="77777777" w:rsidR="00270E8E" w:rsidRDefault="00270E8E" w:rsidP="00DD383A">
      <w:pPr>
        <w:spacing w:line="360" w:lineRule="auto"/>
        <w:jc w:val="both"/>
      </w:pPr>
      <w:r>
        <w:t>Occupancy rate between 65-70% with daily rates between PS240-PS250 for daily rates with gross profit margin between 25-30% and net profit margin between 12-15%</w:t>
      </w:r>
    </w:p>
    <w:p w14:paraId="7145A768" w14:textId="77777777" w:rsidR="00270E8E" w:rsidRDefault="00270E8E" w:rsidP="00DD383A">
      <w:pPr>
        <w:spacing w:line="360" w:lineRule="auto"/>
        <w:jc w:val="both"/>
      </w:pPr>
      <w:r>
        <w:lastRenderedPageBreak/>
        <w:t>By meeting these targets, achieving them will restore financial health to the resort and position it for future expansion.</w:t>
      </w:r>
    </w:p>
    <w:p w14:paraId="18342A5C" w14:textId="77777777" w:rsidR="00270E8E" w:rsidRDefault="00270E8E" w:rsidP="00DD383A">
      <w:pPr>
        <w:pStyle w:val="Heading1"/>
        <w:spacing w:line="360" w:lineRule="auto"/>
        <w:jc w:val="both"/>
      </w:pPr>
    </w:p>
    <w:p w14:paraId="2449BC5A" w14:textId="77777777" w:rsidR="00270E8E" w:rsidRDefault="00270E8E" w:rsidP="00DD383A">
      <w:pPr>
        <w:pStyle w:val="Heading1"/>
        <w:spacing w:line="360" w:lineRule="auto"/>
        <w:jc w:val="both"/>
      </w:pPr>
      <w:bookmarkStart w:id="4" w:name="_Toc151059572"/>
      <w:r>
        <w:t>Section 4: Viability Assessment</w:t>
      </w:r>
      <w:bookmarkEnd w:id="4"/>
    </w:p>
    <w:p w14:paraId="3BCB93A0" w14:textId="77777777" w:rsidR="00270E8E" w:rsidRPr="00270E8E" w:rsidRDefault="00270E8E" w:rsidP="00DD383A">
      <w:pPr>
        <w:spacing w:line="360" w:lineRule="auto"/>
        <w:jc w:val="both"/>
      </w:pPr>
    </w:p>
    <w:p w14:paraId="0BEB2D2E" w14:textId="77777777" w:rsidR="00270E8E" w:rsidRDefault="00270E8E" w:rsidP="00DD383A">
      <w:pPr>
        <w:spacing w:line="360" w:lineRule="auto"/>
        <w:jc w:val="both"/>
      </w:pPr>
      <w:r>
        <w:t>Although each strategy will require substantial investment and execution to succeed, they represent the best chance for The Seaview Resort to return to sustainable profitability over time. With growing cash flows, The Seaview Resort should be able to both pay its debts as well as fund further improvements over time.</w:t>
      </w:r>
    </w:p>
    <w:p w14:paraId="5830FF32" w14:textId="77777777" w:rsidR="00270E8E" w:rsidRDefault="00270E8E" w:rsidP="00DD383A">
      <w:pPr>
        <w:spacing w:line="360" w:lineRule="auto"/>
        <w:jc w:val="both"/>
      </w:pPr>
      <w:r>
        <w:t>However, if a resort fails to successfully implement a turnaround plan, its best financial option may be selling off its assets. Although its business might currently be unprofitable, its assets likely still contain substantial value that has yet to be realized, such as: A prime coastal location on an expansive property.</w:t>
      </w:r>
    </w:p>
    <w:p w14:paraId="6ABB17EC" w14:textId="77777777" w:rsidR="00270E8E" w:rsidRDefault="00270E8E" w:rsidP="00DD383A">
      <w:pPr>
        <w:spacing w:line="360" w:lineRule="auto"/>
        <w:jc w:val="both"/>
      </w:pPr>
      <w:r>
        <w:t>Consequently, should the recommended turnaround strategies fail to restore performance within one year, its owners should seriously consider selling The Seaview Resort to maximize financial return. Although not ideal given its long history, finding an appropriate new steward may prove more prudent.</w:t>
      </w:r>
    </w:p>
    <w:p w14:paraId="2691B51E" w14:textId="77777777" w:rsidR="00270E8E" w:rsidRDefault="00270E8E" w:rsidP="00DD383A">
      <w:pPr>
        <w:spacing w:line="360" w:lineRule="auto"/>
        <w:jc w:val="both"/>
      </w:pPr>
      <w:r>
        <w:t>Deep Dive into Revenue Growth Opportunities</w:t>
      </w:r>
    </w:p>
    <w:p w14:paraId="3EDE0775" w14:textId="77777777" w:rsidR="00270E8E" w:rsidRDefault="00270E8E" w:rsidP="00DD383A">
      <w:pPr>
        <w:spacing w:line="360" w:lineRule="auto"/>
        <w:jc w:val="both"/>
      </w:pPr>
      <w:r>
        <w:t>While The Seaview Resort's overall turnaround strategy covers essential areas like cost cutting and repositioning, truly revitalizing it requires an intense focus on revenue growth via creative sales and marketing initiatives that enable The Seaview to capture its fair share of the competitive coastal tourism market.</w:t>
      </w:r>
    </w:p>
    <w:p w14:paraId="66D0D8E3" w14:textId="77777777" w:rsidR="00270E8E" w:rsidRDefault="00270E8E" w:rsidP="00DD383A">
      <w:pPr>
        <w:spacing w:line="360" w:lineRule="auto"/>
        <w:jc w:val="both"/>
      </w:pPr>
      <w:r>
        <w:t>-Partnerships with travel influencers and bloggers to leverage their loyal audiences for custom retreats and experiences tailored to yoga, cooking or family travel are also a potential avenue of exploration. Rewards such as discounted/complimentary stays may encourage organic promotion to followers.</w:t>
      </w:r>
    </w:p>
    <w:p w14:paraId="751D5DF2" w14:textId="77777777" w:rsidR="00270E8E" w:rsidRDefault="00270E8E" w:rsidP="00DD383A">
      <w:pPr>
        <w:spacing w:line="360" w:lineRule="auto"/>
        <w:jc w:val="both"/>
      </w:pPr>
      <w:r>
        <w:t>-Cooperative marketing provides economies of scale. Strategic partnerships between noncompeting regional hotels, B&amp;Bs and transportation companies to create bundles and cross promotions provide guests with easy access to multiple properties during one stay, making the experience seamless and extending it.</w:t>
      </w:r>
    </w:p>
    <w:p w14:paraId="02A9F2D2" w14:textId="77777777" w:rsidR="00270E8E" w:rsidRDefault="00270E8E" w:rsidP="00DD383A">
      <w:pPr>
        <w:spacing w:line="360" w:lineRule="auto"/>
        <w:jc w:val="both"/>
      </w:pPr>
      <w:r>
        <w:lastRenderedPageBreak/>
        <w:t>-Utilizing indoor event spaces and outdoor lawns for new revenue streams such as meetings, conferences, weddings, concerts or shows could generate high margin returns with modest investments in modern A/V equipment and flexible furnishings resulting in high margin returns.</w:t>
      </w:r>
    </w:p>
    <w:p w14:paraId="4CD516F7" w14:textId="77777777" w:rsidR="00270E8E" w:rsidRDefault="00270E8E" w:rsidP="00DD383A">
      <w:pPr>
        <w:spacing w:line="360" w:lineRule="auto"/>
        <w:jc w:val="both"/>
      </w:pPr>
      <w:r>
        <w:t>-Customer Journey Mapping For Key User Personas Such as Families, Couples and Corporate Retreats. Identify touchpoints that can improve each group's booking, arrival, stay and post visit experience as well as strengthening unique selling propositions of each.</w:t>
      </w:r>
    </w:p>
    <w:p w14:paraId="25DECFCF" w14:textId="77777777" w:rsidR="00270E8E" w:rsidRDefault="00270E8E" w:rsidP="00DD383A">
      <w:pPr>
        <w:spacing w:line="360" w:lineRule="auto"/>
        <w:jc w:val="both"/>
      </w:pPr>
      <w:r>
        <w:t xml:space="preserve">-Hiring sales staff trained in outbound calling and emailing to cultivate event planners, tour operators accounts and corporate accounts is key for winning over event </w:t>
      </w:r>
      <w:proofErr w:type="spellStart"/>
      <w:r>
        <w:t>organizers</w:t>
      </w:r>
      <w:proofErr w:type="spellEnd"/>
      <w:r>
        <w:t xml:space="preserve">, tour </w:t>
      </w:r>
      <w:proofErr w:type="spellStart"/>
      <w:r>
        <w:t>operatorss</w:t>
      </w:r>
      <w:proofErr w:type="spellEnd"/>
      <w:r>
        <w:t xml:space="preserve"> and corporate accounts. Proactively pitch the property's unique assets.</w:t>
      </w:r>
    </w:p>
    <w:p w14:paraId="6FD70D04" w14:textId="77777777" w:rsidR="00270E8E" w:rsidRDefault="00270E8E" w:rsidP="00DD383A">
      <w:pPr>
        <w:spacing w:line="360" w:lineRule="auto"/>
        <w:jc w:val="both"/>
      </w:pPr>
      <w:r>
        <w:t xml:space="preserve">By exploring creative offerings and partnerships beyond typical hotel stays, The Seaview Resort can reinvent itself into an expansive tourism and lifestyle brand, leading to increased occupancy, rates, and spend for both leisure </w:t>
      </w:r>
      <w:proofErr w:type="spellStart"/>
      <w:r>
        <w:t>travelers</w:t>
      </w:r>
      <w:proofErr w:type="spellEnd"/>
      <w:r>
        <w:t xml:space="preserve"> and business </w:t>
      </w:r>
      <w:proofErr w:type="spellStart"/>
      <w:r>
        <w:t>travelers</w:t>
      </w:r>
      <w:proofErr w:type="spellEnd"/>
      <w:r>
        <w:t>. This revitalized identity will then enable The Seaview Resort to attract greater occupancy rates, rates, and spend.</w:t>
      </w:r>
    </w:p>
    <w:p w14:paraId="281B43F9" w14:textId="77777777" w:rsidR="00270E8E" w:rsidRDefault="00270E8E" w:rsidP="00270E8E"/>
    <w:p w14:paraId="390B6220" w14:textId="77777777" w:rsidR="00EF49C1" w:rsidRDefault="005B0C60" w:rsidP="00270E8E">
      <w:pPr>
        <w:pStyle w:val="Heading1"/>
      </w:pPr>
      <w:bookmarkStart w:id="5" w:name="_Toc151059573"/>
      <w:r>
        <w:t>References</w:t>
      </w:r>
      <w:bookmarkEnd w:id="5"/>
    </w:p>
    <w:p w14:paraId="04C04816" w14:textId="77777777" w:rsidR="00270E8E" w:rsidRPr="00270E8E" w:rsidRDefault="00270E8E" w:rsidP="00270E8E"/>
    <w:p w14:paraId="5F9A1B07" w14:textId="77777777" w:rsidR="005B0C60" w:rsidRPr="005B0C60" w:rsidRDefault="005B0C60" w:rsidP="005B0C60">
      <w:pPr>
        <w:numPr>
          <w:ilvl w:val="0"/>
          <w:numId w:val="14"/>
        </w:numPr>
      </w:pPr>
      <w:r w:rsidRPr="005B0C60">
        <w:t>Kotler, P., &amp; Keller, K. L. (2016). Marketing management (15th ed.). Pearson.</w:t>
      </w:r>
    </w:p>
    <w:p w14:paraId="360BCDBC" w14:textId="77777777" w:rsidR="005B0C60" w:rsidRPr="005B0C60" w:rsidRDefault="005B0C60" w:rsidP="005B0C60">
      <w:pPr>
        <w:numPr>
          <w:ilvl w:val="0"/>
          <w:numId w:val="14"/>
        </w:numPr>
      </w:pPr>
      <w:r w:rsidRPr="005B0C60">
        <w:t>Porter, M. E. (2008). The five competitive forces that shape strategy. Harvard Business Review, 86(1), 25-40.</w:t>
      </w:r>
    </w:p>
    <w:p w14:paraId="7DE0783D" w14:textId="77777777" w:rsidR="005B0C60" w:rsidRPr="005B0C60" w:rsidRDefault="005B0C60" w:rsidP="005B0C60">
      <w:pPr>
        <w:numPr>
          <w:ilvl w:val="0"/>
          <w:numId w:val="14"/>
        </w:numPr>
      </w:pPr>
      <w:r w:rsidRPr="005B0C60">
        <w:t>Mauborgne, R., &amp; Kim, W. C. (2015). Blue ocean strategy: How to create uncontested market space and make the competition irrelevant. Harvard Business Review Press.</w:t>
      </w:r>
    </w:p>
    <w:p w14:paraId="2771BF49" w14:textId="77777777" w:rsidR="005B0C60" w:rsidRPr="005B0C60" w:rsidRDefault="005B0C60" w:rsidP="005B0C60">
      <w:pPr>
        <w:numPr>
          <w:ilvl w:val="0"/>
          <w:numId w:val="14"/>
        </w:numPr>
      </w:pPr>
      <w:r w:rsidRPr="005B0C60">
        <w:t>Kotler, P., Bowen, J. T., &amp; Makens, J. C. (2018). Marketing for hospitality and tourism (7th ed.). Pearson.</w:t>
      </w:r>
    </w:p>
    <w:p w14:paraId="51C4286A" w14:textId="77777777" w:rsidR="005B0C60" w:rsidRPr="005B0C60" w:rsidRDefault="005B0C60" w:rsidP="005B0C60">
      <w:pPr>
        <w:numPr>
          <w:ilvl w:val="0"/>
          <w:numId w:val="14"/>
        </w:numPr>
      </w:pPr>
      <w:r w:rsidRPr="005B0C60">
        <w:t xml:space="preserve">Hayes, D. K., &amp; </w:t>
      </w:r>
      <w:proofErr w:type="spellStart"/>
      <w:r w:rsidRPr="005B0C60">
        <w:t>Ninemeier</w:t>
      </w:r>
      <w:proofErr w:type="spellEnd"/>
      <w:r w:rsidRPr="005B0C60">
        <w:t>, J. D. (2017). Hotel operations management (3rd ed.). Pearson.</w:t>
      </w:r>
    </w:p>
    <w:p w14:paraId="6D4F3CA0" w14:textId="77777777" w:rsidR="005B0C60" w:rsidRPr="005B0C60" w:rsidRDefault="005B0C60" w:rsidP="005B0C60">
      <w:pPr>
        <w:numPr>
          <w:ilvl w:val="0"/>
          <w:numId w:val="14"/>
        </w:numPr>
      </w:pPr>
      <w:proofErr w:type="spellStart"/>
      <w:r w:rsidRPr="005B0C60">
        <w:t>Starkov</w:t>
      </w:r>
      <w:proofErr w:type="spellEnd"/>
      <w:r w:rsidRPr="005B0C60">
        <w:t>, M., &amp; Price, J. (2007). Hospitality &amp; tourism online: How to go from zero to clicks and bookings...and avoid being left in the dust by OTA's. HeBS Digital.</w:t>
      </w:r>
    </w:p>
    <w:p w14:paraId="13D5C954" w14:textId="77777777" w:rsidR="005B0C60" w:rsidRPr="005B0C60" w:rsidRDefault="005B0C60" w:rsidP="005B0C60">
      <w:pPr>
        <w:numPr>
          <w:ilvl w:val="0"/>
          <w:numId w:val="14"/>
        </w:numPr>
      </w:pPr>
      <w:r w:rsidRPr="005B0C60">
        <w:t>Phillips, P. A. (1999). Performance management systems and hotel employee turnover. Tourism Economics, 5(4), 353-360.</w:t>
      </w:r>
    </w:p>
    <w:p w14:paraId="0B995118" w14:textId="77777777" w:rsidR="005B0C60" w:rsidRPr="005B0C60" w:rsidRDefault="005B0C60" w:rsidP="005B0C60">
      <w:pPr>
        <w:numPr>
          <w:ilvl w:val="0"/>
          <w:numId w:val="14"/>
        </w:numPr>
      </w:pPr>
      <w:r w:rsidRPr="005B0C60">
        <w:t>Levitt, T. (1960). Marketing myopia. Harvard Business Review, 38(4), 24-47.</w:t>
      </w:r>
    </w:p>
    <w:p w14:paraId="13C8B454" w14:textId="77777777" w:rsidR="005B0C60" w:rsidRPr="005B0C60" w:rsidRDefault="005B0C60" w:rsidP="005B0C60">
      <w:pPr>
        <w:numPr>
          <w:ilvl w:val="0"/>
          <w:numId w:val="14"/>
        </w:numPr>
      </w:pPr>
      <w:r w:rsidRPr="005B0C60">
        <w:t>Kotler, P. (2003). Marketing insights from A to Z: 80 concepts every manager needs to know. John Wiley &amp; Sons.</w:t>
      </w:r>
    </w:p>
    <w:p w14:paraId="15BAAD3F" w14:textId="77777777" w:rsidR="005B0C60" w:rsidRPr="005B0C60" w:rsidRDefault="005B0C60" w:rsidP="005B0C60">
      <w:pPr>
        <w:numPr>
          <w:ilvl w:val="0"/>
          <w:numId w:val="14"/>
        </w:numPr>
      </w:pPr>
      <w:r w:rsidRPr="005B0C60">
        <w:t>Pine, J., &amp; Gilmore, J. H. (1998). Welcome to the experience economy. Harvard Business Review, 76(4), 97-105.</w:t>
      </w:r>
    </w:p>
    <w:p w14:paraId="3594FC3D" w14:textId="77777777" w:rsidR="005B0C60" w:rsidRPr="005B0C60" w:rsidRDefault="005B0C60" w:rsidP="005B0C60">
      <w:pPr>
        <w:numPr>
          <w:ilvl w:val="0"/>
          <w:numId w:val="14"/>
        </w:numPr>
      </w:pPr>
      <w:r w:rsidRPr="005B0C60">
        <w:lastRenderedPageBreak/>
        <w:t xml:space="preserve">O’Neill, J. W., &amp; </w:t>
      </w:r>
      <w:proofErr w:type="spellStart"/>
      <w:r w:rsidRPr="005B0C60">
        <w:t>Mattila</w:t>
      </w:r>
      <w:proofErr w:type="spellEnd"/>
      <w:r w:rsidRPr="005B0C60">
        <w:t>, A. S. (2010). Hotel brand strategy. Cornell Hospitality Quarterly, 51(1), 27-34.</w:t>
      </w:r>
    </w:p>
    <w:p w14:paraId="2F9D8C66" w14:textId="77777777" w:rsidR="005B0C60" w:rsidRPr="005B0C60" w:rsidRDefault="005B0C60" w:rsidP="005B0C60">
      <w:pPr>
        <w:numPr>
          <w:ilvl w:val="0"/>
          <w:numId w:val="14"/>
        </w:numPr>
      </w:pPr>
      <w:r w:rsidRPr="005B0C60">
        <w:t xml:space="preserve">Dev, C., </w:t>
      </w:r>
      <w:proofErr w:type="spellStart"/>
      <w:r w:rsidRPr="005B0C60">
        <w:t>Plaschka</w:t>
      </w:r>
      <w:proofErr w:type="spellEnd"/>
      <w:r w:rsidRPr="005B0C60">
        <w:t xml:space="preserve">, G., Phillips, R., &amp; Louviere, J. (1995). Branding strategy for a service firm: A </w:t>
      </w:r>
      <w:proofErr w:type="spellStart"/>
      <w:r w:rsidRPr="005B0C60">
        <w:t>modeling</w:t>
      </w:r>
      <w:proofErr w:type="spellEnd"/>
      <w:r w:rsidRPr="005B0C60">
        <w:t xml:space="preserve"> approach. Journal of Service Marketing, 9(2), 49-59.</w:t>
      </w:r>
    </w:p>
    <w:p w14:paraId="4A1FEF88" w14:textId="77777777" w:rsidR="005B0C60" w:rsidRPr="005B0C60" w:rsidRDefault="005B0C60" w:rsidP="005B0C60">
      <w:pPr>
        <w:numPr>
          <w:ilvl w:val="0"/>
          <w:numId w:val="14"/>
        </w:numPr>
      </w:pPr>
      <w:proofErr w:type="spellStart"/>
      <w:r w:rsidRPr="005B0C60">
        <w:t>Damtew</w:t>
      </w:r>
      <w:proofErr w:type="spellEnd"/>
      <w:r w:rsidRPr="005B0C60">
        <w:t xml:space="preserve">, K., &amp; </w:t>
      </w:r>
      <w:proofErr w:type="spellStart"/>
      <w:r w:rsidRPr="005B0C60">
        <w:t>Pagidimarri</w:t>
      </w:r>
      <w:proofErr w:type="spellEnd"/>
      <w:r w:rsidRPr="005B0C60">
        <w:t>, V. (2021). Business process re-engineering: A systematic review of the literature. Business Process Management Journal, 27(3), 715-744.</w:t>
      </w:r>
    </w:p>
    <w:p w14:paraId="46352360" w14:textId="77777777" w:rsidR="005B0C60" w:rsidRPr="005B0C60" w:rsidRDefault="005B0C60" w:rsidP="005B0C60">
      <w:pPr>
        <w:numPr>
          <w:ilvl w:val="0"/>
          <w:numId w:val="14"/>
        </w:numPr>
      </w:pPr>
      <w:proofErr w:type="spellStart"/>
      <w:r w:rsidRPr="005B0C60">
        <w:t>Gayar</w:t>
      </w:r>
      <w:proofErr w:type="spellEnd"/>
      <w:r w:rsidRPr="005B0C60">
        <w:t xml:space="preserve">, N., </w:t>
      </w:r>
      <w:proofErr w:type="spellStart"/>
      <w:r w:rsidRPr="005B0C60">
        <w:t>Sopha</w:t>
      </w:r>
      <w:proofErr w:type="spellEnd"/>
      <w:r w:rsidRPr="005B0C60">
        <w:t xml:space="preserve">, B. M., Fritz, H. M., &amp; </w:t>
      </w:r>
      <w:proofErr w:type="spellStart"/>
      <w:r w:rsidRPr="005B0C60">
        <w:t>Metyko-Faal</w:t>
      </w:r>
      <w:proofErr w:type="spellEnd"/>
      <w:r w:rsidRPr="005B0C60">
        <w:t>, D. (2021). Lean for service organizations: A systematic literature review. Management Review Quarterly, 71(1), 161-200.</w:t>
      </w:r>
    </w:p>
    <w:p w14:paraId="7F9AF416" w14:textId="77777777" w:rsidR="005B0C60" w:rsidRPr="005B0C60" w:rsidRDefault="005B0C60" w:rsidP="005B0C60">
      <w:pPr>
        <w:numPr>
          <w:ilvl w:val="0"/>
          <w:numId w:val="14"/>
        </w:numPr>
      </w:pPr>
      <w:r w:rsidRPr="005B0C60">
        <w:t xml:space="preserve">Yeung, M. C. H. &amp; </w:t>
      </w:r>
      <w:proofErr w:type="spellStart"/>
      <w:r w:rsidRPr="005B0C60">
        <w:t>Ennew</w:t>
      </w:r>
      <w:proofErr w:type="spellEnd"/>
      <w:r w:rsidRPr="005B0C60">
        <w:t>, C. T. (2000). From customer satisfaction to profitability. Journal of Strategic Marketing, 8(4), 313-326.</w:t>
      </w:r>
    </w:p>
    <w:p w14:paraId="7692E481" w14:textId="77777777" w:rsidR="005B0C60" w:rsidRPr="005B0C60" w:rsidRDefault="005B0C60" w:rsidP="005B0C60">
      <w:pPr>
        <w:numPr>
          <w:ilvl w:val="0"/>
          <w:numId w:val="14"/>
        </w:numPr>
      </w:pPr>
      <w:r w:rsidRPr="005B0C60">
        <w:t xml:space="preserve">Reid, R. D., &amp; </w:t>
      </w:r>
      <w:proofErr w:type="spellStart"/>
      <w:r w:rsidRPr="005B0C60">
        <w:t>Bojanic</w:t>
      </w:r>
      <w:proofErr w:type="spellEnd"/>
      <w:r w:rsidRPr="005B0C60">
        <w:t>, D. C. (2010). Hospitality marketing management (5th ed.). John Wiley &amp; Sons.</w:t>
      </w:r>
    </w:p>
    <w:p w14:paraId="7C551415" w14:textId="77777777" w:rsidR="005B0C60" w:rsidRPr="005B0C60" w:rsidRDefault="005B0C60" w:rsidP="005B0C60">
      <w:pPr>
        <w:numPr>
          <w:ilvl w:val="0"/>
          <w:numId w:val="14"/>
        </w:numPr>
      </w:pPr>
      <w:proofErr w:type="spellStart"/>
      <w:r w:rsidRPr="005B0C60">
        <w:t>Kandampully</w:t>
      </w:r>
      <w:proofErr w:type="spellEnd"/>
      <w:r w:rsidRPr="005B0C60">
        <w:t xml:space="preserve">, J., Zhang, T., &amp; </w:t>
      </w:r>
      <w:proofErr w:type="spellStart"/>
      <w:r w:rsidRPr="005B0C60">
        <w:t>Bilgihan</w:t>
      </w:r>
      <w:proofErr w:type="spellEnd"/>
      <w:r w:rsidRPr="005B0C60">
        <w:t>, A. (2015). Customer loyalty: A review and future directions with a special focus on the hospitality industry. International Journal of Contemporary Hospitality Management, 27(3), 379-414.</w:t>
      </w:r>
    </w:p>
    <w:p w14:paraId="66F06722" w14:textId="77777777" w:rsidR="005B0C60" w:rsidRPr="005B0C60" w:rsidRDefault="005B0C60" w:rsidP="005B0C60">
      <w:pPr>
        <w:numPr>
          <w:ilvl w:val="0"/>
          <w:numId w:val="14"/>
        </w:numPr>
      </w:pPr>
      <w:r w:rsidRPr="005B0C60">
        <w:t>Hampton, M. P., &amp; Clifton, J. (2017). Tourism and the sharing economy: Policy and potential of sustainable peer-to-peer accommodation. Routledge.</w:t>
      </w:r>
    </w:p>
    <w:p w14:paraId="2FB166C8" w14:textId="77777777" w:rsidR="005B0C60" w:rsidRPr="005B0C60" w:rsidRDefault="005B0C60" w:rsidP="005B0C60">
      <w:pPr>
        <w:numPr>
          <w:ilvl w:val="0"/>
          <w:numId w:val="14"/>
        </w:numPr>
      </w:pPr>
      <w:r w:rsidRPr="005B0C60">
        <w:t xml:space="preserve">Lopez, E. P., &amp; </w:t>
      </w:r>
      <w:proofErr w:type="spellStart"/>
      <w:r w:rsidRPr="005B0C60">
        <w:t>Trefalt</w:t>
      </w:r>
      <w:proofErr w:type="spellEnd"/>
      <w:r w:rsidRPr="005B0C60">
        <w:t>, S. (2013). Workforce management in the new hospitality world. Worldwide Hospitality and Tourism Themes, 5(3), 273-284.</w:t>
      </w:r>
    </w:p>
    <w:p w14:paraId="43C0E1EB" w14:textId="77777777" w:rsidR="005B0C60" w:rsidRPr="005B0C60" w:rsidRDefault="005B0C60" w:rsidP="005B0C60">
      <w:pPr>
        <w:numPr>
          <w:ilvl w:val="0"/>
          <w:numId w:val="14"/>
        </w:numPr>
      </w:pPr>
      <w:r w:rsidRPr="005B0C60">
        <w:t>Jain, R., &amp; Jain, P. (2017). Revisiting hospitality education: Insights from an emerging economy. Worldwide Hospitality and Tourism Themes, 9(1), 15-36.</w:t>
      </w:r>
    </w:p>
    <w:p w14:paraId="59A7D75A" w14:textId="77777777" w:rsidR="005B0C60" w:rsidRDefault="005B0C60"/>
    <w:sectPr w:rsidR="005B0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97466"/>
    <w:multiLevelType w:val="multilevel"/>
    <w:tmpl w:val="9BAC8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F37CAA"/>
    <w:multiLevelType w:val="multilevel"/>
    <w:tmpl w:val="D120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8D6D9D"/>
    <w:multiLevelType w:val="hybridMultilevel"/>
    <w:tmpl w:val="DE14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EA237C"/>
    <w:multiLevelType w:val="multilevel"/>
    <w:tmpl w:val="EA6E3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0210BC"/>
    <w:multiLevelType w:val="multilevel"/>
    <w:tmpl w:val="6B68F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3E5801"/>
    <w:multiLevelType w:val="multilevel"/>
    <w:tmpl w:val="F2461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223894"/>
    <w:multiLevelType w:val="multilevel"/>
    <w:tmpl w:val="9B64E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435A5D"/>
    <w:multiLevelType w:val="multilevel"/>
    <w:tmpl w:val="CC48A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B0447B0"/>
    <w:multiLevelType w:val="multilevel"/>
    <w:tmpl w:val="C300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431362"/>
    <w:multiLevelType w:val="multilevel"/>
    <w:tmpl w:val="A1F82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4C67267"/>
    <w:multiLevelType w:val="multilevel"/>
    <w:tmpl w:val="62443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BB7FA1"/>
    <w:multiLevelType w:val="multilevel"/>
    <w:tmpl w:val="498A9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280047F"/>
    <w:multiLevelType w:val="multilevel"/>
    <w:tmpl w:val="7410E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135FF8"/>
    <w:multiLevelType w:val="multilevel"/>
    <w:tmpl w:val="D506E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EB26E1F"/>
    <w:multiLevelType w:val="multilevel"/>
    <w:tmpl w:val="EE4E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0606A07"/>
    <w:multiLevelType w:val="multilevel"/>
    <w:tmpl w:val="D02A8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10983780">
    <w:abstractNumId w:val="8"/>
  </w:num>
  <w:num w:numId="2" w16cid:durableId="1594705641">
    <w:abstractNumId w:val="1"/>
  </w:num>
  <w:num w:numId="3" w16cid:durableId="1237281437">
    <w:abstractNumId w:val="3"/>
  </w:num>
  <w:num w:numId="4" w16cid:durableId="1059325494">
    <w:abstractNumId w:val="10"/>
  </w:num>
  <w:num w:numId="5" w16cid:durableId="200555738">
    <w:abstractNumId w:val="0"/>
  </w:num>
  <w:num w:numId="6" w16cid:durableId="570384323">
    <w:abstractNumId w:val="9"/>
  </w:num>
  <w:num w:numId="7" w16cid:durableId="1779594032">
    <w:abstractNumId w:val="4"/>
  </w:num>
  <w:num w:numId="8" w16cid:durableId="1552502439">
    <w:abstractNumId w:val="15"/>
  </w:num>
  <w:num w:numId="9" w16cid:durableId="782504171">
    <w:abstractNumId w:val="5"/>
  </w:num>
  <w:num w:numId="10" w16cid:durableId="1175270650">
    <w:abstractNumId w:val="11"/>
  </w:num>
  <w:num w:numId="11" w16cid:durableId="1371488454">
    <w:abstractNumId w:val="12"/>
  </w:num>
  <w:num w:numId="12" w16cid:durableId="1675380615">
    <w:abstractNumId w:val="6"/>
  </w:num>
  <w:num w:numId="13" w16cid:durableId="417093774">
    <w:abstractNumId w:val="14"/>
  </w:num>
  <w:num w:numId="14" w16cid:durableId="1843012545">
    <w:abstractNumId w:val="13"/>
  </w:num>
  <w:num w:numId="15" w16cid:durableId="1119185724">
    <w:abstractNumId w:val="2"/>
  </w:num>
  <w:num w:numId="16" w16cid:durableId="8681064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0C60"/>
    <w:rsid w:val="00171BB5"/>
    <w:rsid w:val="001F0BDC"/>
    <w:rsid w:val="00230FE6"/>
    <w:rsid w:val="00270E8E"/>
    <w:rsid w:val="00395F7B"/>
    <w:rsid w:val="003C75AE"/>
    <w:rsid w:val="004067F4"/>
    <w:rsid w:val="005B0C60"/>
    <w:rsid w:val="005F0A03"/>
    <w:rsid w:val="006E424D"/>
    <w:rsid w:val="00731E6C"/>
    <w:rsid w:val="007632D1"/>
    <w:rsid w:val="007E61D5"/>
    <w:rsid w:val="007E7C69"/>
    <w:rsid w:val="00927B2F"/>
    <w:rsid w:val="00946614"/>
    <w:rsid w:val="00C02887"/>
    <w:rsid w:val="00C35CB4"/>
    <w:rsid w:val="00CF3D9E"/>
    <w:rsid w:val="00DC54E8"/>
    <w:rsid w:val="00DD3000"/>
    <w:rsid w:val="00DD383A"/>
    <w:rsid w:val="00E16E5D"/>
    <w:rsid w:val="00EF49C1"/>
    <w:rsid w:val="00F0020D"/>
    <w:rsid w:val="00F254D6"/>
    <w:rsid w:val="00FB4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EAB65"/>
  <w15:chartTrackingRefBased/>
  <w15:docId w15:val="{69F67768-C3D7-426E-86EA-E8833F5C4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E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0C60"/>
    <w:pPr>
      <w:ind w:left="720"/>
      <w:contextualSpacing/>
    </w:pPr>
  </w:style>
  <w:style w:type="character" w:customStyle="1" w:styleId="Heading1Char">
    <w:name w:val="Heading 1 Char"/>
    <w:basedOn w:val="DefaultParagraphFont"/>
    <w:link w:val="Heading1"/>
    <w:uiPriority w:val="9"/>
    <w:rsid w:val="00270E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70E8E"/>
    <w:pPr>
      <w:outlineLvl w:val="9"/>
    </w:pPr>
    <w:rPr>
      <w:lang w:val="en-US"/>
    </w:rPr>
  </w:style>
  <w:style w:type="paragraph" w:styleId="TOC1">
    <w:name w:val="toc 1"/>
    <w:basedOn w:val="Normal"/>
    <w:next w:val="Normal"/>
    <w:autoRedefine/>
    <w:uiPriority w:val="39"/>
    <w:unhideWhenUsed/>
    <w:rsid w:val="00270E8E"/>
    <w:pPr>
      <w:spacing w:after="100"/>
    </w:pPr>
  </w:style>
  <w:style w:type="character" w:styleId="Hyperlink">
    <w:name w:val="Hyperlink"/>
    <w:basedOn w:val="DefaultParagraphFont"/>
    <w:uiPriority w:val="99"/>
    <w:unhideWhenUsed/>
    <w:rsid w:val="00270E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976080">
      <w:bodyDiv w:val="1"/>
      <w:marLeft w:val="0"/>
      <w:marRight w:val="0"/>
      <w:marTop w:val="0"/>
      <w:marBottom w:val="0"/>
      <w:divBdr>
        <w:top w:val="none" w:sz="0" w:space="0" w:color="auto"/>
        <w:left w:val="none" w:sz="0" w:space="0" w:color="auto"/>
        <w:bottom w:val="none" w:sz="0" w:space="0" w:color="auto"/>
        <w:right w:val="none" w:sz="0" w:space="0" w:color="auto"/>
      </w:divBdr>
    </w:div>
    <w:div w:id="332495263">
      <w:bodyDiv w:val="1"/>
      <w:marLeft w:val="0"/>
      <w:marRight w:val="0"/>
      <w:marTop w:val="0"/>
      <w:marBottom w:val="0"/>
      <w:divBdr>
        <w:top w:val="none" w:sz="0" w:space="0" w:color="auto"/>
        <w:left w:val="none" w:sz="0" w:space="0" w:color="auto"/>
        <w:bottom w:val="none" w:sz="0" w:space="0" w:color="auto"/>
        <w:right w:val="none" w:sz="0" w:space="0" w:color="auto"/>
      </w:divBdr>
    </w:div>
    <w:div w:id="467818806">
      <w:bodyDiv w:val="1"/>
      <w:marLeft w:val="0"/>
      <w:marRight w:val="0"/>
      <w:marTop w:val="0"/>
      <w:marBottom w:val="0"/>
      <w:divBdr>
        <w:top w:val="none" w:sz="0" w:space="0" w:color="auto"/>
        <w:left w:val="none" w:sz="0" w:space="0" w:color="auto"/>
        <w:bottom w:val="none" w:sz="0" w:space="0" w:color="auto"/>
        <w:right w:val="none" w:sz="0" w:space="0" w:color="auto"/>
      </w:divBdr>
    </w:div>
    <w:div w:id="1242790158">
      <w:bodyDiv w:val="1"/>
      <w:marLeft w:val="0"/>
      <w:marRight w:val="0"/>
      <w:marTop w:val="0"/>
      <w:marBottom w:val="0"/>
      <w:divBdr>
        <w:top w:val="none" w:sz="0" w:space="0" w:color="auto"/>
        <w:left w:val="none" w:sz="0" w:space="0" w:color="auto"/>
        <w:bottom w:val="none" w:sz="0" w:space="0" w:color="auto"/>
        <w:right w:val="none" w:sz="0" w:space="0" w:color="auto"/>
      </w:divBdr>
    </w:div>
    <w:div w:id="1352990773">
      <w:bodyDiv w:val="1"/>
      <w:marLeft w:val="0"/>
      <w:marRight w:val="0"/>
      <w:marTop w:val="0"/>
      <w:marBottom w:val="0"/>
      <w:divBdr>
        <w:top w:val="none" w:sz="0" w:space="0" w:color="auto"/>
        <w:left w:val="none" w:sz="0" w:space="0" w:color="auto"/>
        <w:bottom w:val="none" w:sz="0" w:space="0" w:color="auto"/>
        <w:right w:val="none" w:sz="0" w:space="0" w:color="auto"/>
      </w:divBdr>
    </w:div>
    <w:div w:id="1546480167">
      <w:bodyDiv w:val="1"/>
      <w:marLeft w:val="0"/>
      <w:marRight w:val="0"/>
      <w:marTop w:val="0"/>
      <w:marBottom w:val="0"/>
      <w:divBdr>
        <w:top w:val="none" w:sz="0" w:space="0" w:color="auto"/>
        <w:left w:val="none" w:sz="0" w:space="0" w:color="auto"/>
        <w:bottom w:val="none" w:sz="0" w:space="0" w:color="auto"/>
        <w:right w:val="none" w:sz="0" w:space="0" w:color="auto"/>
      </w:divBdr>
    </w:div>
    <w:div w:id="1628119635">
      <w:bodyDiv w:val="1"/>
      <w:marLeft w:val="0"/>
      <w:marRight w:val="0"/>
      <w:marTop w:val="0"/>
      <w:marBottom w:val="0"/>
      <w:divBdr>
        <w:top w:val="none" w:sz="0" w:space="0" w:color="auto"/>
        <w:left w:val="none" w:sz="0" w:space="0" w:color="auto"/>
        <w:bottom w:val="none" w:sz="0" w:space="0" w:color="auto"/>
        <w:right w:val="none" w:sz="0" w:space="0" w:color="auto"/>
      </w:divBdr>
    </w:div>
    <w:div w:id="1684471907">
      <w:bodyDiv w:val="1"/>
      <w:marLeft w:val="0"/>
      <w:marRight w:val="0"/>
      <w:marTop w:val="0"/>
      <w:marBottom w:val="0"/>
      <w:divBdr>
        <w:top w:val="none" w:sz="0" w:space="0" w:color="auto"/>
        <w:left w:val="none" w:sz="0" w:space="0" w:color="auto"/>
        <w:bottom w:val="none" w:sz="0" w:space="0" w:color="auto"/>
        <w:right w:val="none" w:sz="0" w:space="0" w:color="auto"/>
      </w:divBdr>
    </w:div>
    <w:div w:id="1896232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416F9-7B48-433D-9D6B-AE599C3FBF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2683</Words>
  <Characters>15296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Boy</dc:creator>
  <cp:keywords/>
  <dc:description/>
  <cp:lastModifiedBy>Florin Ciolacu</cp:lastModifiedBy>
  <cp:revision>6</cp:revision>
  <dcterms:created xsi:type="dcterms:W3CDTF">2023-11-16T23:13:00Z</dcterms:created>
  <dcterms:modified xsi:type="dcterms:W3CDTF">2023-11-16T23:20:00Z</dcterms:modified>
</cp:coreProperties>
</file>