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3B3" w:rsidRPr="001B1D9E" w:rsidRDefault="00DF43B3" w:rsidP="006A3760">
      <w:pPr>
        <w:spacing w:line="360" w:lineRule="auto"/>
        <w:rPr>
          <w:rFonts w:ascii="Georgia" w:hAnsi="Georgia"/>
        </w:rPr>
      </w:pPr>
      <w:r>
        <w:rPr>
          <w:rFonts w:ascii="Georgia" w:hAnsi="Georgia"/>
          <w:b/>
          <w:u w:val="single"/>
        </w:rPr>
        <w:t>Journal Review</w:t>
      </w:r>
      <w:r w:rsidR="00731442">
        <w:rPr>
          <w:rFonts w:ascii="Georgia" w:hAnsi="Georgia"/>
          <w:b/>
          <w:u w:val="single"/>
        </w:rPr>
        <w:t>: Duggan ‘</w:t>
      </w:r>
      <w:r w:rsidR="00731442" w:rsidRPr="00731442">
        <w:rPr>
          <w:rFonts w:ascii="Georgia" w:hAnsi="Georgia"/>
          <w:b/>
          <w:i/>
          <w:u w:val="single"/>
        </w:rPr>
        <w:t>Was Art Really the ‘Book of the Illiterate’?</w:t>
      </w:r>
      <w:r w:rsidR="00731442">
        <w:rPr>
          <w:rFonts w:ascii="Georgia" w:hAnsi="Georgia"/>
          <w:b/>
          <w:u w:val="single"/>
        </w:rPr>
        <w:t>’</w:t>
      </w:r>
      <w:r w:rsidR="00731442">
        <w:rPr>
          <w:rFonts w:ascii="Georgia" w:hAnsi="Georgia"/>
        </w:rPr>
        <w:t xml:space="preserve"> </w:t>
      </w:r>
      <w:r w:rsidR="001B1D9E">
        <w:rPr>
          <w:rFonts w:ascii="Georgia" w:hAnsi="Georgia"/>
          <w:b/>
        </w:rPr>
        <w:t>– Anastasia Sadler.</w:t>
      </w:r>
    </w:p>
    <w:p w:rsidR="00254B46" w:rsidRDefault="0074192C" w:rsidP="006A3760">
      <w:pPr>
        <w:spacing w:line="360" w:lineRule="auto"/>
        <w:rPr>
          <w:rFonts w:ascii="Georgia" w:hAnsi="Georgia"/>
        </w:rPr>
      </w:pPr>
      <w:r>
        <w:rPr>
          <w:rFonts w:ascii="Georgia" w:hAnsi="Georgia"/>
        </w:rPr>
        <w:t>Duggan’s journal ‘</w:t>
      </w:r>
      <w:r w:rsidRPr="007453A5">
        <w:rPr>
          <w:rFonts w:ascii="Georgia" w:hAnsi="Georgia"/>
          <w:i/>
        </w:rPr>
        <w:t xml:space="preserve">Was Art </w:t>
      </w:r>
      <w:proofErr w:type="gramStart"/>
      <w:r w:rsidRPr="007453A5">
        <w:rPr>
          <w:rFonts w:ascii="Georgia" w:hAnsi="Georgia"/>
          <w:i/>
        </w:rPr>
        <w:t>Really</w:t>
      </w:r>
      <w:proofErr w:type="gramEnd"/>
      <w:r w:rsidRPr="007453A5">
        <w:rPr>
          <w:rFonts w:ascii="Georgia" w:hAnsi="Georgia"/>
          <w:i/>
        </w:rPr>
        <w:t xml:space="preserve"> the ‘Book of the I</w:t>
      </w:r>
      <w:r w:rsidR="00254B46" w:rsidRPr="007453A5">
        <w:rPr>
          <w:rFonts w:ascii="Georgia" w:hAnsi="Georgia"/>
          <w:i/>
        </w:rPr>
        <w:t>lli</w:t>
      </w:r>
      <w:r w:rsidR="00876F50" w:rsidRPr="007453A5">
        <w:rPr>
          <w:rFonts w:ascii="Georgia" w:hAnsi="Georgia"/>
          <w:i/>
        </w:rPr>
        <w:t>terate’?</w:t>
      </w:r>
      <w:r w:rsidR="00876F50">
        <w:rPr>
          <w:rFonts w:ascii="Georgia" w:hAnsi="Georgia"/>
        </w:rPr>
        <w:t>’</w:t>
      </w:r>
      <w:r w:rsidR="00D84673">
        <w:rPr>
          <w:rStyle w:val="FootnoteReference"/>
          <w:rFonts w:ascii="Georgia" w:hAnsi="Georgia"/>
        </w:rPr>
        <w:footnoteReference w:id="1"/>
      </w:r>
      <w:r w:rsidR="00876F50">
        <w:rPr>
          <w:rFonts w:ascii="Georgia" w:hAnsi="Georgia"/>
        </w:rPr>
        <w:t xml:space="preserve"> </w:t>
      </w:r>
      <w:proofErr w:type="gramStart"/>
      <w:r w:rsidR="00876F50">
        <w:rPr>
          <w:rFonts w:ascii="Georgia" w:hAnsi="Georgia"/>
        </w:rPr>
        <w:t>focuses</w:t>
      </w:r>
      <w:proofErr w:type="gramEnd"/>
      <w:r w:rsidR="00876F50">
        <w:rPr>
          <w:rFonts w:ascii="Georgia" w:hAnsi="Georgia"/>
        </w:rPr>
        <w:t xml:space="preserve"> on arguing that illiterate medieval people were not able to “read” images, u</w:t>
      </w:r>
      <w:r w:rsidR="003E4DE9">
        <w:rPr>
          <w:rFonts w:ascii="Georgia" w:hAnsi="Georgia"/>
        </w:rPr>
        <w:t>nless they already had some prev</w:t>
      </w:r>
      <w:r w:rsidR="00876F50">
        <w:rPr>
          <w:rFonts w:ascii="Georgia" w:hAnsi="Georgia"/>
        </w:rPr>
        <w:t>ious kn</w:t>
      </w:r>
      <w:r w:rsidR="007D4942">
        <w:rPr>
          <w:rFonts w:ascii="Georgia" w:hAnsi="Georgia"/>
        </w:rPr>
        <w:t>owledge or memory of the image</w:t>
      </w:r>
      <w:r w:rsidR="00876F50">
        <w:rPr>
          <w:rFonts w:ascii="Georgia" w:hAnsi="Georgia"/>
        </w:rPr>
        <w:t>.</w:t>
      </w:r>
      <w:r w:rsidR="0008365F">
        <w:rPr>
          <w:rFonts w:ascii="Georgia" w:hAnsi="Georgia"/>
        </w:rPr>
        <w:t xml:space="preserve"> However t</w:t>
      </w:r>
      <w:r w:rsidR="00254B46" w:rsidRPr="006A3760">
        <w:rPr>
          <w:rFonts w:ascii="Georgia" w:hAnsi="Georgia"/>
        </w:rPr>
        <w:t xml:space="preserve">here are many different </w:t>
      </w:r>
      <w:r w:rsidR="008C22DD">
        <w:rPr>
          <w:rFonts w:ascii="Georgia" w:hAnsi="Georgia"/>
        </w:rPr>
        <w:t>reason</w:t>
      </w:r>
      <w:r w:rsidR="000C5EDF">
        <w:rPr>
          <w:rFonts w:ascii="Georgia" w:hAnsi="Georgia"/>
        </w:rPr>
        <w:t>s</w:t>
      </w:r>
      <w:r w:rsidR="008C22DD">
        <w:rPr>
          <w:rFonts w:ascii="Georgia" w:hAnsi="Georgia"/>
        </w:rPr>
        <w:t xml:space="preserve"> why we could consider his journal to potentially be an unreliable piece of writing regarding illiterate people </w:t>
      </w:r>
      <w:r w:rsidR="000C5EDF">
        <w:rPr>
          <w:rFonts w:ascii="Georgia" w:hAnsi="Georgia"/>
        </w:rPr>
        <w:t>in the medieval period, this is due to some of the resources he us</w:t>
      </w:r>
      <w:r w:rsidR="00D12DDE">
        <w:rPr>
          <w:rFonts w:ascii="Georgia" w:hAnsi="Georgia"/>
        </w:rPr>
        <w:t>e</w:t>
      </w:r>
      <w:r w:rsidR="00DA4AAC">
        <w:rPr>
          <w:rFonts w:ascii="Georgia" w:hAnsi="Georgia"/>
        </w:rPr>
        <w:t>s as evidence for his argument.</w:t>
      </w:r>
    </w:p>
    <w:p w:rsidR="00F53B87" w:rsidRDefault="00F53B87" w:rsidP="00344369">
      <w:pPr>
        <w:spacing w:line="360" w:lineRule="auto"/>
        <w:rPr>
          <w:rFonts w:ascii="Georgia" w:hAnsi="Georgia"/>
        </w:rPr>
      </w:pPr>
      <w:r w:rsidRPr="00344369">
        <w:rPr>
          <w:rFonts w:ascii="Georgia" w:hAnsi="Georgia"/>
        </w:rPr>
        <w:t>Duggan’s article</w:t>
      </w:r>
      <w:r w:rsidR="009301D2" w:rsidRPr="00344369">
        <w:rPr>
          <w:rFonts w:ascii="Georgia" w:hAnsi="Georgia"/>
        </w:rPr>
        <w:t xml:space="preserve"> starts off by stating a series</w:t>
      </w:r>
      <w:r w:rsidR="0090119E" w:rsidRPr="00344369">
        <w:rPr>
          <w:rFonts w:ascii="Georgia" w:hAnsi="Georgia"/>
        </w:rPr>
        <w:t xml:space="preserve"> of </w:t>
      </w:r>
      <w:r w:rsidR="00131387" w:rsidRPr="00344369">
        <w:rPr>
          <w:rFonts w:ascii="Georgia" w:hAnsi="Georgia"/>
        </w:rPr>
        <w:t>questions that he intends</w:t>
      </w:r>
      <w:r w:rsidRPr="00344369">
        <w:rPr>
          <w:rFonts w:ascii="Georgia" w:hAnsi="Georgia"/>
        </w:rPr>
        <w:t xml:space="preserve"> to answer through</w:t>
      </w:r>
      <w:r w:rsidR="00ED7A82" w:rsidRPr="00344369">
        <w:rPr>
          <w:rFonts w:ascii="Georgia" w:hAnsi="Georgia"/>
        </w:rPr>
        <w:t>out his article “Did he for example, consider it only a metaphor, or did he literally believe that illiterates can ‘read’ pictures? If so what did he mean by the verb ‘to read’ – private silent reading, reading aloud, or some kind of group activity perhaps engaging both illiterates and literates?</w:t>
      </w:r>
      <w:proofErr w:type="gramStart"/>
      <w:r w:rsidR="00344369" w:rsidRPr="00344369">
        <w:rPr>
          <w:rFonts w:ascii="Georgia" w:hAnsi="Georgia"/>
        </w:rPr>
        <w:t>”</w:t>
      </w:r>
      <w:r w:rsidR="00054D69">
        <w:rPr>
          <w:rFonts w:ascii="Georgia" w:hAnsi="Georgia"/>
        </w:rPr>
        <w:t>.</w:t>
      </w:r>
      <w:proofErr w:type="gramEnd"/>
      <w:r w:rsidR="00054D69">
        <w:rPr>
          <w:rStyle w:val="FootnoteReference"/>
          <w:rFonts w:ascii="Georgia" w:hAnsi="Georgia"/>
        </w:rPr>
        <w:footnoteReference w:id="2"/>
      </w:r>
      <w:r w:rsidR="00054D69">
        <w:rPr>
          <w:rFonts w:ascii="Georgia" w:hAnsi="Georgia"/>
        </w:rPr>
        <w:t xml:space="preserve"> </w:t>
      </w:r>
      <w:r w:rsidR="00460A8C" w:rsidRPr="00344369">
        <w:rPr>
          <w:rFonts w:ascii="Georgia" w:hAnsi="Georgia"/>
        </w:rPr>
        <w:t>By giving the reader</w:t>
      </w:r>
      <w:r w:rsidR="007B44E0" w:rsidRPr="00344369">
        <w:rPr>
          <w:rFonts w:ascii="Georgia" w:hAnsi="Georgia"/>
        </w:rPr>
        <w:t xml:space="preserve"> a set</w:t>
      </w:r>
      <w:r w:rsidR="00131387" w:rsidRPr="00344369">
        <w:rPr>
          <w:rFonts w:ascii="Georgia" w:hAnsi="Georgia"/>
        </w:rPr>
        <w:t xml:space="preserve"> of questions that he hopes to answer</w:t>
      </w:r>
      <w:r w:rsidR="00EB669A" w:rsidRPr="00344369">
        <w:rPr>
          <w:rFonts w:ascii="Georgia" w:hAnsi="Georgia"/>
        </w:rPr>
        <w:t xml:space="preserve"> throughout the</w:t>
      </w:r>
      <w:r w:rsidR="00CA104E" w:rsidRPr="00344369">
        <w:rPr>
          <w:rFonts w:ascii="Georgia" w:hAnsi="Georgia"/>
        </w:rPr>
        <w:t xml:space="preserve"> article</w:t>
      </w:r>
      <w:r w:rsidR="009271F8" w:rsidRPr="00344369">
        <w:rPr>
          <w:rFonts w:ascii="Georgia" w:hAnsi="Georgia"/>
        </w:rPr>
        <w:t xml:space="preserve"> it provides </w:t>
      </w:r>
      <w:r w:rsidR="00131387" w:rsidRPr="00344369">
        <w:rPr>
          <w:rFonts w:ascii="Georgia" w:hAnsi="Georgia"/>
        </w:rPr>
        <w:t>the reader</w:t>
      </w:r>
      <w:r w:rsidR="009271F8" w:rsidRPr="00344369">
        <w:rPr>
          <w:rFonts w:ascii="Georgia" w:hAnsi="Georgia"/>
        </w:rPr>
        <w:t xml:space="preserve"> with</w:t>
      </w:r>
      <w:r w:rsidR="00131387" w:rsidRPr="00344369">
        <w:rPr>
          <w:rFonts w:ascii="Georgia" w:hAnsi="Georgia"/>
        </w:rPr>
        <w:t xml:space="preserve"> a clearer un</w:t>
      </w:r>
      <w:r w:rsidR="00EB669A" w:rsidRPr="00344369">
        <w:rPr>
          <w:rFonts w:ascii="Georgia" w:hAnsi="Georgia"/>
        </w:rPr>
        <w:t xml:space="preserve">derstanding of what he’s going to </w:t>
      </w:r>
      <w:r w:rsidR="00131387" w:rsidRPr="00344369">
        <w:rPr>
          <w:rFonts w:ascii="Georgia" w:hAnsi="Georgia"/>
        </w:rPr>
        <w:t>discuss</w:t>
      </w:r>
      <w:r w:rsidR="00EB669A" w:rsidRPr="00344369">
        <w:rPr>
          <w:rFonts w:ascii="Georgia" w:hAnsi="Georgia"/>
        </w:rPr>
        <w:t xml:space="preserve"> and the argument he’s trying to make</w:t>
      </w:r>
      <w:r w:rsidR="00131387" w:rsidRPr="00344369">
        <w:rPr>
          <w:rFonts w:ascii="Georgia" w:hAnsi="Georgia"/>
        </w:rPr>
        <w:t>.</w:t>
      </w:r>
      <w:r w:rsidR="00ED7A82" w:rsidRPr="00344369">
        <w:rPr>
          <w:rFonts w:ascii="Georgia" w:hAnsi="Georgia"/>
        </w:rPr>
        <w:t xml:space="preserve"> It also clearly sets the tone for the rest of the article. </w:t>
      </w:r>
      <w:r w:rsidR="002116BB" w:rsidRPr="00344369">
        <w:rPr>
          <w:rFonts w:ascii="Georgia" w:hAnsi="Georgia"/>
        </w:rPr>
        <w:t xml:space="preserve">Duggan also makes it clear that the article he’s publishing is a reprint </w:t>
      </w:r>
      <w:r w:rsidR="00344369" w:rsidRPr="00344369">
        <w:rPr>
          <w:rFonts w:ascii="Georgia" w:hAnsi="Georgia"/>
        </w:rPr>
        <w:t>“</w:t>
      </w:r>
      <w:r w:rsidR="00344369">
        <w:rPr>
          <w:rFonts w:ascii="Georgia" w:hAnsi="Georgia"/>
        </w:rPr>
        <w:t xml:space="preserve">1. This essay is a slightly corrected reprint from </w:t>
      </w:r>
      <w:r w:rsidR="00344369">
        <w:rPr>
          <w:rFonts w:ascii="Georgia" w:hAnsi="Georgia"/>
          <w:i/>
        </w:rPr>
        <w:t>Word &amp; Image</w:t>
      </w:r>
      <w:r w:rsidR="00344369">
        <w:rPr>
          <w:rFonts w:ascii="Georgia" w:hAnsi="Georgia"/>
        </w:rPr>
        <w:t>, 5.3 (1989), pp 227-251. I am grateful to the editors of this journal for the permission to republish.</w:t>
      </w:r>
      <w:proofErr w:type="gramStart"/>
      <w:r w:rsidR="00344369">
        <w:rPr>
          <w:rFonts w:ascii="Georgia" w:hAnsi="Georgia"/>
        </w:rPr>
        <w:t>”.</w:t>
      </w:r>
      <w:proofErr w:type="gramEnd"/>
      <w:r w:rsidR="00054D69">
        <w:rPr>
          <w:rStyle w:val="FootnoteReference"/>
          <w:rFonts w:ascii="Georgia" w:hAnsi="Georgia"/>
        </w:rPr>
        <w:footnoteReference w:id="3"/>
      </w:r>
      <w:r w:rsidR="00054D69">
        <w:rPr>
          <w:rFonts w:ascii="Georgia" w:hAnsi="Georgia"/>
        </w:rPr>
        <w:t xml:space="preserve"> </w:t>
      </w:r>
      <w:r w:rsidR="004D7EEB">
        <w:rPr>
          <w:rFonts w:ascii="Georgia" w:hAnsi="Georgia"/>
        </w:rPr>
        <w:t>Therefore it’</w:t>
      </w:r>
      <w:r w:rsidR="00E27BA6">
        <w:rPr>
          <w:rFonts w:ascii="Georgia" w:hAnsi="Georgia"/>
        </w:rPr>
        <w:t xml:space="preserve">s clear </w:t>
      </w:r>
      <w:r w:rsidR="002116BB" w:rsidRPr="00344369">
        <w:rPr>
          <w:rFonts w:ascii="Georgia" w:hAnsi="Georgia"/>
        </w:rPr>
        <w:t>he is set on</w:t>
      </w:r>
      <w:r w:rsidR="00461447">
        <w:rPr>
          <w:rFonts w:ascii="Georgia" w:hAnsi="Georgia"/>
        </w:rPr>
        <w:t xml:space="preserve"> the opinion that he has formed.</w:t>
      </w:r>
      <w:r w:rsidR="00D25546">
        <w:rPr>
          <w:rFonts w:ascii="Georgia" w:hAnsi="Georgia"/>
        </w:rPr>
        <w:t xml:space="preserve"> And, when reading Duggan’s “</w:t>
      </w:r>
      <w:r w:rsidR="00D25546" w:rsidRPr="007453A5">
        <w:rPr>
          <w:rFonts w:ascii="Georgia" w:hAnsi="Georgia"/>
          <w:i/>
        </w:rPr>
        <w:t xml:space="preserve">Reflections on “Was Art </w:t>
      </w:r>
      <w:proofErr w:type="gramStart"/>
      <w:r w:rsidR="00D25546" w:rsidRPr="007453A5">
        <w:rPr>
          <w:rFonts w:ascii="Georgia" w:hAnsi="Georgia"/>
          <w:i/>
        </w:rPr>
        <w:t>Really</w:t>
      </w:r>
      <w:proofErr w:type="gramEnd"/>
      <w:r w:rsidR="00D25546" w:rsidRPr="007453A5">
        <w:rPr>
          <w:rFonts w:ascii="Georgia" w:hAnsi="Georgia"/>
          <w:i/>
        </w:rPr>
        <w:t xml:space="preserve"> the ‘Book of the Illiterate’</w:t>
      </w:r>
      <w:r w:rsidR="00A00E30" w:rsidRPr="007453A5">
        <w:rPr>
          <w:rFonts w:ascii="Georgia" w:hAnsi="Georgia"/>
          <w:i/>
        </w:rPr>
        <w:t>?”</w:t>
      </w:r>
      <w:r w:rsidR="00334DF3">
        <w:rPr>
          <w:rFonts w:ascii="Georgia" w:hAnsi="Georgia"/>
        </w:rPr>
        <w:t>”,</w:t>
      </w:r>
      <w:r w:rsidR="00737EFA">
        <w:rPr>
          <w:rStyle w:val="FootnoteReference"/>
          <w:rFonts w:ascii="Georgia" w:hAnsi="Georgia"/>
        </w:rPr>
        <w:footnoteReference w:id="4"/>
      </w:r>
      <w:r w:rsidR="00A93E8E">
        <w:rPr>
          <w:rFonts w:ascii="Georgia" w:hAnsi="Georgia"/>
        </w:rPr>
        <w:t xml:space="preserve"> it’s clear he’s still set on the opinion he has formed </w:t>
      </w:r>
      <w:r w:rsidR="00A93E8E">
        <w:rPr>
          <w:rFonts w:ascii="Georgia" w:hAnsi="Georgia"/>
        </w:rPr>
        <w:lastRenderedPageBreak/>
        <w:t>“… allow me to cite again an incomparably higher authority than myself, Dr Samuel Johnson: “Painting, Sir, can illustrate, but not inform.””</w:t>
      </w:r>
      <w:r w:rsidR="00CA3DC5">
        <w:rPr>
          <w:rFonts w:ascii="Georgia" w:hAnsi="Georgia"/>
        </w:rPr>
        <w:t>.</w:t>
      </w:r>
      <w:r w:rsidR="00A93E8E">
        <w:rPr>
          <w:rStyle w:val="FootnoteReference"/>
          <w:rFonts w:ascii="Georgia" w:hAnsi="Georgia"/>
        </w:rPr>
        <w:footnoteReference w:id="5"/>
      </w:r>
    </w:p>
    <w:p w:rsidR="00DB75A3" w:rsidRDefault="00893645" w:rsidP="006A3760">
      <w:pPr>
        <w:spacing w:line="360" w:lineRule="auto"/>
        <w:rPr>
          <w:rFonts w:ascii="Georgia" w:hAnsi="Georgia"/>
        </w:rPr>
      </w:pPr>
      <w:r>
        <w:rPr>
          <w:rFonts w:ascii="Georgia" w:hAnsi="Georgia"/>
        </w:rPr>
        <w:t>At the beginning of his article Duggan provides us with some contextual points to help the reader better understand</w:t>
      </w:r>
      <w:r w:rsidR="00DB75A3">
        <w:rPr>
          <w:rFonts w:ascii="Georgia" w:hAnsi="Georgia"/>
        </w:rPr>
        <w:t xml:space="preserve"> the subject he’s talking about “Pope Gregory the Great (590-604) wrote these words sometime around the year 600 in two separate responses to the iconoclastic activities of Bishop </w:t>
      </w:r>
      <w:proofErr w:type="spellStart"/>
      <w:r w:rsidR="00DB75A3">
        <w:rPr>
          <w:rFonts w:ascii="Georgia" w:hAnsi="Georgia"/>
        </w:rPr>
        <w:t>Se</w:t>
      </w:r>
      <w:r w:rsidR="00282C63">
        <w:rPr>
          <w:rFonts w:ascii="Georgia" w:hAnsi="Georgia"/>
        </w:rPr>
        <w:t>renus</w:t>
      </w:r>
      <w:proofErr w:type="spellEnd"/>
      <w:r w:rsidR="00282C63">
        <w:rPr>
          <w:rFonts w:ascii="Georgia" w:hAnsi="Georgia"/>
        </w:rPr>
        <w:t xml:space="preserve"> of Marseilles.”.</w:t>
      </w:r>
      <w:r w:rsidR="00282C63">
        <w:rPr>
          <w:rStyle w:val="FootnoteReference"/>
          <w:rFonts w:ascii="Georgia" w:hAnsi="Georgia"/>
        </w:rPr>
        <w:footnoteReference w:id="6"/>
      </w:r>
      <w:r w:rsidR="00282C63">
        <w:rPr>
          <w:rFonts w:ascii="Georgia" w:hAnsi="Georgia"/>
        </w:rPr>
        <w:t xml:space="preserve"> </w:t>
      </w:r>
      <w:r w:rsidR="00DB75A3">
        <w:rPr>
          <w:rFonts w:ascii="Georgia" w:hAnsi="Georgia"/>
        </w:rPr>
        <w:t>By providing, even a small amount, of context it allows readers coming from a point with</w:t>
      </w:r>
      <w:r w:rsidR="002D07D2">
        <w:rPr>
          <w:rFonts w:ascii="Georgia" w:hAnsi="Georgia"/>
        </w:rPr>
        <w:t xml:space="preserve"> little to</w:t>
      </w:r>
      <w:r w:rsidR="00DB75A3">
        <w:rPr>
          <w:rFonts w:ascii="Georgia" w:hAnsi="Georgia"/>
        </w:rPr>
        <w:t xml:space="preserve"> no prior knowledge to better understand the subject that Duggan is talking about.</w:t>
      </w:r>
    </w:p>
    <w:p w:rsidR="008D72C8" w:rsidRPr="006A3760" w:rsidRDefault="00737629" w:rsidP="006A3760">
      <w:pPr>
        <w:spacing w:line="360" w:lineRule="auto"/>
        <w:rPr>
          <w:rFonts w:ascii="Georgia" w:hAnsi="Georgia"/>
        </w:rPr>
      </w:pPr>
      <w:r w:rsidRPr="006A3760">
        <w:rPr>
          <w:rFonts w:ascii="Georgia" w:hAnsi="Georgia"/>
        </w:rPr>
        <w:t>Generally when using translated sources there is a sen</w:t>
      </w:r>
      <w:r w:rsidR="00946BF8">
        <w:rPr>
          <w:rFonts w:ascii="Georgia" w:hAnsi="Georgia"/>
        </w:rPr>
        <w:t>se of unreliability, translated texts</w:t>
      </w:r>
      <w:r w:rsidR="00642EC0">
        <w:rPr>
          <w:rFonts w:ascii="Georgia" w:hAnsi="Georgia"/>
        </w:rPr>
        <w:t xml:space="preserve"> can </w:t>
      </w:r>
      <w:r w:rsidR="00990035">
        <w:rPr>
          <w:rFonts w:ascii="Georgia" w:hAnsi="Georgia"/>
        </w:rPr>
        <w:t xml:space="preserve">be rendered </w:t>
      </w:r>
      <w:r w:rsidRPr="006A3760">
        <w:rPr>
          <w:rFonts w:ascii="Georgia" w:hAnsi="Georgia"/>
        </w:rPr>
        <w:t xml:space="preserve">in many different ways, which will </w:t>
      </w:r>
      <w:r w:rsidR="00D71609" w:rsidRPr="006A3760">
        <w:rPr>
          <w:rFonts w:ascii="Georgia" w:hAnsi="Georgia"/>
        </w:rPr>
        <w:t>affect</w:t>
      </w:r>
      <w:r w:rsidR="00A9167B">
        <w:rPr>
          <w:rFonts w:ascii="Georgia" w:hAnsi="Georgia"/>
        </w:rPr>
        <w:t xml:space="preserve"> the</w:t>
      </w:r>
      <w:r w:rsidRPr="006A3760">
        <w:rPr>
          <w:rFonts w:ascii="Georgia" w:hAnsi="Georgia"/>
        </w:rPr>
        <w:t xml:space="preserve"> way that th</w:t>
      </w:r>
      <w:r w:rsidR="002A78F0">
        <w:rPr>
          <w:rFonts w:ascii="Georgia" w:hAnsi="Georgia"/>
        </w:rPr>
        <w:t>e text is interpreted</w:t>
      </w:r>
      <w:r w:rsidR="00642EC0">
        <w:rPr>
          <w:rFonts w:ascii="Georgia" w:hAnsi="Georgia"/>
        </w:rPr>
        <w:t xml:space="preserve">. </w:t>
      </w:r>
      <w:r w:rsidR="00330B3F">
        <w:rPr>
          <w:rFonts w:ascii="Georgia" w:hAnsi="Georgia"/>
        </w:rPr>
        <w:t>Herbert Kessler, a historian who has refuted Duggan’s article, analyses the same letter in his work, however, he uses a different translation to Duggan</w:t>
      </w:r>
      <w:r w:rsidR="00D25546">
        <w:rPr>
          <w:rFonts w:ascii="Georgia" w:hAnsi="Georgia"/>
        </w:rPr>
        <w:t>’s</w:t>
      </w:r>
      <w:r w:rsidR="00334DF3">
        <w:rPr>
          <w:rFonts w:ascii="Georgia" w:hAnsi="Georgia"/>
        </w:rPr>
        <w:t xml:space="preserve"> “For it is one thing to adore a picture, another through a picture’s story to learn what must be adored.</w:t>
      </w:r>
      <w:proofErr w:type="gramStart"/>
      <w:r w:rsidR="00334DF3">
        <w:rPr>
          <w:rFonts w:ascii="Georgia" w:hAnsi="Georgia"/>
        </w:rPr>
        <w:t>”</w:t>
      </w:r>
      <w:r w:rsidR="004D07E6">
        <w:rPr>
          <w:rFonts w:ascii="Georgia" w:hAnsi="Georgia"/>
        </w:rPr>
        <w:t>.</w:t>
      </w:r>
      <w:proofErr w:type="gramEnd"/>
      <w:r w:rsidR="00D554CB">
        <w:rPr>
          <w:rStyle w:val="FootnoteReference"/>
          <w:rFonts w:ascii="Georgia" w:hAnsi="Georgia"/>
        </w:rPr>
        <w:footnoteReference w:id="7"/>
      </w:r>
      <w:r w:rsidR="004D07E6">
        <w:rPr>
          <w:rFonts w:ascii="Georgia" w:hAnsi="Georgia"/>
        </w:rPr>
        <w:t xml:space="preserve"> </w:t>
      </w:r>
      <w:r w:rsidR="00330B3F">
        <w:rPr>
          <w:rFonts w:ascii="Georgia" w:hAnsi="Georgia"/>
        </w:rPr>
        <w:t xml:space="preserve">In the translation that </w:t>
      </w:r>
      <w:r w:rsidR="00334DF3" w:rsidRPr="006A3760">
        <w:rPr>
          <w:rFonts w:ascii="Georgia" w:hAnsi="Georgia"/>
        </w:rPr>
        <w:t>Kessler</w:t>
      </w:r>
      <w:r w:rsidR="00334DF3">
        <w:rPr>
          <w:rFonts w:ascii="Georgia" w:hAnsi="Georgia"/>
        </w:rPr>
        <w:t xml:space="preserve"> uses he interprets the quote as Pope Gregory saying you can “read” images not by obtaining new knowledge but by using images to assist in teaching, assuming that the people Pope Gregory was talking about at least had some previous knowledge of the depictions. Whereas, </w:t>
      </w:r>
      <w:r w:rsidR="00A63F4E">
        <w:rPr>
          <w:rFonts w:ascii="Georgia" w:hAnsi="Georgia"/>
        </w:rPr>
        <w:t xml:space="preserve">Duggan </w:t>
      </w:r>
      <w:r w:rsidR="00F30A33">
        <w:rPr>
          <w:rFonts w:ascii="Georgia" w:hAnsi="Georgia"/>
        </w:rPr>
        <w:t>be</w:t>
      </w:r>
      <w:r w:rsidR="00DF155D">
        <w:rPr>
          <w:rFonts w:ascii="Georgia" w:hAnsi="Georgia"/>
        </w:rPr>
        <w:t>lieve</w:t>
      </w:r>
      <w:r w:rsidR="008A0695">
        <w:rPr>
          <w:rFonts w:ascii="Georgia" w:hAnsi="Georgia"/>
        </w:rPr>
        <w:t>s</w:t>
      </w:r>
      <w:r w:rsidR="00DF155D">
        <w:rPr>
          <w:rFonts w:ascii="Georgia" w:hAnsi="Georgia"/>
        </w:rPr>
        <w:t xml:space="preserve"> that P</w:t>
      </w:r>
      <w:r w:rsidR="002A1AF7">
        <w:rPr>
          <w:rFonts w:ascii="Georgia" w:hAnsi="Georgia"/>
        </w:rPr>
        <w:t xml:space="preserve">ope Gregory implies </w:t>
      </w:r>
      <w:r w:rsidR="00F30A33">
        <w:rPr>
          <w:rFonts w:ascii="Georgia" w:hAnsi="Georgia"/>
        </w:rPr>
        <w:t>you</w:t>
      </w:r>
      <w:r w:rsidR="00EF4ADD">
        <w:rPr>
          <w:rFonts w:ascii="Georgia" w:hAnsi="Georgia"/>
        </w:rPr>
        <w:t xml:space="preserve"> can tell what’s going on in an image</w:t>
      </w:r>
      <w:r w:rsidR="00F30A33">
        <w:rPr>
          <w:rFonts w:ascii="Georgia" w:hAnsi="Georgia"/>
        </w:rPr>
        <w:t xml:space="preserve"> without any pr</w:t>
      </w:r>
      <w:r w:rsidR="001B2B22">
        <w:rPr>
          <w:rFonts w:ascii="Georgia" w:hAnsi="Georgia"/>
        </w:rPr>
        <w:t xml:space="preserve">ior </w:t>
      </w:r>
      <w:r w:rsidR="00F30A33">
        <w:rPr>
          <w:rFonts w:ascii="Georgia" w:hAnsi="Georgia"/>
        </w:rPr>
        <w:t>knowledge</w:t>
      </w:r>
      <w:r w:rsidR="00154A3E">
        <w:rPr>
          <w:rFonts w:ascii="Georgia" w:hAnsi="Georgia"/>
        </w:rPr>
        <w:t xml:space="preserve"> and</w:t>
      </w:r>
      <w:r w:rsidR="00946BF8">
        <w:rPr>
          <w:rFonts w:ascii="Georgia" w:hAnsi="Georgia"/>
        </w:rPr>
        <w:t xml:space="preserve"> can</w:t>
      </w:r>
      <w:r w:rsidR="00154A3E">
        <w:rPr>
          <w:rFonts w:ascii="Georgia" w:hAnsi="Georgia"/>
        </w:rPr>
        <w:t xml:space="preserve"> learn from that image</w:t>
      </w:r>
      <w:r w:rsidR="00C21B79">
        <w:rPr>
          <w:rFonts w:ascii="Georgia" w:hAnsi="Georgia"/>
        </w:rPr>
        <w:t>, which Duggan doesn’t believe is possible</w:t>
      </w:r>
      <w:r w:rsidR="00334DF3">
        <w:rPr>
          <w:rFonts w:ascii="Georgia" w:hAnsi="Georgia"/>
        </w:rPr>
        <w:t>. There’s only a slight difference in the two translation</w:t>
      </w:r>
      <w:r w:rsidR="00410722">
        <w:rPr>
          <w:rFonts w:ascii="Georgia" w:hAnsi="Georgia"/>
        </w:rPr>
        <w:t>s</w:t>
      </w:r>
      <w:r w:rsidR="00334DF3">
        <w:rPr>
          <w:rFonts w:ascii="Georgia" w:hAnsi="Georgia"/>
        </w:rPr>
        <w:t>, where Kessler’s says “to learn”, Duggan’s says “to teach”.</w:t>
      </w:r>
      <w:r w:rsidR="00D554CB">
        <w:rPr>
          <w:rStyle w:val="FootnoteReference"/>
          <w:rFonts w:ascii="Georgia" w:hAnsi="Georgia"/>
        </w:rPr>
        <w:footnoteReference w:id="8"/>
      </w:r>
      <w:r w:rsidR="00334DF3">
        <w:rPr>
          <w:rFonts w:ascii="Georgia" w:hAnsi="Georgia"/>
        </w:rPr>
        <w:t xml:space="preserve"> </w:t>
      </w:r>
      <w:r w:rsidR="00642EC0">
        <w:rPr>
          <w:rFonts w:ascii="Georgia" w:hAnsi="Georgia"/>
        </w:rPr>
        <w:t>Duggan and Kessler use different translations of the text and therefore their opinions differ, it’s uncertain which translation to believe and therefore we have to consider both argu</w:t>
      </w:r>
      <w:r w:rsidR="0057175A">
        <w:rPr>
          <w:rFonts w:ascii="Georgia" w:hAnsi="Georgia"/>
        </w:rPr>
        <w:t xml:space="preserve">ments rather than </w:t>
      </w:r>
      <w:r w:rsidR="00642EC0">
        <w:rPr>
          <w:rFonts w:ascii="Georgia" w:hAnsi="Georgia"/>
        </w:rPr>
        <w:t>disregard</w:t>
      </w:r>
      <w:r w:rsidR="0057175A">
        <w:rPr>
          <w:rFonts w:ascii="Georgia" w:hAnsi="Georgia"/>
        </w:rPr>
        <w:t>ing</w:t>
      </w:r>
      <w:r w:rsidR="00642EC0">
        <w:rPr>
          <w:rFonts w:ascii="Georgia" w:hAnsi="Georgia"/>
        </w:rPr>
        <w:t xml:space="preserve"> one or the other.</w:t>
      </w:r>
    </w:p>
    <w:p w:rsidR="004E2A33" w:rsidRPr="006A3760" w:rsidRDefault="005C756A" w:rsidP="006A3760">
      <w:pPr>
        <w:spacing w:line="360" w:lineRule="auto"/>
        <w:rPr>
          <w:rFonts w:ascii="Georgia" w:hAnsi="Georgia"/>
        </w:rPr>
      </w:pPr>
      <w:r w:rsidRPr="00DD312B">
        <w:rPr>
          <w:rFonts w:ascii="Georgia" w:hAnsi="Georgia"/>
        </w:rPr>
        <w:lastRenderedPageBreak/>
        <w:t>Although Duggan’s artic</w:t>
      </w:r>
      <w:r>
        <w:rPr>
          <w:rFonts w:ascii="Georgia" w:hAnsi="Georgia"/>
        </w:rPr>
        <w:t>le could be seen as unreliable in some respects, his article is</w:t>
      </w:r>
      <w:r w:rsidRPr="00DD312B">
        <w:rPr>
          <w:rFonts w:ascii="Georgia" w:hAnsi="Georgia"/>
        </w:rPr>
        <w:t xml:space="preserve"> reliable in terms of evaluating and looking at the sources that he’s using</w:t>
      </w:r>
      <w:r>
        <w:rPr>
          <w:rFonts w:ascii="Georgia" w:hAnsi="Georgia"/>
        </w:rPr>
        <w:t xml:space="preserve"> “A similarly sophisticated awareness of the dangers of misreading can be seen in two other sources, both from England around 1400.”.</w:t>
      </w:r>
      <w:r w:rsidR="00282C63">
        <w:rPr>
          <w:rStyle w:val="FootnoteReference"/>
          <w:rFonts w:ascii="Georgia" w:hAnsi="Georgia"/>
        </w:rPr>
        <w:footnoteReference w:id="9"/>
      </w:r>
      <w:r>
        <w:rPr>
          <w:rFonts w:ascii="Georgia" w:hAnsi="Georgia"/>
        </w:rPr>
        <w:t xml:space="preserve"> Duggan acknowledges that there’s the potential of</w:t>
      </w:r>
      <w:r w:rsidR="00CF73A7">
        <w:rPr>
          <w:rFonts w:ascii="Georgia" w:hAnsi="Georgia"/>
        </w:rPr>
        <w:t xml:space="preserve"> using sources to back up your</w:t>
      </w:r>
      <w:r>
        <w:rPr>
          <w:rFonts w:ascii="Georgia" w:hAnsi="Georgia"/>
        </w:rPr>
        <w:t xml:space="preserve"> point which are completely unreliable and he makes it clea</w:t>
      </w:r>
      <w:r w:rsidR="00C63A1E">
        <w:rPr>
          <w:rFonts w:ascii="Georgia" w:hAnsi="Georgia"/>
        </w:rPr>
        <w:t xml:space="preserve">r which sources that he’s referencing </w:t>
      </w:r>
      <w:r>
        <w:rPr>
          <w:rFonts w:ascii="Georgia" w:hAnsi="Georgia"/>
        </w:rPr>
        <w:t>are unreliable so that the reader can interpret his argument correctly and doesn’t become confused at a crossover of evidenc</w:t>
      </w:r>
      <w:r w:rsidR="00A801F4">
        <w:rPr>
          <w:rFonts w:ascii="Georgia" w:hAnsi="Georgia"/>
        </w:rPr>
        <w:t>e he’s providing.</w:t>
      </w:r>
      <w:r>
        <w:rPr>
          <w:rFonts w:ascii="Georgia" w:hAnsi="Georgia"/>
        </w:rPr>
        <w:t xml:space="preserve"> </w:t>
      </w:r>
      <w:r w:rsidR="000657C6">
        <w:rPr>
          <w:rFonts w:ascii="Georgia" w:hAnsi="Georgia"/>
        </w:rPr>
        <w:t>We can assume Duggan’s knowledge of different sources and ability to decide whether a source is reliable or not is trustworthy due to his specialisation being in the Later Medieval Ages. Therefore we can assume this to be a trustworthy article.</w:t>
      </w:r>
    </w:p>
    <w:p w:rsidR="000657C6" w:rsidRDefault="009D0CB6" w:rsidP="006A3760">
      <w:pPr>
        <w:spacing w:line="360" w:lineRule="auto"/>
        <w:rPr>
          <w:rFonts w:ascii="Georgia" w:hAnsi="Georgia"/>
        </w:rPr>
      </w:pPr>
      <w:r w:rsidRPr="006A3760">
        <w:rPr>
          <w:rFonts w:ascii="Georgia" w:hAnsi="Georgia"/>
        </w:rPr>
        <w:t>Duggan’s journal accommodates for people who may not have a depth of knowledge in the subject area. He provides examples for some of the points he makes, making it easier for someone from an outside perspective to be able to understand the point he’s ma</w:t>
      </w:r>
      <w:r w:rsidR="002F7C2C">
        <w:rPr>
          <w:rFonts w:ascii="Georgia" w:hAnsi="Georgia"/>
        </w:rPr>
        <w:t xml:space="preserve">king a little more “Imagine a Tuscan peasant coming upon Masaccio’s </w:t>
      </w:r>
      <w:r w:rsidR="002F7C2C">
        <w:rPr>
          <w:rFonts w:ascii="Georgia" w:hAnsi="Georgia"/>
          <w:i/>
        </w:rPr>
        <w:t>Tribute Money</w:t>
      </w:r>
      <w:r w:rsidR="002F7C2C">
        <w:rPr>
          <w:rFonts w:ascii="Georgia" w:hAnsi="Georgia"/>
        </w:rPr>
        <w:t xml:space="preserve"> in the </w:t>
      </w:r>
      <w:proofErr w:type="spellStart"/>
      <w:r w:rsidR="002F7C2C">
        <w:rPr>
          <w:rFonts w:ascii="Georgia" w:hAnsi="Georgia"/>
        </w:rPr>
        <w:t>Brancacci</w:t>
      </w:r>
      <w:proofErr w:type="spellEnd"/>
      <w:r w:rsidR="002F7C2C">
        <w:rPr>
          <w:rFonts w:ascii="Georgia" w:hAnsi="Georgia"/>
        </w:rPr>
        <w:t xml:space="preserve"> Chapel, […] or a German nobleman astonished by Donatello’s </w:t>
      </w:r>
      <w:r w:rsidR="002F7C2C">
        <w:rPr>
          <w:rFonts w:ascii="Georgia" w:hAnsi="Georgia"/>
          <w:i/>
        </w:rPr>
        <w:t>Mary Magdalene</w:t>
      </w:r>
      <w:r w:rsidR="002F7C2C">
        <w:rPr>
          <w:rFonts w:ascii="Georgia" w:hAnsi="Georgia"/>
        </w:rPr>
        <w:t>. None of these people could learn from the painting or sculpture what it was about.</w:t>
      </w:r>
      <w:proofErr w:type="gramStart"/>
      <w:r w:rsidR="00B313C0">
        <w:rPr>
          <w:rFonts w:ascii="Georgia" w:hAnsi="Georgia"/>
        </w:rPr>
        <w:t>”.</w:t>
      </w:r>
      <w:proofErr w:type="gramEnd"/>
      <w:r w:rsidR="00B313C0">
        <w:rPr>
          <w:rStyle w:val="FootnoteReference"/>
          <w:rFonts w:ascii="Georgia" w:hAnsi="Georgia"/>
        </w:rPr>
        <w:footnoteReference w:id="10"/>
      </w:r>
      <w:r w:rsidR="00B313C0">
        <w:rPr>
          <w:rFonts w:ascii="Georgia" w:hAnsi="Georgia"/>
        </w:rPr>
        <w:t xml:space="preserve"> </w:t>
      </w:r>
      <w:r w:rsidR="00B714DF" w:rsidRPr="006A3760">
        <w:rPr>
          <w:rFonts w:ascii="Georgia" w:hAnsi="Georgia"/>
        </w:rPr>
        <w:t xml:space="preserve">By providing these additional artworks to compare what it would have been like for an illiterate medieval person to look at pictures it gives the reader a better understanding of what it would have been like for a medieval illiterate person. </w:t>
      </w:r>
    </w:p>
    <w:p w:rsidR="00C06DBC" w:rsidRDefault="003C6DCC" w:rsidP="006A3760">
      <w:pPr>
        <w:spacing w:line="360" w:lineRule="auto"/>
        <w:rPr>
          <w:rFonts w:ascii="Georgia" w:hAnsi="Georgia"/>
        </w:rPr>
      </w:pPr>
      <w:r>
        <w:rPr>
          <w:rFonts w:ascii="Georgia" w:hAnsi="Georgia"/>
        </w:rPr>
        <w:t xml:space="preserve">Although we could consider the use of the translation of Pope Gregory’s letter in Duggan’s article untrustworthy, he makes a valid argument throughout </w:t>
      </w:r>
      <w:r w:rsidR="004A4284">
        <w:rPr>
          <w:rFonts w:ascii="Georgia" w:hAnsi="Georgia"/>
        </w:rPr>
        <w:t>his work</w:t>
      </w:r>
      <w:r w:rsidR="00C8544D">
        <w:rPr>
          <w:rFonts w:ascii="Georgia" w:hAnsi="Georgia"/>
        </w:rPr>
        <w:t xml:space="preserve"> despite responses from other historians arguing opposing opinions</w:t>
      </w:r>
      <w:r w:rsidR="004A4284">
        <w:rPr>
          <w:rFonts w:ascii="Georgia" w:hAnsi="Georgia"/>
        </w:rPr>
        <w:t>.</w:t>
      </w:r>
      <w:r w:rsidR="00C8544D">
        <w:rPr>
          <w:rFonts w:ascii="Georgia" w:hAnsi="Georgia"/>
        </w:rPr>
        <w:t xml:space="preserve"> Duggan accommodates for people with little to no prior knowledge on the subject he’</w:t>
      </w:r>
      <w:r w:rsidR="00B14860">
        <w:rPr>
          <w:rFonts w:ascii="Georgia" w:hAnsi="Georgia"/>
        </w:rPr>
        <w:t>s arguing, he’s very descriptive and evaluative in his article therefore making his argument easier to follow and grasp.</w:t>
      </w:r>
      <w:r w:rsidR="000937C3">
        <w:rPr>
          <w:rFonts w:ascii="Georgia" w:hAnsi="Georgia"/>
        </w:rPr>
        <w:t xml:space="preserve"> Moreover it’s very clear what Duggan’s stance on the argument is</w:t>
      </w:r>
      <w:r w:rsidR="00E70CF6">
        <w:rPr>
          <w:rFonts w:ascii="Georgia" w:hAnsi="Georgia"/>
        </w:rPr>
        <w:t xml:space="preserve">, </w:t>
      </w:r>
      <w:r w:rsidR="000937C3">
        <w:rPr>
          <w:rFonts w:ascii="Georgia" w:hAnsi="Georgia"/>
        </w:rPr>
        <w:t xml:space="preserve">we could consider his ideas to be somewhat biased, however his argument is still a </w:t>
      </w:r>
      <w:r w:rsidR="008B7A2D">
        <w:rPr>
          <w:rFonts w:ascii="Georgia" w:hAnsi="Georgia"/>
        </w:rPr>
        <w:t xml:space="preserve">well made and </w:t>
      </w:r>
      <w:r w:rsidR="000937C3">
        <w:rPr>
          <w:rFonts w:ascii="Georgia" w:hAnsi="Georgia"/>
        </w:rPr>
        <w:t xml:space="preserve">valid one. </w:t>
      </w:r>
    </w:p>
    <w:p w:rsidR="00C06DBC" w:rsidRDefault="00C06DBC">
      <w:pPr>
        <w:rPr>
          <w:rFonts w:ascii="Georgia" w:hAnsi="Georgia"/>
        </w:rPr>
      </w:pPr>
      <w:r>
        <w:rPr>
          <w:rFonts w:ascii="Georgia" w:hAnsi="Georgia"/>
        </w:rPr>
        <w:br w:type="page"/>
      </w:r>
    </w:p>
    <w:p w:rsidR="003C6DCC" w:rsidRDefault="00C06DBC" w:rsidP="006A3760">
      <w:pPr>
        <w:spacing w:line="360" w:lineRule="auto"/>
        <w:rPr>
          <w:rFonts w:ascii="Georgia" w:hAnsi="Georgia"/>
        </w:rPr>
      </w:pPr>
      <w:r>
        <w:rPr>
          <w:rFonts w:ascii="Georgia" w:hAnsi="Georgia"/>
          <w:b/>
          <w:u w:val="single"/>
        </w:rPr>
        <w:lastRenderedPageBreak/>
        <w:t>Bibliography</w:t>
      </w:r>
    </w:p>
    <w:p w:rsidR="005765ED" w:rsidRPr="005765ED" w:rsidRDefault="005765ED" w:rsidP="006A3760">
      <w:pPr>
        <w:spacing w:line="360" w:lineRule="auto"/>
        <w:rPr>
          <w:rFonts w:ascii="Georgia" w:hAnsi="Georgia" w:cs="Arial"/>
          <w:sz w:val="24"/>
          <w:szCs w:val="20"/>
          <w:shd w:val="clear" w:color="auto" w:fill="FFFFFF"/>
        </w:rPr>
      </w:pPr>
      <w:proofErr w:type="spellStart"/>
      <w:r>
        <w:rPr>
          <w:rFonts w:ascii="Georgia" w:hAnsi="Georgia" w:cs="Arial"/>
          <w:szCs w:val="20"/>
          <w:shd w:val="clear" w:color="auto" w:fill="FFFFFF"/>
        </w:rPr>
        <w:t>Chazelle</w:t>
      </w:r>
      <w:proofErr w:type="spellEnd"/>
      <w:r>
        <w:rPr>
          <w:rFonts w:ascii="Georgia" w:hAnsi="Georgia" w:cs="Arial"/>
          <w:szCs w:val="20"/>
          <w:shd w:val="clear" w:color="auto" w:fill="FFFFFF"/>
        </w:rPr>
        <w:t>, Celia M., ‘</w:t>
      </w:r>
      <w:r w:rsidRPr="005765ED">
        <w:rPr>
          <w:rFonts w:ascii="Georgia" w:hAnsi="Georgia" w:cs="Arial"/>
          <w:szCs w:val="20"/>
          <w:shd w:val="clear" w:color="auto" w:fill="FFFFFF"/>
        </w:rPr>
        <w:t xml:space="preserve">Pictures, Books, </w:t>
      </w:r>
      <w:proofErr w:type="gramStart"/>
      <w:r w:rsidRPr="005765ED">
        <w:rPr>
          <w:rFonts w:ascii="Georgia" w:hAnsi="Georgia" w:cs="Arial"/>
          <w:szCs w:val="20"/>
          <w:shd w:val="clear" w:color="auto" w:fill="FFFFFF"/>
        </w:rPr>
        <w:t>And</w:t>
      </w:r>
      <w:proofErr w:type="gramEnd"/>
      <w:r w:rsidRPr="005765ED">
        <w:rPr>
          <w:rFonts w:ascii="Georgia" w:hAnsi="Georgia" w:cs="Arial"/>
          <w:szCs w:val="20"/>
          <w:shd w:val="clear" w:color="auto" w:fill="FFFFFF"/>
        </w:rPr>
        <w:t xml:space="preserve"> The Illiterate: Pope Gregory I's L</w:t>
      </w:r>
      <w:r>
        <w:rPr>
          <w:rFonts w:ascii="Georgia" w:hAnsi="Georgia" w:cs="Arial"/>
          <w:szCs w:val="20"/>
          <w:shd w:val="clear" w:color="auto" w:fill="FFFFFF"/>
        </w:rPr>
        <w:t xml:space="preserve">etters To </w:t>
      </w:r>
      <w:proofErr w:type="spellStart"/>
      <w:r>
        <w:rPr>
          <w:rFonts w:ascii="Georgia" w:hAnsi="Georgia" w:cs="Arial"/>
          <w:szCs w:val="20"/>
          <w:shd w:val="clear" w:color="auto" w:fill="FFFFFF"/>
        </w:rPr>
        <w:t>Serenus</w:t>
      </w:r>
      <w:proofErr w:type="spellEnd"/>
      <w:r>
        <w:rPr>
          <w:rFonts w:ascii="Georgia" w:hAnsi="Georgia" w:cs="Arial"/>
          <w:szCs w:val="20"/>
          <w:shd w:val="clear" w:color="auto" w:fill="FFFFFF"/>
        </w:rPr>
        <w:t xml:space="preserve"> Of Marseilles’</w:t>
      </w:r>
      <w:r w:rsidRPr="005765ED">
        <w:rPr>
          <w:rFonts w:ascii="Georgia" w:hAnsi="Georgia" w:cs="Arial"/>
          <w:szCs w:val="20"/>
          <w:shd w:val="clear" w:color="auto" w:fill="FFFFFF"/>
        </w:rPr>
        <w:t>, </w:t>
      </w:r>
      <w:r w:rsidRPr="005765ED">
        <w:rPr>
          <w:rFonts w:ascii="Georgia" w:hAnsi="Georgia" w:cs="Arial"/>
          <w:i/>
          <w:iCs/>
          <w:szCs w:val="20"/>
          <w:shd w:val="clear" w:color="auto" w:fill="FFFFFF"/>
        </w:rPr>
        <w:t>Word &amp; Image</w:t>
      </w:r>
      <w:r w:rsidR="00916929">
        <w:rPr>
          <w:rFonts w:ascii="Georgia" w:hAnsi="Georgia" w:cs="Arial"/>
          <w:szCs w:val="20"/>
          <w:shd w:val="clear" w:color="auto" w:fill="FFFFFF"/>
        </w:rPr>
        <w:t>, 6 (1990). pp.</w:t>
      </w:r>
      <w:r w:rsidRPr="005765ED">
        <w:rPr>
          <w:rFonts w:ascii="Georgia" w:hAnsi="Georgia" w:cs="Arial"/>
          <w:szCs w:val="20"/>
          <w:shd w:val="clear" w:color="auto" w:fill="FFFFFF"/>
        </w:rPr>
        <w:t xml:space="preserve"> 138-153 </w:t>
      </w:r>
    </w:p>
    <w:p w:rsidR="00C06DBC" w:rsidRPr="00C06DBC" w:rsidRDefault="00C06DBC" w:rsidP="006A3760">
      <w:pPr>
        <w:spacing w:line="360" w:lineRule="auto"/>
        <w:rPr>
          <w:rFonts w:ascii="Georgia" w:hAnsi="Georgia" w:cs="Arial"/>
          <w:sz w:val="24"/>
          <w:szCs w:val="20"/>
          <w:shd w:val="clear" w:color="auto" w:fill="FFFFFF"/>
        </w:rPr>
      </w:pPr>
      <w:proofErr w:type="spellStart"/>
      <w:r w:rsidRPr="00C06DBC">
        <w:rPr>
          <w:rFonts w:ascii="Georgia" w:hAnsi="Georgia" w:cs="Arial"/>
          <w:szCs w:val="20"/>
          <w:shd w:val="clear" w:color="auto" w:fill="FFFFFF"/>
        </w:rPr>
        <w:t>Gregorius</w:t>
      </w:r>
      <w:proofErr w:type="spellEnd"/>
      <w:r w:rsidRPr="00C06DBC">
        <w:rPr>
          <w:rFonts w:ascii="Georgia" w:hAnsi="Georgia" w:cs="Arial"/>
          <w:szCs w:val="20"/>
          <w:shd w:val="clear" w:color="auto" w:fill="FFFFFF"/>
        </w:rPr>
        <w:t>, and John Moorhead, </w:t>
      </w:r>
      <w:r w:rsidR="005765ED">
        <w:rPr>
          <w:rFonts w:ascii="Georgia" w:hAnsi="Georgia" w:cs="Arial"/>
          <w:szCs w:val="20"/>
          <w:shd w:val="clear" w:color="auto" w:fill="FFFFFF"/>
        </w:rPr>
        <w:t>‘</w:t>
      </w:r>
      <w:r w:rsidRPr="00C06DBC">
        <w:rPr>
          <w:rFonts w:ascii="Georgia" w:hAnsi="Georgia" w:cs="Arial"/>
          <w:i/>
          <w:iCs/>
          <w:szCs w:val="20"/>
          <w:shd w:val="clear" w:color="auto" w:fill="FFFFFF"/>
        </w:rPr>
        <w:t xml:space="preserve">Gregory </w:t>
      </w:r>
      <w:proofErr w:type="gramStart"/>
      <w:r w:rsidRPr="00C06DBC">
        <w:rPr>
          <w:rFonts w:ascii="Georgia" w:hAnsi="Georgia" w:cs="Arial"/>
          <w:i/>
          <w:iCs/>
          <w:szCs w:val="20"/>
          <w:shd w:val="clear" w:color="auto" w:fill="FFFFFF"/>
        </w:rPr>
        <w:t>The</w:t>
      </w:r>
      <w:proofErr w:type="gramEnd"/>
      <w:r w:rsidRPr="00C06DBC">
        <w:rPr>
          <w:rFonts w:ascii="Georgia" w:hAnsi="Georgia" w:cs="Arial"/>
          <w:i/>
          <w:iCs/>
          <w:szCs w:val="20"/>
          <w:shd w:val="clear" w:color="auto" w:fill="FFFFFF"/>
        </w:rPr>
        <w:t xml:space="preserve"> Great</w:t>
      </w:r>
      <w:r w:rsidR="005765ED">
        <w:rPr>
          <w:rFonts w:ascii="Georgia" w:hAnsi="Georgia" w:cs="Arial"/>
          <w:szCs w:val="20"/>
          <w:shd w:val="clear" w:color="auto" w:fill="FFFFFF"/>
        </w:rPr>
        <w:t>’</w:t>
      </w:r>
      <w:r w:rsidR="00916929">
        <w:rPr>
          <w:rFonts w:ascii="Georgia" w:hAnsi="Georgia" w:cs="Arial"/>
          <w:szCs w:val="20"/>
          <w:shd w:val="clear" w:color="auto" w:fill="FFFFFF"/>
        </w:rPr>
        <w:t>.</w:t>
      </w:r>
      <w:r w:rsidR="005765ED">
        <w:rPr>
          <w:rFonts w:ascii="Georgia" w:hAnsi="Georgia" w:cs="Arial"/>
          <w:szCs w:val="20"/>
          <w:shd w:val="clear" w:color="auto" w:fill="FFFFFF"/>
        </w:rPr>
        <w:t xml:space="preserve"> </w:t>
      </w:r>
      <w:r w:rsidRPr="00C06DBC">
        <w:rPr>
          <w:rFonts w:ascii="Georgia" w:hAnsi="Georgia" w:cs="Arial"/>
          <w:szCs w:val="20"/>
          <w:shd w:val="clear" w:color="auto" w:fill="FFFFFF"/>
        </w:rPr>
        <w:t xml:space="preserve">(Oxon: </w:t>
      </w:r>
      <w:proofErr w:type="spellStart"/>
      <w:r w:rsidRPr="00C06DBC">
        <w:rPr>
          <w:rFonts w:ascii="Georgia" w:hAnsi="Georgia" w:cs="Arial"/>
          <w:szCs w:val="20"/>
          <w:shd w:val="clear" w:color="auto" w:fill="FFFFFF"/>
        </w:rPr>
        <w:t>Routledge</w:t>
      </w:r>
      <w:proofErr w:type="spellEnd"/>
      <w:r w:rsidRPr="00C06DBC">
        <w:rPr>
          <w:rFonts w:ascii="Georgia" w:hAnsi="Georgia" w:cs="Arial"/>
          <w:szCs w:val="20"/>
          <w:shd w:val="clear" w:color="auto" w:fill="FFFFFF"/>
        </w:rPr>
        <w:t>, 2005)</w:t>
      </w:r>
      <w:r>
        <w:rPr>
          <w:rFonts w:ascii="Georgia" w:hAnsi="Georgia" w:cs="Arial"/>
          <w:szCs w:val="20"/>
          <w:shd w:val="clear" w:color="auto" w:fill="FFFFFF"/>
        </w:rPr>
        <w:t>.</w:t>
      </w:r>
    </w:p>
    <w:p w:rsidR="00C06DBC" w:rsidRDefault="00C06DBC" w:rsidP="006A3760">
      <w:pPr>
        <w:spacing w:line="360" w:lineRule="auto"/>
        <w:rPr>
          <w:rFonts w:ascii="Georgia" w:hAnsi="Georgia" w:cs="Arial"/>
          <w:szCs w:val="20"/>
          <w:shd w:val="clear" w:color="auto" w:fill="FFFFFF"/>
        </w:rPr>
      </w:pPr>
      <w:proofErr w:type="spellStart"/>
      <w:r w:rsidRPr="00C06DBC">
        <w:rPr>
          <w:rFonts w:ascii="Georgia" w:hAnsi="Georgia" w:cs="Arial"/>
          <w:szCs w:val="20"/>
          <w:shd w:val="clear" w:color="auto" w:fill="FFFFFF"/>
        </w:rPr>
        <w:t>Mostert</w:t>
      </w:r>
      <w:proofErr w:type="spellEnd"/>
      <w:r w:rsidRPr="00C06DBC">
        <w:rPr>
          <w:rFonts w:ascii="Georgia" w:hAnsi="Georgia" w:cs="Arial"/>
          <w:szCs w:val="20"/>
          <w:shd w:val="clear" w:color="auto" w:fill="FFFFFF"/>
        </w:rPr>
        <w:t xml:space="preserve">, Marco, and </w:t>
      </w:r>
      <w:proofErr w:type="spellStart"/>
      <w:r w:rsidRPr="00C06DBC">
        <w:rPr>
          <w:rFonts w:ascii="Georgia" w:hAnsi="Georgia" w:cs="Arial"/>
          <w:szCs w:val="20"/>
          <w:shd w:val="clear" w:color="auto" w:fill="FFFFFF"/>
        </w:rPr>
        <w:t>Mariëlle</w:t>
      </w:r>
      <w:proofErr w:type="spellEnd"/>
      <w:r w:rsidRPr="00C06DBC">
        <w:rPr>
          <w:rFonts w:ascii="Georgia" w:hAnsi="Georgia" w:cs="Arial"/>
          <w:szCs w:val="20"/>
          <w:shd w:val="clear" w:color="auto" w:fill="FFFFFF"/>
        </w:rPr>
        <w:t xml:space="preserve"> Hageman, </w:t>
      </w:r>
      <w:r w:rsidR="005765ED">
        <w:rPr>
          <w:rFonts w:ascii="Georgia" w:hAnsi="Georgia" w:cs="Arial"/>
          <w:szCs w:val="20"/>
          <w:shd w:val="clear" w:color="auto" w:fill="FFFFFF"/>
        </w:rPr>
        <w:t>‘</w:t>
      </w:r>
      <w:r w:rsidRPr="00C06DBC">
        <w:rPr>
          <w:rFonts w:ascii="Georgia" w:hAnsi="Georgia" w:cs="Arial"/>
          <w:i/>
          <w:iCs/>
          <w:szCs w:val="20"/>
          <w:shd w:val="clear" w:color="auto" w:fill="FFFFFF"/>
        </w:rPr>
        <w:t xml:space="preserve">Reading Images </w:t>
      </w:r>
      <w:proofErr w:type="gramStart"/>
      <w:r w:rsidRPr="00C06DBC">
        <w:rPr>
          <w:rFonts w:ascii="Georgia" w:hAnsi="Georgia" w:cs="Arial"/>
          <w:i/>
          <w:iCs/>
          <w:szCs w:val="20"/>
          <w:shd w:val="clear" w:color="auto" w:fill="FFFFFF"/>
        </w:rPr>
        <w:t>And</w:t>
      </w:r>
      <w:proofErr w:type="gramEnd"/>
      <w:r w:rsidRPr="00C06DBC">
        <w:rPr>
          <w:rFonts w:ascii="Georgia" w:hAnsi="Georgia" w:cs="Arial"/>
          <w:i/>
          <w:iCs/>
          <w:szCs w:val="20"/>
          <w:shd w:val="clear" w:color="auto" w:fill="FFFFFF"/>
        </w:rPr>
        <w:t xml:space="preserve"> Texts: Medieval Images And Texts As Forms Of Communication</w:t>
      </w:r>
      <w:r w:rsidR="00916929">
        <w:rPr>
          <w:rFonts w:ascii="Georgia" w:hAnsi="Georgia" w:cs="Arial"/>
          <w:i/>
          <w:iCs/>
          <w:szCs w:val="20"/>
          <w:shd w:val="clear" w:color="auto" w:fill="FFFFFF"/>
        </w:rPr>
        <w:t>.</w:t>
      </w:r>
      <w:r w:rsidR="005765ED">
        <w:rPr>
          <w:rFonts w:ascii="Georgia" w:hAnsi="Georgia" w:cs="Arial"/>
          <w:szCs w:val="20"/>
          <w:shd w:val="clear" w:color="auto" w:fill="FFFFFF"/>
        </w:rPr>
        <w:t xml:space="preserve">’ </w:t>
      </w:r>
      <w:r w:rsidRPr="00C06DBC">
        <w:rPr>
          <w:rFonts w:ascii="Georgia" w:hAnsi="Georgia" w:cs="Arial"/>
          <w:szCs w:val="20"/>
          <w:shd w:val="clear" w:color="auto" w:fill="FFFFFF"/>
        </w:rPr>
        <w:t>(</w:t>
      </w:r>
      <w:proofErr w:type="spellStart"/>
      <w:r w:rsidRPr="00C06DBC">
        <w:rPr>
          <w:rFonts w:ascii="Georgia" w:hAnsi="Georgia" w:cs="Arial"/>
          <w:szCs w:val="20"/>
          <w:shd w:val="clear" w:color="auto" w:fill="FFFFFF"/>
        </w:rPr>
        <w:t>Turn</w:t>
      </w:r>
      <w:r w:rsidR="00F71369">
        <w:rPr>
          <w:rFonts w:ascii="Georgia" w:hAnsi="Georgia" w:cs="Arial"/>
          <w:szCs w:val="20"/>
          <w:shd w:val="clear" w:color="auto" w:fill="FFFFFF"/>
        </w:rPr>
        <w:t>hout</w:t>
      </w:r>
      <w:proofErr w:type="spellEnd"/>
      <w:r w:rsidR="00F71369">
        <w:rPr>
          <w:rFonts w:ascii="Georgia" w:hAnsi="Georgia" w:cs="Arial"/>
          <w:szCs w:val="20"/>
          <w:shd w:val="clear" w:color="auto" w:fill="FFFFFF"/>
        </w:rPr>
        <w:t xml:space="preserve">: </w:t>
      </w:r>
      <w:proofErr w:type="spellStart"/>
      <w:r w:rsidR="00F71369">
        <w:rPr>
          <w:rFonts w:ascii="Georgia" w:hAnsi="Georgia" w:cs="Arial"/>
          <w:szCs w:val="20"/>
          <w:shd w:val="clear" w:color="auto" w:fill="FFFFFF"/>
        </w:rPr>
        <w:t>Brepols</w:t>
      </w:r>
      <w:proofErr w:type="spellEnd"/>
      <w:r w:rsidR="00F71369">
        <w:rPr>
          <w:rFonts w:ascii="Georgia" w:hAnsi="Georgia" w:cs="Arial"/>
          <w:szCs w:val="20"/>
          <w:shd w:val="clear" w:color="auto" w:fill="FFFFFF"/>
        </w:rPr>
        <w:t>, 2000), pp. 63-119</w:t>
      </w:r>
      <w:r>
        <w:rPr>
          <w:rFonts w:ascii="Georgia" w:hAnsi="Georgia" w:cs="Arial"/>
          <w:szCs w:val="20"/>
          <w:shd w:val="clear" w:color="auto" w:fill="FFFFFF"/>
        </w:rPr>
        <w:t>.</w:t>
      </w:r>
    </w:p>
    <w:p w:rsidR="00916929" w:rsidRPr="00916929" w:rsidRDefault="00916929" w:rsidP="006A3760">
      <w:pPr>
        <w:spacing w:line="360" w:lineRule="auto"/>
        <w:rPr>
          <w:rFonts w:ascii="Georgia" w:hAnsi="Georgia"/>
          <w:sz w:val="28"/>
        </w:rPr>
      </w:pPr>
      <w:r w:rsidRPr="00916929">
        <w:rPr>
          <w:rFonts w:ascii="Georgia" w:hAnsi="Georgia" w:cs="Arial"/>
          <w:szCs w:val="20"/>
          <w:shd w:val="clear" w:color="auto" w:fill="FFFFFF"/>
        </w:rPr>
        <w:t>Rudolph, Conrad,</w:t>
      </w:r>
      <w:r>
        <w:rPr>
          <w:rFonts w:ascii="Georgia" w:hAnsi="Georgia" w:cs="Arial"/>
          <w:szCs w:val="20"/>
          <w:shd w:val="clear" w:color="auto" w:fill="FFFFFF"/>
        </w:rPr>
        <w:t xml:space="preserve"> ‘</w:t>
      </w:r>
      <w:r w:rsidRPr="00916929">
        <w:rPr>
          <w:rFonts w:ascii="Georgia" w:hAnsi="Georgia" w:cs="Arial"/>
          <w:i/>
          <w:iCs/>
          <w:szCs w:val="20"/>
          <w:shd w:val="clear" w:color="auto" w:fill="FFFFFF"/>
        </w:rPr>
        <w:t xml:space="preserve">A Companion </w:t>
      </w:r>
      <w:proofErr w:type="gramStart"/>
      <w:r w:rsidRPr="00916929">
        <w:rPr>
          <w:rFonts w:ascii="Georgia" w:hAnsi="Georgia" w:cs="Arial"/>
          <w:i/>
          <w:iCs/>
          <w:szCs w:val="20"/>
          <w:shd w:val="clear" w:color="auto" w:fill="FFFFFF"/>
        </w:rPr>
        <w:t>To</w:t>
      </w:r>
      <w:proofErr w:type="gramEnd"/>
      <w:r w:rsidRPr="00916929">
        <w:rPr>
          <w:rFonts w:ascii="Georgia" w:hAnsi="Georgia" w:cs="Arial"/>
          <w:i/>
          <w:iCs/>
          <w:szCs w:val="20"/>
          <w:shd w:val="clear" w:color="auto" w:fill="FFFFFF"/>
        </w:rPr>
        <w:t xml:space="preserve"> Medieval Art</w:t>
      </w:r>
      <w:r>
        <w:rPr>
          <w:rFonts w:ascii="Georgia" w:hAnsi="Georgia" w:cs="Arial"/>
          <w:i/>
          <w:iCs/>
          <w:szCs w:val="20"/>
          <w:shd w:val="clear" w:color="auto" w:fill="FFFFFF"/>
        </w:rPr>
        <w:t>’.</w:t>
      </w:r>
      <w:r w:rsidRPr="00916929">
        <w:rPr>
          <w:rFonts w:ascii="Georgia" w:hAnsi="Georgia" w:cs="Arial"/>
          <w:szCs w:val="20"/>
          <w:shd w:val="clear" w:color="auto" w:fill="FFFFFF"/>
        </w:rPr>
        <w:t> (Malden, Mass.: Blackwell Pub., 2006), pp. 151-172</w:t>
      </w:r>
    </w:p>
    <w:sectPr w:rsidR="00916929" w:rsidRPr="00916929" w:rsidSect="008D7359">
      <w:headerReference w:type="default" r:id="rId8"/>
      <w:pgSz w:w="11906" w:h="16838"/>
      <w:pgMar w:top="2268"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6598" w:rsidRDefault="000B6598" w:rsidP="009D3E5D">
      <w:pPr>
        <w:spacing w:after="0" w:line="240" w:lineRule="auto"/>
      </w:pPr>
      <w:r>
        <w:separator/>
      </w:r>
    </w:p>
  </w:endnote>
  <w:endnote w:type="continuationSeparator" w:id="0">
    <w:p w:rsidR="000B6598" w:rsidRDefault="000B6598" w:rsidP="009D3E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6598" w:rsidRDefault="000B6598" w:rsidP="009D3E5D">
      <w:pPr>
        <w:spacing w:after="0" w:line="240" w:lineRule="auto"/>
      </w:pPr>
      <w:r>
        <w:separator/>
      </w:r>
    </w:p>
  </w:footnote>
  <w:footnote w:type="continuationSeparator" w:id="0">
    <w:p w:rsidR="000B6598" w:rsidRDefault="000B6598" w:rsidP="009D3E5D">
      <w:pPr>
        <w:spacing w:after="0" w:line="240" w:lineRule="auto"/>
      </w:pPr>
      <w:r>
        <w:continuationSeparator/>
      </w:r>
    </w:p>
  </w:footnote>
  <w:footnote w:id="1">
    <w:p w:rsidR="00D84673" w:rsidRPr="00D84673" w:rsidRDefault="00D84673" w:rsidP="00D84673">
      <w:r>
        <w:rPr>
          <w:rStyle w:val="FootnoteReference"/>
        </w:rPr>
        <w:footnoteRef/>
      </w:r>
      <w:r>
        <w:t xml:space="preserve"> </w:t>
      </w:r>
      <w:r w:rsidR="00A90922">
        <w:rPr>
          <w:sz w:val="20"/>
        </w:rPr>
        <w:t xml:space="preserve">Lawrence G. Duggan, “Was Art Really the ‘Book of the Illiterate’?”, </w:t>
      </w:r>
      <w:r w:rsidR="00A90922">
        <w:rPr>
          <w:i/>
          <w:sz w:val="20"/>
        </w:rPr>
        <w:t>Reading Images and Texts: Medieval Images and Texts as Forms of Communication</w:t>
      </w:r>
      <w:r w:rsidR="00A90922">
        <w:rPr>
          <w:sz w:val="20"/>
        </w:rPr>
        <w:t xml:space="preserve">, eds. </w:t>
      </w:r>
      <w:proofErr w:type="spellStart"/>
      <w:r w:rsidR="00A90922">
        <w:rPr>
          <w:sz w:val="20"/>
        </w:rPr>
        <w:t>Marielle</w:t>
      </w:r>
      <w:proofErr w:type="spellEnd"/>
      <w:r w:rsidR="00A90922">
        <w:rPr>
          <w:sz w:val="20"/>
        </w:rPr>
        <w:t xml:space="preserve"> Hageman and Marco </w:t>
      </w:r>
      <w:proofErr w:type="spellStart"/>
      <w:r w:rsidR="00A90922">
        <w:rPr>
          <w:sz w:val="20"/>
        </w:rPr>
        <w:t>Mostert</w:t>
      </w:r>
      <w:proofErr w:type="spellEnd"/>
      <w:r w:rsidR="00A90922">
        <w:rPr>
          <w:sz w:val="20"/>
        </w:rPr>
        <w:t xml:space="preserve">, </w:t>
      </w:r>
      <w:proofErr w:type="spellStart"/>
      <w:r w:rsidR="00A90922">
        <w:rPr>
          <w:sz w:val="20"/>
        </w:rPr>
        <w:t>Uterecht</w:t>
      </w:r>
      <w:proofErr w:type="spellEnd"/>
      <w:r w:rsidR="00A90922">
        <w:rPr>
          <w:sz w:val="20"/>
        </w:rPr>
        <w:t xml:space="preserve"> Studies in Medieval </w:t>
      </w:r>
      <w:proofErr w:type="spellStart"/>
      <w:r w:rsidR="00A90922">
        <w:rPr>
          <w:sz w:val="20"/>
        </w:rPr>
        <w:t>Leteracy</w:t>
      </w:r>
      <w:proofErr w:type="spellEnd"/>
      <w:r w:rsidR="00A90922">
        <w:rPr>
          <w:sz w:val="20"/>
        </w:rPr>
        <w:t>, 8 (</w:t>
      </w:r>
      <w:proofErr w:type="spellStart"/>
      <w:r w:rsidR="00A90922">
        <w:rPr>
          <w:sz w:val="20"/>
        </w:rPr>
        <w:t>Turnhout</w:t>
      </w:r>
      <w:proofErr w:type="spellEnd"/>
      <w:r w:rsidR="00A90922">
        <w:rPr>
          <w:sz w:val="20"/>
        </w:rPr>
        <w:t>, 2005),</w:t>
      </w:r>
      <w:r w:rsidR="00B6338B">
        <w:rPr>
          <w:rFonts w:cs="Arial"/>
          <w:sz w:val="20"/>
          <w:szCs w:val="20"/>
          <w:shd w:val="clear" w:color="auto" w:fill="FFFFFF"/>
        </w:rPr>
        <w:t xml:space="preserve"> pp. 63-107.</w:t>
      </w:r>
    </w:p>
  </w:footnote>
  <w:footnote w:id="2">
    <w:p w:rsidR="00054D69" w:rsidRDefault="00054D69">
      <w:pPr>
        <w:pStyle w:val="FootnoteText"/>
        <w:rPr>
          <w:rFonts w:cs="Arial"/>
          <w:shd w:val="clear" w:color="auto" w:fill="FFFFFF"/>
        </w:rPr>
      </w:pPr>
      <w:r>
        <w:rPr>
          <w:rStyle w:val="FootnoteReference"/>
        </w:rPr>
        <w:footnoteRef/>
      </w:r>
      <w:r>
        <w:t xml:space="preserve"> </w:t>
      </w:r>
      <w:r w:rsidR="00D37DF4">
        <w:t xml:space="preserve">Lawrence G. Duggan, “Was Art Really the ‘Book of the Illiterate’?”, </w:t>
      </w:r>
      <w:r w:rsidR="00D37DF4">
        <w:rPr>
          <w:i/>
        </w:rPr>
        <w:t>Reading Images and Texts: Medieval Images and Texts as Forms of Communication</w:t>
      </w:r>
      <w:r w:rsidR="00D37DF4">
        <w:t xml:space="preserve">, eds. </w:t>
      </w:r>
      <w:proofErr w:type="spellStart"/>
      <w:r w:rsidR="00D37DF4">
        <w:t>Marielle</w:t>
      </w:r>
      <w:proofErr w:type="spellEnd"/>
      <w:r w:rsidR="00D37DF4">
        <w:t xml:space="preserve"> Hageman and Marco </w:t>
      </w:r>
      <w:proofErr w:type="spellStart"/>
      <w:r w:rsidR="00D37DF4">
        <w:t>Mostert</w:t>
      </w:r>
      <w:proofErr w:type="spellEnd"/>
      <w:r w:rsidR="00D37DF4">
        <w:t xml:space="preserve">, </w:t>
      </w:r>
      <w:proofErr w:type="spellStart"/>
      <w:r w:rsidR="00D37DF4">
        <w:t>Uterecht</w:t>
      </w:r>
      <w:proofErr w:type="spellEnd"/>
      <w:r w:rsidR="00D37DF4">
        <w:t xml:space="preserve"> Studies in Medieval </w:t>
      </w:r>
      <w:proofErr w:type="spellStart"/>
      <w:r w:rsidR="00D37DF4">
        <w:t>Leteracy</w:t>
      </w:r>
      <w:proofErr w:type="spellEnd"/>
      <w:r w:rsidR="00D37DF4">
        <w:t>, 8 (</w:t>
      </w:r>
      <w:proofErr w:type="spellStart"/>
      <w:r w:rsidR="00D37DF4">
        <w:t>Turnhout</w:t>
      </w:r>
      <w:proofErr w:type="spellEnd"/>
      <w:r w:rsidR="00D37DF4">
        <w:t>, 2005),</w:t>
      </w:r>
      <w:r w:rsidR="00D37DF4">
        <w:rPr>
          <w:rFonts w:cs="Arial"/>
          <w:shd w:val="clear" w:color="auto" w:fill="FFFFFF"/>
        </w:rPr>
        <w:t xml:space="preserve"> </w:t>
      </w:r>
      <w:r>
        <w:rPr>
          <w:rFonts w:cs="Arial"/>
          <w:shd w:val="clear" w:color="auto" w:fill="FFFFFF"/>
        </w:rPr>
        <w:t>pp. 63-64.</w:t>
      </w:r>
    </w:p>
    <w:p w:rsidR="00D35D92" w:rsidRDefault="00D35D92">
      <w:pPr>
        <w:pStyle w:val="FootnoteText"/>
      </w:pPr>
    </w:p>
  </w:footnote>
  <w:footnote w:id="3">
    <w:p w:rsidR="00054D69" w:rsidRDefault="00054D69">
      <w:pPr>
        <w:pStyle w:val="FootnoteText"/>
        <w:rPr>
          <w:rFonts w:cs="Arial"/>
          <w:shd w:val="clear" w:color="auto" w:fill="FFFFFF"/>
        </w:rPr>
      </w:pPr>
      <w:r>
        <w:rPr>
          <w:rStyle w:val="FootnoteReference"/>
        </w:rPr>
        <w:footnoteRef/>
      </w:r>
      <w:r w:rsidR="00D37DF4">
        <w:t xml:space="preserve">Lawrence G. Duggan, “Was Art Really the ‘Book of the Illiterate’?”, </w:t>
      </w:r>
      <w:r w:rsidR="00D37DF4">
        <w:rPr>
          <w:i/>
        </w:rPr>
        <w:t>Reading Images and Texts: Medieval Images and Texts as Forms of Communication</w:t>
      </w:r>
      <w:r w:rsidR="00D37DF4">
        <w:t xml:space="preserve">, eds. </w:t>
      </w:r>
      <w:proofErr w:type="spellStart"/>
      <w:r w:rsidR="00D37DF4">
        <w:t>Marielle</w:t>
      </w:r>
      <w:proofErr w:type="spellEnd"/>
      <w:r w:rsidR="00D37DF4">
        <w:t xml:space="preserve"> Hageman and Marco </w:t>
      </w:r>
      <w:proofErr w:type="spellStart"/>
      <w:r w:rsidR="00D37DF4">
        <w:t>Mostert</w:t>
      </w:r>
      <w:proofErr w:type="spellEnd"/>
      <w:r w:rsidR="00D37DF4">
        <w:t xml:space="preserve">, </w:t>
      </w:r>
      <w:proofErr w:type="spellStart"/>
      <w:r w:rsidR="00D37DF4">
        <w:t>Uterecht</w:t>
      </w:r>
      <w:proofErr w:type="spellEnd"/>
      <w:r w:rsidR="00D37DF4">
        <w:t xml:space="preserve"> Studies in Medieval </w:t>
      </w:r>
      <w:proofErr w:type="spellStart"/>
      <w:r w:rsidR="00D37DF4">
        <w:t>Leteracy</w:t>
      </w:r>
      <w:proofErr w:type="spellEnd"/>
      <w:r w:rsidR="00D37DF4">
        <w:t>, 8 (</w:t>
      </w:r>
      <w:proofErr w:type="spellStart"/>
      <w:r w:rsidR="00D37DF4">
        <w:t>Turnhout</w:t>
      </w:r>
      <w:proofErr w:type="spellEnd"/>
      <w:r w:rsidR="00D37DF4">
        <w:t>, 2005),</w:t>
      </w:r>
      <w:r w:rsidR="00D37DF4">
        <w:rPr>
          <w:rFonts w:cs="Arial"/>
          <w:shd w:val="clear" w:color="auto" w:fill="FFFFFF"/>
        </w:rPr>
        <w:t xml:space="preserve"> </w:t>
      </w:r>
      <w:r>
        <w:t xml:space="preserve"> </w:t>
      </w:r>
      <w:r>
        <w:rPr>
          <w:rFonts w:cs="Arial"/>
          <w:shd w:val="clear" w:color="auto" w:fill="FFFFFF"/>
        </w:rPr>
        <w:t>p. 63.</w:t>
      </w:r>
    </w:p>
    <w:p w:rsidR="00D35D92" w:rsidRDefault="00D35D92">
      <w:pPr>
        <w:pStyle w:val="FootnoteText"/>
      </w:pPr>
    </w:p>
  </w:footnote>
  <w:footnote w:id="4">
    <w:p w:rsidR="00737EFA" w:rsidRDefault="00737EFA">
      <w:pPr>
        <w:pStyle w:val="FootnoteText"/>
        <w:rPr>
          <w:rFonts w:cs="Arial"/>
          <w:shd w:val="clear" w:color="auto" w:fill="FFFFFF"/>
        </w:rPr>
      </w:pPr>
      <w:r>
        <w:rPr>
          <w:rStyle w:val="FootnoteReference"/>
        </w:rPr>
        <w:footnoteRef/>
      </w:r>
      <w:r>
        <w:t xml:space="preserve"> </w:t>
      </w:r>
      <w:r w:rsidR="00D37DF4">
        <w:t xml:space="preserve">Lawrence G. Duggan, “Reflections on “Was Art Really the ‘Book of the Illiterate’?””, in </w:t>
      </w:r>
      <w:r w:rsidR="00D37DF4">
        <w:rPr>
          <w:i/>
        </w:rPr>
        <w:t xml:space="preserve">Reading Images and Texts: Medieval Images and Texts as Forms of </w:t>
      </w:r>
      <w:r w:rsidR="00D37DF4" w:rsidRPr="00D37DF4">
        <w:t>Communication</w:t>
      </w:r>
      <w:r w:rsidR="00D37DF4">
        <w:t xml:space="preserve">, </w:t>
      </w:r>
      <w:proofErr w:type="spellStart"/>
      <w:r w:rsidR="00D37DF4">
        <w:t>Uterecht</w:t>
      </w:r>
      <w:proofErr w:type="spellEnd"/>
      <w:r w:rsidR="00D37DF4">
        <w:t xml:space="preserve"> Studies in Medieval </w:t>
      </w:r>
      <w:proofErr w:type="spellStart"/>
      <w:r w:rsidR="00D37DF4">
        <w:t>Leteracy</w:t>
      </w:r>
      <w:proofErr w:type="spellEnd"/>
      <w:r w:rsidR="00D37DF4">
        <w:t>, 8 (</w:t>
      </w:r>
      <w:proofErr w:type="spellStart"/>
      <w:r w:rsidR="00D37DF4">
        <w:t>Turnhout</w:t>
      </w:r>
      <w:proofErr w:type="spellEnd"/>
      <w:r w:rsidR="00D37DF4">
        <w:t xml:space="preserve">, 2005), </w:t>
      </w:r>
      <w:r w:rsidRPr="00D37DF4">
        <w:rPr>
          <w:rFonts w:cs="Arial"/>
          <w:shd w:val="clear" w:color="auto" w:fill="FFFFFF"/>
        </w:rPr>
        <w:t>pp</w:t>
      </w:r>
      <w:r>
        <w:rPr>
          <w:rFonts w:cs="Arial"/>
          <w:shd w:val="clear" w:color="auto" w:fill="FFFFFF"/>
        </w:rPr>
        <w:t>. 109-119.</w:t>
      </w:r>
    </w:p>
    <w:p w:rsidR="00F71369" w:rsidRDefault="00F71369">
      <w:pPr>
        <w:pStyle w:val="FootnoteText"/>
      </w:pPr>
    </w:p>
  </w:footnote>
  <w:footnote w:id="5">
    <w:p w:rsidR="00A93E8E" w:rsidRDefault="00A93E8E">
      <w:pPr>
        <w:pStyle w:val="FootnoteText"/>
        <w:rPr>
          <w:rFonts w:cs="Arial"/>
          <w:shd w:val="clear" w:color="auto" w:fill="FFFFFF"/>
        </w:rPr>
      </w:pPr>
      <w:r>
        <w:rPr>
          <w:rStyle w:val="FootnoteReference"/>
        </w:rPr>
        <w:footnoteRef/>
      </w:r>
      <w:r w:rsidR="001F47D1">
        <w:t xml:space="preserve">Lawrence G. Duggan, “Reflections on “Was Art Really the ‘Book of the Illiterate’?””, in </w:t>
      </w:r>
      <w:r w:rsidR="001F47D1">
        <w:rPr>
          <w:i/>
        </w:rPr>
        <w:t xml:space="preserve">Reading Images and Texts: Medieval Images and Texts as Forms of </w:t>
      </w:r>
      <w:r w:rsidR="001F47D1" w:rsidRPr="00D37DF4">
        <w:t>Communication</w:t>
      </w:r>
      <w:r w:rsidR="001F47D1">
        <w:t xml:space="preserve">, </w:t>
      </w:r>
      <w:proofErr w:type="spellStart"/>
      <w:r w:rsidR="001F47D1">
        <w:t>Uterecht</w:t>
      </w:r>
      <w:proofErr w:type="spellEnd"/>
      <w:r w:rsidR="001F47D1">
        <w:t xml:space="preserve"> Studies in Medieval </w:t>
      </w:r>
      <w:proofErr w:type="spellStart"/>
      <w:r w:rsidR="001F47D1">
        <w:t>Leteracy</w:t>
      </w:r>
      <w:proofErr w:type="spellEnd"/>
      <w:r w:rsidR="001F47D1">
        <w:t>, 8 (</w:t>
      </w:r>
      <w:proofErr w:type="spellStart"/>
      <w:r w:rsidR="001F47D1">
        <w:t>Turnhout</w:t>
      </w:r>
      <w:proofErr w:type="spellEnd"/>
      <w:r w:rsidR="001F47D1">
        <w:t>, 2005)</w:t>
      </w:r>
      <w:proofErr w:type="gramStart"/>
      <w:r w:rsidR="001F47D1">
        <w:t xml:space="preserve">, </w:t>
      </w:r>
      <w:r>
        <w:t xml:space="preserve"> </w:t>
      </w:r>
      <w:r>
        <w:rPr>
          <w:rFonts w:cs="Arial"/>
          <w:shd w:val="clear" w:color="auto" w:fill="FFFFFF"/>
        </w:rPr>
        <w:t>p</w:t>
      </w:r>
      <w:proofErr w:type="gramEnd"/>
      <w:r>
        <w:rPr>
          <w:rFonts w:cs="Arial"/>
          <w:shd w:val="clear" w:color="auto" w:fill="FFFFFF"/>
        </w:rPr>
        <w:t>. 119.</w:t>
      </w:r>
    </w:p>
    <w:p w:rsidR="001F47D1" w:rsidRDefault="001F47D1">
      <w:pPr>
        <w:pStyle w:val="FootnoteText"/>
      </w:pPr>
    </w:p>
  </w:footnote>
  <w:footnote w:id="6">
    <w:p w:rsidR="00282C63" w:rsidRDefault="00282C63">
      <w:pPr>
        <w:pStyle w:val="FootnoteText"/>
        <w:rPr>
          <w:rFonts w:cs="Arial"/>
          <w:shd w:val="clear" w:color="auto" w:fill="FFFFFF"/>
        </w:rPr>
      </w:pPr>
      <w:r>
        <w:rPr>
          <w:rStyle w:val="FootnoteReference"/>
        </w:rPr>
        <w:footnoteRef/>
      </w:r>
      <w:r w:rsidR="003D4B4D">
        <w:t xml:space="preserve">Lawrence G. Duggan, “Was Art Really the ‘Book of the Illiterate’?”, </w:t>
      </w:r>
      <w:r w:rsidR="003D4B4D">
        <w:rPr>
          <w:i/>
        </w:rPr>
        <w:t>Reading Images and Texts: Medieval Images and Texts as Forms of Communication</w:t>
      </w:r>
      <w:r w:rsidR="003D4B4D">
        <w:t xml:space="preserve">, eds. </w:t>
      </w:r>
      <w:proofErr w:type="spellStart"/>
      <w:r w:rsidR="003D4B4D">
        <w:t>Marielle</w:t>
      </w:r>
      <w:proofErr w:type="spellEnd"/>
      <w:r w:rsidR="003D4B4D">
        <w:t xml:space="preserve"> Hageman and Marco </w:t>
      </w:r>
      <w:proofErr w:type="spellStart"/>
      <w:r w:rsidR="003D4B4D">
        <w:t>Mostert</w:t>
      </w:r>
      <w:proofErr w:type="spellEnd"/>
      <w:r w:rsidR="003D4B4D">
        <w:t xml:space="preserve">, </w:t>
      </w:r>
      <w:proofErr w:type="spellStart"/>
      <w:r w:rsidR="003D4B4D">
        <w:t>Uterecht</w:t>
      </w:r>
      <w:proofErr w:type="spellEnd"/>
      <w:r w:rsidR="003D4B4D">
        <w:t xml:space="preserve"> Studies in Medieval </w:t>
      </w:r>
      <w:proofErr w:type="spellStart"/>
      <w:r w:rsidR="003D4B4D">
        <w:t>Leteracy</w:t>
      </w:r>
      <w:proofErr w:type="spellEnd"/>
      <w:r w:rsidR="003D4B4D">
        <w:t>, 8 (</w:t>
      </w:r>
      <w:proofErr w:type="spellStart"/>
      <w:r w:rsidR="003D4B4D">
        <w:t>Turnhout</w:t>
      </w:r>
      <w:proofErr w:type="spellEnd"/>
      <w:r w:rsidR="003D4B4D">
        <w:t>, 2005),</w:t>
      </w:r>
      <w:r w:rsidR="003D4B4D">
        <w:rPr>
          <w:rFonts w:cs="Arial"/>
          <w:shd w:val="clear" w:color="auto" w:fill="FFFFFF"/>
        </w:rPr>
        <w:t xml:space="preserve"> </w:t>
      </w:r>
      <w:r>
        <w:t xml:space="preserve"> </w:t>
      </w:r>
      <w:r>
        <w:rPr>
          <w:rFonts w:cs="Arial"/>
          <w:shd w:val="clear" w:color="auto" w:fill="FFFFFF"/>
        </w:rPr>
        <w:t>p. 63.</w:t>
      </w:r>
    </w:p>
    <w:p w:rsidR="00CA3DC5" w:rsidRDefault="00CA3DC5">
      <w:pPr>
        <w:pStyle w:val="FootnoteText"/>
      </w:pPr>
    </w:p>
  </w:footnote>
  <w:footnote w:id="7">
    <w:p w:rsidR="00D554CB" w:rsidRDefault="00D554CB">
      <w:pPr>
        <w:pStyle w:val="FootnoteText"/>
      </w:pPr>
      <w:r>
        <w:rPr>
          <w:rStyle w:val="FootnoteReference"/>
        </w:rPr>
        <w:footnoteRef/>
      </w:r>
      <w:r w:rsidR="00BD570C">
        <w:t xml:space="preserve"> Celia M. </w:t>
      </w:r>
      <w:proofErr w:type="spellStart"/>
      <w:r w:rsidR="00BD570C">
        <w:t>Chazelle</w:t>
      </w:r>
      <w:proofErr w:type="spellEnd"/>
      <w:r w:rsidR="00BD570C">
        <w:t>. “</w:t>
      </w:r>
      <w:r>
        <w:t xml:space="preserve">Pictures, Books, And </w:t>
      </w:r>
      <w:proofErr w:type="gramStart"/>
      <w:r>
        <w:t>The</w:t>
      </w:r>
      <w:proofErr w:type="gramEnd"/>
      <w:r>
        <w:t xml:space="preserve"> Illiterate: Pope Gregory I’s L</w:t>
      </w:r>
      <w:r w:rsidR="00BD570C">
        <w:t xml:space="preserve">etters to </w:t>
      </w:r>
      <w:proofErr w:type="spellStart"/>
      <w:r w:rsidR="00BD570C">
        <w:t>Serenus</w:t>
      </w:r>
      <w:proofErr w:type="spellEnd"/>
      <w:r w:rsidR="00BD570C">
        <w:t xml:space="preserve"> of Marseilles”</w:t>
      </w:r>
      <w:r>
        <w:t xml:space="preserve">, </w:t>
      </w:r>
      <w:r>
        <w:rPr>
          <w:i/>
        </w:rPr>
        <w:t>Word &amp; Image</w:t>
      </w:r>
      <w:r>
        <w:t>, 6.2 (1990), p. 139.</w:t>
      </w:r>
    </w:p>
    <w:p w:rsidR="00D554CB" w:rsidRPr="00D554CB" w:rsidRDefault="00D554CB">
      <w:pPr>
        <w:pStyle w:val="FootnoteText"/>
      </w:pPr>
    </w:p>
  </w:footnote>
  <w:footnote w:id="8">
    <w:p w:rsidR="00D554CB" w:rsidRDefault="00D554CB">
      <w:pPr>
        <w:pStyle w:val="FootnoteText"/>
        <w:rPr>
          <w:rFonts w:cs="Arial"/>
          <w:shd w:val="clear" w:color="auto" w:fill="FFFFFF"/>
        </w:rPr>
      </w:pPr>
      <w:r>
        <w:rPr>
          <w:rStyle w:val="FootnoteReference"/>
        </w:rPr>
        <w:footnoteRef/>
      </w:r>
      <w:r w:rsidR="009009F3">
        <w:t xml:space="preserve">Lawrence G. Duggan, “Was Art Really the ‘Book of the Illiterate’?”, </w:t>
      </w:r>
      <w:r w:rsidR="009009F3">
        <w:rPr>
          <w:i/>
        </w:rPr>
        <w:t>Reading Images and Texts: Medieval Images and Texts as Forms of Communication</w:t>
      </w:r>
      <w:r w:rsidR="009009F3">
        <w:t xml:space="preserve">, eds. </w:t>
      </w:r>
      <w:proofErr w:type="spellStart"/>
      <w:r w:rsidR="009009F3">
        <w:t>Marielle</w:t>
      </w:r>
      <w:proofErr w:type="spellEnd"/>
      <w:r w:rsidR="009009F3">
        <w:t xml:space="preserve"> Hageman and Marco </w:t>
      </w:r>
      <w:proofErr w:type="spellStart"/>
      <w:r w:rsidR="009009F3">
        <w:t>Mostert</w:t>
      </w:r>
      <w:proofErr w:type="spellEnd"/>
      <w:r w:rsidR="009009F3">
        <w:t xml:space="preserve">, </w:t>
      </w:r>
      <w:proofErr w:type="spellStart"/>
      <w:r w:rsidR="009009F3">
        <w:t>Uterecht</w:t>
      </w:r>
      <w:proofErr w:type="spellEnd"/>
      <w:r w:rsidR="009009F3">
        <w:t xml:space="preserve"> Studies in Medieval </w:t>
      </w:r>
      <w:proofErr w:type="spellStart"/>
      <w:r w:rsidR="009009F3">
        <w:t>Leteracy</w:t>
      </w:r>
      <w:proofErr w:type="spellEnd"/>
      <w:r w:rsidR="009009F3">
        <w:t>, 8 (</w:t>
      </w:r>
      <w:proofErr w:type="spellStart"/>
      <w:r w:rsidR="009009F3">
        <w:t>Turnhout</w:t>
      </w:r>
      <w:proofErr w:type="spellEnd"/>
      <w:r w:rsidR="009009F3">
        <w:t>, 2005),</w:t>
      </w:r>
      <w:r w:rsidR="009009F3">
        <w:rPr>
          <w:rFonts w:cs="Arial"/>
          <w:shd w:val="clear" w:color="auto" w:fill="FFFFFF"/>
        </w:rPr>
        <w:t xml:space="preserve"> </w:t>
      </w:r>
      <w:r>
        <w:t xml:space="preserve"> </w:t>
      </w:r>
      <w:r>
        <w:rPr>
          <w:rFonts w:cs="Arial"/>
          <w:shd w:val="clear" w:color="auto" w:fill="FFFFFF"/>
        </w:rPr>
        <w:t>p. 63.</w:t>
      </w:r>
    </w:p>
    <w:p w:rsidR="00D554CB" w:rsidRDefault="00D554CB">
      <w:pPr>
        <w:pStyle w:val="FootnoteText"/>
      </w:pPr>
    </w:p>
  </w:footnote>
  <w:footnote w:id="9">
    <w:p w:rsidR="00282C63" w:rsidRDefault="00282C63">
      <w:pPr>
        <w:pStyle w:val="FootnoteText"/>
        <w:rPr>
          <w:rFonts w:cs="Arial"/>
          <w:shd w:val="clear" w:color="auto" w:fill="FFFFFF"/>
        </w:rPr>
      </w:pPr>
      <w:r>
        <w:rPr>
          <w:rStyle w:val="FootnoteReference"/>
        </w:rPr>
        <w:footnoteRef/>
      </w:r>
      <w:r w:rsidR="00540012">
        <w:t xml:space="preserve">Lawrence G. Duggan, “Was Art Really the ‘Book of the Illiterate’?”, </w:t>
      </w:r>
      <w:r w:rsidR="00540012">
        <w:rPr>
          <w:i/>
        </w:rPr>
        <w:t>Reading Images and Texts: Medieval Images and Texts as Forms of Communication</w:t>
      </w:r>
      <w:r w:rsidR="00540012">
        <w:t xml:space="preserve">, eds. </w:t>
      </w:r>
      <w:proofErr w:type="spellStart"/>
      <w:r w:rsidR="00540012">
        <w:t>Marielle</w:t>
      </w:r>
      <w:proofErr w:type="spellEnd"/>
      <w:r w:rsidR="00540012">
        <w:t xml:space="preserve"> Hageman and Marco </w:t>
      </w:r>
      <w:proofErr w:type="spellStart"/>
      <w:r w:rsidR="00540012">
        <w:t>Mostert</w:t>
      </w:r>
      <w:proofErr w:type="spellEnd"/>
      <w:r w:rsidR="00540012">
        <w:t xml:space="preserve">, </w:t>
      </w:r>
      <w:proofErr w:type="spellStart"/>
      <w:r w:rsidR="00540012">
        <w:t>Uterecht</w:t>
      </w:r>
      <w:proofErr w:type="spellEnd"/>
      <w:r w:rsidR="00540012">
        <w:t xml:space="preserve"> Studies in Medieval </w:t>
      </w:r>
      <w:proofErr w:type="spellStart"/>
      <w:r w:rsidR="00540012">
        <w:t>Leteracy</w:t>
      </w:r>
      <w:proofErr w:type="spellEnd"/>
      <w:r w:rsidR="00540012">
        <w:t>, 8 (</w:t>
      </w:r>
      <w:proofErr w:type="spellStart"/>
      <w:r w:rsidR="00540012">
        <w:t>Turnhout</w:t>
      </w:r>
      <w:proofErr w:type="spellEnd"/>
      <w:r w:rsidR="00540012">
        <w:t>, 2005),</w:t>
      </w:r>
      <w:r w:rsidR="00540012">
        <w:rPr>
          <w:rFonts w:cs="Arial"/>
          <w:shd w:val="clear" w:color="auto" w:fill="FFFFFF"/>
        </w:rPr>
        <w:t xml:space="preserve"> </w:t>
      </w:r>
      <w:r>
        <w:t xml:space="preserve"> </w:t>
      </w:r>
      <w:r w:rsidR="004210FB">
        <w:rPr>
          <w:rFonts w:cs="Arial"/>
          <w:shd w:val="clear" w:color="auto" w:fill="FFFFFF"/>
        </w:rPr>
        <w:t xml:space="preserve">p. </w:t>
      </w:r>
      <w:r>
        <w:rPr>
          <w:rFonts w:cs="Arial"/>
          <w:shd w:val="clear" w:color="auto" w:fill="FFFFFF"/>
        </w:rPr>
        <w:t>78.</w:t>
      </w:r>
    </w:p>
    <w:p w:rsidR="00D35D92" w:rsidRDefault="00D35D92">
      <w:pPr>
        <w:pStyle w:val="FootnoteText"/>
      </w:pPr>
    </w:p>
  </w:footnote>
  <w:footnote w:id="10">
    <w:p w:rsidR="00B313C0" w:rsidRDefault="00B313C0">
      <w:pPr>
        <w:pStyle w:val="FootnoteText"/>
      </w:pPr>
      <w:r>
        <w:rPr>
          <w:rStyle w:val="FootnoteReference"/>
        </w:rPr>
        <w:footnoteRef/>
      </w:r>
      <w:r w:rsidR="00540012">
        <w:t xml:space="preserve">Lawrence G. Duggan, “Was Art Really the ‘Book of the Illiterate’?”, </w:t>
      </w:r>
      <w:r w:rsidR="00540012">
        <w:rPr>
          <w:i/>
        </w:rPr>
        <w:t>Reading Images and Texts: Medieval Images and Texts as Forms of Communication</w:t>
      </w:r>
      <w:r w:rsidR="00540012">
        <w:t xml:space="preserve">, eds. </w:t>
      </w:r>
      <w:proofErr w:type="spellStart"/>
      <w:r w:rsidR="00540012">
        <w:t>Marielle</w:t>
      </w:r>
      <w:proofErr w:type="spellEnd"/>
      <w:r w:rsidR="00540012">
        <w:t xml:space="preserve"> Hageman and Marco </w:t>
      </w:r>
      <w:proofErr w:type="spellStart"/>
      <w:r w:rsidR="00540012">
        <w:t>Mostert</w:t>
      </w:r>
      <w:proofErr w:type="spellEnd"/>
      <w:r w:rsidR="00540012">
        <w:t xml:space="preserve">, </w:t>
      </w:r>
      <w:proofErr w:type="spellStart"/>
      <w:r w:rsidR="00540012">
        <w:t>Uterecht</w:t>
      </w:r>
      <w:proofErr w:type="spellEnd"/>
      <w:r w:rsidR="00540012">
        <w:t xml:space="preserve"> Studies in Medieval </w:t>
      </w:r>
      <w:proofErr w:type="spellStart"/>
      <w:r w:rsidR="00540012">
        <w:t>Leteracy</w:t>
      </w:r>
      <w:proofErr w:type="spellEnd"/>
      <w:r w:rsidR="00540012">
        <w:t>, 8 (</w:t>
      </w:r>
      <w:proofErr w:type="spellStart"/>
      <w:r w:rsidR="00540012">
        <w:t>Turnhout</w:t>
      </w:r>
      <w:proofErr w:type="spellEnd"/>
      <w:r w:rsidR="00540012">
        <w:t>, 2005),</w:t>
      </w:r>
      <w:r w:rsidR="00540012">
        <w:rPr>
          <w:rFonts w:cs="Arial"/>
          <w:shd w:val="clear" w:color="auto" w:fill="FFFFFF"/>
        </w:rPr>
        <w:t xml:space="preserve"> </w:t>
      </w:r>
      <w:r>
        <w:t xml:space="preserve"> </w:t>
      </w:r>
      <w:r>
        <w:rPr>
          <w:rFonts w:cs="Arial"/>
          <w:shd w:val="clear" w:color="auto" w:fill="FFFFFF"/>
        </w:rPr>
        <w:t>p</w:t>
      </w:r>
      <w:r w:rsidR="004210FB">
        <w:rPr>
          <w:rFonts w:cs="Arial"/>
          <w:shd w:val="clear" w:color="auto" w:fill="FFFFFF"/>
        </w:rPr>
        <w:t>.</w:t>
      </w:r>
      <w:r w:rsidR="00A27F16">
        <w:rPr>
          <w:rFonts w:cs="Arial"/>
          <w:shd w:val="clear" w:color="auto" w:fill="FFFFFF"/>
        </w:rPr>
        <w:t xml:space="preserve"> </w:t>
      </w:r>
      <w:r>
        <w:rPr>
          <w:rFonts w:cs="Arial"/>
          <w:shd w:val="clear" w:color="auto" w:fill="FFFFFF"/>
        </w:rPr>
        <w:t>95.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890501"/>
      <w:docPartObj>
        <w:docPartGallery w:val="Page Numbers (Top of Page)"/>
        <w:docPartUnique/>
      </w:docPartObj>
    </w:sdtPr>
    <w:sdtContent>
      <w:p w:rsidR="00731442" w:rsidRDefault="00FD66B9">
        <w:pPr>
          <w:pStyle w:val="Header"/>
        </w:pPr>
        <w:fldSimple w:instr=" PAGE   \* MERGEFORMAT ">
          <w:r w:rsidR="008B7A2D">
            <w:rPr>
              <w:noProof/>
            </w:rPr>
            <w:t>3</w:t>
          </w:r>
        </w:fldSimple>
      </w:p>
    </w:sdtContent>
  </w:sdt>
  <w:p w:rsidR="00731442" w:rsidRDefault="0073144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FD4E03"/>
    <w:multiLevelType w:val="hybridMultilevel"/>
    <w:tmpl w:val="41A0E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
  <w:rsids>
    <w:rsidRoot w:val="00737629"/>
    <w:rsid w:val="00047F14"/>
    <w:rsid w:val="00054D69"/>
    <w:rsid w:val="000657C6"/>
    <w:rsid w:val="0007298F"/>
    <w:rsid w:val="0008365F"/>
    <w:rsid w:val="000937C3"/>
    <w:rsid w:val="000B6598"/>
    <w:rsid w:val="000C390E"/>
    <w:rsid w:val="000C5EDF"/>
    <w:rsid w:val="00131387"/>
    <w:rsid w:val="00154A3E"/>
    <w:rsid w:val="00165736"/>
    <w:rsid w:val="0017279B"/>
    <w:rsid w:val="0018505B"/>
    <w:rsid w:val="00193923"/>
    <w:rsid w:val="001B1D9E"/>
    <w:rsid w:val="001B2B22"/>
    <w:rsid w:val="001C73DE"/>
    <w:rsid w:val="001F47D1"/>
    <w:rsid w:val="002116BB"/>
    <w:rsid w:val="0021304D"/>
    <w:rsid w:val="0023080F"/>
    <w:rsid w:val="0023652B"/>
    <w:rsid w:val="00240715"/>
    <w:rsid w:val="00241F8A"/>
    <w:rsid w:val="00252B5C"/>
    <w:rsid w:val="00254B46"/>
    <w:rsid w:val="00282C63"/>
    <w:rsid w:val="00284C19"/>
    <w:rsid w:val="002A1AF7"/>
    <w:rsid w:val="002A78F0"/>
    <w:rsid w:val="002D07D2"/>
    <w:rsid w:val="002D3C5D"/>
    <w:rsid w:val="002F7C2C"/>
    <w:rsid w:val="00307EE7"/>
    <w:rsid w:val="00315343"/>
    <w:rsid w:val="003227A0"/>
    <w:rsid w:val="00330B3F"/>
    <w:rsid w:val="00334DF3"/>
    <w:rsid w:val="00344369"/>
    <w:rsid w:val="003C6DCC"/>
    <w:rsid w:val="003D2915"/>
    <w:rsid w:val="003D4B4D"/>
    <w:rsid w:val="003E4905"/>
    <w:rsid w:val="003E4DE9"/>
    <w:rsid w:val="00410722"/>
    <w:rsid w:val="004210FB"/>
    <w:rsid w:val="0042586C"/>
    <w:rsid w:val="0042706F"/>
    <w:rsid w:val="00460A8C"/>
    <w:rsid w:val="00461447"/>
    <w:rsid w:val="00481A24"/>
    <w:rsid w:val="004852D0"/>
    <w:rsid w:val="004A4284"/>
    <w:rsid w:val="004D07E6"/>
    <w:rsid w:val="004D7EEB"/>
    <w:rsid w:val="004E2A33"/>
    <w:rsid w:val="00540012"/>
    <w:rsid w:val="00554737"/>
    <w:rsid w:val="0057175A"/>
    <w:rsid w:val="0057524E"/>
    <w:rsid w:val="005765ED"/>
    <w:rsid w:val="005C756A"/>
    <w:rsid w:val="00622E5A"/>
    <w:rsid w:val="0062668B"/>
    <w:rsid w:val="00642EC0"/>
    <w:rsid w:val="006A3760"/>
    <w:rsid w:val="006B0127"/>
    <w:rsid w:val="006B2BBE"/>
    <w:rsid w:val="006E6B02"/>
    <w:rsid w:val="006F5566"/>
    <w:rsid w:val="00731442"/>
    <w:rsid w:val="00737629"/>
    <w:rsid w:val="00737EFA"/>
    <w:rsid w:val="0074192C"/>
    <w:rsid w:val="00742CD1"/>
    <w:rsid w:val="007453A5"/>
    <w:rsid w:val="007766B9"/>
    <w:rsid w:val="007B44E0"/>
    <w:rsid w:val="007D4942"/>
    <w:rsid w:val="0081471E"/>
    <w:rsid w:val="00876F50"/>
    <w:rsid w:val="0088264E"/>
    <w:rsid w:val="00893645"/>
    <w:rsid w:val="008A0695"/>
    <w:rsid w:val="008A264B"/>
    <w:rsid w:val="008B3038"/>
    <w:rsid w:val="008B7A2D"/>
    <w:rsid w:val="008C22DD"/>
    <w:rsid w:val="008C6944"/>
    <w:rsid w:val="008D72C8"/>
    <w:rsid w:val="008D7359"/>
    <w:rsid w:val="009009F3"/>
    <w:rsid w:val="0090119E"/>
    <w:rsid w:val="00916929"/>
    <w:rsid w:val="009271F8"/>
    <w:rsid w:val="009301D2"/>
    <w:rsid w:val="00946BF8"/>
    <w:rsid w:val="009571D4"/>
    <w:rsid w:val="00990035"/>
    <w:rsid w:val="00992E5D"/>
    <w:rsid w:val="009D0CB6"/>
    <w:rsid w:val="009D3E5D"/>
    <w:rsid w:val="00A0006A"/>
    <w:rsid w:val="00A00E30"/>
    <w:rsid w:val="00A27F16"/>
    <w:rsid w:val="00A63F4E"/>
    <w:rsid w:val="00A65080"/>
    <w:rsid w:val="00A748E1"/>
    <w:rsid w:val="00A801F4"/>
    <w:rsid w:val="00A90922"/>
    <w:rsid w:val="00A9167B"/>
    <w:rsid w:val="00A93E8E"/>
    <w:rsid w:val="00AA46A8"/>
    <w:rsid w:val="00AD1DC4"/>
    <w:rsid w:val="00AF2704"/>
    <w:rsid w:val="00AF316B"/>
    <w:rsid w:val="00AF7990"/>
    <w:rsid w:val="00B1477B"/>
    <w:rsid w:val="00B14860"/>
    <w:rsid w:val="00B253B7"/>
    <w:rsid w:val="00B313C0"/>
    <w:rsid w:val="00B6338B"/>
    <w:rsid w:val="00B6617E"/>
    <w:rsid w:val="00B714DF"/>
    <w:rsid w:val="00BD0697"/>
    <w:rsid w:val="00BD570C"/>
    <w:rsid w:val="00C06DBC"/>
    <w:rsid w:val="00C21B79"/>
    <w:rsid w:val="00C52004"/>
    <w:rsid w:val="00C63A1E"/>
    <w:rsid w:val="00C8544D"/>
    <w:rsid w:val="00CA104E"/>
    <w:rsid w:val="00CA3DC5"/>
    <w:rsid w:val="00CA4AB3"/>
    <w:rsid w:val="00CC45F9"/>
    <w:rsid w:val="00CD1A9B"/>
    <w:rsid w:val="00CF73A7"/>
    <w:rsid w:val="00D12DDE"/>
    <w:rsid w:val="00D25546"/>
    <w:rsid w:val="00D35D92"/>
    <w:rsid w:val="00D37DF4"/>
    <w:rsid w:val="00D554CB"/>
    <w:rsid w:val="00D71609"/>
    <w:rsid w:val="00D84673"/>
    <w:rsid w:val="00DA4AAC"/>
    <w:rsid w:val="00DB75A3"/>
    <w:rsid w:val="00DD312B"/>
    <w:rsid w:val="00DF155D"/>
    <w:rsid w:val="00DF43B3"/>
    <w:rsid w:val="00E27BA6"/>
    <w:rsid w:val="00E70CF6"/>
    <w:rsid w:val="00EA6890"/>
    <w:rsid w:val="00EB669A"/>
    <w:rsid w:val="00ED7A82"/>
    <w:rsid w:val="00EE6058"/>
    <w:rsid w:val="00EF293D"/>
    <w:rsid w:val="00EF4ADD"/>
    <w:rsid w:val="00F25EA6"/>
    <w:rsid w:val="00F30A33"/>
    <w:rsid w:val="00F53B87"/>
    <w:rsid w:val="00F71369"/>
    <w:rsid w:val="00F84836"/>
    <w:rsid w:val="00F96671"/>
    <w:rsid w:val="00FD66B9"/>
  </w:rsids>
  <m:mathPr>
    <m:mathFont m:val="Cambria Math"/>
    <m:brkBin m:val="before"/>
    <m:brkBinSub m:val="--"/>
    <m:smallFrac m:val="off"/>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2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4369"/>
    <w:pPr>
      <w:ind w:left="720"/>
      <w:contextualSpacing/>
    </w:pPr>
  </w:style>
  <w:style w:type="paragraph" w:styleId="FootnoteText">
    <w:name w:val="footnote text"/>
    <w:basedOn w:val="Normal"/>
    <w:link w:val="FootnoteTextChar"/>
    <w:uiPriority w:val="99"/>
    <w:semiHidden/>
    <w:unhideWhenUsed/>
    <w:rsid w:val="009D3E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3E5D"/>
    <w:rPr>
      <w:sz w:val="20"/>
      <w:szCs w:val="20"/>
    </w:rPr>
  </w:style>
  <w:style w:type="character" w:styleId="FootnoteReference">
    <w:name w:val="footnote reference"/>
    <w:basedOn w:val="DefaultParagraphFont"/>
    <w:uiPriority w:val="99"/>
    <w:semiHidden/>
    <w:unhideWhenUsed/>
    <w:rsid w:val="009D3E5D"/>
    <w:rPr>
      <w:vertAlign w:val="superscript"/>
    </w:rPr>
  </w:style>
  <w:style w:type="paragraph" w:styleId="Header">
    <w:name w:val="header"/>
    <w:basedOn w:val="Normal"/>
    <w:link w:val="HeaderChar"/>
    <w:uiPriority w:val="99"/>
    <w:unhideWhenUsed/>
    <w:rsid w:val="007314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442"/>
  </w:style>
  <w:style w:type="paragraph" w:styleId="Footer">
    <w:name w:val="footer"/>
    <w:basedOn w:val="Normal"/>
    <w:link w:val="FooterChar"/>
    <w:uiPriority w:val="99"/>
    <w:semiHidden/>
    <w:unhideWhenUsed/>
    <w:rsid w:val="0073144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31442"/>
  </w:style>
  <w:style w:type="paragraph" w:styleId="BalloonText">
    <w:name w:val="Balloon Text"/>
    <w:basedOn w:val="Normal"/>
    <w:link w:val="BalloonTextChar"/>
    <w:uiPriority w:val="99"/>
    <w:semiHidden/>
    <w:unhideWhenUsed/>
    <w:rsid w:val="007314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144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752AD0-62E7-48A2-A4DD-8B8BC3942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3264</TotalTime>
  <Pages>4</Pages>
  <Words>944</Words>
  <Characters>5382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Sadler</dc:creator>
  <cp:lastModifiedBy>Ana Sadler</cp:lastModifiedBy>
  <cp:revision>138</cp:revision>
  <dcterms:created xsi:type="dcterms:W3CDTF">2017-11-19T13:46:00Z</dcterms:created>
  <dcterms:modified xsi:type="dcterms:W3CDTF">2017-12-01T14:21:00Z</dcterms:modified>
</cp:coreProperties>
</file>