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24E20" w14:textId="77777777" w:rsidR="001C665C" w:rsidRPr="00B54EEC" w:rsidRDefault="001C665C" w:rsidP="001C665C">
      <w:pPr>
        <w:jc w:val="center"/>
        <w:rPr>
          <w:rFonts w:ascii="Times New Roman" w:hAnsi="Times New Roman" w:cs="Times New Roman"/>
          <w:b/>
          <w:bCs/>
        </w:rPr>
      </w:pPr>
      <w:r w:rsidRPr="00B54EEC">
        <w:rPr>
          <w:rFonts w:ascii="Times New Roman" w:hAnsi="Times New Roman" w:cs="Times New Roman"/>
          <w:b/>
          <w:bCs/>
        </w:rPr>
        <w:t>Programme: BA (Hons) Business Management</w:t>
      </w:r>
    </w:p>
    <w:p w14:paraId="7CDC19BB" w14:textId="77777777" w:rsidR="001C665C" w:rsidRPr="00B54EEC" w:rsidRDefault="001C665C" w:rsidP="001C665C">
      <w:pPr>
        <w:jc w:val="center"/>
        <w:rPr>
          <w:rFonts w:ascii="Times New Roman" w:hAnsi="Times New Roman" w:cs="Times New Roman"/>
          <w:b/>
          <w:bCs/>
        </w:rPr>
      </w:pPr>
      <w:r w:rsidRPr="00B54EEC">
        <w:rPr>
          <w:rFonts w:ascii="Times New Roman" w:hAnsi="Times New Roman" w:cs="Times New Roman"/>
          <w:b/>
          <w:bCs/>
        </w:rPr>
        <w:t>Module: Stakeholder Engagement</w:t>
      </w:r>
    </w:p>
    <w:p w14:paraId="11650016" w14:textId="367B53F5" w:rsidR="00233F31" w:rsidRPr="00233F31" w:rsidRDefault="001C665C" w:rsidP="001C665C">
      <w:pPr>
        <w:jc w:val="center"/>
        <w:rPr>
          <w:rFonts w:ascii="Times New Roman" w:hAnsi="Times New Roman" w:cs="Times New Roman"/>
          <w:b/>
          <w:bCs/>
        </w:rPr>
      </w:pPr>
      <w:r w:rsidRPr="00B54EEC">
        <w:rPr>
          <w:rFonts w:ascii="Times New Roman" w:hAnsi="Times New Roman" w:cs="Times New Roman"/>
          <w:b/>
          <w:bCs/>
        </w:rPr>
        <w:t>Module code: LCBB4013</w:t>
      </w:r>
    </w:p>
    <w:p w14:paraId="6AC10EE7" w14:textId="77777777" w:rsidR="00233F31" w:rsidRPr="00233F31" w:rsidRDefault="00233F31" w:rsidP="00233F31">
      <w:pPr>
        <w:rPr>
          <w:rFonts w:ascii="Times New Roman" w:hAnsi="Times New Roman" w:cs="Times New Roman"/>
        </w:rPr>
      </w:pPr>
    </w:p>
    <w:p w14:paraId="0AD882B8" w14:textId="77777777" w:rsidR="00233F31" w:rsidRPr="00233F31" w:rsidRDefault="00233F31" w:rsidP="003C48C1">
      <w:pPr>
        <w:jc w:val="center"/>
        <w:rPr>
          <w:rFonts w:ascii="Times New Roman" w:hAnsi="Times New Roman" w:cs="Times New Roman"/>
        </w:rPr>
      </w:pPr>
    </w:p>
    <w:p w14:paraId="75F7B467" w14:textId="53DABCFC" w:rsidR="00B54EEC" w:rsidRPr="00B54EEC" w:rsidRDefault="003C48C1" w:rsidP="00573BD3">
      <w:pPr>
        <w:jc w:val="center"/>
        <w:rPr>
          <w:rFonts w:ascii="Times New Roman" w:hAnsi="Times New Roman" w:cs="Times New Roman"/>
        </w:rPr>
      </w:pPr>
      <w:r w:rsidRPr="00B54EEC">
        <w:rPr>
          <w:rFonts w:ascii="Times New Roman" w:hAnsi="Times New Roman" w:cs="Times New Roman"/>
        </w:rPr>
        <w:t>Component 1:</w:t>
      </w:r>
      <w:r w:rsidR="00B54EEC" w:rsidRPr="00B54EEC">
        <w:rPr>
          <w:rFonts w:ascii="Times New Roman" w:hAnsi="Times New Roman" w:cs="Times New Roman"/>
        </w:rPr>
        <w:t xml:space="preserve"> </w:t>
      </w:r>
      <w:r w:rsidRPr="00B54EEC">
        <w:rPr>
          <w:rFonts w:ascii="Times New Roman" w:hAnsi="Times New Roman" w:cs="Times New Roman"/>
        </w:rPr>
        <w:t>Coursework-Portfolio (4 elements)</w:t>
      </w:r>
    </w:p>
    <w:p w14:paraId="4C481AC8" w14:textId="3E014B86" w:rsidR="00233F31" w:rsidRPr="00233F31" w:rsidRDefault="00233F31" w:rsidP="003C48C1">
      <w:pPr>
        <w:jc w:val="center"/>
        <w:rPr>
          <w:rFonts w:ascii="Times New Roman" w:hAnsi="Times New Roman" w:cs="Times New Roman"/>
        </w:rPr>
      </w:pPr>
      <w:r w:rsidRPr="00233F31">
        <w:rPr>
          <w:rFonts w:ascii="Times New Roman" w:hAnsi="Times New Roman" w:cs="Times New Roman"/>
        </w:rPr>
        <w:t>Student ID: 2327723</w:t>
      </w:r>
    </w:p>
    <w:p w14:paraId="5C71993F" w14:textId="5403A178" w:rsidR="00233F31" w:rsidRPr="00233F31" w:rsidRDefault="00320CA1" w:rsidP="00233F31">
      <w:pPr>
        <w:rPr>
          <w:rFonts w:ascii="Times New Roman" w:hAnsi="Times New Roman" w:cs="Times New Roman"/>
        </w:rPr>
      </w:pPr>
      <w:r>
        <w:rPr>
          <w:rFonts w:ascii="Times New Roman" w:hAnsi="Times New Roman" w:cs="Times New Roman"/>
        </w:rPr>
        <w:t xml:space="preserve">  </w:t>
      </w:r>
    </w:p>
    <w:p w14:paraId="0D10DC35" w14:textId="77777777" w:rsidR="00233F31" w:rsidRPr="00233F31" w:rsidRDefault="00233F31" w:rsidP="00233F31">
      <w:pPr>
        <w:rPr>
          <w:rFonts w:ascii="Times New Roman" w:hAnsi="Times New Roman" w:cs="Times New Roman"/>
        </w:rPr>
      </w:pPr>
    </w:p>
    <w:p w14:paraId="5ADC9A52" w14:textId="77777777" w:rsidR="00233F31" w:rsidRPr="00B54EEC" w:rsidRDefault="00233F31" w:rsidP="00233F31">
      <w:pPr>
        <w:rPr>
          <w:rFonts w:ascii="Times New Roman" w:hAnsi="Times New Roman" w:cs="Times New Roman"/>
        </w:rPr>
      </w:pPr>
    </w:p>
    <w:p w14:paraId="19DEE457" w14:textId="77777777" w:rsidR="00B54EEC" w:rsidRPr="00B54EEC" w:rsidRDefault="00B54EEC" w:rsidP="00233F31">
      <w:pPr>
        <w:rPr>
          <w:rFonts w:ascii="Times New Roman" w:hAnsi="Times New Roman" w:cs="Times New Roman"/>
        </w:rPr>
      </w:pPr>
    </w:p>
    <w:p w14:paraId="43A697F1" w14:textId="77777777" w:rsidR="00B54EEC" w:rsidRPr="00B54EEC" w:rsidRDefault="00B54EEC" w:rsidP="00233F31">
      <w:pPr>
        <w:rPr>
          <w:rFonts w:ascii="Times New Roman" w:hAnsi="Times New Roman" w:cs="Times New Roman"/>
        </w:rPr>
      </w:pPr>
    </w:p>
    <w:p w14:paraId="05A8EE90" w14:textId="77777777" w:rsidR="00B54EEC" w:rsidRPr="00B54EEC" w:rsidRDefault="00B54EEC" w:rsidP="00233F31">
      <w:pPr>
        <w:rPr>
          <w:rFonts w:ascii="Times New Roman" w:hAnsi="Times New Roman" w:cs="Times New Roman"/>
        </w:rPr>
      </w:pPr>
    </w:p>
    <w:p w14:paraId="4959565B" w14:textId="77777777" w:rsidR="00B54EEC" w:rsidRPr="00233F31" w:rsidRDefault="00B54EEC" w:rsidP="00233F31">
      <w:pPr>
        <w:rPr>
          <w:rFonts w:ascii="Times New Roman" w:hAnsi="Times New Roman" w:cs="Times New Roman"/>
        </w:rPr>
      </w:pPr>
    </w:p>
    <w:p w14:paraId="5C19170D" w14:textId="77777777" w:rsidR="00233F31" w:rsidRPr="00233F31" w:rsidRDefault="00233F31" w:rsidP="00233F31">
      <w:pPr>
        <w:rPr>
          <w:rFonts w:ascii="Times New Roman" w:hAnsi="Times New Roman" w:cs="Times New Roman"/>
        </w:rPr>
      </w:pPr>
    </w:p>
    <w:p w14:paraId="499630B4" w14:textId="77777777" w:rsidR="00233F31" w:rsidRPr="00233F31" w:rsidRDefault="00233F31" w:rsidP="00233F31">
      <w:pPr>
        <w:rPr>
          <w:rFonts w:ascii="Times New Roman" w:hAnsi="Times New Roman" w:cs="Times New Roman"/>
        </w:rPr>
      </w:pPr>
      <w:r w:rsidRPr="00233F31">
        <w:rPr>
          <w:rFonts w:ascii="Times New Roman" w:hAnsi="Times New Roman" w:cs="Times New Roman"/>
        </w:rPr>
        <w:t>I declare that this assignment is all my own work and that I have acknowledged all materials used from the published or unpublished works of other people. All references have been duly cited.</w:t>
      </w:r>
    </w:p>
    <w:p w14:paraId="21D74135" w14:textId="77777777" w:rsidR="00233F31" w:rsidRPr="00233F31" w:rsidRDefault="00233F31" w:rsidP="00233F31"/>
    <w:p w14:paraId="68A63610" w14:textId="77777777" w:rsidR="00BD0370" w:rsidRDefault="00BD0370"/>
    <w:p w14:paraId="1D2340EB" w14:textId="77777777" w:rsidR="00253F51" w:rsidRDefault="00253F51"/>
    <w:p w14:paraId="59C505B3" w14:textId="77777777" w:rsidR="00253F51" w:rsidRDefault="00253F51"/>
    <w:sdt>
      <w:sdtPr>
        <w:rPr>
          <w:rFonts w:ascii="Arial" w:eastAsiaTheme="minorHAnsi" w:hAnsi="Arial" w:cs="Calibri"/>
          <w:color w:val="auto"/>
          <w:sz w:val="24"/>
          <w:szCs w:val="22"/>
          <w:lang w:eastAsia="en-US"/>
        </w:rPr>
        <w:id w:val="1575701026"/>
        <w:docPartObj>
          <w:docPartGallery w:val="Table of Contents"/>
          <w:docPartUnique/>
        </w:docPartObj>
      </w:sdtPr>
      <w:sdtEndPr>
        <w:rPr>
          <w:b/>
          <w:bCs/>
        </w:rPr>
      </w:sdtEndPr>
      <w:sdtContent>
        <w:p w14:paraId="3561AE00" w14:textId="455D7F9F" w:rsidR="00253F51" w:rsidRPr="004958F7" w:rsidRDefault="00253F51">
          <w:pPr>
            <w:pStyle w:val="TOCHeading"/>
            <w:rPr>
              <w:rFonts w:ascii="Times New Roman" w:hAnsi="Times New Roman" w:cs="Times New Roman"/>
              <w:color w:val="000000" w:themeColor="text1"/>
              <w:u w:val="single"/>
            </w:rPr>
          </w:pPr>
          <w:r w:rsidRPr="004958F7">
            <w:rPr>
              <w:rFonts w:ascii="Times New Roman" w:hAnsi="Times New Roman" w:cs="Times New Roman"/>
              <w:color w:val="000000" w:themeColor="text1"/>
              <w:u w:val="single"/>
            </w:rPr>
            <w:t>Table of Contents</w:t>
          </w:r>
        </w:p>
        <w:p w14:paraId="6A36C127" w14:textId="36F4CB49" w:rsidR="004958F7" w:rsidRDefault="00253F51">
          <w:pPr>
            <w:pStyle w:val="TOC1"/>
            <w:tabs>
              <w:tab w:val="right" w:leader="dot" w:pos="9016"/>
            </w:tabs>
            <w:rPr>
              <w:rFonts w:asciiTheme="minorHAnsi" w:eastAsiaTheme="minorEastAsia" w:hAnsiTheme="minorHAnsi" w:cstheme="minorBidi"/>
              <w:noProof/>
              <w:kern w:val="2"/>
              <w:szCs w:val="24"/>
              <w:lang w:eastAsia="en-GB"/>
              <w14:ligatures w14:val="standardContextual"/>
            </w:rPr>
          </w:pPr>
          <w:r>
            <w:fldChar w:fldCharType="begin"/>
          </w:r>
          <w:r>
            <w:instrText xml:space="preserve"> TOC \o "1-3" \h \z \u </w:instrText>
          </w:r>
          <w:r>
            <w:fldChar w:fldCharType="separate"/>
          </w:r>
          <w:hyperlink w:anchor="_Toc214467665" w:history="1">
            <w:r w:rsidR="004958F7" w:rsidRPr="00624093">
              <w:rPr>
                <w:rStyle w:val="Hyperlink"/>
                <w:rFonts w:ascii="Times New Roman" w:hAnsi="Times New Roman" w:cs="Times New Roman"/>
                <w:noProof/>
              </w:rPr>
              <w:t>Element 1 – Introduction</w:t>
            </w:r>
            <w:r w:rsidR="004958F7">
              <w:rPr>
                <w:noProof/>
                <w:webHidden/>
              </w:rPr>
              <w:tab/>
            </w:r>
            <w:r w:rsidR="004958F7">
              <w:rPr>
                <w:noProof/>
                <w:webHidden/>
              </w:rPr>
              <w:fldChar w:fldCharType="begin"/>
            </w:r>
            <w:r w:rsidR="004958F7">
              <w:rPr>
                <w:noProof/>
                <w:webHidden/>
              </w:rPr>
              <w:instrText xml:space="preserve"> PAGEREF _Toc214467665 \h </w:instrText>
            </w:r>
            <w:r w:rsidR="004958F7">
              <w:rPr>
                <w:noProof/>
                <w:webHidden/>
              </w:rPr>
            </w:r>
            <w:r w:rsidR="004958F7">
              <w:rPr>
                <w:noProof/>
                <w:webHidden/>
              </w:rPr>
              <w:fldChar w:fldCharType="separate"/>
            </w:r>
            <w:r w:rsidR="004958F7">
              <w:rPr>
                <w:noProof/>
                <w:webHidden/>
              </w:rPr>
              <w:t>3</w:t>
            </w:r>
            <w:r w:rsidR="004958F7">
              <w:rPr>
                <w:noProof/>
                <w:webHidden/>
              </w:rPr>
              <w:fldChar w:fldCharType="end"/>
            </w:r>
          </w:hyperlink>
        </w:p>
        <w:p w14:paraId="519CED0D" w14:textId="42BBBE65"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66" w:history="1">
            <w:r w:rsidRPr="00624093">
              <w:rPr>
                <w:rStyle w:val="Hyperlink"/>
                <w:rFonts w:ascii="Times New Roman" w:hAnsi="Times New Roman" w:cs="Times New Roman"/>
                <w:noProof/>
              </w:rPr>
              <w:t>1. Project Context and Rationale</w:t>
            </w:r>
            <w:r>
              <w:rPr>
                <w:noProof/>
                <w:webHidden/>
              </w:rPr>
              <w:tab/>
            </w:r>
            <w:r>
              <w:rPr>
                <w:noProof/>
                <w:webHidden/>
              </w:rPr>
              <w:fldChar w:fldCharType="begin"/>
            </w:r>
            <w:r>
              <w:rPr>
                <w:noProof/>
                <w:webHidden/>
              </w:rPr>
              <w:instrText xml:space="preserve"> PAGEREF _Toc214467666 \h </w:instrText>
            </w:r>
            <w:r>
              <w:rPr>
                <w:noProof/>
                <w:webHidden/>
              </w:rPr>
            </w:r>
            <w:r>
              <w:rPr>
                <w:noProof/>
                <w:webHidden/>
              </w:rPr>
              <w:fldChar w:fldCharType="separate"/>
            </w:r>
            <w:r>
              <w:rPr>
                <w:noProof/>
                <w:webHidden/>
              </w:rPr>
              <w:t>3</w:t>
            </w:r>
            <w:r>
              <w:rPr>
                <w:noProof/>
                <w:webHidden/>
              </w:rPr>
              <w:fldChar w:fldCharType="end"/>
            </w:r>
          </w:hyperlink>
        </w:p>
        <w:p w14:paraId="0C3EFD8B" w14:textId="34B74A18"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67" w:history="1">
            <w:r w:rsidRPr="00624093">
              <w:rPr>
                <w:rStyle w:val="Hyperlink"/>
                <w:rFonts w:ascii="Times New Roman" w:hAnsi="Times New Roman" w:cs="Times New Roman"/>
                <w:noProof/>
              </w:rPr>
              <w:t>3. Proposed Improvements and Their Impacts</w:t>
            </w:r>
            <w:r>
              <w:rPr>
                <w:noProof/>
                <w:webHidden/>
              </w:rPr>
              <w:tab/>
            </w:r>
            <w:r>
              <w:rPr>
                <w:noProof/>
                <w:webHidden/>
              </w:rPr>
              <w:fldChar w:fldCharType="begin"/>
            </w:r>
            <w:r>
              <w:rPr>
                <w:noProof/>
                <w:webHidden/>
              </w:rPr>
              <w:instrText xml:space="preserve"> PAGEREF _Toc214467667 \h </w:instrText>
            </w:r>
            <w:r>
              <w:rPr>
                <w:noProof/>
                <w:webHidden/>
              </w:rPr>
            </w:r>
            <w:r>
              <w:rPr>
                <w:noProof/>
                <w:webHidden/>
              </w:rPr>
              <w:fldChar w:fldCharType="separate"/>
            </w:r>
            <w:r>
              <w:rPr>
                <w:noProof/>
                <w:webHidden/>
              </w:rPr>
              <w:t>4</w:t>
            </w:r>
            <w:r>
              <w:rPr>
                <w:noProof/>
                <w:webHidden/>
              </w:rPr>
              <w:fldChar w:fldCharType="end"/>
            </w:r>
          </w:hyperlink>
        </w:p>
        <w:p w14:paraId="67916D99" w14:textId="5345215C"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68" w:history="1">
            <w:r w:rsidRPr="00624093">
              <w:rPr>
                <w:rStyle w:val="Hyperlink"/>
                <w:rFonts w:ascii="Times New Roman" w:hAnsi="Times New Roman" w:cs="Times New Roman"/>
                <w:noProof/>
              </w:rPr>
              <w:t>4. Key Stakeholders and Benefits</w:t>
            </w:r>
            <w:r>
              <w:rPr>
                <w:noProof/>
                <w:webHidden/>
              </w:rPr>
              <w:tab/>
            </w:r>
            <w:r>
              <w:rPr>
                <w:noProof/>
                <w:webHidden/>
              </w:rPr>
              <w:fldChar w:fldCharType="begin"/>
            </w:r>
            <w:r>
              <w:rPr>
                <w:noProof/>
                <w:webHidden/>
              </w:rPr>
              <w:instrText xml:space="preserve"> PAGEREF _Toc214467668 \h </w:instrText>
            </w:r>
            <w:r>
              <w:rPr>
                <w:noProof/>
                <w:webHidden/>
              </w:rPr>
            </w:r>
            <w:r>
              <w:rPr>
                <w:noProof/>
                <w:webHidden/>
              </w:rPr>
              <w:fldChar w:fldCharType="separate"/>
            </w:r>
            <w:r>
              <w:rPr>
                <w:noProof/>
                <w:webHidden/>
              </w:rPr>
              <w:t>4</w:t>
            </w:r>
            <w:r>
              <w:rPr>
                <w:noProof/>
                <w:webHidden/>
              </w:rPr>
              <w:fldChar w:fldCharType="end"/>
            </w:r>
          </w:hyperlink>
        </w:p>
        <w:p w14:paraId="512677F3" w14:textId="3553D4F8"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69" w:history="1">
            <w:r w:rsidRPr="00624093">
              <w:rPr>
                <w:rStyle w:val="Hyperlink"/>
                <w:rFonts w:ascii="Times New Roman" w:hAnsi="Times New Roman" w:cs="Times New Roman"/>
                <w:noProof/>
              </w:rPr>
              <w:t>Element 2 – Application and Stakeholder Engagement Strategies</w:t>
            </w:r>
            <w:r>
              <w:rPr>
                <w:noProof/>
                <w:webHidden/>
              </w:rPr>
              <w:tab/>
            </w:r>
            <w:r>
              <w:rPr>
                <w:noProof/>
                <w:webHidden/>
              </w:rPr>
              <w:fldChar w:fldCharType="begin"/>
            </w:r>
            <w:r>
              <w:rPr>
                <w:noProof/>
                <w:webHidden/>
              </w:rPr>
              <w:instrText xml:space="preserve"> PAGEREF _Toc214467669 \h </w:instrText>
            </w:r>
            <w:r>
              <w:rPr>
                <w:noProof/>
                <w:webHidden/>
              </w:rPr>
            </w:r>
            <w:r>
              <w:rPr>
                <w:noProof/>
                <w:webHidden/>
              </w:rPr>
              <w:fldChar w:fldCharType="separate"/>
            </w:r>
            <w:r>
              <w:rPr>
                <w:noProof/>
                <w:webHidden/>
              </w:rPr>
              <w:t>5</w:t>
            </w:r>
            <w:r>
              <w:rPr>
                <w:noProof/>
                <w:webHidden/>
              </w:rPr>
              <w:fldChar w:fldCharType="end"/>
            </w:r>
          </w:hyperlink>
        </w:p>
        <w:p w14:paraId="4BD4784C" w14:textId="0BC5440C"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70" w:history="1">
            <w:r w:rsidRPr="00624093">
              <w:rPr>
                <w:rStyle w:val="Hyperlink"/>
                <w:rFonts w:ascii="Times New Roman" w:hAnsi="Times New Roman" w:cs="Times New Roman"/>
                <w:noProof/>
              </w:rPr>
              <w:t>2.1 Power–Influence–Interest Table</w:t>
            </w:r>
            <w:r>
              <w:rPr>
                <w:noProof/>
                <w:webHidden/>
              </w:rPr>
              <w:tab/>
            </w:r>
            <w:r>
              <w:rPr>
                <w:noProof/>
                <w:webHidden/>
              </w:rPr>
              <w:fldChar w:fldCharType="begin"/>
            </w:r>
            <w:r>
              <w:rPr>
                <w:noProof/>
                <w:webHidden/>
              </w:rPr>
              <w:instrText xml:space="preserve"> PAGEREF _Toc214467670 \h </w:instrText>
            </w:r>
            <w:r>
              <w:rPr>
                <w:noProof/>
                <w:webHidden/>
              </w:rPr>
            </w:r>
            <w:r>
              <w:rPr>
                <w:noProof/>
                <w:webHidden/>
              </w:rPr>
              <w:fldChar w:fldCharType="separate"/>
            </w:r>
            <w:r>
              <w:rPr>
                <w:noProof/>
                <w:webHidden/>
              </w:rPr>
              <w:t>5</w:t>
            </w:r>
            <w:r>
              <w:rPr>
                <w:noProof/>
                <w:webHidden/>
              </w:rPr>
              <w:fldChar w:fldCharType="end"/>
            </w:r>
          </w:hyperlink>
        </w:p>
        <w:p w14:paraId="3117DF57" w14:textId="005ACF62"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71" w:history="1">
            <w:r w:rsidRPr="00624093">
              <w:rPr>
                <w:rStyle w:val="Hyperlink"/>
                <w:rFonts w:ascii="Times New Roman" w:hAnsi="Times New Roman" w:cs="Times New Roman"/>
                <w:noProof/>
              </w:rPr>
              <w:t>2.2.Stakeholder map</w:t>
            </w:r>
            <w:r>
              <w:rPr>
                <w:noProof/>
                <w:webHidden/>
              </w:rPr>
              <w:tab/>
            </w:r>
            <w:r>
              <w:rPr>
                <w:noProof/>
                <w:webHidden/>
              </w:rPr>
              <w:fldChar w:fldCharType="begin"/>
            </w:r>
            <w:r>
              <w:rPr>
                <w:noProof/>
                <w:webHidden/>
              </w:rPr>
              <w:instrText xml:space="preserve"> PAGEREF _Toc214467671 \h </w:instrText>
            </w:r>
            <w:r>
              <w:rPr>
                <w:noProof/>
                <w:webHidden/>
              </w:rPr>
            </w:r>
            <w:r>
              <w:rPr>
                <w:noProof/>
                <w:webHidden/>
              </w:rPr>
              <w:fldChar w:fldCharType="separate"/>
            </w:r>
            <w:r>
              <w:rPr>
                <w:noProof/>
                <w:webHidden/>
              </w:rPr>
              <w:t>7</w:t>
            </w:r>
            <w:r>
              <w:rPr>
                <w:noProof/>
                <w:webHidden/>
              </w:rPr>
              <w:fldChar w:fldCharType="end"/>
            </w:r>
          </w:hyperlink>
        </w:p>
        <w:p w14:paraId="7BDFDD60" w14:textId="58AFB755" w:rsidR="004958F7" w:rsidRDefault="004958F7">
          <w:pPr>
            <w:pStyle w:val="TOC1"/>
            <w:tabs>
              <w:tab w:val="left" w:pos="480"/>
              <w:tab w:val="right" w:leader="dot" w:pos="9016"/>
            </w:tabs>
            <w:rPr>
              <w:rFonts w:asciiTheme="minorHAnsi" w:eastAsiaTheme="minorEastAsia" w:hAnsiTheme="minorHAnsi" w:cstheme="minorBidi"/>
              <w:noProof/>
              <w:kern w:val="2"/>
              <w:szCs w:val="24"/>
              <w:lang w:eastAsia="en-GB"/>
              <w14:ligatures w14:val="standardContextual"/>
            </w:rPr>
          </w:pPr>
          <w:hyperlink w:anchor="_Toc214467672" w:history="1">
            <w:r w:rsidRPr="00624093">
              <w:rPr>
                <w:rStyle w:val="Hyperlink"/>
                <w:rFonts w:ascii="Times New Roman" w:hAnsi="Times New Roman" w:cs="Times New Roman"/>
                <w:noProof/>
              </w:rPr>
              <w:t>1.</w:t>
            </w:r>
            <w:r>
              <w:rPr>
                <w:rFonts w:asciiTheme="minorHAnsi" w:eastAsiaTheme="minorEastAsia" w:hAnsiTheme="minorHAnsi" w:cstheme="minorBidi"/>
                <w:noProof/>
                <w:kern w:val="2"/>
                <w:szCs w:val="24"/>
                <w:lang w:eastAsia="en-GB"/>
                <w14:ligatures w14:val="standardContextual"/>
              </w:rPr>
              <w:tab/>
            </w:r>
            <w:r w:rsidRPr="00624093">
              <w:rPr>
                <w:rStyle w:val="Hyperlink"/>
                <w:rFonts w:ascii="Times New Roman" w:hAnsi="Times New Roman" w:cs="Times New Roman"/>
                <w:noProof/>
              </w:rPr>
              <w:t>High Power – High Interest (Manage Closely)</w:t>
            </w:r>
            <w:r>
              <w:rPr>
                <w:noProof/>
                <w:webHidden/>
              </w:rPr>
              <w:tab/>
            </w:r>
            <w:r>
              <w:rPr>
                <w:noProof/>
                <w:webHidden/>
              </w:rPr>
              <w:fldChar w:fldCharType="begin"/>
            </w:r>
            <w:r>
              <w:rPr>
                <w:noProof/>
                <w:webHidden/>
              </w:rPr>
              <w:instrText xml:space="preserve"> PAGEREF _Toc214467672 \h </w:instrText>
            </w:r>
            <w:r>
              <w:rPr>
                <w:noProof/>
                <w:webHidden/>
              </w:rPr>
            </w:r>
            <w:r>
              <w:rPr>
                <w:noProof/>
                <w:webHidden/>
              </w:rPr>
              <w:fldChar w:fldCharType="separate"/>
            </w:r>
            <w:r>
              <w:rPr>
                <w:noProof/>
                <w:webHidden/>
              </w:rPr>
              <w:t>7</w:t>
            </w:r>
            <w:r>
              <w:rPr>
                <w:noProof/>
                <w:webHidden/>
              </w:rPr>
              <w:fldChar w:fldCharType="end"/>
            </w:r>
          </w:hyperlink>
        </w:p>
        <w:p w14:paraId="563CA4BC" w14:textId="503FD42B"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73" w:history="1">
            <w:r w:rsidRPr="00624093">
              <w:rPr>
                <w:rStyle w:val="Hyperlink"/>
                <w:rFonts w:ascii="Times New Roman" w:hAnsi="Times New Roman" w:cs="Times New Roman"/>
                <w:noProof/>
              </w:rPr>
              <w:t>2. High Power – Low/Medium Interest (Keep Satisfied)</w:t>
            </w:r>
            <w:r>
              <w:rPr>
                <w:noProof/>
                <w:webHidden/>
              </w:rPr>
              <w:tab/>
            </w:r>
            <w:r>
              <w:rPr>
                <w:noProof/>
                <w:webHidden/>
              </w:rPr>
              <w:fldChar w:fldCharType="begin"/>
            </w:r>
            <w:r>
              <w:rPr>
                <w:noProof/>
                <w:webHidden/>
              </w:rPr>
              <w:instrText xml:space="preserve"> PAGEREF _Toc214467673 \h </w:instrText>
            </w:r>
            <w:r>
              <w:rPr>
                <w:noProof/>
                <w:webHidden/>
              </w:rPr>
            </w:r>
            <w:r>
              <w:rPr>
                <w:noProof/>
                <w:webHidden/>
              </w:rPr>
              <w:fldChar w:fldCharType="separate"/>
            </w:r>
            <w:r>
              <w:rPr>
                <w:noProof/>
                <w:webHidden/>
              </w:rPr>
              <w:t>7</w:t>
            </w:r>
            <w:r>
              <w:rPr>
                <w:noProof/>
                <w:webHidden/>
              </w:rPr>
              <w:fldChar w:fldCharType="end"/>
            </w:r>
          </w:hyperlink>
        </w:p>
        <w:p w14:paraId="6F8899AF" w14:textId="02A956A1"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74" w:history="1">
            <w:r w:rsidRPr="00624093">
              <w:rPr>
                <w:rStyle w:val="Hyperlink"/>
                <w:rFonts w:ascii="Times New Roman" w:hAnsi="Times New Roman" w:cs="Times New Roman"/>
                <w:noProof/>
              </w:rPr>
              <w:t>3. Low Power – High Interest (Keep Informed &amp; Involve)</w:t>
            </w:r>
            <w:r>
              <w:rPr>
                <w:noProof/>
                <w:webHidden/>
              </w:rPr>
              <w:tab/>
            </w:r>
            <w:r>
              <w:rPr>
                <w:noProof/>
                <w:webHidden/>
              </w:rPr>
              <w:fldChar w:fldCharType="begin"/>
            </w:r>
            <w:r>
              <w:rPr>
                <w:noProof/>
                <w:webHidden/>
              </w:rPr>
              <w:instrText xml:space="preserve"> PAGEREF _Toc214467674 \h </w:instrText>
            </w:r>
            <w:r>
              <w:rPr>
                <w:noProof/>
                <w:webHidden/>
              </w:rPr>
            </w:r>
            <w:r>
              <w:rPr>
                <w:noProof/>
                <w:webHidden/>
              </w:rPr>
              <w:fldChar w:fldCharType="separate"/>
            </w:r>
            <w:r>
              <w:rPr>
                <w:noProof/>
                <w:webHidden/>
              </w:rPr>
              <w:t>8</w:t>
            </w:r>
            <w:r>
              <w:rPr>
                <w:noProof/>
                <w:webHidden/>
              </w:rPr>
              <w:fldChar w:fldCharType="end"/>
            </w:r>
          </w:hyperlink>
        </w:p>
        <w:p w14:paraId="667CC329" w14:textId="2906D539"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75" w:history="1">
            <w:r w:rsidRPr="00624093">
              <w:rPr>
                <w:rStyle w:val="Hyperlink"/>
                <w:rFonts w:ascii="Times New Roman" w:hAnsi="Times New Roman" w:cs="Times New Roman"/>
                <w:noProof/>
              </w:rPr>
              <w:t>4. Low/Medium Power – Medium Interest (Monitor)</w:t>
            </w:r>
            <w:r>
              <w:rPr>
                <w:noProof/>
                <w:webHidden/>
              </w:rPr>
              <w:tab/>
            </w:r>
            <w:r>
              <w:rPr>
                <w:noProof/>
                <w:webHidden/>
              </w:rPr>
              <w:fldChar w:fldCharType="begin"/>
            </w:r>
            <w:r>
              <w:rPr>
                <w:noProof/>
                <w:webHidden/>
              </w:rPr>
              <w:instrText xml:space="preserve"> PAGEREF _Toc214467675 \h </w:instrText>
            </w:r>
            <w:r>
              <w:rPr>
                <w:noProof/>
                <w:webHidden/>
              </w:rPr>
            </w:r>
            <w:r>
              <w:rPr>
                <w:noProof/>
                <w:webHidden/>
              </w:rPr>
              <w:fldChar w:fldCharType="separate"/>
            </w:r>
            <w:r>
              <w:rPr>
                <w:noProof/>
                <w:webHidden/>
              </w:rPr>
              <w:t>8</w:t>
            </w:r>
            <w:r>
              <w:rPr>
                <w:noProof/>
                <w:webHidden/>
              </w:rPr>
              <w:fldChar w:fldCharType="end"/>
            </w:r>
          </w:hyperlink>
        </w:p>
        <w:p w14:paraId="5B57EE02" w14:textId="3A78DB17"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76" w:history="1">
            <w:r w:rsidRPr="00624093">
              <w:rPr>
                <w:rStyle w:val="Hyperlink"/>
                <w:rFonts w:ascii="Times New Roman" w:hAnsi="Times New Roman" w:cs="Times New Roman"/>
                <w:noProof/>
              </w:rPr>
              <w:t>2.3. Communication plan</w:t>
            </w:r>
            <w:r>
              <w:rPr>
                <w:noProof/>
                <w:webHidden/>
              </w:rPr>
              <w:tab/>
            </w:r>
            <w:r>
              <w:rPr>
                <w:noProof/>
                <w:webHidden/>
              </w:rPr>
              <w:fldChar w:fldCharType="begin"/>
            </w:r>
            <w:r>
              <w:rPr>
                <w:noProof/>
                <w:webHidden/>
              </w:rPr>
              <w:instrText xml:space="preserve"> PAGEREF _Toc214467676 \h </w:instrText>
            </w:r>
            <w:r>
              <w:rPr>
                <w:noProof/>
                <w:webHidden/>
              </w:rPr>
            </w:r>
            <w:r>
              <w:rPr>
                <w:noProof/>
                <w:webHidden/>
              </w:rPr>
              <w:fldChar w:fldCharType="separate"/>
            </w:r>
            <w:r>
              <w:rPr>
                <w:noProof/>
                <w:webHidden/>
              </w:rPr>
              <w:t>9</w:t>
            </w:r>
            <w:r>
              <w:rPr>
                <w:noProof/>
                <w:webHidden/>
              </w:rPr>
              <w:fldChar w:fldCharType="end"/>
            </w:r>
          </w:hyperlink>
        </w:p>
        <w:p w14:paraId="5752B511" w14:textId="36EF7091"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77" w:history="1">
            <w:r w:rsidRPr="00624093">
              <w:rPr>
                <w:rStyle w:val="Hyperlink"/>
                <w:rFonts w:ascii="Times New Roman" w:hAnsi="Times New Roman" w:cs="Times New Roman"/>
                <w:noProof/>
              </w:rPr>
              <w:t>Element 3: Ethical Consideration in Stakeholder Consultation, Participation and Feedback</w:t>
            </w:r>
            <w:r>
              <w:rPr>
                <w:noProof/>
                <w:webHidden/>
              </w:rPr>
              <w:tab/>
            </w:r>
            <w:r>
              <w:rPr>
                <w:noProof/>
                <w:webHidden/>
              </w:rPr>
              <w:fldChar w:fldCharType="begin"/>
            </w:r>
            <w:r>
              <w:rPr>
                <w:noProof/>
                <w:webHidden/>
              </w:rPr>
              <w:instrText xml:space="preserve"> PAGEREF _Toc214467677 \h </w:instrText>
            </w:r>
            <w:r>
              <w:rPr>
                <w:noProof/>
                <w:webHidden/>
              </w:rPr>
            </w:r>
            <w:r>
              <w:rPr>
                <w:noProof/>
                <w:webHidden/>
              </w:rPr>
              <w:fldChar w:fldCharType="separate"/>
            </w:r>
            <w:r>
              <w:rPr>
                <w:noProof/>
                <w:webHidden/>
              </w:rPr>
              <w:t>11</w:t>
            </w:r>
            <w:r>
              <w:rPr>
                <w:noProof/>
                <w:webHidden/>
              </w:rPr>
              <w:fldChar w:fldCharType="end"/>
            </w:r>
          </w:hyperlink>
        </w:p>
        <w:p w14:paraId="1AF92E10" w14:textId="52F6D4A8"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78" w:history="1">
            <w:r w:rsidRPr="00624093">
              <w:rPr>
                <w:rStyle w:val="Hyperlink"/>
                <w:rFonts w:ascii="Times New Roman" w:hAnsi="Times New Roman" w:cs="Times New Roman"/>
                <w:noProof/>
              </w:rPr>
              <w:t>1. Ethical Design of Consultation Methods</w:t>
            </w:r>
            <w:r>
              <w:rPr>
                <w:noProof/>
                <w:webHidden/>
              </w:rPr>
              <w:tab/>
            </w:r>
            <w:r>
              <w:rPr>
                <w:noProof/>
                <w:webHidden/>
              </w:rPr>
              <w:fldChar w:fldCharType="begin"/>
            </w:r>
            <w:r>
              <w:rPr>
                <w:noProof/>
                <w:webHidden/>
              </w:rPr>
              <w:instrText xml:space="preserve"> PAGEREF _Toc214467678 \h </w:instrText>
            </w:r>
            <w:r>
              <w:rPr>
                <w:noProof/>
                <w:webHidden/>
              </w:rPr>
            </w:r>
            <w:r>
              <w:rPr>
                <w:noProof/>
                <w:webHidden/>
              </w:rPr>
              <w:fldChar w:fldCharType="separate"/>
            </w:r>
            <w:r>
              <w:rPr>
                <w:noProof/>
                <w:webHidden/>
              </w:rPr>
              <w:t>11</w:t>
            </w:r>
            <w:r>
              <w:rPr>
                <w:noProof/>
                <w:webHidden/>
              </w:rPr>
              <w:fldChar w:fldCharType="end"/>
            </w:r>
          </w:hyperlink>
        </w:p>
        <w:p w14:paraId="6468C9F7" w14:textId="3E54C49E"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79" w:history="1">
            <w:r w:rsidRPr="00624093">
              <w:rPr>
                <w:rStyle w:val="Hyperlink"/>
                <w:rFonts w:ascii="Times New Roman" w:hAnsi="Times New Roman" w:cs="Times New Roman"/>
                <w:noProof/>
              </w:rPr>
              <w:t>2. Bias and Representation in Data Collection</w:t>
            </w:r>
            <w:r>
              <w:rPr>
                <w:noProof/>
                <w:webHidden/>
              </w:rPr>
              <w:tab/>
            </w:r>
            <w:r>
              <w:rPr>
                <w:noProof/>
                <w:webHidden/>
              </w:rPr>
              <w:fldChar w:fldCharType="begin"/>
            </w:r>
            <w:r>
              <w:rPr>
                <w:noProof/>
                <w:webHidden/>
              </w:rPr>
              <w:instrText xml:space="preserve"> PAGEREF _Toc214467679 \h </w:instrText>
            </w:r>
            <w:r>
              <w:rPr>
                <w:noProof/>
                <w:webHidden/>
              </w:rPr>
            </w:r>
            <w:r>
              <w:rPr>
                <w:noProof/>
                <w:webHidden/>
              </w:rPr>
              <w:fldChar w:fldCharType="separate"/>
            </w:r>
            <w:r>
              <w:rPr>
                <w:noProof/>
                <w:webHidden/>
              </w:rPr>
              <w:t>11</w:t>
            </w:r>
            <w:r>
              <w:rPr>
                <w:noProof/>
                <w:webHidden/>
              </w:rPr>
              <w:fldChar w:fldCharType="end"/>
            </w:r>
          </w:hyperlink>
        </w:p>
        <w:p w14:paraId="231904BD" w14:textId="35927E01"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80" w:history="1">
            <w:r w:rsidRPr="00624093">
              <w:rPr>
                <w:rStyle w:val="Hyperlink"/>
                <w:rFonts w:ascii="Times New Roman" w:hAnsi="Times New Roman" w:cs="Times New Roman"/>
                <w:noProof/>
              </w:rPr>
              <w:t>3. Diversity, Equity and Inclusion (DEI) in Participation</w:t>
            </w:r>
            <w:r>
              <w:rPr>
                <w:noProof/>
                <w:webHidden/>
              </w:rPr>
              <w:tab/>
            </w:r>
            <w:r>
              <w:rPr>
                <w:noProof/>
                <w:webHidden/>
              </w:rPr>
              <w:fldChar w:fldCharType="begin"/>
            </w:r>
            <w:r>
              <w:rPr>
                <w:noProof/>
                <w:webHidden/>
              </w:rPr>
              <w:instrText xml:space="preserve"> PAGEREF _Toc214467680 \h </w:instrText>
            </w:r>
            <w:r>
              <w:rPr>
                <w:noProof/>
                <w:webHidden/>
              </w:rPr>
            </w:r>
            <w:r>
              <w:rPr>
                <w:noProof/>
                <w:webHidden/>
              </w:rPr>
              <w:fldChar w:fldCharType="separate"/>
            </w:r>
            <w:r>
              <w:rPr>
                <w:noProof/>
                <w:webHidden/>
              </w:rPr>
              <w:t>12</w:t>
            </w:r>
            <w:r>
              <w:rPr>
                <w:noProof/>
                <w:webHidden/>
              </w:rPr>
              <w:fldChar w:fldCharType="end"/>
            </w:r>
          </w:hyperlink>
        </w:p>
        <w:p w14:paraId="11D791BE" w14:textId="7E46ECD2"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81" w:history="1">
            <w:r w:rsidRPr="00624093">
              <w:rPr>
                <w:rStyle w:val="Hyperlink"/>
                <w:rFonts w:ascii="Times New Roman" w:hAnsi="Times New Roman" w:cs="Times New Roman"/>
                <w:noProof/>
              </w:rPr>
              <w:t>4. Ethical Review of Feedback and Decision-Making</w:t>
            </w:r>
            <w:r>
              <w:rPr>
                <w:noProof/>
                <w:webHidden/>
              </w:rPr>
              <w:tab/>
            </w:r>
            <w:r>
              <w:rPr>
                <w:noProof/>
                <w:webHidden/>
              </w:rPr>
              <w:fldChar w:fldCharType="begin"/>
            </w:r>
            <w:r>
              <w:rPr>
                <w:noProof/>
                <w:webHidden/>
              </w:rPr>
              <w:instrText xml:space="preserve"> PAGEREF _Toc214467681 \h </w:instrText>
            </w:r>
            <w:r>
              <w:rPr>
                <w:noProof/>
                <w:webHidden/>
              </w:rPr>
            </w:r>
            <w:r>
              <w:rPr>
                <w:noProof/>
                <w:webHidden/>
              </w:rPr>
              <w:fldChar w:fldCharType="separate"/>
            </w:r>
            <w:r>
              <w:rPr>
                <w:noProof/>
                <w:webHidden/>
              </w:rPr>
              <w:t>12</w:t>
            </w:r>
            <w:r>
              <w:rPr>
                <w:noProof/>
                <w:webHidden/>
              </w:rPr>
              <w:fldChar w:fldCharType="end"/>
            </w:r>
          </w:hyperlink>
        </w:p>
        <w:p w14:paraId="15FED9A7" w14:textId="13A24661"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82" w:history="1">
            <w:r w:rsidRPr="00624093">
              <w:rPr>
                <w:rStyle w:val="Hyperlink"/>
                <w:rFonts w:ascii="Times New Roman" w:hAnsi="Times New Roman" w:cs="Times New Roman"/>
                <w:noProof/>
              </w:rPr>
              <w:t>Element 4: Conclusion and Reflection</w:t>
            </w:r>
            <w:r>
              <w:rPr>
                <w:noProof/>
                <w:webHidden/>
              </w:rPr>
              <w:tab/>
            </w:r>
            <w:r>
              <w:rPr>
                <w:noProof/>
                <w:webHidden/>
              </w:rPr>
              <w:fldChar w:fldCharType="begin"/>
            </w:r>
            <w:r>
              <w:rPr>
                <w:noProof/>
                <w:webHidden/>
              </w:rPr>
              <w:instrText xml:space="preserve"> PAGEREF _Toc214467682 \h </w:instrText>
            </w:r>
            <w:r>
              <w:rPr>
                <w:noProof/>
                <w:webHidden/>
              </w:rPr>
            </w:r>
            <w:r>
              <w:rPr>
                <w:noProof/>
                <w:webHidden/>
              </w:rPr>
              <w:fldChar w:fldCharType="separate"/>
            </w:r>
            <w:r>
              <w:rPr>
                <w:noProof/>
                <w:webHidden/>
              </w:rPr>
              <w:t>13</w:t>
            </w:r>
            <w:r>
              <w:rPr>
                <w:noProof/>
                <w:webHidden/>
              </w:rPr>
              <w:fldChar w:fldCharType="end"/>
            </w:r>
          </w:hyperlink>
        </w:p>
        <w:p w14:paraId="6CF094E9" w14:textId="27B48FD3" w:rsidR="004958F7" w:rsidRDefault="004958F7">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467683" w:history="1">
            <w:r w:rsidRPr="00624093">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_Toc214467683 \h </w:instrText>
            </w:r>
            <w:r>
              <w:rPr>
                <w:noProof/>
                <w:webHidden/>
              </w:rPr>
            </w:r>
            <w:r>
              <w:rPr>
                <w:noProof/>
                <w:webHidden/>
              </w:rPr>
              <w:fldChar w:fldCharType="separate"/>
            </w:r>
            <w:r>
              <w:rPr>
                <w:noProof/>
                <w:webHidden/>
              </w:rPr>
              <w:t>15</w:t>
            </w:r>
            <w:r>
              <w:rPr>
                <w:noProof/>
                <w:webHidden/>
              </w:rPr>
              <w:fldChar w:fldCharType="end"/>
            </w:r>
          </w:hyperlink>
        </w:p>
        <w:p w14:paraId="7F5D0A5E" w14:textId="648DA627" w:rsidR="00253F51" w:rsidRDefault="00253F51">
          <w:r>
            <w:rPr>
              <w:b/>
              <w:bCs/>
            </w:rPr>
            <w:fldChar w:fldCharType="end"/>
          </w:r>
        </w:p>
      </w:sdtContent>
    </w:sdt>
    <w:p w14:paraId="55DC0D86" w14:textId="77777777" w:rsidR="00253F51" w:rsidRDefault="00253F51"/>
    <w:p w14:paraId="73E73BB1" w14:textId="77777777" w:rsidR="00E232BE" w:rsidRDefault="00E232BE"/>
    <w:p w14:paraId="126248DA" w14:textId="77777777" w:rsidR="00E232BE" w:rsidRDefault="00E232BE"/>
    <w:p w14:paraId="6EBCD113" w14:textId="77777777" w:rsidR="00E232BE" w:rsidRDefault="00E232BE"/>
    <w:p w14:paraId="0E964E04" w14:textId="77777777" w:rsidR="00E232BE" w:rsidRDefault="00E232BE"/>
    <w:p w14:paraId="13CCFA5F" w14:textId="77777777" w:rsidR="00E232BE" w:rsidRDefault="00E232BE"/>
    <w:p w14:paraId="5DEBAB0F" w14:textId="77777777" w:rsidR="00E232BE" w:rsidRDefault="00E232BE"/>
    <w:p w14:paraId="13555ADD" w14:textId="558155A9" w:rsidR="00E232BE" w:rsidRDefault="00E232BE" w:rsidP="00E232BE">
      <w:pPr>
        <w:jc w:val="center"/>
      </w:pPr>
      <w:r>
        <w:rPr>
          <w:noProof/>
        </w:rPr>
        <w:lastRenderedPageBreak/>
        <w:drawing>
          <wp:inline distT="0" distB="0" distL="0" distR="0" wp14:anchorId="52A24F41" wp14:editId="7454FA9D">
            <wp:extent cx="3840480" cy="2074545"/>
            <wp:effectExtent l="0" t="0" r="762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58968" cy="2084532"/>
                    </a:xfrm>
                    <a:prstGeom prst="rect">
                      <a:avLst/>
                    </a:prstGeom>
                    <a:noFill/>
                  </pic:spPr>
                </pic:pic>
              </a:graphicData>
            </a:graphic>
          </wp:inline>
        </w:drawing>
      </w:r>
    </w:p>
    <w:p w14:paraId="03683C5E" w14:textId="1270C193" w:rsidR="00E232BE" w:rsidRPr="00E232BE" w:rsidRDefault="00E232BE" w:rsidP="00E232BE">
      <w:pPr>
        <w:jc w:val="center"/>
        <w:rPr>
          <w:i/>
          <w:iCs/>
        </w:rPr>
      </w:pPr>
      <w:proofErr w:type="spellStart"/>
      <w:r w:rsidRPr="00E232BE">
        <w:t>Kensignton</w:t>
      </w:r>
      <w:proofErr w:type="spellEnd"/>
      <w:r w:rsidRPr="00E232BE">
        <w:t xml:space="preserve"> Gardens</w:t>
      </w:r>
      <w:r>
        <w:rPr>
          <w:i/>
          <w:iCs/>
        </w:rPr>
        <w:t xml:space="preserve">, </w:t>
      </w:r>
      <w:r w:rsidRPr="00E232BE">
        <w:rPr>
          <w:i/>
          <w:iCs/>
        </w:rPr>
        <w:t xml:space="preserve">Source: </w:t>
      </w:r>
      <w:proofErr w:type="spellStart"/>
      <w:proofErr w:type="gramStart"/>
      <w:r w:rsidRPr="00E232BE">
        <w:rPr>
          <w:i/>
          <w:iCs/>
        </w:rPr>
        <w:t>fity.club</w:t>
      </w:r>
      <w:proofErr w:type="spellEnd"/>
      <w:proofErr w:type="gramEnd"/>
    </w:p>
    <w:p w14:paraId="2C7C0A69" w14:textId="2A07AC42" w:rsidR="00E232BE" w:rsidRPr="00E232BE" w:rsidRDefault="00E232BE" w:rsidP="00E232BE">
      <w:pPr>
        <w:jc w:val="center"/>
      </w:pPr>
      <w:r w:rsidRPr="00E232BE">
        <w:t>Kensington Gardens Community Renewal Project</w:t>
      </w:r>
    </w:p>
    <w:p w14:paraId="7A5EA404" w14:textId="77777777" w:rsidR="00E232BE" w:rsidRPr="000E7926" w:rsidRDefault="00E232BE" w:rsidP="000E7926">
      <w:pPr>
        <w:pStyle w:val="Heading1"/>
        <w:rPr>
          <w:rFonts w:ascii="Times New Roman" w:hAnsi="Times New Roman" w:cs="Times New Roman"/>
          <w:color w:val="000000" w:themeColor="text1"/>
          <w:sz w:val="24"/>
          <w:szCs w:val="24"/>
        </w:rPr>
      </w:pPr>
      <w:bookmarkStart w:id="0" w:name="_Toc214467665"/>
      <w:r w:rsidRPr="000E7926">
        <w:rPr>
          <w:rFonts w:ascii="Times New Roman" w:hAnsi="Times New Roman" w:cs="Times New Roman"/>
          <w:color w:val="000000" w:themeColor="text1"/>
          <w:sz w:val="24"/>
          <w:szCs w:val="24"/>
        </w:rPr>
        <w:t>Element 1 – Introduction</w:t>
      </w:r>
      <w:bookmarkEnd w:id="0"/>
    </w:p>
    <w:p w14:paraId="0E8CDD01" w14:textId="3A30BA0F" w:rsidR="00E232BE" w:rsidRPr="004958F7" w:rsidRDefault="00E232BE" w:rsidP="000E7926">
      <w:pPr>
        <w:pStyle w:val="Heading1"/>
        <w:rPr>
          <w:rFonts w:ascii="Times New Roman" w:hAnsi="Times New Roman" w:cs="Times New Roman"/>
          <w:color w:val="000000" w:themeColor="text1"/>
          <w:sz w:val="24"/>
          <w:szCs w:val="24"/>
        </w:rPr>
      </w:pPr>
      <w:bookmarkStart w:id="1" w:name="_Toc214467666"/>
      <w:r w:rsidRPr="004958F7">
        <w:rPr>
          <w:rFonts w:ascii="Times New Roman" w:hAnsi="Times New Roman" w:cs="Times New Roman"/>
          <w:color w:val="000000" w:themeColor="text1"/>
          <w:sz w:val="24"/>
          <w:szCs w:val="24"/>
          <w:u w:val="none"/>
        </w:rPr>
        <w:t>1. Project Context and Rationale</w:t>
      </w:r>
      <w:bookmarkEnd w:id="1"/>
    </w:p>
    <w:p w14:paraId="03DEB59E" w14:textId="3CBE9CD3" w:rsidR="00E232BE" w:rsidRPr="000E7926" w:rsidRDefault="00E232BE"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As one of London's largest Royal Parks, Kensington Gardens has vital green infrastructure and open space to conserve cultural heritage and a wide range of ecosystem services that support human health and mobility. With the increasing population and density of London, Royal Parks have become important health infrastructures, trans-formed from ornamental parks into sheltered sanctuaries, which relieve air pollution, heat stress and psychological fatigue (Kabisch et al., 2020; WHO, 2022). Kensington Gardens has been subjected to a number of stresses in recent years due to the growth in tourism associated with Kensington Palace and the Serpentine Galleries and because of particular paths, the human pressure has led to erosion of the path surface, soil compaction and a detrimental effect on pollinators. The imbalance between heritage preservation and modern-day public use calls for a renewal project in terms of climate resilience and inclusiveness.</w:t>
      </w:r>
    </w:p>
    <w:p w14:paraId="61F1B2B2" w14:textId="14C78483" w:rsidR="00E232BE" w:rsidRPr="000E7926" w:rsidRDefault="00E232BE" w:rsidP="000E7926">
      <w:pPr>
        <w:rPr>
          <w:rStyle w:val="Heading1Char"/>
          <w:rFonts w:ascii="Times New Roman" w:hAnsi="Times New Roman" w:cs="Times New Roman"/>
          <w:b/>
          <w:bCs/>
          <w:color w:val="000000" w:themeColor="text1"/>
          <w:sz w:val="24"/>
          <w:szCs w:val="24"/>
          <w:u w:val="none"/>
        </w:rPr>
      </w:pPr>
      <w:r w:rsidRPr="000E7926">
        <w:rPr>
          <w:rFonts w:ascii="Times New Roman" w:hAnsi="Times New Roman" w:cs="Times New Roman"/>
          <w:color w:val="000000" w:themeColor="text1"/>
          <w:szCs w:val="24"/>
        </w:rPr>
        <w:t>2</w:t>
      </w:r>
      <w:r w:rsidRPr="00A40D0C">
        <w:rPr>
          <w:rStyle w:val="Heading1Char"/>
          <w:rFonts w:ascii="Times New Roman" w:hAnsi="Times New Roman" w:cs="Times New Roman"/>
          <w:color w:val="000000" w:themeColor="text1"/>
          <w:sz w:val="24"/>
          <w:szCs w:val="24"/>
          <w:u w:val="none"/>
        </w:rPr>
        <w:t>. Local Importance of Kensington Gardens</w:t>
      </w:r>
    </w:p>
    <w:p w14:paraId="11EA0EFF" w14:textId="5C3182DA" w:rsidR="00E232BE" w:rsidRPr="000E7926" w:rsidRDefault="00E232BE"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The residential </w:t>
      </w:r>
      <w:proofErr w:type="spellStart"/>
      <w:r w:rsidRPr="000E7926">
        <w:rPr>
          <w:rFonts w:ascii="Times New Roman" w:hAnsi="Times New Roman" w:cs="Times New Roman"/>
          <w:color w:val="000000" w:themeColor="text1"/>
          <w:szCs w:val="24"/>
        </w:rPr>
        <w:t>neighborhoods</w:t>
      </w:r>
      <w:proofErr w:type="spellEnd"/>
      <w:r w:rsidRPr="000E7926">
        <w:rPr>
          <w:rFonts w:ascii="Times New Roman" w:hAnsi="Times New Roman" w:cs="Times New Roman"/>
          <w:color w:val="000000" w:themeColor="text1"/>
          <w:szCs w:val="24"/>
        </w:rPr>
        <w:t xml:space="preserve"> of the park's perimeter such as Bayswater, High Street Kensington and Queensway have high levels of apartment accommodation and so the gardens around the park perimeter are used for exercise and social interaction. Studies have shown that high quality green space in easy reach of homes has a large positive impact on mental wellbeing and social cohesion (Twohig-Bennett &amp; Jones, 2018). The gardens create a cultural corridor space from the Royal Albert Hall to the Serpentine Pavilions, and as such the </w:t>
      </w:r>
      <w:r w:rsidRPr="000E7926">
        <w:rPr>
          <w:rFonts w:ascii="Times New Roman" w:hAnsi="Times New Roman" w:cs="Times New Roman"/>
          <w:color w:val="000000" w:themeColor="text1"/>
          <w:szCs w:val="24"/>
        </w:rPr>
        <w:lastRenderedPageBreak/>
        <w:t>environmental quality relates to tourism and cultural experiences in London (</w:t>
      </w:r>
      <w:proofErr w:type="spellStart"/>
      <w:r w:rsidRPr="000E7926">
        <w:rPr>
          <w:rFonts w:ascii="Times New Roman" w:hAnsi="Times New Roman" w:cs="Times New Roman"/>
          <w:color w:val="000000" w:themeColor="text1"/>
          <w:szCs w:val="24"/>
        </w:rPr>
        <w:t>VisitEngland</w:t>
      </w:r>
      <w:proofErr w:type="spellEnd"/>
      <w:r w:rsidRPr="000E7926">
        <w:rPr>
          <w:rFonts w:ascii="Times New Roman" w:hAnsi="Times New Roman" w:cs="Times New Roman"/>
          <w:color w:val="000000" w:themeColor="text1"/>
          <w:szCs w:val="24"/>
        </w:rPr>
        <w:t xml:space="preserve">, 2023). </w:t>
      </w:r>
    </w:p>
    <w:p w14:paraId="5B4E00A3" w14:textId="7132351F" w:rsidR="00E232BE" w:rsidRPr="000E7926" w:rsidRDefault="00E232BE" w:rsidP="000E7926">
      <w:pPr>
        <w:pStyle w:val="Heading1"/>
        <w:rPr>
          <w:rFonts w:ascii="Times New Roman" w:hAnsi="Times New Roman" w:cs="Times New Roman"/>
          <w:color w:val="000000" w:themeColor="text1"/>
          <w:sz w:val="24"/>
          <w:szCs w:val="24"/>
          <w:u w:val="none"/>
        </w:rPr>
      </w:pPr>
      <w:bookmarkStart w:id="2" w:name="_Toc214467667"/>
      <w:r w:rsidRPr="000E7926">
        <w:rPr>
          <w:rFonts w:ascii="Times New Roman" w:hAnsi="Times New Roman" w:cs="Times New Roman"/>
          <w:color w:val="000000" w:themeColor="text1"/>
          <w:sz w:val="24"/>
          <w:szCs w:val="24"/>
          <w:u w:val="none"/>
        </w:rPr>
        <w:t>3. Proposed Improvements and Their Impacts</w:t>
      </w:r>
      <w:bookmarkEnd w:id="2"/>
    </w:p>
    <w:p w14:paraId="5824709F" w14:textId="5A7B494D" w:rsidR="00E232BE" w:rsidRPr="000E7926" w:rsidRDefault="00E232BE"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Continuous accessible walking routes can improve mobility equity for older adults and people with disabilities (Gehl, 2011), while increasing activity spaces may bring about informal social network benefits and increased feelings of safety within the study </w:t>
      </w:r>
      <w:proofErr w:type="spellStart"/>
      <w:r w:rsidRPr="000E7926">
        <w:rPr>
          <w:rFonts w:ascii="Times New Roman" w:hAnsi="Times New Roman" w:cs="Times New Roman"/>
          <w:color w:val="000000" w:themeColor="text1"/>
          <w:szCs w:val="24"/>
        </w:rPr>
        <w:t>neighborhoods</w:t>
      </w:r>
      <w:proofErr w:type="spellEnd"/>
      <w:r w:rsidRPr="000E7926">
        <w:rPr>
          <w:rFonts w:ascii="Times New Roman" w:hAnsi="Times New Roman" w:cs="Times New Roman"/>
          <w:color w:val="000000" w:themeColor="text1"/>
          <w:szCs w:val="24"/>
        </w:rPr>
        <w:t>. New lighting will allow safe use of the park in the early evenings, biodiversity areas will encourage ecological recovery, supporting London Biodiversity Net Gain (net-gain) targets, visitor information points will direct footfall away from large entrances and quiet spaces will create restorative micro-environments for visitors who may be overstimulated elsewhere in the park.</w:t>
      </w:r>
    </w:p>
    <w:p w14:paraId="634649B2" w14:textId="1FE16040" w:rsidR="00E232BE" w:rsidRPr="000E7926" w:rsidRDefault="00E232BE" w:rsidP="000E7926">
      <w:pPr>
        <w:pStyle w:val="Heading1"/>
        <w:rPr>
          <w:rFonts w:ascii="Times New Roman" w:hAnsi="Times New Roman" w:cs="Times New Roman"/>
          <w:color w:val="000000" w:themeColor="text1"/>
          <w:sz w:val="24"/>
          <w:szCs w:val="24"/>
          <w:u w:val="none"/>
        </w:rPr>
      </w:pPr>
      <w:bookmarkStart w:id="3" w:name="_Toc214467668"/>
      <w:r w:rsidRPr="000E7926">
        <w:rPr>
          <w:rFonts w:ascii="Times New Roman" w:hAnsi="Times New Roman" w:cs="Times New Roman"/>
          <w:color w:val="000000" w:themeColor="text1"/>
          <w:sz w:val="24"/>
          <w:szCs w:val="24"/>
          <w:u w:val="none"/>
        </w:rPr>
        <w:t>4. Key Stakeholders and Benefits</w:t>
      </w:r>
      <w:bookmarkEnd w:id="3"/>
    </w:p>
    <w:tbl>
      <w:tblPr>
        <w:tblStyle w:val="PlainTable1"/>
        <w:tblW w:w="0" w:type="auto"/>
        <w:tblLook w:val="04A0" w:firstRow="1" w:lastRow="0" w:firstColumn="1" w:lastColumn="0" w:noHBand="0" w:noVBand="1"/>
      </w:tblPr>
      <w:tblGrid>
        <w:gridCol w:w="2263"/>
        <w:gridCol w:w="6753"/>
      </w:tblGrid>
      <w:tr w:rsidR="000E7926" w:rsidRPr="000E7926" w14:paraId="040696A5" w14:textId="77777777" w:rsidTr="00A40D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40393D42" w14:textId="77777777" w:rsidR="00E232BE" w:rsidRPr="00E232BE" w:rsidRDefault="00E232BE" w:rsidP="000E7926">
            <w:pPr>
              <w:spacing w:after="160" w:line="360" w:lineRule="auto"/>
              <w:rPr>
                <w:rFonts w:ascii="Times New Roman" w:hAnsi="Times New Roman" w:cs="Times New Roman"/>
                <w:b w:val="0"/>
                <w:bCs w:val="0"/>
                <w:color w:val="000000" w:themeColor="text1"/>
                <w:szCs w:val="24"/>
                <w:u w:val="single"/>
              </w:rPr>
            </w:pPr>
            <w:r w:rsidRPr="00E232BE">
              <w:rPr>
                <w:rFonts w:ascii="Times New Roman" w:hAnsi="Times New Roman" w:cs="Times New Roman"/>
                <w:b w:val="0"/>
                <w:bCs w:val="0"/>
                <w:color w:val="000000" w:themeColor="text1"/>
                <w:szCs w:val="24"/>
                <w:u w:val="single"/>
              </w:rPr>
              <w:t>Stakeholder</w:t>
            </w:r>
          </w:p>
        </w:tc>
        <w:tc>
          <w:tcPr>
            <w:tcW w:w="6753" w:type="dxa"/>
            <w:hideMark/>
          </w:tcPr>
          <w:p w14:paraId="6EEFE3E4" w14:textId="36FB78E7" w:rsidR="00E232BE" w:rsidRPr="00E232BE" w:rsidRDefault="00E232BE" w:rsidP="000E7926">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u w:val="single"/>
              </w:rPr>
            </w:pPr>
            <w:r w:rsidRPr="00E232BE">
              <w:rPr>
                <w:rFonts w:ascii="Times New Roman" w:hAnsi="Times New Roman" w:cs="Times New Roman"/>
                <w:color w:val="000000" w:themeColor="text1"/>
                <w:szCs w:val="24"/>
                <w:u w:val="single"/>
              </w:rPr>
              <w:t>Benefit</w:t>
            </w:r>
            <w:r w:rsidRPr="000E7926">
              <w:rPr>
                <w:rFonts w:ascii="Times New Roman" w:hAnsi="Times New Roman" w:cs="Times New Roman"/>
                <w:color w:val="000000" w:themeColor="text1"/>
                <w:szCs w:val="24"/>
                <w:u w:val="single"/>
              </w:rPr>
              <w:t>s</w:t>
            </w:r>
          </w:p>
        </w:tc>
      </w:tr>
      <w:tr w:rsidR="000E7926" w:rsidRPr="000E7926" w14:paraId="7E7370D3" w14:textId="77777777" w:rsidTr="00A40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0BCDF250" w14:textId="77777777" w:rsidR="00E232BE" w:rsidRPr="00E232BE" w:rsidRDefault="00E232BE" w:rsidP="000E7926">
            <w:pPr>
              <w:spacing w:after="160" w:line="360" w:lineRule="auto"/>
              <w:rPr>
                <w:rFonts w:ascii="Times New Roman" w:hAnsi="Times New Roman" w:cs="Times New Roman"/>
                <w:b w:val="0"/>
                <w:bCs w:val="0"/>
                <w:color w:val="000000" w:themeColor="text1"/>
                <w:szCs w:val="24"/>
              </w:rPr>
            </w:pPr>
            <w:r w:rsidRPr="00E232BE">
              <w:rPr>
                <w:rFonts w:ascii="Times New Roman" w:hAnsi="Times New Roman" w:cs="Times New Roman"/>
                <w:b w:val="0"/>
                <w:bCs w:val="0"/>
                <w:color w:val="000000" w:themeColor="text1"/>
                <w:szCs w:val="24"/>
              </w:rPr>
              <w:t>Local Residents</w:t>
            </w:r>
          </w:p>
        </w:tc>
        <w:tc>
          <w:tcPr>
            <w:tcW w:w="6753" w:type="dxa"/>
            <w:hideMark/>
          </w:tcPr>
          <w:p w14:paraId="76D5ADA4" w14:textId="77777777" w:rsidR="00E232BE" w:rsidRPr="00E232BE" w:rsidRDefault="00E232BE"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232BE">
              <w:rPr>
                <w:rFonts w:ascii="Times New Roman" w:hAnsi="Times New Roman" w:cs="Times New Roman"/>
                <w:color w:val="000000" w:themeColor="text1"/>
                <w:szCs w:val="24"/>
              </w:rPr>
              <w:t>Safer movement, improved wellbeing spaces</w:t>
            </w:r>
          </w:p>
        </w:tc>
      </w:tr>
      <w:tr w:rsidR="000E7926" w:rsidRPr="000E7926" w14:paraId="24A4D038" w14:textId="77777777" w:rsidTr="00A40D0C">
        <w:tc>
          <w:tcPr>
            <w:cnfStyle w:val="001000000000" w:firstRow="0" w:lastRow="0" w:firstColumn="1" w:lastColumn="0" w:oddVBand="0" w:evenVBand="0" w:oddHBand="0" w:evenHBand="0" w:firstRowFirstColumn="0" w:firstRowLastColumn="0" w:lastRowFirstColumn="0" w:lastRowLastColumn="0"/>
            <w:tcW w:w="2263" w:type="dxa"/>
            <w:hideMark/>
          </w:tcPr>
          <w:p w14:paraId="2DBC3F6C" w14:textId="77777777" w:rsidR="00E232BE" w:rsidRPr="00E232BE" w:rsidRDefault="00E232BE" w:rsidP="000E7926">
            <w:pPr>
              <w:spacing w:after="160" w:line="360" w:lineRule="auto"/>
              <w:rPr>
                <w:rFonts w:ascii="Times New Roman" w:hAnsi="Times New Roman" w:cs="Times New Roman"/>
                <w:b w:val="0"/>
                <w:bCs w:val="0"/>
                <w:color w:val="000000" w:themeColor="text1"/>
                <w:szCs w:val="24"/>
              </w:rPr>
            </w:pPr>
            <w:r w:rsidRPr="00E232BE">
              <w:rPr>
                <w:rFonts w:ascii="Times New Roman" w:hAnsi="Times New Roman" w:cs="Times New Roman"/>
                <w:b w:val="0"/>
                <w:bCs w:val="0"/>
                <w:color w:val="000000" w:themeColor="text1"/>
                <w:szCs w:val="24"/>
              </w:rPr>
              <w:t>Tourists &amp; Visitors</w:t>
            </w:r>
          </w:p>
        </w:tc>
        <w:tc>
          <w:tcPr>
            <w:tcW w:w="6753" w:type="dxa"/>
            <w:hideMark/>
          </w:tcPr>
          <w:p w14:paraId="29D9D3F3" w14:textId="77777777" w:rsidR="00E232BE" w:rsidRPr="00E232BE" w:rsidRDefault="00E232BE"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E232BE">
              <w:rPr>
                <w:rFonts w:ascii="Times New Roman" w:hAnsi="Times New Roman" w:cs="Times New Roman"/>
                <w:color w:val="000000" w:themeColor="text1"/>
                <w:szCs w:val="24"/>
              </w:rPr>
              <w:t>Better navigation, upgraded amenities</w:t>
            </w:r>
          </w:p>
        </w:tc>
      </w:tr>
      <w:tr w:rsidR="000E7926" w:rsidRPr="000E7926" w14:paraId="76CACA64" w14:textId="77777777" w:rsidTr="00A40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61D4BDFF" w14:textId="77777777" w:rsidR="00E232BE" w:rsidRPr="00E232BE" w:rsidRDefault="00E232BE" w:rsidP="000E7926">
            <w:pPr>
              <w:spacing w:after="160" w:line="360" w:lineRule="auto"/>
              <w:rPr>
                <w:rFonts w:ascii="Times New Roman" w:hAnsi="Times New Roman" w:cs="Times New Roman"/>
                <w:b w:val="0"/>
                <w:bCs w:val="0"/>
                <w:color w:val="000000" w:themeColor="text1"/>
                <w:szCs w:val="24"/>
              </w:rPr>
            </w:pPr>
            <w:r w:rsidRPr="00E232BE">
              <w:rPr>
                <w:rFonts w:ascii="Times New Roman" w:hAnsi="Times New Roman" w:cs="Times New Roman"/>
                <w:b w:val="0"/>
                <w:bCs w:val="0"/>
                <w:color w:val="000000" w:themeColor="text1"/>
                <w:szCs w:val="24"/>
              </w:rPr>
              <w:t>Royal Parks Authority</w:t>
            </w:r>
          </w:p>
        </w:tc>
        <w:tc>
          <w:tcPr>
            <w:tcW w:w="6753" w:type="dxa"/>
            <w:hideMark/>
          </w:tcPr>
          <w:p w14:paraId="3989CEAE" w14:textId="77777777" w:rsidR="00E232BE" w:rsidRPr="00E232BE" w:rsidRDefault="00E232BE"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232BE">
              <w:rPr>
                <w:rFonts w:ascii="Times New Roman" w:hAnsi="Times New Roman" w:cs="Times New Roman"/>
                <w:color w:val="000000" w:themeColor="text1"/>
                <w:szCs w:val="24"/>
              </w:rPr>
              <w:t>Reduced long-term maintenance pressure</w:t>
            </w:r>
          </w:p>
        </w:tc>
      </w:tr>
      <w:tr w:rsidR="000E7926" w:rsidRPr="000E7926" w14:paraId="3372E6BA" w14:textId="77777777" w:rsidTr="00A40D0C">
        <w:tc>
          <w:tcPr>
            <w:cnfStyle w:val="001000000000" w:firstRow="0" w:lastRow="0" w:firstColumn="1" w:lastColumn="0" w:oddVBand="0" w:evenVBand="0" w:oddHBand="0" w:evenHBand="0" w:firstRowFirstColumn="0" w:firstRowLastColumn="0" w:lastRowFirstColumn="0" w:lastRowLastColumn="0"/>
            <w:tcW w:w="2263" w:type="dxa"/>
            <w:hideMark/>
          </w:tcPr>
          <w:p w14:paraId="5CC34EB8" w14:textId="77777777" w:rsidR="00E232BE" w:rsidRPr="00E232BE" w:rsidRDefault="00E232BE" w:rsidP="000E7926">
            <w:pPr>
              <w:spacing w:after="160" w:line="360" w:lineRule="auto"/>
              <w:rPr>
                <w:rFonts w:ascii="Times New Roman" w:hAnsi="Times New Roman" w:cs="Times New Roman"/>
                <w:b w:val="0"/>
                <w:bCs w:val="0"/>
                <w:color w:val="000000" w:themeColor="text1"/>
                <w:szCs w:val="24"/>
              </w:rPr>
            </w:pPr>
            <w:r w:rsidRPr="00E232BE">
              <w:rPr>
                <w:rFonts w:ascii="Times New Roman" w:hAnsi="Times New Roman" w:cs="Times New Roman"/>
                <w:b w:val="0"/>
                <w:bCs w:val="0"/>
                <w:color w:val="000000" w:themeColor="text1"/>
                <w:szCs w:val="24"/>
              </w:rPr>
              <w:t>Local Businesses</w:t>
            </w:r>
          </w:p>
        </w:tc>
        <w:tc>
          <w:tcPr>
            <w:tcW w:w="6753" w:type="dxa"/>
            <w:hideMark/>
          </w:tcPr>
          <w:p w14:paraId="4BAFD45E" w14:textId="77777777" w:rsidR="00E232BE" w:rsidRPr="00E232BE" w:rsidRDefault="00E232BE"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E232BE">
              <w:rPr>
                <w:rFonts w:ascii="Times New Roman" w:hAnsi="Times New Roman" w:cs="Times New Roman"/>
                <w:color w:val="000000" w:themeColor="text1"/>
                <w:szCs w:val="24"/>
              </w:rPr>
              <w:t>Increased and more predictable footfall</w:t>
            </w:r>
          </w:p>
        </w:tc>
      </w:tr>
      <w:tr w:rsidR="000E7926" w:rsidRPr="000E7926" w14:paraId="53CD33A7" w14:textId="77777777" w:rsidTr="00A40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5A0A3979" w14:textId="77777777" w:rsidR="00E232BE" w:rsidRPr="00E232BE" w:rsidRDefault="00E232BE" w:rsidP="000E7926">
            <w:pPr>
              <w:spacing w:after="160" w:line="360" w:lineRule="auto"/>
              <w:rPr>
                <w:rFonts w:ascii="Times New Roman" w:hAnsi="Times New Roman" w:cs="Times New Roman"/>
                <w:b w:val="0"/>
                <w:bCs w:val="0"/>
                <w:color w:val="000000" w:themeColor="text1"/>
                <w:szCs w:val="24"/>
              </w:rPr>
            </w:pPr>
            <w:r w:rsidRPr="00E232BE">
              <w:rPr>
                <w:rFonts w:ascii="Times New Roman" w:hAnsi="Times New Roman" w:cs="Times New Roman"/>
                <w:b w:val="0"/>
                <w:bCs w:val="0"/>
                <w:color w:val="000000" w:themeColor="text1"/>
                <w:szCs w:val="24"/>
              </w:rPr>
              <w:t>Environmental Groups</w:t>
            </w:r>
          </w:p>
        </w:tc>
        <w:tc>
          <w:tcPr>
            <w:tcW w:w="6753" w:type="dxa"/>
            <w:hideMark/>
          </w:tcPr>
          <w:p w14:paraId="554BB0DF" w14:textId="77777777" w:rsidR="00E232BE" w:rsidRPr="00E232BE" w:rsidRDefault="00E232BE"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232BE">
              <w:rPr>
                <w:rFonts w:ascii="Times New Roman" w:hAnsi="Times New Roman" w:cs="Times New Roman"/>
                <w:color w:val="000000" w:themeColor="text1"/>
                <w:szCs w:val="24"/>
              </w:rPr>
              <w:t>Habitat restoration opportunities</w:t>
            </w:r>
          </w:p>
        </w:tc>
      </w:tr>
      <w:tr w:rsidR="000E7926" w:rsidRPr="000E7926" w14:paraId="5D62909D" w14:textId="77777777" w:rsidTr="00A40D0C">
        <w:tc>
          <w:tcPr>
            <w:cnfStyle w:val="001000000000" w:firstRow="0" w:lastRow="0" w:firstColumn="1" w:lastColumn="0" w:oddVBand="0" w:evenVBand="0" w:oddHBand="0" w:evenHBand="0" w:firstRowFirstColumn="0" w:firstRowLastColumn="0" w:lastRowFirstColumn="0" w:lastRowLastColumn="0"/>
            <w:tcW w:w="2263" w:type="dxa"/>
            <w:hideMark/>
          </w:tcPr>
          <w:p w14:paraId="024362F1" w14:textId="77777777" w:rsidR="00E232BE" w:rsidRPr="00E232BE" w:rsidRDefault="00E232BE" w:rsidP="000E7926">
            <w:pPr>
              <w:spacing w:after="160" w:line="360" w:lineRule="auto"/>
              <w:rPr>
                <w:rFonts w:ascii="Times New Roman" w:hAnsi="Times New Roman" w:cs="Times New Roman"/>
                <w:b w:val="0"/>
                <w:bCs w:val="0"/>
                <w:color w:val="000000" w:themeColor="text1"/>
                <w:szCs w:val="24"/>
              </w:rPr>
            </w:pPr>
            <w:r w:rsidRPr="00E232BE">
              <w:rPr>
                <w:rFonts w:ascii="Times New Roman" w:hAnsi="Times New Roman" w:cs="Times New Roman"/>
                <w:b w:val="0"/>
                <w:bCs w:val="0"/>
                <w:color w:val="000000" w:themeColor="text1"/>
                <w:szCs w:val="24"/>
              </w:rPr>
              <w:t>Local Councils (RBKC &amp; Westminster)</w:t>
            </w:r>
          </w:p>
        </w:tc>
        <w:tc>
          <w:tcPr>
            <w:tcW w:w="6753" w:type="dxa"/>
            <w:hideMark/>
          </w:tcPr>
          <w:p w14:paraId="6E375FC9" w14:textId="77777777" w:rsidR="00E232BE" w:rsidRPr="00E232BE" w:rsidRDefault="00E232BE"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E232BE">
              <w:rPr>
                <w:rFonts w:ascii="Times New Roman" w:hAnsi="Times New Roman" w:cs="Times New Roman"/>
                <w:color w:val="000000" w:themeColor="text1"/>
                <w:szCs w:val="24"/>
              </w:rPr>
              <w:t>Progress on sustainability and health policies</w:t>
            </w:r>
          </w:p>
        </w:tc>
      </w:tr>
      <w:tr w:rsidR="000E7926" w:rsidRPr="000E7926" w14:paraId="3E7BB563" w14:textId="77777777" w:rsidTr="00A40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2952CBDA" w14:textId="77777777" w:rsidR="00E232BE" w:rsidRPr="00E232BE" w:rsidRDefault="00E232BE" w:rsidP="000E7926">
            <w:pPr>
              <w:spacing w:after="160" w:line="360" w:lineRule="auto"/>
              <w:rPr>
                <w:rFonts w:ascii="Times New Roman" w:hAnsi="Times New Roman" w:cs="Times New Roman"/>
                <w:b w:val="0"/>
                <w:bCs w:val="0"/>
                <w:color w:val="000000" w:themeColor="text1"/>
                <w:szCs w:val="24"/>
              </w:rPr>
            </w:pPr>
            <w:r w:rsidRPr="00E232BE">
              <w:rPr>
                <w:rFonts w:ascii="Times New Roman" w:hAnsi="Times New Roman" w:cs="Times New Roman"/>
                <w:b w:val="0"/>
                <w:bCs w:val="0"/>
                <w:color w:val="000000" w:themeColor="text1"/>
                <w:szCs w:val="24"/>
              </w:rPr>
              <w:t>Serpentine Galleries</w:t>
            </w:r>
          </w:p>
        </w:tc>
        <w:tc>
          <w:tcPr>
            <w:tcW w:w="6753" w:type="dxa"/>
            <w:hideMark/>
          </w:tcPr>
          <w:p w14:paraId="6863247D" w14:textId="77777777" w:rsidR="00E232BE" w:rsidRPr="00E232BE" w:rsidRDefault="00E232BE"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232BE">
              <w:rPr>
                <w:rFonts w:ascii="Times New Roman" w:hAnsi="Times New Roman" w:cs="Times New Roman"/>
                <w:color w:val="000000" w:themeColor="text1"/>
                <w:szCs w:val="24"/>
              </w:rPr>
              <w:t>Stronger visitor access and cultural engagement</w:t>
            </w:r>
          </w:p>
        </w:tc>
      </w:tr>
    </w:tbl>
    <w:p w14:paraId="505F0D38" w14:textId="77777777" w:rsidR="00E232BE" w:rsidRPr="000E7926" w:rsidRDefault="00E232BE" w:rsidP="000E7926">
      <w:pPr>
        <w:rPr>
          <w:rFonts w:ascii="Times New Roman" w:hAnsi="Times New Roman" w:cs="Times New Roman"/>
          <w:color w:val="000000" w:themeColor="text1"/>
          <w:szCs w:val="24"/>
        </w:rPr>
      </w:pPr>
    </w:p>
    <w:p w14:paraId="2AEA78F9" w14:textId="243640C2" w:rsidR="00E232BE" w:rsidRPr="00E232BE" w:rsidRDefault="00E232BE" w:rsidP="000E7926">
      <w:pPr>
        <w:rPr>
          <w:rFonts w:ascii="Times New Roman" w:hAnsi="Times New Roman" w:cs="Times New Roman"/>
          <w:color w:val="000000" w:themeColor="text1"/>
          <w:szCs w:val="24"/>
        </w:rPr>
      </w:pPr>
      <w:r w:rsidRPr="00E232BE">
        <w:rPr>
          <w:rFonts w:ascii="Times New Roman" w:hAnsi="Times New Roman" w:cs="Times New Roman"/>
          <w:color w:val="000000" w:themeColor="text1"/>
          <w:szCs w:val="24"/>
        </w:rPr>
        <w:t>The renewal project therefore delivers interconnected social, ecological and economic benefits, reinforcing Kensington Gardens as a sustainable urban asset.</w:t>
      </w:r>
    </w:p>
    <w:p w14:paraId="62337B7B" w14:textId="3C597E8B" w:rsidR="00E232BE" w:rsidRPr="000E7926" w:rsidRDefault="006130C5" w:rsidP="000E7926">
      <w:pPr>
        <w:pStyle w:val="Heading1"/>
        <w:rPr>
          <w:rFonts w:ascii="Times New Roman" w:hAnsi="Times New Roman" w:cs="Times New Roman"/>
          <w:color w:val="000000" w:themeColor="text1"/>
          <w:sz w:val="24"/>
          <w:szCs w:val="24"/>
          <w:u w:val="none"/>
        </w:rPr>
      </w:pPr>
      <w:bookmarkStart w:id="4" w:name="_Toc214467669"/>
      <w:r w:rsidRPr="000E7926">
        <w:rPr>
          <w:rFonts w:ascii="Times New Roman" w:hAnsi="Times New Roman" w:cs="Times New Roman"/>
          <w:color w:val="000000" w:themeColor="text1"/>
          <w:sz w:val="24"/>
          <w:szCs w:val="24"/>
        </w:rPr>
        <w:lastRenderedPageBreak/>
        <w:t>Element 2 – Application and Stakeholder Engagement Strategies</w:t>
      </w:r>
      <w:bookmarkEnd w:id="4"/>
    </w:p>
    <w:p w14:paraId="5D9C6785" w14:textId="7577F565" w:rsidR="00921DC6" w:rsidRPr="000E7926" w:rsidRDefault="006130C5" w:rsidP="000E7926">
      <w:pPr>
        <w:pStyle w:val="Heading1"/>
        <w:rPr>
          <w:rFonts w:ascii="Times New Roman" w:hAnsi="Times New Roman" w:cs="Times New Roman"/>
          <w:color w:val="000000" w:themeColor="text1"/>
          <w:sz w:val="24"/>
          <w:szCs w:val="24"/>
          <w:u w:val="none"/>
        </w:rPr>
      </w:pPr>
      <w:bookmarkStart w:id="5" w:name="_Toc214467670"/>
      <w:r w:rsidRPr="000E7926">
        <w:rPr>
          <w:rFonts w:ascii="Times New Roman" w:hAnsi="Times New Roman" w:cs="Times New Roman"/>
          <w:color w:val="000000" w:themeColor="text1"/>
          <w:sz w:val="24"/>
          <w:szCs w:val="24"/>
          <w:u w:val="none"/>
        </w:rPr>
        <w:t>2.1 Power–Influence–Interest Table</w:t>
      </w:r>
      <w:bookmarkEnd w:id="5"/>
    </w:p>
    <w:p w14:paraId="66B4EEDD" w14:textId="1DAA7594" w:rsidR="00C37A1C" w:rsidRPr="000E7926" w:rsidRDefault="00C37A1C"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The Kensington Gardens Community Renewal Project's main stakeholders are decision-makers. These people possess budgetary, planning and operational management authority, not emotional ties to the site. The charity manages the central London parks by statute and thus operates day-to-day, contracts for work and develops, and implements key planned documents like the Sustainability Strategy 2015-2025 (</w:t>
      </w:r>
      <w:r w:rsidR="004D18F2" w:rsidRPr="000E7926">
        <w:rPr>
          <w:rFonts w:ascii="Times New Roman" w:hAnsi="Times New Roman" w:cs="Times New Roman"/>
          <w:color w:val="000000" w:themeColor="text1"/>
          <w:szCs w:val="24"/>
        </w:rPr>
        <w:t>Firth, 2024</w:t>
      </w:r>
      <w:r w:rsidRPr="000E7926">
        <w:rPr>
          <w:rFonts w:ascii="Times New Roman" w:hAnsi="Times New Roman" w:cs="Times New Roman"/>
          <w:color w:val="000000" w:themeColor="text1"/>
          <w:szCs w:val="24"/>
        </w:rPr>
        <w:t>)</w:t>
      </w:r>
    </w:p>
    <w:p w14:paraId="59F9F856" w14:textId="683A6C0C" w:rsidR="004C0482" w:rsidRPr="000E7926" w:rsidRDefault="00C37A1C"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Local authorities like RBKC and Westminster City Council control planning at the border, in addition to licensing the venues in the area and putting conditions on an event that overflow into the local streets (Royal Borough of Kensington and Chelsea, 2016). The Mayor of London also expects nature to recover within London's built environment and green space to connect through the London Plan and the Local Nature Recovery Strategy (London's Royal Parks, n.d.)</w:t>
      </w:r>
    </w:p>
    <w:tbl>
      <w:tblPr>
        <w:tblStyle w:val="PlainTable1"/>
        <w:tblW w:w="0" w:type="auto"/>
        <w:tblLook w:val="04A0" w:firstRow="1" w:lastRow="0" w:firstColumn="1" w:lastColumn="0" w:noHBand="0" w:noVBand="1"/>
      </w:tblPr>
      <w:tblGrid>
        <w:gridCol w:w="1980"/>
        <w:gridCol w:w="1296"/>
        <w:gridCol w:w="1263"/>
        <w:gridCol w:w="1164"/>
        <w:gridCol w:w="3313"/>
      </w:tblGrid>
      <w:tr w:rsidR="000E7926" w:rsidRPr="000E7926" w14:paraId="406FE786" w14:textId="77777777" w:rsidTr="00A40D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0600FF90" w14:textId="77777777" w:rsidR="00763EB9" w:rsidRPr="00763EB9" w:rsidRDefault="00763EB9" w:rsidP="000E7926">
            <w:pPr>
              <w:spacing w:line="360" w:lineRule="auto"/>
              <w:jc w:val="center"/>
              <w:rPr>
                <w:rFonts w:ascii="Times New Roman" w:eastAsia="Times New Roman" w:hAnsi="Times New Roman" w:cs="Times New Roman"/>
                <w:color w:val="000000" w:themeColor="text1"/>
                <w:szCs w:val="24"/>
                <w:u w:val="single"/>
                <w:lang w:eastAsia="en-GB"/>
              </w:rPr>
            </w:pPr>
            <w:r w:rsidRPr="00763EB9">
              <w:rPr>
                <w:rFonts w:ascii="Times New Roman" w:eastAsia="Times New Roman" w:hAnsi="Times New Roman" w:cs="Times New Roman"/>
                <w:color w:val="000000" w:themeColor="text1"/>
                <w:szCs w:val="24"/>
                <w:u w:val="single"/>
                <w:lang w:eastAsia="en-GB"/>
              </w:rPr>
              <w:t>Stakeholder Group</w:t>
            </w:r>
          </w:p>
        </w:tc>
        <w:tc>
          <w:tcPr>
            <w:tcW w:w="1296" w:type="dxa"/>
            <w:hideMark/>
          </w:tcPr>
          <w:p w14:paraId="6F58FBDF" w14:textId="77777777" w:rsidR="00763EB9" w:rsidRPr="00763EB9" w:rsidRDefault="00763EB9" w:rsidP="000E792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u w:val="single"/>
                <w:lang w:eastAsia="en-GB"/>
              </w:rPr>
            </w:pPr>
            <w:r w:rsidRPr="00763EB9">
              <w:rPr>
                <w:rFonts w:ascii="Times New Roman" w:eastAsia="Times New Roman" w:hAnsi="Times New Roman" w:cs="Times New Roman"/>
                <w:color w:val="000000" w:themeColor="text1"/>
                <w:szCs w:val="24"/>
                <w:u w:val="single"/>
                <w:lang w:eastAsia="en-GB"/>
              </w:rPr>
              <w:t>Power (H/M/L)</w:t>
            </w:r>
          </w:p>
        </w:tc>
        <w:tc>
          <w:tcPr>
            <w:tcW w:w="0" w:type="auto"/>
            <w:hideMark/>
          </w:tcPr>
          <w:p w14:paraId="43C37B92" w14:textId="77777777" w:rsidR="00763EB9" w:rsidRPr="00763EB9" w:rsidRDefault="00763EB9" w:rsidP="000E792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u w:val="single"/>
                <w:lang w:eastAsia="en-GB"/>
              </w:rPr>
            </w:pPr>
            <w:r w:rsidRPr="00763EB9">
              <w:rPr>
                <w:rFonts w:ascii="Times New Roman" w:eastAsia="Times New Roman" w:hAnsi="Times New Roman" w:cs="Times New Roman"/>
                <w:color w:val="000000" w:themeColor="text1"/>
                <w:szCs w:val="24"/>
                <w:u w:val="single"/>
                <w:lang w:eastAsia="en-GB"/>
              </w:rPr>
              <w:t>Influence (H/M/L)</w:t>
            </w:r>
          </w:p>
        </w:tc>
        <w:tc>
          <w:tcPr>
            <w:tcW w:w="0" w:type="auto"/>
            <w:hideMark/>
          </w:tcPr>
          <w:p w14:paraId="3D6856B2" w14:textId="77777777" w:rsidR="00763EB9" w:rsidRPr="00763EB9" w:rsidRDefault="00763EB9" w:rsidP="000E792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u w:val="single"/>
                <w:lang w:eastAsia="en-GB"/>
              </w:rPr>
            </w:pPr>
            <w:r w:rsidRPr="00763EB9">
              <w:rPr>
                <w:rFonts w:ascii="Times New Roman" w:eastAsia="Times New Roman" w:hAnsi="Times New Roman" w:cs="Times New Roman"/>
                <w:color w:val="000000" w:themeColor="text1"/>
                <w:szCs w:val="24"/>
                <w:u w:val="single"/>
                <w:lang w:eastAsia="en-GB"/>
              </w:rPr>
              <w:t>Interest (H/M/L)</w:t>
            </w:r>
          </w:p>
        </w:tc>
        <w:tc>
          <w:tcPr>
            <w:tcW w:w="0" w:type="auto"/>
            <w:hideMark/>
          </w:tcPr>
          <w:p w14:paraId="66D2CF84" w14:textId="7358B75E" w:rsidR="00763EB9" w:rsidRPr="00763EB9" w:rsidRDefault="00763EB9" w:rsidP="000E792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u w:val="single"/>
                <w:lang w:eastAsia="en-GB"/>
              </w:rPr>
            </w:pPr>
            <w:r w:rsidRPr="00763EB9">
              <w:rPr>
                <w:rFonts w:ascii="Times New Roman" w:eastAsia="Times New Roman" w:hAnsi="Times New Roman" w:cs="Times New Roman"/>
                <w:color w:val="000000" w:themeColor="text1"/>
                <w:szCs w:val="24"/>
                <w:u w:val="single"/>
                <w:lang w:eastAsia="en-GB"/>
              </w:rPr>
              <w:t xml:space="preserve">Explanation </w:t>
            </w:r>
          </w:p>
        </w:tc>
      </w:tr>
      <w:tr w:rsidR="000E7926" w:rsidRPr="000E7926" w14:paraId="575E66AF" w14:textId="77777777" w:rsidTr="00A40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2011E117" w14:textId="77777777" w:rsidR="00763EB9" w:rsidRPr="00763EB9" w:rsidRDefault="00763EB9" w:rsidP="000E7926">
            <w:pPr>
              <w:spacing w:line="360" w:lineRule="auto"/>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Royal Parks (charity)</w:t>
            </w:r>
          </w:p>
        </w:tc>
        <w:tc>
          <w:tcPr>
            <w:tcW w:w="1296" w:type="dxa"/>
            <w:hideMark/>
          </w:tcPr>
          <w:p w14:paraId="68F4E7ED"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High</w:t>
            </w:r>
          </w:p>
        </w:tc>
        <w:tc>
          <w:tcPr>
            <w:tcW w:w="0" w:type="auto"/>
            <w:hideMark/>
          </w:tcPr>
          <w:p w14:paraId="16724E42"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High</w:t>
            </w:r>
          </w:p>
        </w:tc>
        <w:tc>
          <w:tcPr>
            <w:tcW w:w="0" w:type="auto"/>
            <w:hideMark/>
          </w:tcPr>
          <w:p w14:paraId="3A3107AE"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High</w:t>
            </w:r>
          </w:p>
        </w:tc>
        <w:tc>
          <w:tcPr>
            <w:tcW w:w="0" w:type="auto"/>
            <w:hideMark/>
          </w:tcPr>
          <w:p w14:paraId="06005F8D" w14:textId="034F761A"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Controls management plans, access rules, p</w:t>
            </w:r>
            <w:r w:rsidR="00320CA1">
              <w:rPr>
                <w:rFonts w:ascii="Times New Roman" w:eastAsia="Times New Roman" w:hAnsi="Times New Roman" w:cs="Times New Roman"/>
                <w:color w:val="000000" w:themeColor="text1"/>
                <w:szCs w:val="24"/>
                <w:lang w:eastAsia="en-GB"/>
              </w:rPr>
              <w:t xml:space="preserve"> </w:t>
            </w:r>
            <w:proofErr w:type="spellStart"/>
            <w:r w:rsidR="00320CA1">
              <w:rPr>
                <w:rFonts w:ascii="Times New Roman" w:eastAsia="Times New Roman" w:hAnsi="Times New Roman" w:cs="Times New Roman"/>
                <w:color w:val="000000" w:themeColor="text1"/>
                <w:szCs w:val="24"/>
                <w:lang w:eastAsia="en-GB"/>
              </w:rPr>
              <w:t>mn</w:t>
            </w:r>
            <w:proofErr w:type="spellEnd"/>
            <w:r w:rsidR="00320CA1">
              <w:rPr>
                <w:rFonts w:ascii="Times New Roman" w:eastAsia="Times New Roman" w:hAnsi="Times New Roman" w:cs="Times New Roman"/>
                <w:color w:val="000000" w:themeColor="text1"/>
                <w:szCs w:val="24"/>
                <w:lang w:eastAsia="en-GB"/>
              </w:rPr>
              <w:t xml:space="preserve">   </w:t>
            </w:r>
            <w:proofErr w:type="spellStart"/>
            <w:r w:rsidRPr="00763EB9">
              <w:rPr>
                <w:rFonts w:ascii="Times New Roman" w:eastAsia="Times New Roman" w:hAnsi="Times New Roman" w:cs="Times New Roman"/>
                <w:color w:val="000000" w:themeColor="text1"/>
                <w:szCs w:val="24"/>
                <w:lang w:eastAsia="en-GB"/>
              </w:rPr>
              <w:t>rocurement</w:t>
            </w:r>
            <w:proofErr w:type="spellEnd"/>
            <w:r w:rsidRPr="00763EB9">
              <w:rPr>
                <w:rFonts w:ascii="Times New Roman" w:eastAsia="Times New Roman" w:hAnsi="Times New Roman" w:cs="Times New Roman"/>
                <w:color w:val="000000" w:themeColor="text1"/>
                <w:szCs w:val="24"/>
                <w:lang w:eastAsia="en-GB"/>
              </w:rPr>
              <w:t xml:space="preserve"> and implementation trials in the park</w:t>
            </w:r>
            <w:r w:rsidR="00C62924" w:rsidRPr="000E7926">
              <w:rPr>
                <w:rFonts w:ascii="Times New Roman" w:eastAsia="Times New Roman" w:hAnsi="Times New Roman" w:cs="Times New Roman"/>
                <w:color w:val="000000" w:themeColor="text1"/>
                <w:szCs w:val="24"/>
                <w:lang w:eastAsia="en-GB"/>
              </w:rPr>
              <w:t xml:space="preserve"> (Royal Parks, 2015) </w:t>
            </w:r>
          </w:p>
        </w:tc>
      </w:tr>
      <w:tr w:rsidR="000E7926" w:rsidRPr="000E7926" w14:paraId="3783077D" w14:textId="77777777" w:rsidTr="00A40D0C">
        <w:tc>
          <w:tcPr>
            <w:cnfStyle w:val="001000000000" w:firstRow="0" w:lastRow="0" w:firstColumn="1" w:lastColumn="0" w:oddVBand="0" w:evenVBand="0" w:oddHBand="0" w:evenHBand="0" w:firstRowFirstColumn="0" w:firstRowLastColumn="0" w:lastRowFirstColumn="0" w:lastRowLastColumn="0"/>
            <w:tcW w:w="1980" w:type="dxa"/>
            <w:hideMark/>
          </w:tcPr>
          <w:p w14:paraId="5B9625D5" w14:textId="77777777" w:rsidR="00763EB9" w:rsidRPr="00763EB9" w:rsidRDefault="00763EB9" w:rsidP="000E7926">
            <w:pPr>
              <w:spacing w:line="360" w:lineRule="auto"/>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RBKC &amp; Westminster Councils</w:t>
            </w:r>
          </w:p>
        </w:tc>
        <w:tc>
          <w:tcPr>
            <w:tcW w:w="1296" w:type="dxa"/>
            <w:hideMark/>
          </w:tcPr>
          <w:p w14:paraId="2A36498D" w14:textId="77777777"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High</w:t>
            </w:r>
          </w:p>
        </w:tc>
        <w:tc>
          <w:tcPr>
            <w:tcW w:w="0" w:type="auto"/>
            <w:hideMark/>
          </w:tcPr>
          <w:p w14:paraId="7FB072A5" w14:textId="77777777"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High</w:t>
            </w:r>
          </w:p>
        </w:tc>
        <w:tc>
          <w:tcPr>
            <w:tcW w:w="0" w:type="auto"/>
            <w:hideMark/>
          </w:tcPr>
          <w:p w14:paraId="2F2B2EA3" w14:textId="77777777"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Medium</w:t>
            </w:r>
          </w:p>
        </w:tc>
        <w:tc>
          <w:tcPr>
            <w:tcW w:w="0" w:type="auto"/>
            <w:hideMark/>
          </w:tcPr>
          <w:p w14:paraId="26A8DF16" w14:textId="5ACCB877"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Can adjust planning, street design and enforcement around the gates, affecting how visitors arrive and queue</w:t>
            </w:r>
            <w:r w:rsidR="00C62924" w:rsidRPr="000E7926">
              <w:rPr>
                <w:rFonts w:ascii="Times New Roman" w:eastAsia="Times New Roman" w:hAnsi="Times New Roman" w:cs="Times New Roman"/>
                <w:color w:val="000000" w:themeColor="text1"/>
                <w:szCs w:val="24"/>
                <w:lang w:eastAsia="en-GB"/>
              </w:rPr>
              <w:t xml:space="preserve"> (RBKC, 2016)</w:t>
            </w:r>
          </w:p>
        </w:tc>
      </w:tr>
      <w:tr w:rsidR="000E7926" w:rsidRPr="000E7926" w14:paraId="28661051" w14:textId="77777777" w:rsidTr="00A40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38C31E9A" w14:textId="77777777" w:rsidR="00763EB9" w:rsidRPr="00763EB9" w:rsidRDefault="00763EB9" w:rsidP="000E7926">
            <w:pPr>
              <w:spacing w:line="360" w:lineRule="auto"/>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Greater London Authority / Mayor</w:t>
            </w:r>
          </w:p>
        </w:tc>
        <w:tc>
          <w:tcPr>
            <w:tcW w:w="1296" w:type="dxa"/>
            <w:hideMark/>
          </w:tcPr>
          <w:p w14:paraId="3079CBC5"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Medium</w:t>
            </w:r>
          </w:p>
        </w:tc>
        <w:tc>
          <w:tcPr>
            <w:tcW w:w="0" w:type="auto"/>
            <w:hideMark/>
          </w:tcPr>
          <w:p w14:paraId="4B8B0587"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High</w:t>
            </w:r>
          </w:p>
        </w:tc>
        <w:tc>
          <w:tcPr>
            <w:tcW w:w="0" w:type="auto"/>
            <w:hideMark/>
          </w:tcPr>
          <w:p w14:paraId="2F5FF864"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Medium</w:t>
            </w:r>
          </w:p>
        </w:tc>
        <w:tc>
          <w:tcPr>
            <w:tcW w:w="0" w:type="auto"/>
            <w:hideMark/>
          </w:tcPr>
          <w:p w14:paraId="0FC8E0D5" w14:textId="6E208E66"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 xml:space="preserve">Sets London-wide frameworks on nature recovery, active travel and green infrastructure that constrain design options. </w:t>
            </w:r>
            <w:r w:rsidR="004D18F2" w:rsidRPr="000E7926">
              <w:rPr>
                <w:rFonts w:ascii="Times New Roman" w:eastAsia="Times New Roman" w:hAnsi="Times New Roman" w:cs="Times New Roman"/>
                <w:color w:val="000000" w:themeColor="text1"/>
                <w:szCs w:val="24"/>
                <w:lang w:eastAsia="en-GB"/>
              </w:rPr>
              <w:t xml:space="preserve">(Firth, 2024) </w:t>
            </w:r>
          </w:p>
        </w:tc>
      </w:tr>
      <w:tr w:rsidR="000E7926" w:rsidRPr="000E7926" w14:paraId="751D6019" w14:textId="77777777" w:rsidTr="00A40D0C">
        <w:tc>
          <w:tcPr>
            <w:cnfStyle w:val="001000000000" w:firstRow="0" w:lastRow="0" w:firstColumn="1" w:lastColumn="0" w:oddVBand="0" w:evenVBand="0" w:oddHBand="0" w:evenHBand="0" w:firstRowFirstColumn="0" w:firstRowLastColumn="0" w:lastRowFirstColumn="0" w:lastRowLastColumn="0"/>
            <w:tcW w:w="1980" w:type="dxa"/>
            <w:hideMark/>
          </w:tcPr>
          <w:p w14:paraId="6E8CAB18" w14:textId="77777777" w:rsidR="00763EB9" w:rsidRPr="00763EB9" w:rsidRDefault="00763EB9" w:rsidP="000E7926">
            <w:pPr>
              <w:spacing w:line="360" w:lineRule="auto"/>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 xml:space="preserve">Residents’ Associations (e.g. </w:t>
            </w:r>
            <w:r w:rsidRPr="00763EB9">
              <w:rPr>
                <w:rFonts w:ascii="Times New Roman" w:eastAsia="Times New Roman" w:hAnsi="Times New Roman" w:cs="Times New Roman"/>
                <w:color w:val="000000" w:themeColor="text1"/>
                <w:szCs w:val="24"/>
                <w:lang w:eastAsia="en-GB"/>
              </w:rPr>
              <w:lastRenderedPageBreak/>
              <w:t>street or estate groups)</w:t>
            </w:r>
          </w:p>
        </w:tc>
        <w:tc>
          <w:tcPr>
            <w:tcW w:w="1296" w:type="dxa"/>
            <w:hideMark/>
          </w:tcPr>
          <w:p w14:paraId="258CB659" w14:textId="77777777"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lastRenderedPageBreak/>
              <w:t>Low</w:t>
            </w:r>
          </w:p>
        </w:tc>
        <w:tc>
          <w:tcPr>
            <w:tcW w:w="0" w:type="auto"/>
            <w:hideMark/>
          </w:tcPr>
          <w:p w14:paraId="223C4D46" w14:textId="77777777"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Medium</w:t>
            </w:r>
          </w:p>
        </w:tc>
        <w:tc>
          <w:tcPr>
            <w:tcW w:w="0" w:type="auto"/>
            <w:hideMark/>
          </w:tcPr>
          <w:p w14:paraId="7E6D4134" w14:textId="77777777"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High</w:t>
            </w:r>
          </w:p>
        </w:tc>
        <w:tc>
          <w:tcPr>
            <w:tcW w:w="0" w:type="auto"/>
            <w:hideMark/>
          </w:tcPr>
          <w:p w14:paraId="406B72BC" w14:textId="471D705D"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Organised residents can mobilise media, petitions and councillors when they</w:t>
            </w:r>
            <w:r w:rsidR="006A110E">
              <w:rPr>
                <w:rFonts w:ascii="Times New Roman" w:eastAsia="Times New Roman" w:hAnsi="Times New Roman" w:cs="Times New Roman"/>
                <w:color w:val="000000" w:themeColor="text1"/>
                <w:szCs w:val="24"/>
                <w:lang w:eastAsia="en-GB"/>
              </w:rPr>
              <w:t xml:space="preserve">  </w:t>
            </w:r>
            <w:r w:rsidRPr="00763EB9">
              <w:rPr>
                <w:rFonts w:ascii="Times New Roman" w:eastAsia="Times New Roman" w:hAnsi="Times New Roman" w:cs="Times New Roman"/>
                <w:color w:val="000000" w:themeColor="text1"/>
                <w:szCs w:val="24"/>
                <w:lang w:eastAsia="en-GB"/>
              </w:rPr>
              <w:t xml:space="preserve"> feel </w:t>
            </w:r>
            <w:r w:rsidRPr="00763EB9">
              <w:rPr>
                <w:rFonts w:ascii="Times New Roman" w:eastAsia="Times New Roman" w:hAnsi="Times New Roman" w:cs="Times New Roman"/>
                <w:color w:val="000000" w:themeColor="text1"/>
                <w:szCs w:val="24"/>
                <w:lang w:eastAsia="en-GB"/>
              </w:rPr>
              <w:lastRenderedPageBreak/>
              <w:t xml:space="preserve">excluded from decision </w:t>
            </w:r>
            <w:proofErr w:type="gramStart"/>
            <w:r w:rsidRPr="00763EB9">
              <w:rPr>
                <w:rFonts w:ascii="Times New Roman" w:eastAsia="Times New Roman" w:hAnsi="Times New Roman" w:cs="Times New Roman"/>
                <w:color w:val="000000" w:themeColor="text1"/>
                <w:szCs w:val="24"/>
                <w:lang w:eastAsia="en-GB"/>
              </w:rPr>
              <w:t>changes.</w:t>
            </w:r>
            <w:r w:rsidR="008F3357" w:rsidRPr="000E7926">
              <w:rPr>
                <w:rFonts w:ascii="Times New Roman" w:eastAsia="Times New Roman" w:hAnsi="Times New Roman" w:cs="Times New Roman"/>
                <w:color w:val="000000" w:themeColor="text1"/>
                <w:szCs w:val="24"/>
                <w:lang w:eastAsia="en-GB"/>
              </w:rPr>
              <w:t>(</w:t>
            </w:r>
            <w:proofErr w:type="gramEnd"/>
            <w:r w:rsidR="008F3357" w:rsidRPr="000E7926">
              <w:rPr>
                <w:rFonts w:ascii="Times New Roman" w:eastAsia="Times New Roman" w:hAnsi="Times New Roman" w:cs="Times New Roman"/>
                <w:color w:val="000000" w:themeColor="text1"/>
                <w:szCs w:val="24"/>
                <w:lang w:eastAsia="en-GB"/>
              </w:rPr>
              <w:t xml:space="preserve">Miller et al., </w:t>
            </w:r>
            <w:proofErr w:type="spellStart"/>
            <w:r w:rsidR="008F3357" w:rsidRPr="000E7926">
              <w:rPr>
                <w:rFonts w:ascii="Times New Roman" w:eastAsia="Times New Roman" w:hAnsi="Times New Roman" w:cs="Times New Roman"/>
                <w:color w:val="000000" w:themeColor="text1"/>
                <w:szCs w:val="24"/>
                <w:lang w:eastAsia="en-GB"/>
              </w:rPr>
              <w:t>n.d</w:t>
            </w:r>
            <w:proofErr w:type="spellEnd"/>
            <w:r w:rsidR="008F3357" w:rsidRPr="000E7926">
              <w:rPr>
                <w:rFonts w:ascii="Times New Roman" w:eastAsia="Times New Roman" w:hAnsi="Times New Roman" w:cs="Times New Roman"/>
                <w:color w:val="000000" w:themeColor="text1"/>
                <w:szCs w:val="24"/>
                <w:lang w:eastAsia="en-GB"/>
              </w:rPr>
              <w:t xml:space="preserve">) </w:t>
            </w:r>
          </w:p>
        </w:tc>
      </w:tr>
      <w:tr w:rsidR="000E7926" w:rsidRPr="000E7926" w14:paraId="0816C70C" w14:textId="77777777" w:rsidTr="00A40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02FC9C11" w14:textId="77777777" w:rsidR="00763EB9" w:rsidRPr="00763EB9" w:rsidRDefault="00763EB9" w:rsidP="000E7926">
            <w:pPr>
              <w:spacing w:line="360" w:lineRule="auto"/>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lastRenderedPageBreak/>
              <w:t>Local Business Networks (hotels, cafés, attractions)</w:t>
            </w:r>
          </w:p>
        </w:tc>
        <w:tc>
          <w:tcPr>
            <w:tcW w:w="1296" w:type="dxa"/>
            <w:hideMark/>
          </w:tcPr>
          <w:p w14:paraId="2FFBEAC1"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Medium</w:t>
            </w:r>
          </w:p>
        </w:tc>
        <w:tc>
          <w:tcPr>
            <w:tcW w:w="0" w:type="auto"/>
            <w:hideMark/>
          </w:tcPr>
          <w:p w14:paraId="6E69B8E4"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Medium</w:t>
            </w:r>
          </w:p>
        </w:tc>
        <w:tc>
          <w:tcPr>
            <w:tcW w:w="0" w:type="auto"/>
            <w:hideMark/>
          </w:tcPr>
          <w:p w14:paraId="68E6FE4F"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Medium</w:t>
            </w:r>
          </w:p>
        </w:tc>
        <w:tc>
          <w:tcPr>
            <w:tcW w:w="0" w:type="auto"/>
            <w:hideMark/>
          </w:tcPr>
          <w:p w14:paraId="00B703BB" w14:textId="1B1E97E5"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 xml:space="preserve">Hospitality and retail groups can lobby over coach drop-off points, signage and event timing that affect </w:t>
            </w:r>
            <w:proofErr w:type="gramStart"/>
            <w:r w:rsidRPr="00763EB9">
              <w:rPr>
                <w:rFonts w:ascii="Times New Roman" w:eastAsia="Times New Roman" w:hAnsi="Times New Roman" w:cs="Times New Roman"/>
                <w:color w:val="000000" w:themeColor="text1"/>
                <w:szCs w:val="24"/>
                <w:lang w:eastAsia="en-GB"/>
              </w:rPr>
              <w:t>trade.</w:t>
            </w:r>
            <w:r w:rsidR="002C643D" w:rsidRPr="000E7926">
              <w:rPr>
                <w:rFonts w:ascii="Times New Roman" w:eastAsia="Times New Roman" w:hAnsi="Times New Roman" w:cs="Times New Roman"/>
                <w:color w:val="000000" w:themeColor="text1"/>
                <w:szCs w:val="24"/>
                <w:lang w:eastAsia="en-GB"/>
              </w:rPr>
              <w:t>(</w:t>
            </w:r>
            <w:proofErr w:type="spellStart"/>
            <w:proofErr w:type="gramEnd"/>
            <w:r w:rsidR="002C643D" w:rsidRPr="000E7926">
              <w:rPr>
                <w:rFonts w:ascii="Times New Roman" w:eastAsia="Times New Roman" w:hAnsi="Times New Roman" w:cs="Times New Roman"/>
                <w:color w:val="000000" w:themeColor="text1"/>
                <w:szCs w:val="24"/>
                <w:lang w:eastAsia="en-GB"/>
              </w:rPr>
              <w:t>Guenat</w:t>
            </w:r>
            <w:proofErr w:type="spellEnd"/>
            <w:r w:rsidR="002C643D" w:rsidRPr="000E7926">
              <w:rPr>
                <w:rFonts w:ascii="Times New Roman" w:eastAsia="Times New Roman" w:hAnsi="Times New Roman" w:cs="Times New Roman"/>
                <w:color w:val="000000" w:themeColor="text1"/>
                <w:szCs w:val="24"/>
                <w:lang w:eastAsia="en-GB"/>
              </w:rPr>
              <w:t xml:space="preserve"> et.al, 2019)</w:t>
            </w:r>
          </w:p>
        </w:tc>
      </w:tr>
      <w:tr w:rsidR="000E7926" w:rsidRPr="000E7926" w14:paraId="13E52A70" w14:textId="77777777" w:rsidTr="00A40D0C">
        <w:tc>
          <w:tcPr>
            <w:cnfStyle w:val="001000000000" w:firstRow="0" w:lastRow="0" w:firstColumn="1" w:lastColumn="0" w:oddVBand="0" w:evenVBand="0" w:oddHBand="0" w:evenHBand="0" w:firstRowFirstColumn="0" w:firstRowLastColumn="0" w:lastRowFirstColumn="0" w:lastRowLastColumn="0"/>
            <w:tcW w:w="1980" w:type="dxa"/>
            <w:hideMark/>
          </w:tcPr>
          <w:p w14:paraId="6CDECDFB" w14:textId="77777777" w:rsidR="00763EB9" w:rsidRPr="00763EB9" w:rsidRDefault="00763EB9" w:rsidP="000E7926">
            <w:pPr>
              <w:spacing w:line="360" w:lineRule="auto"/>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Park Volunteers &amp; Friends-type groups</w:t>
            </w:r>
          </w:p>
        </w:tc>
        <w:tc>
          <w:tcPr>
            <w:tcW w:w="1296" w:type="dxa"/>
            <w:hideMark/>
          </w:tcPr>
          <w:p w14:paraId="3A910B7C" w14:textId="77777777"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Low</w:t>
            </w:r>
          </w:p>
        </w:tc>
        <w:tc>
          <w:tcPr>
            <w:tcW w:w="0" w:type="auto"/>
            <w:hideMark/>
          </w:tcPr>
          <w:p w14:paraId="6972687D" w14:textId="77777777"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Medium</w:t>
            </w:r>
          </w:p>
        </w:tc>
        <w:tc>
          <w:tcPr>
            <w:tcW w:w="0" w:type="auto"/>
            <w:hideMark/>
          </w:tcPr>
          <w:p w14:paraId="651F7872" w14:textId="77777777"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High</w:t>
            </w:r>
          </w:p>
        </w:tc>
        <w:tc>
          <w:tcPr>
            <w:tcW w:w="0" w:type="auto"/>
            <w:hideMark/>
          </w:tcPr>
          <w:p w14:paraId="035CA2FB" w14:textId="5D267906"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 xml:space="preserve">Volunteers contribute unpaid labour for gardening, events and monitoring; withdrawal of this effort creates visible gaps in </w:t>
            </w:r>
            <w:proofErr w:type="gramStart"/>
            <w:r w:rsidRPr="00763EB9">
              <w:rPr>
                <w:rFonts w:ascii="Times New Roman" w:eastAsia="Times New Roman" w:hAnsi="Times New Roman" w:cs="Times New Roman"/>
                <w:color w:val="000000" w:themeColor="text1"/>
                <w:szCs w:val="24"/>
                <w:lang w:eastAsia="en-GB"/>
              </w:rPr>
              <w:t>maintenance</w:t>
            </w:r>
            <w:r w:rsidR="008F3357" w:rsidRPr="000E7926">
              <w:rPr>
                <w:rFonts w:ascii="Times New Roman" w:eastAsia="Times New Roman" w:hAnsi="Times New Roman" w:cs="Times New Roman"/>
                <w:color w:val="000000" w:themeColor="text1"/>
                <w:szCs w:val="24"/>
                <w:lang w:eastAsia="en-GB"/>
              </w:rPr>
              <w:t>(</w:t>
            </w:r>
            <w:proofErr w:type="gramEnd"/>
            <w:r w:rsidR="008F3357" w:rsidRPr="000E7926">
              <w:rPr>
                <w:rFonts w:ascii="Times New Roman" w:eastAsia="Times New Roman" w:hAnsi="Times New Roman" w:cs="Times New Roman"/>
                <w:color w:val="000000" w:themeColor="text1"/>
                <w:szCs w:val="24"/>
                <w:lang w:eastAsia="en-GB"/>
              </w:rPr>
              <w:t xml:space="preserve">Miller et al., </w:t>
            </w:r>
            <w:proofErr w:type="spellStart"/>
            <w:r w:rsidR="008F3357" w:rsidRPr="000E7926">
              <w:rPr>
                <w:rFonts w:ascii="Times New Roman" w:eastAsia="Times New Roman" w:hAnsi="Times New Roman" w:cs="Times New Roman"/>
                <w:color w:val="000000" w:themeColor="text1"/>
                <w:szCs w:val="24"/>
                <w:lang w:eastAsia="en-GB"/>
              </w:rPr>
              <w:t>n.d</w:t>
            </w:r>
            <w:proofErr w:type="spellEnd"/>
            <w:r w:rsidR="008F3357" w:rsidRPr="000E7926">
              <w:rPr>
                <w:rFonts w:ascii="Times New Roman" w:eastAsia="Times New Roman" w:hAnsi="Times New Roman" w:cs="Times New Roman"/>
                <w:color w:val="000000" w:themeColor="text1"/>
                <w:szCs w:val="24"/>
                <w:lang w:eastAsia="en-GB"/>
              </w:rPr>
              <w:t>)</w:t>
            </w:r>
          </w:p>
        </w:tc>
      </w:tr>
      <w:tr w:rsidR="000E7926" w:rsidRPr="000E7926" w14:paraId="22B2AC2E" w14:textId="77777777" w:rsidTr="00A40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5999C774" w14:textId="77777777" w:rsidR="00763EB9" w:rsidRPr="00763EB9" w:rsidRDefault="00763EB9" w:rsidP="000E7926">
            <w:pPr>
              <w:spacing w:line="360" w:lineRule="auto"/>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Environmental &amp; Nature NGOs</w:t>
            </w:r>
          </w:p>
        </w:tc>
        <w:tc>
          <w:tcPr>
            <w:tcW w:w="1296" w:type="dxa"/>
            <w:hideMark/>
          </w:tcPr>
          <w:p w14:paraId="7B8592E4"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Low</w:t>
            </w:r>
          </w:p>
        </w:tc>
        <w:tc>
          <w:tcPr>
            <w:tcW w:w="0" w:type="auto"/>
            <w:hideMark/>
          </w:tcPr>
          <w:p w14:paraId="4E61284B"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Medium</w:t>
            </w:r>
          </w:p>
        </w:tc>
        <w:tc>
          <w:tcPr>
            <w:tcW w:w="0" w:type="auto"/>
            <w:hideMark/>
          </w:tcPr>
          <w:p w14:paraId="00539BA5"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High</w:t>
            </w:r>
          </w:p>
        </w:tc>
        <w:tc>
          <w:tcPr>
            <w:tcW w:w="0" w:type="auto"/>
            <w:hideMark/>
          </w:tcPr>
          <w:p w14:paraId="2286A69D" w14:textId="27FDCBCC"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 xml:space="preserve">May have technical expertise that shapes habitat design, even without formal decision power. </w:t>
            </w:r>
          </w:p>
        </w:tc>
      </w:tr>
      <w:tr w:rsidR="000E7926" w:rsidRPr="000E7926" w14:paraId="15862478" w14:textId="77777777" w:rsidTr="00A40D0C">
        <w:tc>
          <w:tcPr>
            <w:cnfStyle w:val="001000000000" w:firstRow="0" w:lastRow="0" w:firstColumn="1" w:lastColumn="0" w:oddVBand="0" w:evenVBand="0" w:oddHBand="0" w:evenHBand="0" w:firstRowFirstColumn="0" w:firstRowLastColumn="0" w:lastRowFirstColumn="0" w:lastRowLastColumn="0"/>
            <w:tcW w:w="1980" w:type="dxa"/>
            <w:hideMark/>
          </w:tcPr>
          <w:p w14:paraId="3B842C17" w14:textId="77777777" w:rsidR="00763EB9" w:rsidRPr="00763EB9" w:rsidRDefault="00763EB9" w:rsidP="000E7926">
            <w:pPr>
              <w:spacing w:line="360" w:lineRule="auto"/>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Transport Bodies (TfL, bus operators, cycle lobby groups)</w:t>
            </w:r>
          </w:p>
        </w:tc>
        <w:tc>
          <w:tcPr>
            <w:tcW w:w="1296" w:type="dxa"/>
            <w:hideMark/>
          </w:tcPr>
          <w:p w14:paraId="589C3DDA" w14:textId="77777777"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Medium</w:t>
            </w:r>
          </w:p>
        </w:tc>
        <w:tc>
          <w:tcPr>
            <w:tcW w:w="0" w:type="auto"/>
            <w:hideMark/>
          </w:tcPr>
          <w:p w14:paraId="7CFDC9AE" w14:textId="77777777"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Medium</w:t>
            </w:r>
          </w:p>
        </w:tc>
        <w:tc>
          <w:tcPr>
            <w:tcW w:w="0" w:type="auto"/>
            <w:hideMark/>
          </w:tcPr>
          <w:p w14:paraId="2F2F1139" w14:textId="77777777"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Medium</w:t>
            </w:r>
          </w:p>
        </w:tc>
        <w:tc>
          <w:tcPr>
            <w:tcW w:w="0" w:type="auto"/>
            <w:hideMark/>
          </w:tcPr>
          <w:p w14:paraId="3BB478AC" w14:textId="12004B2D" w:rsidR="00763EB9" w:rsidRPr="00763EB9" w:rsidRDefault="00763EB9" w:rsidP="000E792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 xml:space="preserve">Their input on bus stops, cycle routes and crossings affects how visitors move into and through the park. </w:t>
            </w:r>
            <w:r w:rsidR="003C70ED" w:rsidRPr="000E7926">
              <w:rPr>
                <w:rFonts w:ascii="Times New Roman" w:eastAsia="Times New Roman" w:hAnsi="Times New Roman" w:cs="Times New Roman"/>
                <w:color w:val="000000" w:themeColor="text1"/>
                <w:szCs w:val="24"/>
                <w:lang w:eastAsia="en-GB"/>
              </w:rPr>
              <w:t>(The Royal Parks, 2020)</w:t>
            </w:r>
          </w:p>
        </w:tc>
      </w:tr>
      <w:tr w:rsidR="000E7926" w:rsidRPr="000E7926" w14:paraId="52560F6B" w14:textId="77777777" w:rsidTr="00A40D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5631DC18" w14:textId="77777777" w:rsidR="00763EB9" w:rsidRPr="00763EB9" w:rsidRDefault="00763EB9" w:rsidP="000E7926">
            <w:pPr>
              <w:spacing w:line="360" w:lineRule="auto"/>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National Heritage / Statutory Consultees</w:t>
            </w:r>
          </w:p>
        </w:tc>
        <w:tc>
          <w:tcPr>
            <w:tcW w:w="1296" w:type="dxa"/>
            <w:hideMark/>
          </w:tcPr>
          <w:p w14:paraId="51D57004"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High</w:t>
            </w:r>
          </w:p>
        </w:tc>
        <w:tc>
          <w:tcPr>
            <w:tcW w:w="0" w:type="auto"/>
            <w:hideMark/>
          </w:tcPr>
          <w:p w14:paraId="0437277E"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Medium</w:t>
            </w:r>
          </w:p>
        </w:tc>
        <w:tc>
          <w:tcPr>
            <w:tcW w:w="0" w:type="auto"/>
            <w:hideMark/>
          </w:tcPr>
          <w:p w14:paraId="52F2BEAD" w14:textId="77777777"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Low</w:t>
            </w:r>
          </w:p>
        </w:tc>
        <w:tc>
          <w:tcPr>
            <w:tcW w:w="0" w:type="auto"/>
            <w:hideMark/>
          </w:tcPr>
          <w:p w14:paraId="4589CBA3" w14:textId="2E95232A" w:rsidR="00763EB9" w:rsidRPr="00763EB9" w:rsidRDefault="00763EB9" w:rsidP="000E792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Cs w:val="24"/>
                <w:lang w:eastAsia="en-GB"/>
              </w:rPr>
            </w:pPr>
            <w:r w:rsidRPr="00763EB9">
              <w:rPr>
                <w:rFonts w:ascii="Times New Roman" w:eastAsia="Times New Roman" w:hAnsi="Times New Roman" w:cs="Times New Roman"/>
                <w:color w:val="000000" w:themeColor="text1"/>
                <w:szCs w:val="24"/>
                <w:lang w:eastAsia="en-GB"/>
              </w:rPr>
              <w:t>They intervene when historic views, monuments or boundary changes are proposed, but are less involved in minor operational tweaks.</w:t>
            </w:r>
          </w:p>
        </w:tc>
      </w:tr>
    </w:tbl>
    <w:p w14:paraId="6AC4689C" w14:textId="77777777" w:rsidR="00FF2186" w:rsidRPr="000E7926" w:rsidRDefault="00FF2186" w:rsidP="000E7926">
      <w:pPr>
        <w:rPr>
          <w:rFonts w:ascii="Times New Roman" w:hAnsi="Times New Roman" w:cs="Times New Roman"/>
          <w:color w:val="000000" w:themeColor="text1"/>
          <w:szCs w:val="24"/>
        </w:rPr>
      </w:pPr>
    </w:p>
    <w:p w14:paraId="7C368001" w14:textId="51CFE17D" w:rsidR="004E1642" w:rsidRPr="000E7926" w:rsidRDefault="004E1642"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Power, influence and interest concern the legal, operational and dependent power of each stakeholder over Kensington Gardens. Royal Parks has a high level of power and influence as the statutory land manager for the park, which gives the agency authority to determine rules of access, procurement and major policy for Kensington Gardens. </w:t>
      </w:r>
    </w:p>
    <w:p w14:paraId="7F499A29" w14:textId="66F7C174" w:rsidR="00080FDE" w:rsidRPr="000E7926" w:rsidRDefault="00080FDE" w:rsidP="000E7926">
      <w:pPr>
        <w:pStyle w:val="Heading1"/>
        <w:rPr>
          <w:rFonts w:ascii="Times New Roman" w:hAnsi="Times New Roman" w:cs="Times New Roman"/>
          <w:color w:val="000000" w:themeColor="text1"/>
          <w:sz w:val="24"/>
          <w:szCs w:val="24"/>
          <w:u w:val="none"/>
        </w:rPr>
      </w:pPr>
      <w:bookmarkStart w:id="6" w:name="_Toc214467671"/>
      <w:r w:rsidRPr="000E7926">
        <w:rPr>
          <w:rFonts w:ascii="Times New Roman" w:hAnsi="Times New Roman" w:cs="Times New Roman"/>
          <w:color w:val="000000" w:themeColor="text1"/>
          <w:sz w:val="24"/>
          <w:szCs w:val="24"/>
          <w:u w:val="none"/>
        </w:rPr>
        <w:lastRenderedPageBreak/>
        <w:t>2.</w:t>
      </w:r>
      <w:proofErr w:type="gramStart"/>
      <w:r w:rsidRPr="000E7926">
        <w:rPr>
          <w:rFonts w:ascii="Times New Roman" w:hAnsi="Times New Roman" w:cs="Times New Roman"/>
          <w:color w:val="000000" w:themeColor="text1"/>
          <w:sz w:val="24"/>
          <w:szCs w:val="24"/>
          <w:u w:val="none"/>
        </w:rPr>
        <w:t>2.Stakeholder</w:t>
      </w:r>
      <w:proofErr w:type="gramEnd"/>
      <w:r w:rsidRPr="000E7926">
        <w:rPr>
          <w:rFonts w:ascii="Times New Roman" w:hAnsi="Times New Roman" w:cs="Times New Roman"/>
          <w:color w:val="000000" w:themeColor="text1"/>
          <w:sz w:val="24"/>
          <w:szCs w:val="24"/>
          <w:u w:val="none"/>
        </w:rPr>
        <w:t xml:space="preserve"> map</w:t>
      </w:r>
      <w:bookmarkEnd w:id="6"/>
    </w:p>
    <w:p w14:paraId="73F87CD2" w14:textId="0E8B1FC8" w:rsidR="00BF09EC" w:rsidRPr="00BF09EC" w:rsidRDefault="00BF09EC" w:rsidP="000E7926">
      <w:pPr>
        <w:rPr>
          <w:rFonts w:ascii="Times New Roman" w:hAnsi="Times New Roman" w:cs="Times New Roman"/>
          <w:b/>
          <w:bCs/>
          <w:color w:val="000000" w:themeColor="text1"/>
          <w:szCs w:val="24"/>
        </w:rPr>
      </w:pPr>
    </w:p>
    <w:tbl>
      <w:tblPr>
        <w:tblStyle w:val="GridTable5Dark-Accent3"/>
        <w:tblW w:w="0" w:type="auto"/>
        <w:tblLook w:val="04A0" w:firstRow="1" w:lastRow="0" w:firstColumn="1" w:lastColumn="0" w:noHBand="0" w:noVBand="1"/>
      </w:tblPr>
      <w:tblGrid>
        <w:gridCol w:w="2972"/>
        <w:gridCol w:w="6044"/>
      </w:tblGrid>
      <w:tr w:rsidR="000E7926" w:rsidRPr="000E7926" w14:paraId="26B356C5" w14:textId="77777777" w:rsidTr="00B54E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hideMark/>
          </w:tcPr>
          <w:p w14:paraId="1ED983BF" w14:textId="77777777" w:rsidR="00BF09EC" w:rsidRPr="00BF09EC" w:rsidRDefault="00BF09EC" w:rsidP="000E7926">
            <w:pPr>
              <w:spacing w:after="160" w:line="360" w:lineRule="auto"/>
              <w:rPr>
                <w:rFonts w:ascii="Times New Roman" w:hAnsi="Times New Roman" w:cs="Times New Roman"/>
                <w:b w:val="0"/>
                <w:bCs w:val="0"/>
                <w:color w:val="000000" w:themeColor="text1"/>
                <w:szCs w:val="24"/>
                <w:u w:val="single"/>
              </w:rPr>
            </w:pPr>
            <w:r w:rsidRPr="00BF09EC">
              <w:rPr>
                <w:rFonts w:ascii="Times New Roman" w:hAnsi="Times New Roman" w:cs="Times New Roman"/>
                <w:b w:val="0"/>
                <w:bCs w:val="0"/>
                <w:color w:val="000000" w:themeColor="text1"/>
                <w:szCs w:val="24"/>
                <w:u w:val="single"/>
              </w:rPr>
              <w:t>Stakeholder Quadrant</w:t>
            </w:r>
          </w:p>
        </w:tc>
        <w:tc>
          <w:tcPr>
            <w:tcW w:w="6044" w:type="dxa"/>
            <w:hideMark/>
          </w:tcPr>
          <w:p w14:paraId="199FE8D1" w14:textId="26CE1DC5" w:rsidR="00BF09EC" w:rsidRPr="00BF09EC" w:rsidRDefault="00BF09EC" w:rsidP="000E7926">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Cs w:val="24"/>
                <w:u w:val="single"/>
              </w:rPr>
            </w:pPr>
            <w:r w:rsidRPr="00BF09EC">
              <w:rPr>
                <w:rFonts w:ascii="Times New Roman" w:hAnsi="Times New Roman" w:cs="Times New Roman"/>
                <w:b w:val="0"/>
                <w:bCs w:val="0"/>
                <w:color w:val="000000" w:themeColor="text1"/>
                <w:szCs w:val="24"/>
                <w:u w:val="single"/>
              </w:rPr>
              <w:t xml:space="preserve">Stakeholder Groups </w:t>
            </w:r>
          </w:p>
        </w:tc>
      </w:tr>
      <w:tr w:rsidR="000E7926" w:rsidRPr="000E7926" w14:paraId="684E5FF5" w14:textId="77777777" w:rsidTr="00B54E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hideMark/>
          </w:tcPr>
          <w:p w14:paraId="491489ED" w14:textId="77777777" w:rsidR="00BF09EC" w:rsidRPr="00BF09EC" w:rsidRDefault="00BF09EC" w:rsidP="000E7926">
            <w:pPr>
              <w:spacing w:after="160" w:line="360" w:lineRule="auto"/>
              <w:rPr>
                <w:rFonts w:ascii="Times New Roman" w:hAnsi="Times New Roman" w:cs="Times New Roman"/>
                <w:b w:val="0"/>
                <w:bCs w:val="0"/>
                <w:color w:val="000000" w:themeColor="text1"/>
                <w:szCs w:val="24"/>
                <w:u w:val="single"/>
              </w:rPr>
            </w:pPr>
            <w:r w:rsidRPr="00BF09EC">
              <w:rPr>
                <w:rFonts w:ascii="Times New Roman" w:hAnsi="Times New Roman" w:cs="Times New Roman"/>
                <w:b w:val="0"/>
                <w:bCs w:val="0"/>
                <w:color w:val="000000" w:themeColor="text1"/>
                <w:szCs w:val="24"/>
                <w:u w:val="single"/>
              </w:rPr>
              <w:t>High Power – High Interest (Manage Closely)</w:t>
            </w:r>
          </w:p>
        </w:tc>
        <w:tc>
          <w:tcPr>
            <w:tcW w:w="6044" w:type="dxa"/>
            <w:hideMark/>
          </w:tcPr>
          <w:p w14:paraId="33FC1214" w14:textId="77777777" w:rsidR="00BF09EC" w:rsidRPr="00BF09EC" w:rsidRDefault="00BF09EC"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BF09EC">
              <w:rPr>
                <w:rFonts w:ascii="Times New Roman" w:hAnsi="Times New Roman" w:cs="Times New Roman"/>
                <w:color w:val="000000" w:themeColor="text1"/>
                <w:szCs w:val="24"/>
              </w:rPr>
              <w:t>Royal Parks (Charity); RBKC &amp; Westminster Councils</w:t>
            </w:r>
          </w:p>
        </w:tc>
      </w:tr>
      <w:tr w:rsidR="000E7926" w:rsidRPr="000E7926" w14:paraId="05DE1A9D" w14:textId="77777777" w:rsidTr="00B54EEC">
        <w:tc>
          <w:tcPr>
            <w:cnfStyle w:val="001000000000" w:firstRow="0" w:lastRow="0" w:firstColumn="1" w:lastColumn="0" w:oddVBand="0" w:evenVBand="0" w:oddHBand="0" w:evenHBand="0" w:firstRowFirstColumn="0" w:firstRowLastColumn="0" w:lastRowFirstColumn="0" w:lastRowLastColumn="0"/>
            <w:tcW w:w="2972" w:type="dxa"/>
            <w:hideMark/>
          </w:tcPr>
          <w:p w14:paraId="21C419EA" w14:textId="77777777" w:rsidR="00BF09EC" w:rsidRPr="00BF09EC" w:rsidRDefault="00BF09EC" w:rsidP="000E7926">
            <w:pPr>
              <w:spacing w:after="160" w:line="360" w:lineRule="auto"/>
              <w:rPr>
                <w:rFonts w:ascii="Times New Roman" w:hAnsi="Times New Roman" w:cs="Times New Roman"/>
                <w:b w:val="0"/>
                <w:bCs w:val="0"/>
                <w:color w:val="000000" w:themeColor="text1"/>
                <w:szCs w:val="24"/>
                <w:u w:val="single"/>
              </w:rPr>
            </w:pPr>
            <w:r w:rsidRPr="00BF09EC">
              <w:rPr>
                <w:rFonts w:ascii="Times New Roman" w:hAnsi="Times New Roman" w:cs="Times New Roman"/>
                <w:b w:val="0"/>
                <w:bCs w:val="0"/>
                <w:color w:val="000000" w:themeColor="text1"/>
                <w:szCs w:val="24"/>
                <w:u w:val="single"/>
              </w:rPr>
              <w:t>High Power – Low/Medium Interest (Keep Satisfied)</w:t>
            </w:r>
          </w:p>
        </w:tc>
        <w:tc>
          <w:tcPr>
            <w:tcW w:w="6044" w:type="dxa"/>
            <w:hideMark/>
          </w:tcPr>
          <w:p w14:paraId="7B22ECA9" w14:textId="77777777" w:rsidR="00BF09EC" w:rsidRPr="00BF09EC" w:rsidRDefault="00BF09EC"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BF09EC">
              <w:rPr>
                <w:rFonts w:ascii="Times New Roman" w:hAnsi="Times New Roman" w:cs="Times New Roman"/>
                <w:color w:val="000000" w:themeColor="text1"/>
                <w:szCs w:val="24"/>
              </w:rPr>
              <w:t>Greater London Authority / Mayor; National Heritage Consultees (e.g., Historic England)</w:t>
            </w:r>
          </w:p>
        </w:tc>
      </w:tr>
      <w:tr w:rsidR="000E7926" w:rsidRPr="000E7926" w14:paraId="382CF32D" w14:textId="77777777" w:rsidTr="00B54E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hideMark/>
          </w:tcPr>
          <w:p w14:paraId="34AFBF65" w14:textId="77777777" w:rsidR="00BF09EC" w:rsidRPr="00BF09EC" w:rsidRDefault="00BF09EC" w:rsidP="000E7926">
            <w:pPr>
              <w:spacing w:after="160" w:line="360" w:lineRule="auto"/>
              <w:rPr>
                <w:rFonts w:ascii="Times New Roman" w:hAnsi="Times New Roman" w:cs="Times New Roman"/>
                <w:b w:val="0"/>
                <w:bCs w:val="0"/>
                <w:color w:val="000000" w:themeColor="text1"/>
                <w:szCs w:val="24"/>
                <w:u w:val="single"/>
              </w:rPr>
            </w:pPr>
            <w:r w:rsidRPr="00BF09EC">
              <w:rPr>
                <w:rFonts w:ascii="Times New Roman" w:hAnsi="Times New Roman" w:cs="Times New Roman"/>
                <w:b w:val="0"/>
                <w:bCs w:val="0"/>
                <w:color w:val="000000" w:themeColor="text1"/>
                <w:szCs w:val="24"/>
                <w:u w:val="single"/>
              </w:rPr>
              <w:t>Low Power – High Interest (Keep Informed &amp; Involve)</w:t>
            </w:r>
          </w:p>
        </w:tc>
        <w:tc>
          <w:tcPr>
            <w:tcW w:w="6044" w:type="dxa"/>
            <w:hideMark/>
          </w:tcPr>
          <w:p w14:paraId="554E4EAC" w14:textId="77777777" w:rsidR="00BF09EC" w:rsidRPr="00BF09EC" w:rsidRDefault="00BF09EC"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BF09EC">
              <w:rPr>
                <w:rFonts w:ascii="Times New Roman" w:hAnsi="Times New Roman" w:cs="Times New Roman"/>
                <w:color w:val="000000" w:themeColor="text1"/>
                <w:szCs w:val="24"/>
              </w:rPr>
              <w:t>Residents’ Associations; Environmental &amp; Nature NGOs; Park Volunteers &amp; “Friends of” Groups</w:t>
            </w:r>
          </w:p>
        </w:tc>
      </w:tr>
      <w:tr w:rsidR="000E7926" w:rsidRPr="000E7926" w14:paraId="6F62BAB4" w14:textId="77777777" w:rsidTr="00B54EEC">
        <w:tc>
          <w:tcPr>
            <w:cnfStyle w:val="001000000000" w:firstRow="0" w:lastRow="0" w:firstColumn="1" w:lastColumn="0" w:oddVBand="0" w:evenVBand="0" w:oddHBand="0" w:evenHBand="0" w:firstRowFirstColumn="0" w:firstRowLastColumn="0" w:lastRowFirstColumn="0" w:lastRowLastColumn="0"/>
            <w:tcW w:w="2972" w:type="dxa"/>
            <w:hideMark/>
          </w:tcPr>
          <w:p w14:paraId="2F79E542" w14:textId="77777777" w:rsidR="00BF09EC" w:rsidRPr="00BF09EC" w:rsidRDefault="00BF09EC" w:rsidP="000E7926">
            <w:pPr>
              <w:spacing w:after="160" w:line="360" w:lineRule="auto"/>
              <w:rPr>
                <w:rFonts w:ascii="Times New Roman" w:hAnsi="Times New Roman" w:cs="Times New Roman"/>
                <w:b w:val="0"/>
                <w:bCs w:val="0"/>
                <w:color w:val="000000" w:themeColor="text1"/>
                <w:szCs w:val="24"/>
                <w:u w:val="single"/>
              </w:rPr>
            </w:pPr>
            <w:r w:rsidRPr="00BF09EC">
              <w:rPr>
                <w:rFonts w:ascii="Times New Roman" w:hAnsi="Times New Roman" w:cs="Times New Roman"/>
                <w:b w:val="0"/>
                <w:bCs w:val="0"/>
                <w:color w:val="000000" w:themeColor="text1"/>
                <w:szCs w:val="24"/>
                <w:u w:val="single"/>
              </w:rPr>
              <w:t>Low/Medium Power – Medium Interest (Monitor / Consult Strategically)</w:t>
            </w:r>
          </w:p>
        </w:tc>
        <w:tc>
          <w:tcPr>
            <w:tcW w:w="6044" w:type="dxa"/>
            <w:hideMark/>
          </w:tcPr>
          <w:p w14:paraId="725CDBA2" w14:textId="77777777" w:rsidR="00BF09EC" w:rsidRPr="00BF09EC" w:rsidRDefault="00BF09EC"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BF09EC">
              <w:rPr>
                <w:rFonts w:ascii="Times New Roman" w:hAnsi="Times New Roman" w:cs="Times New Roman"/>
                <w:color w:val="000000" w:themeColor="text1"/>
                <w:szCs w:val="24"/>
              </w:rPr>
              <w:t>Local Business Networks (Hotels, Cafés, Attractions); Transport Bodies (TfL, Bus Operators, Cycling Groups); General Visitors (Tourists &amp; Commuters)</w:t>
            </w:r>
          </w:p>
        </w:tc>
      </w:tr>
    </w:tbl>
    <w:p w14:paraId="5F37CC31" w14:textId="77777777" w:rsidR="00A837CF" w:rsidRPr="000E7926" w:rsidRDefault="00A837CF" w:rsidP="000E7926">
      <w:pPr>
        <w:rPr>
          <w:rFonts w:ascii="Times New Roman" w:hAnsi="Times New Roman" w:cs="Times New Roman"/>
          <w:noProof/>
          <w:color w:val="000000" w:themeColor="text1"/>
          <w:szCs w:val="24"/>
        </w:rPr>
      </w:pPr>
    </w:p>
    <w:p w14:paraId="246DE41D" w14:textId="3AF04546" w:rsidR="003E6126" w:rsidRPr="000E7926" w:rsidRDefault="003E6126" w:rsidP="000E7926">
      <w:pPr>
        <w:pStyle w:val="Heading1"/>
        <w:numPr>
          <w:ilvl w:val="0"/>
          <w:numId w:val="3"/>
        </w:numPr>
        <w:rPr>
          <w:rFonts w:ascii="Times New Roman" w:hAnsi="Times New Roman" w:cs="Times New Roman"/>
          <w:color w:val="000000" w:themeColor="text1"/>
          <w:sz w:val="24"/>
          <w:szCs w:val="24"/>
          <w:u w:val="none"/>
        </w:rPr>
      </w:pPr>
      <w:bookmarkStart w:id="7" w:name="_Toc214467672"/>
      <w:r w:rsidRPr="000E7926">
        <w:rPr>
          <w:rFonts w:ascii="Times New Roman" w:hAnsi="Times New Roman" w:cs="Times New Roman"/>
          <w:color w:val="000000" w:themeColor="text1"/>
          <w:sz w:val="24"/>
          <w:szCs w:val="24"/>
          <w:u w:val="none"/>
        </w:rPr>
        <w:t>High Power – High Interest (Manage Closely)</w:t>
      </w:r>
      <w:bookmarkEnd w:id="7"/>
    </w:p>
    <w:p w14:paraId="2A7B81E8" w14:textId="375DCC28" w:rsidR="00EA39F7" w:rsidRPr="000E7926" w:rsidRDefault="00EA39F7"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Royal Parks (Charity); RBKC &amp; Westminster Councils</w:t>
      </w:r>
    </w:p>
    <w:p w14:paraId="5F336E3B" w14:textId="77777777" w:rsidR="00EA39F7" w:rsidRPr="000E7926" w:rsidRDefault="00EA39F7"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They fit in this box because they both have the legal power to allow or deny works in or around Kensington Gardens. As mentioned above, Royal Parks manage </w:t>
      </w:r>
      <w:proofErr w:type="gramStart"/>
      <w:r w:rsidRPr="000E7926">
        <w:rPr>
          <w:rFonts w:ascii="Times New Roman" w:hAnsi="Times New Roman" w:cs="Times New Roman"/>
          <w:color w:val="000000" w:themeColor="text1"/>
          <w:szCs w:val="24"/>
        </w:rPr>
        <w:t>the majority of</w:t>
      </w:r>
      <w:proofErr w:type="gramEnd"/>
      <w:r w:rsidRPr="000E7926">
        <w:rPr>
          <w:rFonts w:ascii="Times New Roman" w:hAnsi="Times New Roman" w:cs="Times New Roman"/>
          <w:color w:val="000000" w:themeColor="text1"/>
          <w:szCs w:val="24"/>
        </w:rPr>
        <w:t xml:space="preserve"> the Royal Parks </w:t>
      </w:r>
      <w:proofErr w:type="gramStart"/>
      <w:r w:rsidRPr="000E7926">
        <w:rPr>
          <w:rFonts w:ascii="Times New Roman" w:hAnsi="Times New Roman" w:cs="Times New Roman"/>
          <w:color w:val="000000" w:themeColor="text1"/>
          <w:szCs w:val="24"/>
        </w:rPr>
        <w:t>on a daily basis</w:t>
      </w:r>
      <w:proofErr w:type="gramEnd"/>
      <w:r w:rsidRPr="000E7926">
        <w:rPr>
          <w:rFonts w:ascii="Times New Roman" w:hAnsi="Times New Roman" w:cs="Times New Roman"/>
          <w:color w:val="000000" w:themeColor="text1"/>
          <w:szCs w:val="24"/>
        </w:rPr>
        <w:t xml:space="preserve">, and have full authority over contracts, inspections and </w:t>
      </w:r>
      <w:proofErr w:type="gramStart"/>
      <w:r w:rsidRPr="000E7926">
        <w:rPr>
          <w:rFonts w:ascii="Times New Roman" w:hAnsi="Times New Roman" w:cs="Times New Roman"/>
          <w:color w:val="000000" w:themeColor="text1"/>
          <w:szCs w:val="24"/>
        </w:rPr>
        <w:t>long term</w:t>
      </w:r>
      <w:proofErr w:type="gramEnd"/>
      <w:r w:rsidRPr="000E7926">
        <w:rPr>
          <w:rFonts w:ascii="Times New Roman" w:hAnsi="Times New Roman" w:cs="Times New Roman"/>
          <w:color w:val="000000" w:themeColor="text1"/>
          <w:szCs w:val="24"/>
        </w:rPr>
        <w:t xml:space="preserve"> planning of the parks (Royal Parks, 2015). It is essential that RBKC and Westminster (who control the planning and licensing, and street design around the parks' edges) support community engagement. General interest theory suggests that organisation control creates higher interest, because mistakes affect budget, reputation and public duty (Scott, 2014). For this reason, they require close management throughout the project.</w:t>
      </w:r>
    </w:p>
    <w:p w14:paraId="5318BC2D" w14:textId="60647556" w:rsidR="00EA39F7" w:rsidRPr="000E7926" w:rsidRDefault="006639E9" w:rsidP="000E7926">
      <w:pPr>
        <w:pStyle w:val="Heading1"/>
        <w:rPr>
          <w:rFonts w:ascii="Times New Roman" w:hAnsi="Times New Roman" w:cs="Times New Roman"/>
          <w:color w:val="000000" w:themeColor="text1"/>
          <w:sz w:val="24"/>
          <w:szCs w:val="24"/>
          <w:u w:val="none"/>
        </w:rPr>
      </w:pPr>
      <w:bookmarkStart w:id="8" w:name="_Toc214467673"/>
      <w:r w:rsidRPr="000E7926">
        <w:rPr>
          <w:rFonts w:ascii="Times New Roman" w:hAnsi="Times New Roman" w:cs="Times New Roman"/>
          <w:color w:val="000000" w:themeColor="text1"/>
          <w:sz w:val="24"/>
          <w:szCs w:val="24"/>
          <w:u w:val="none"/>
        </w:rPr>
        <w:t>2. High Power – Low/Medium Interest (Keep Satisfied)</w:t>
      </w:r>
      <w:bookmarkEnd w:id="8"/>
    </w:p>
    <w:p w14:paraId="76F7F604" w14:textId="77777777" w:rsidR="00EA39F7" w:rsidRPr="000E7926" w:rsidRDefault="00EA39F7"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Greater London Authority / Mayor; National Heritage Consultees</w:t>
      </w:r>
    </w:p>
    <w:p w14:paraId="21A5F855" w14:textId="77777777" w:rsidR="00EA39F7" w:rsidRPr="000E7926" w:rsidRDefault="00EA39F7"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Although the Mayor of London and statutory heritage authorities such as Historic England have large powers, they take decisions only on proposals judged to have implications for policies of planned importance to London, London views and heritage assets. Therefore, they </w:t>
      </w:r>
      <w:r w:rsidRPr="000E7926">
        <w:rPr>
          <w:rFonts w:ascii="Times New Roman" w:hAnsi="Times New Roman" w:cs="Times New Roman"/>
          <w:color w:val="000000" w:themeColor="text1"/>
          <w:szCs w:val="24"/>
        </w:rPr>
        <w:lastRenderedPageBreak/>
        <w:t>were implicitly less interested in the park, because they were not the ones managing it directly. (Historic England, 2020) In the spirit of urban planning theory, public bodies only sometimes act, when regulations or cultural values are threatened (Healey, 2010): they must thus remain content, but not be consulted all the time.</w:t>
      </w:r>
    </w:p>
    <w:p w14:paraId="77349889" w14:textId="19BACE39" w:rsidR="00EA39F7" w:rsidRPr="000E7926" w:rsidRDefault="00721D48" w:rsidP="000E7926">
      <w:pPr>
        <w:pStyle w:val="Heading1"/>
        <w:rPr>
          <w:rFonts w:ascii="Times New Roman" w:hAnsi="Times New Roman" w:cs="Times New Roman"/>
          <w:color w:val="000000" w:themeColor="text1"/>
          <w:sz w:val="24"/>
          <w:szCs w:val="24"/>
          <w:u w:val="none"/>
        </w:rPr>
      </w:pPr>
      <w:bookmarkStart w:id="9" w:name="_Toc214467674"/>
      <w:r w:rsidRPr="000E7926">
        <w:rPr>
          <w:rFonts w:ascii="Times New Roman" w:hAnsi="Times New Roman" w:cs="Times New Roman"/>
          <w:color w:val="000000" w:themeColor="text1"/>
          <w:sz w:val="24"/>
          <w:szCs w:val="24"/>
          <w:u w:val="none"/>
        </w:rPr>
        <w:t>3. Low Power – High Interest (Keep Informed &amp; Involve)</w:t>
      </w:r>
      <w:bookmarkEnd w:id="9"/>
    </w:p>
    <w:p w14:paraId="37CCC0CC" w14:textId="77777777" w:rsidR="00EA39F7" w:rsidRPr="000E7926" w:rsidRDefault="00EA39F7"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Residents' Associations; environmental NGOs; volunteers; 'Friends of' groups for parks around</w:t>
      </w:r>
    </w:p>
    <w:p w14:paraId="450D23DB" w14:textId="77777777" w:rsidR="00EA39F7" w:rsidRPr="000E7926" w:rsidRDefault="00EA39F7"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The park is important for local people and volunteers in recreation, community work, and local wildlife. Environmental groups have particular scientific knowledge about the park, which affects tree-planting plans and wildlife protection. Without any authority beyond that, they can often voice their displeasure, raise awareness through the local media, or refuse access to volunteers to do the work of maintaining the park (Putnam, 2000; Miller et al., 2021). These groups need to be regularly updated about the project, and need to be brought into the project.</w:t>
      </w:r>
    </w:p>
    <w:p w14:paraId="242568EB" w14:textId="07BA7D64" w:rsidR="00EA39F7" w:rsidRPr="000E7926" w:rsidRDefault="00721D48" w:rsidP="000E7926">
      <w:pPr>
        <w:pStyle w:val="Heading1"/>
        <w:rPr>
          <w:rFonts w:ascii="Times New Roman" w:hAnsi="Times New Roman" w:cs="Times New Roman"/>
          <w:color w:val="000000" w:themeColor="text1"/>
          <w:sz w:val="24"/>
          <w:szCs w:val="24"/>
          <w:u w:val="none"/>
        </w:rPr>
      </w:pPr>
      <w:bookmarkStart w:id="10" w:name="_Toc214467675"/>
      <w:r w:rsidRPr="000E7926">
        <w:rPr>
          <w:rFonts w:ascii="Times New Roman" w:hAnsi="Times New Roman" w:cs="Times New Roman"/>
          <w:color w:val="000000" w:themeColor="text1"/>
          <w:sz w:val="24"/>
          <w:szCs w:val="24"/>
          <w:u w:val="none"/>
        </w:rPr>
        <w:t>4. Low/Medium Power – Medium Interest (Monitor)</w:t>
      </w:r>
      <w:bookmarkEnd w:id="10"/>
    </w:p>
    <w:p w14:paraId="4A36C97A" w14:textId="77777777" w:rsidR="00EA39F7" w:rsidRPr="000E7926" w:rsidRDefault="00EA39F7"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Local Business Networks, Transport Bodies and General Visitors</w:t>
      </w:r>
    </w:p>
    <w:p w14:paraId="1E5407F4" w14:textId="32DC1973" w:rsidR="00A837CF" w:rsidRPr="000E7926" w:rsidRDefault="00EA39F7"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Businesses, public transport operators and occasional visitors are also middle-level stakeholders. Their interests depend less on the design of the park than on movement and tourism. Local businesses, such as shops and hotels, have a vested interest in footfall and walking routes and signage in the park, but have no management responsibility (</w:t>
      </w:r>
      <w:proofErr w:type="spellStart"/>
      <w:r w:rsidRPr="000E7926">
        <w:rPr>
          <w:rFonts w:ascii="Times New Roman" w:hAnsi="Times New Roman" w:cs="Times New Roman"/>
          <w:color w:val="000000" w:themeColor="text1"/>
          <w:szCs w:val="24"/>
        </w:rPr>
        <w:t>Guenat</w:t>
      </w:r>
      <w:proofErr w:type="spellEnd"/>
      <w:r w:rsidRPr="000E7926">
        <w:rPr>
          <w:rFonts w:ascii="Times New Roman" w:hAnsi="Times New Roman" w:cs="Times New Roman"/>
          <w:color w:val="000000" w:themeColor="text1"/>
          <w:szCs w:val="24"/>
        </w:rPr>
        <w:t xml:space="preserve"> et al., 2019). Transport bodies regulate park access. They do so through bus stops, cycle routes, and crossing locations. They are not responsible for the park experience. Comfort and safety perceptions of visitors vary with how often they visit and how they travel. Such groups should be consulted in the event access to or the visitor flow through the area is affected.</w:t>
      </w:r>
    </w:p>
    <w:p w14:paraId="1C612D44" w14:textId="77777777" w:rsidR="00BE7C52" w:rsidRPr="000E7926" w:rsidRDefault="00BE7C52"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Residents, volunteers and environmental NGOs fall into the Low Power-High Interest quadrant. Though residents have no power, they benefit from keeping the park as a community space. Volunteers offer </w:t>
      </w:r>
      <w:proofErr w:type="spellStart"/>
      <w:r w:rsidRPr="000E7926">
        <w:rPr>
          <w:rFonts w:ascii="Times New Roman" w:hAnsi="Times New Roman" w:cs="Times New Roman"/>
          <w:color w:val="000000" w:themeColor="text1"/>
          <w:szCs w:val="24"/>
        </w:rPr>
        <w:t>labor</w:t>
      </w:r>
      <w:proofErr w:type="spellEnd"/>
      <w:r w:rsidRPr="000E7926">
        <w:rPr>
          <w:rFonts w:ascii="Times New Roman" w:hAnsi="Times New Roman" w:cs="Times New Roman"/>
          <w:color w:val="000000" w:themeColor="text1"/>
          <w:szCs w:val="24"/>
        </w:rPr>
        <w:t xml:space="preserve">, while the NGOs provide ecological knowledge for planting design. Despite lacking decision-making power, this interest influences choices made by official decision-makers. Whereas many other actors are indirect (lobbying, strike action or reputational pressure), transport agencies and business associations are in the </w:t>
      </w:r>
      <w:r w:rsidRPr="000E7926">
        <w:rPr>
          <w:rFonts w:ascii="Times New Roman" w:hAnsi="Times New Roman" w:cs="Times New Roman"/>
          <w:color w:val="000000" w:themeColor="text1"/>
          <w:szCs w:val="24"/>
        </w:rPr>
        <w:lastRenderedPageBreak/>
        <w:t>Medium Power-Medium Interest group by virtue of their potential to disrupt or enable implementation through routing or commercial pressures (but their interest is linked to, say, annual movement flows or tourism cycles rather than day-to-day stewardship).</w:t>
      </w:r>
    </w:p>
    <w:p w14:paraId="112733CE" w14:textId="17CFE3CD" w:rsidR="002E76C5" w:rsidRPr="000E7926" w:rsidRDefault="009A7511" w:rsidP="000E7926">
      <w:pPr>
        <w:pStyle w:val="Heading1"/>
        <w:rPr>
          <w:rFonts w:ascii="Times New Roman" w:hAnsi="Times New Roman" w:cs="Times New Roman"/>
          <w:color w:val="000000" w:themeColor="text1"/>
          <w:sz w:val="24"/>
          <w:szCs w:val="24"/>
          <w:u w:val="none"/>
        </w:rPr>
      </w:pPr>
      <w:bookmarkStart w:id="11" w:name="_Toc214467676"/>
      <w:r w:rsidRPr="000E7926">
        <w:rPr>
          <w:rFonts w:ascii="Times New Roman" w:hAnsi="Times New Roman" w:cs="Times New Roman"/>
          <w:color w:val="000000" w:themeColor="text1"/>
          <w:sz w:val="24"/>
          <w:szCs w:val="24"/>
          <w:u w:val="none"/>
        </w:rPr>
        <w:t>2.3. Communication plan</w:t>
      </w:r>
      <w:bookmarkEnd w:id="11"/>
    </w:p>
    <w:p w14:paraId="49AED675" w14:textId="77777777" w:rsidR="002E76C5" w:rsidRPr="000E7926" w:rsidRDefault="002E76C5" w:rsidP="000E7926">
      <w:pPr>
        <w:rPr>
          <w:rFonts w:ascii="Times New Roman" w:hAnsi="Times New Roman" w:cs="Times New Roman"/>
          <w:color w:val="000000" w:themeColor="text1"/>
          <w:szCs w:val="24"/>
        </w:rPr>
      </w:pPr>
    </w:p>
    <w:p w14:paraId="431F9C2E" w14:textId="77777777" w:rsidR="00EE779E" w:rsidRPr="000E7926" w:rsidRDefault="00EE779E" w:rsidP="000E7926">
      <w:pPr>
        <w:rPr>
          <w:rFonts w:ascii="Times New Roman" w:hAnsi="Times New Roman" w:cs="Times New Roman"/>
          <w:color w:val="000000" w:themeColor="text1"/>
          <w:szCs w:val="24"/>
        </w:rPr>
      </w:pPr>
    </w:p>
    <w:p w14:paraId="4F8D7D3A" w14:textId="77777777" w:rsidR="00EE779E" w:rsidRPr="000E7926" w:rsidRDefault="00EE779E" w:rsidP="000E7926">
      <w:pPr>
        <w:rPr>
          <w:rFonts w:ascii="Times New Roman" w:hAnsi="Times New Roman" w:cs="Times New Roman"/>
          <w:color w:val="000000" w:themeColor="text1"/>
          <w:szCs w:val="24"/>
        </w:rPr>
      </w:pPr>
    </w:p>
    <w:p w14:paraId="742623D5" w14:textId="77777777" w:rsidR="00BE7C52" w:rsidRPr="000E7926" w:rsidRDefault="00BE7C52" w:rsidP="000E7926">
      <w:pPr>
        <w:rPr>
          <w:rFonts w:ascii="Times New Roman" w:hAnsi="Times New Roman" w:cs="Times New Roman"/>
          <w:color w:val="000000" w:themeColor="text1"/>
          <w:szCs w:val="24"/>
        </w:rPr>
      </w:pPr>
    </w:p>
    <w:p w14:paraId="1526A43A" w14:textId="57124D23" w:rsidR="00AA06DC" w:rsidRPr="000E7926" w:rsidRDefault="00AA06DC" w:rsidP="000E7926">
      <w:pPr>
        <w:rPr>
          <w:rFonts w:ascii="Times New Roman" w:hAnsi="Times New Roman" w:cs="Times New Roman"/>
          <w:color w:val="000000" w:themeColor="text1"/>
          <w:szCs w:val="24"/>
        </w:rPr>
      </w:pPr>
      <w:r w:rsidRPr="000E7926">
        <w:rPr>
          <w:rFonts w:ascii="Times New Roman" w:hAnsi="Times New Roman" w:cs="Times New Roman"/>
          <w:noProof/>
          <w:color w:val="000000" w:themeColor="text1"/>
          <w:szCs w:val="24"/>
        </w:rPr>
        <w:drawing>
          <wp:inline distT="0" distB="0" distL="0" distR="0" wp14:anchorId="1458E736" wp14:editId="30A91338">
            <wp:extent cx="3756660" cy="2095500"/>
            <wp:effectExtent l="0" t="0" r="1524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81587F" w:rsidRPr="000E7926">
        <w:rPr>
          <w:rFonts w:ascii="Times New Roman" w:hAnsi="Times New Roman" w:cs="Times New Roman"/>
          <w:color w:val="000000" w:themeColor="text1"/>
          <w:szCs w:val="24"/>
        </w:rPr>
        <w:t xml:space="preserve"> Communication Flow</w:t>
      </w:r>
    </w:p>
    <w:p w14:paraId="5A8777A2" w14:textId="77777777" w:rsidR="006130C5" w:rsidRPr="000E7926" w:rsidRDefault="006130C5" w:rsidP="000E7926">
      <w:pPr>
        <w:rPr>
          <w:rFonts w:ascii="Times New Roman" w:hAnsi="Times New Roman" w:cs="Times New Roman"/>
          <w:color w:val="000000" w:themeColor="text1"/>
          <w:szCs w:val="24"/>
        </w:rPr>
      </w:pPr>
    </w:p>
    <w:tbl>
      <w:tblPr>
        <w:tblStyle w:val="PlainTable1"/>
        <w:tblW w:w="0" w:type="auto"/>
        <w:tblLook w:val="04A0" w:firstRow="1" w:lastRow="0" w:firstColumn="1" w:lastColumn="0" w:noHBand="0" w:noVBand="1"/>
      </w:tblPr>
      <w:tblGrid>
        <w:gridCol w:w="1679"/>
        <w:gridCol w:w="2571"/>
        <w:gridCol w:w="3616"/>
        <w:gridCol w:w="1150"/>
      </w:tblGrid>
      <w:tr w:rsidR="000E7926" w:rsidRPr="000E7926" w14:paraId="585F6C9D" w14:textId="77777777" w:rsidTr="00E03B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hideMark/>
          </w:tcPr>
          <w:p w14:paraId="5B716497" w14:textId="77777777" w:rsidR="00E03BFA" w:rsidRPr="00E03BFA" w:rsidRDefault="00E03BFA" w:rsidP="000E7926">
            <w:pPr>
              <w:spacing w:after="160" w:line="360" w:lineRule="auto"/>
              <w:rPr>
                <w:rFonts w:ascii="Times New Roman" w:hAnsi="Times New Roman" w:cs="Times New Roman"/>
                <w:color w:val="000000" w:themeColor="text1"/>
                <w:szCs w:val="24"/>
                <w:u w:val="single"/>
              </w:rPr>
            </w:pPr>
            <w:r w:rsidRPr="00E03BFA">
              <w:rPr>
                <w:rFonts w:ascii="Times New Roman" w:hAnsi="Times New Roman" w:cs="Times New Roman"/>
                <w:color w:val="000000" w:themeColor="text1"/>
                <w:szCs w:val="24"/>
                <w:u w:val="single"/>
              </w:rPr>
              <w:t>Stakeholder</w:t>
            </w:r>
          </w:p>
        </w:tc>
        <w:tc>
          <w:tcPr>
            <w:tcW w:w="2694" w:type="dxa"/>
            <w:hideMark/>
          </w:tcPr>
          <w:p w14:paraId="282CDD4F" w14:textId="77777777" w:rsidR="00E03BFA" w:rsidRPr="00E03BFA" w:rsidRDefault="00E03BFA" w:rsidP="000E7926">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u w:val="single"/>
              </w:rPr>
            </w:pPr>
            <w:r w:rsidRPr="00E03BFA">
              <w:rPr>
                <w:rFonts w:ascii="Times New Roman" w:hAnsi="Times New Roman" w:cs="Times New Roman"/>
                <w:color w:val="000000" w:themeColor="text1"/>
                <w:szCs w:val="24"/>
                <w:u w:val="single"/>
              </w:rPr>
              <w:t>Information Shared</w:t>
            </w:r>
          </w:p>
        </w:tc>
        <w:tc>
          <w:tcPr>
            <w:tcW w:w="3196" w:type="dxa"/>
            <w:hideMark/>
          </w:tcPr>
          <w:p w14:paraId="5C32DB1E" w14:textId="77777777" w:rsidR="00E03BFA" w:rsidRPr="00E03BFA" w:rsidRDefault="00E03BFA" w:rsidP="000E7926">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u w:val="single"/>
              </w:rPr>
            </w:pPr>
            <w:r w:rsidRPr="00E03BFA">
              <w:rPr>
                <w:rFonts w:ascii="Times New Roman" w:hAnsi="Times New Roman" w:cs="Times New Roman"/>
                <w:color w:val="000000" w:themeColor="text1"/>
                <w:szCs w:val="24"/>
                <w:u w:val="single"/>
              </w:rPr>
              <w:t>Method (Email/Letter/Phone/Newspaper)</w:t>
            </w:r>
          </w:p>
        </w:tc>
        <w:tc>
          <w:tcPr>
            <w:tcW w:w="0" w:type="auto"/>
            <w:hideMark/>
          </w:tcPr>
          <w:p w14:paraId="260CE950" w14:textId="77777777" w:rsidR="00E03BFA" w:rsidRPr="00E03BFA" w:rsidRDefault="00E03BFA" w:rsidP="000E7926">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u w:val="single"/>
              </w:rPr>
            </w:pPr>
            <w:r w:rsidRPr="00E03BFA">
              <w:rPr>
                <w:rFonts w:ascii="Times New Roman" w:hAnsi="Times New Roman" w:cs="Times New Roman"/>
                <w:color w:val="000000" w:themeColor="text1"/>
                <w:szCs w:val="24"/>
                <w:u w:val="single"/>
              </w:rPr>
              <w:t>Timing</w:t>
            </w:r>
          </w:p>
        </w:tc>
      </w:tr>
      <w:tr w:rsidR="000E7926" w:rsidRPr="000E7926" w14:paraId="7943FD05" w14:textId="77777777" w:rsidTr="00E03B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hideMark/>
          </w:tcPr>
          <w:p w14:paraId="5FD6B8F8" w14:textId="77777777" w:rsidR="00E03BFA" w:rsidRPr="00E03BFA" w:rsidRDefault="00E03BFA" w:rsidP="000E7926">
            <w:pPr>
              <w:spacing w:after="160" w:line="360" w:lineRule="auto"/>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Royal Parks</w:t>
            </w:r>
          </w:p>
        </w:tc>
        <w:tc>
          <w:tcPr>
            <w:tcW w:w="2694" w:type="dxa"/>
            <w:hideMark/>
          </w:tcPr>
          <w:p w14:paraId="4B82FE8D" w14:textId="77777777" w:rsidR="00E03BFA" w:rsidRPr="00E03BFA" w:rsidRDefault="00E03BFA"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Budget updates, contractor changes</w:t>
            </w:r>
          </w:p>
        </w:tc>
        <w:tc>
          <w:tcPr>
            <w:tcW w:w="3196" w:type="dxa"/>
            <w:hideMark/>
          </w:tcPr>
          <w:p w14:paraId="7B6C35BF" w14:textId="77777777" w:rsidR="00E03BFA" w:rsidRPr="00E03BFA" w:rsidRDefault="00E03BFA"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Email summary + follow-up phone call</w:t>
            </w:r>
          </w:p>
        </w:tc>
        <w:tc>
          <w:tcPr>
            <w:tcW w:w="0" w:type="auto"/>
            <w:hideMark/>
          </w:tcPr>
          <w:p w14:paraId="0156C804" w14:textId="77777777" w:rsidR="00E03BFA" w:rsidRPr="00E03BFA" w:rsidRDefault="00E03BFA"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Monthly</w:t>
            </w:r>
          </w:p>
        </w:tc>
      </w:tr>
      <w:tr w:rsidR="000E7926" w:rsidRPr="000E7926" w14:paraId="77F4F676" w14:textId="77777777" w:rsidTr="00E03BFA">
        <w:tc>
          <w:tcPr>
            <w:cnfStyle w:val="001000000000" w:firstRow="0" w:lastRow="0" w:firstColumn="1" w:lastColumn="0" w:oddVBand="0" w:evenVBand="0" w:oddHBand="0" w:evenHBand="0" w:firstRowFirstColumn="0" w:firstRowLastColumn="0" w:lastRowFirstColumn="0" w:lastRowLastColumn="0"/>
            <w:tcW w:w="1696" w:type="dxa"/>
            <w:hideMark/>
          </w:tcPr>
          <w:p w14:paraId="404E922B" w14:textId="77777777" w:rsidR="00E03BFA" w:rsidRPr="00E03BFA" w:rsidRDefault="00E03BFA" w:rsidP="000E7926">
            <w:pPr>
              <w:spacing w:after="160" w:line="360" w:lineRule="auto"/>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RBKC &amp; Westminster</w:t>
            </w:r>
          </w:p>
        </w:tc>
        <w:tc>
          <w:tcPr>
            <w:tcW w:w="2694" w:type="dxa"/>
            <w:hideMark/>
          </w:tcPr>
          <w:p w14:paraId="214A4979" w14:textId="77777777" w:rsidR="00E03BFA" w:rsidRPr="00E03BFA" w:rsidRDefault="00E03BFA"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Gate use, traffic and events</w:t>
            </w:r>
          </w:p>
        </w:tc>
        <w:tc>
          <w:tcPr>
            <w:tcW w:w="3196" w:type="dxa"/>
            <w:hideMark/>
          </w:tcPr>
          <w:p w14:paraId="39F1763B" w14:textId="77777777" w:rsidR="00E03BFA" w:rsidRPr="00E03BFA" w:rsidRDefault="00E03BFA"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Phone briefing + formal letter</w:t>
            </w:r>
          </w:p>
        </w:tc>
        <w:tc>
          <w:tcPr>
            <w:tcW w:w="0" w:type="auto"/>
            <w:hideMark/>
          </w:tcPr>
          <w:p w14:paraId="7F519603" w14:textId="77777777" w:rsidR="00E03BFA" w:rsidRPr="00E03BFA" w:rsidRDefault="00E03BFA"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Before approvals</w:t>
            </w:r>
          </w:p>
        </w:tc>
      </w:tr>
      <w:tr w:rsidR="000E7926" w:rsidRPr="000E7926" w14:paraId="5F28C42F" w14:textId="77777777" w:rsidTr="00E03B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hideMark/>
          </w:tcPr>
          <w:p w14:paraId="0B9FF2FF" w14:textId="77777777" w:rsidR="00E03BFA" w:rsidRPr="00E03BFA" w:rsidRDefault="00E03BFA" w:rsidP="000E7926">
            <w:pPr>
              <w:spacing w:after="160" w:line="360" w:lineRule="auto"/>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GLA / Mayor</w:t>
            </w:r>
          </w:p>
        </w:tc>
        <w:tc>
          <w:tcPr>
            <w:tcW w:w="2694" w:type="dxa"/>
            <w:hideMark/>
          </w:tcPr>
          <w:p w14:paraId="1239EA4B" w14:textId="77777777" w:rsidR="00E03BFA" w:rsidRPr="00E03BFA" w:rsidRDefault="00E03BFA"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Policy fit, biodiversity targets</w:t>
            </w:r>
          </w:p>
        </w:tc>
        <w:tc>
          <w:tcPr>
            <w:tcW w:w="3196" w:type="dxa"/>
            <w:hideMark/>
          </w:tcPr>
          <w:p w14:paraId="52DE07ED" w14:textId="77777777" w:rsidR="00E03BFA" w:rsidRPr="00E03BFA" w:rsidRDefault="00E03BFA"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Policy letter</w:t>
            </w:r>
          </w:p>
        </w:tc>
        <w:tc>
          <w:tcPr>
            <w:tcW w:w="0" w:type="auto"/>
            <w:hideMark/>
          </w:tcPr>
          <w:p w14:paraId="2AE2F048" w14:textId="77777777" w:rsidR="00E03BFA" w:rsidRPr="00E03BFA" w:rsidRDefault="00E03BFA"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Only when rules apply</w:t>
            </w:r>
          </w:p>
        </w:tc>
      </w:tr>
      <w:tr w:rsidR="000E7926" w:rsidRPr="000E7926" w14:paraId="1BE336B1" w14:textId="77777777" w:rsidTr="00E03BFA">
        <w:tc>
          <w:tcPr>
            <w:cnfStyle w:val="001000000000" w:firstRow="0" w:lastRow="0" w:firstColumn="1" w:lastColumn="0" w:oddVBand="0" w:evenVBand="0" w:oddHBand="0" w:evenHBand="0" w:firstRowFirstColumn="0" w:firstRowLastColumn="0" w:lastRowFirstColumn="0" w:lastRowLastColumn="0"/>
            <w:tcW w:w="1696" w:type="dxa"/>
            <w:hideMark/>
          </w:tcPr>
          <w:p w14:paraId="39FB2A99" w14:textId="77777777" w:rsidR="00E03BFA" w:rsidRPr="00E03BFA" w:rsidRDefault="00E03BFA" w:rsidP="000E7926">
            <w:pPr>
              <w:spacing w:after="160" w:line="360" w:lineRule="auto"/>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lastRenderedPageBreak/>
              <w:t>Residents’ Groups</w:t>
            </w:r>
          </w:p>
        </w:tc>
        <w:tc>
          <w:tcPr>
            <w:tcW w:w="2694" w:type="dxa"/>
            <w:hideMark/>
          </w:tcPr>
          <w:p w14:paraId="739DFC28" w14:textId="77777777" w:rsidR="00E03BFA" w:rsidRPr="00E03BFA" w:rsidRDefault="00E03BFA"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Lighting hours, noise times, path closures</w:t>
            </w:r>
          </w:p>
        </w:tc>
        <w:tc>
          <w:tcPr>
            <w:tcW w:w="3196" w:type="dxa"/>
            <w:hideMark/>
          </w:tcPr>
          <w:p w14:paraId="0EDF7CCD" w14:textId="77777777" w:rsidR="00E03BFA" w:rsidRPr="00E03BFA" w:rsidRDefault="00E03BFA"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Printed letter + hotline number</w:t>
            </w:r>
          </w:p>
        </w:tc>
        <w:tc>
          <w:tcPr>
            <w:tcW w:w="0" w:type="auto"/>
            <w:hideMark/>
          </w:tcPr>
          <w:p w14:paraId="2EC3781A" w14:textId="77777777" w:rsidR="00E03BFA" w:rsidRPr="00E03BFA" w:rsidRDefault="00E03BFA"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Before works</w:t>
            </w:r>
          </w:p>
        </w:tc>
      </w:tr>
      <w:tr w:rsidR="000E7926" w:rsidRPr="000E7926" w14:paraId="56548311" w14:textId="77777777" w:rsidTr="00E03B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hideMark/>
          </w:tcPr>
          <w:p w14:paraId="76B5F572" w14:textId="77777777" w:rsidR="00E03BFA" w:rsidRPr="00E03BFA" w:rsidRDefault="00E03BFA" w:rsidP="000E7926">
            <w:pPr>
              <w:spacing w:after="160" w:line="360" w:lineRule="auto"/>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Local Businesses</w:t>
            </w:r>
          </w:p>
        </w:tc>
        <w:tc>
          <w:tcPr>
            <w:tcW w:w="2694" w:type="dxa"/>
            <w:hideMark/>
          </w:tcPr>
          <w:p w14:paraId="3D960BC1" w14:textId="77777777" w:rsidR="00E03BFA" w:rsidRPr="00E03BFA" w:rsidRDefault="00E03BFA"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Tourist routes, signage, deliveries</w:t>
            </w:r>
          </w:p>
        </w:tc>
        <w:tc>
          <w:tcPr>
            <w:tcW w:w="3196" w:type="dxa"/>
            <w:hideMark/>
          </w:tcPr>
          <w:p w14:paraId="404DAFF9" w14:textId="77777777" w:rsidR="00E03BFA" w:rsidRPr="00E03BFA" w:rsidRDefault="00E03BFA"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Email bulletin + short phone call</w:t>
            </w:r>
          </w:p>
        </w:tc>
        <w:tc>
          <w:tcPr>
            <w:tcW w:w="0" w:type="auto"/>
            <w:hideMark/>
          </w:tcPr>
          <w:p w14:paraId="7F64BA85" w14:textId="77777777" w:rsidR="00E03BFA" w:rsidRPr="00E03BFA" w:rsidRDefault="00E03BFA"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Before busy seasons</w:t>
            </w:r>
          </w:p>
        </w:tc>
      </w:tr>
      <w:tr w:rsidR="000E7926" w:rsidRPr="000E7926" w14:paraId="1F06CE9F" w14:textId="77777777" w:rsidTr="00E03BFA">
        <w:tc>
          <w:tcPr>
            <w:cnfStyle w:val="001000000000" w:firstRow="0" w:lastRow="0" w:firstColumn="1" w:lastColumn="0" w:oddVBand="0" w:evenVBand="0" w:oddHBand="0" w:evenHBand="0" w:firstRowFirstColumn="0" w:firstRowLastColumn="0" w:lastRowFirstColumn="0" w:lastRowLastColumn="0"/>
            <w:tcW w:w="1696" w:type="dxa"/>
            <w:hideMark/>
          </w:tcPr>
          <w:p w14:paraId="0334FBAC" w14:textId="77777777" w:rsidR="00E03BFA" w:rsidRPr="00E03BFA" w:rsidRDefault="00E03BFA" w:rsidP="000E7926">
            <w:pPr>
              <w:spacing w:after="160" w:line="360" w:lineRule="auto"/>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NGOs / Botanists</w:t>
            </w:r>
          </w:p>
        </w:tc>
        <w:tc>
          <w:tcPr>
            <w:tcW w:w="2694" w:type="dxa"/>
            <w:hideMark/>
          </w:tcPr>
          <w:p w14:paraId="22A79674" w14:textId="77777777" w:rsidR="00E03BFA" w:rsidRPr="00E03BFA" w:rsidRDefault="00E03BFA"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Habitats, planting, species care</w:t>
            </w:r>
          </w:p>
        </w:tc>
        <w:tc>
          <w:tcPr>
            <w:tcW w:w="3196" w:type="dxa"/>
            <w:hideMark/>
          </w:tcPr>
          <w:p w14:paraId="1243B6FD" w14:textId="77777777" w:rsidR="00E03BFA" w:rsidRPr="00E03BFA" w:rsidRDefault="00E03BFA"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Email with data sheets</w:t>
            </w:r>
          </w:p>
        </w:tc>
        <w:tc>
          <w:tcPr>
            <w:tcW w:w="0" w:type="auto"/>
            <w:hideMark/>
          </w:tcPr>
          <w:p w14:paraId="4ACFC008" w14:textId="77777777" w:rsidR="00E03BFA" w:rsidRPr="00E03BFA" w:rsidRDefault="00E03BFA" w:rsidP="000E7926">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During design</w:t>
            </w:r>
          </w:p>
        </w:tc>
      </w:tr>
      <w:tr w:rsidR="000E7926" w:rsidRPr="000E7926" w14:paraId="4FD52E5C" w14:textId="77777777" w:rsidTr="00E03B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hideMark/>
          </w:tcPr>
          <w:p w14:paraId="633169D3" w14:textId="77777777" w:rsidR="00E03BFA" w:rsidRPr="00E03BFA" w:rsidRDefault="00E03BFA" w:rsidP="000E7926">
            <w:pPr>
              <w:spacing w:after="160" w:line="360" w:lineRule="auto"/>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General Visitors</w:t>
            </w:r>
          </w:p>
        </w:tc>
        <w:tc>
          <w:tcPr>
            <w:tcW w:w="2694" w:type="dxa"/>
            <w:hideMark/>
          </w:tcPr>
          <w:p w14:paraId="79B5A91A" w14:textId="77777777" w:rsidR="00E03BFA" w:rsidRPr="00E03BFA" w:rsidRDefault="00E03BFA"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Detours, gate changes, facilities</w:t>
            </w:r>
          </w:p>
        </w:tc>
        <w:tc>
          <w:tcPr>
            <w:tcW w:w="3196" w:type="dxa"/>
            <w:hideMark/>
          </w:tcPr>
          <w:p w14:paraId="49254866" w14:textId="77777777" w:rsidR="00E03BFA" w:rsidRPr="00E03BFA" w:rsidRDefault="00E03BFA"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Posters + notice in transport newspaper</w:t>
            </w:r>
          </w:p>
        </w:tc>
        <w:tc>
          <w:tcPr>
            <w:tcW w:w="0" w:type="auto"/>
            <w:hideMark/>
          </w:tcPr>
          <w:p w14:paraId="365757EF" w14:textId="77777777" w:rsidR="00E03BFA" w:rsidRPr="00E03BFA" w:rsidRDefault="00E03BFA" w:rsidP="000E7926">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rPr>
            </w:pPr>
            <w:r w:rsidRPr="00E03BFA">
              <w:rPr>
                <w:rFonts w:ascii="Times New Roman" w:hAnsi="Times New Roman" w:cs="Times New Roman"/>
                <w:color w:val="000000" w:themeColor="text1"/>
                <w:szCs w:val="24"/>
              </w:rPr>
              <w:t>One month before change</w:t>
            </w:r>
          </w:p>
        </w:tc>
      </w:tr>
    </w:tbl>
    <w:p w14:paraId="5EBD3761" w14:textId="77777777" w:rsidR="006130C5" w:rsidRPr="000E7926" w:rsidRDefault="006130C5" w:rsidP="000E7926">
      <w:pPr>
        <w:rPr>
          <w:rFonts w:ascii="Times New Roman" w:hAnsi="Times New Roman" w:cs="Times New Roman"/>
          <w:color w:val="000000" w:themeColor="text1"/>
          <w:szCs w:val="24"/>
        </w:rPr>
      </w:pPr>
    </w:p>
    <w:p w14:paraId="759F4C31" w14:textId="2EECAFC7" w:rsidR="00EC2395" w:rsidRPr="000E7926" w:rsidRDefault="00EC2395"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These communication and consultation choices are a reflection of how the different groups engage with Kensington Gardens and how they process public information. The email and written letter to Royal Parks and the two councils is for a formal record of governance and decision-making for external works. Clarity in verbal communication can dispel ambiguity. Public bodies write contracts clearly. Researchers found use of written communication reduced disagreement in public procurement (Lee &amp; Cooper, 2020). Using email plus a phone call can protect both sides by documenting everything and allowing immediate negotiation of changes.</w:t>
      </w:r>
    </w:p>
    <w:p w14:paraId="20B81037" w14:textId="26EC7F31" w:rsidR="00EC2395" w:rsidRPr="000E7926" w:rsidRDefault="00EC2395"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Unlike them, the </w:t>
      </w:r>
      <w:proofErr w:type="gramStart"/>
      <w:r w:rsidRPr="000E7926">
        <w:rPr>
          <w:rFonts w:ascii="Times New Roman" w:hAnsi="Times New Roman" w:cs="Times New Roman"/>
          <w:color w:val="000000" w:themeColor="text1"/>
          <w:szCs w:val="24"/>
        </w:rPr>
        <w:t>Mayor's</w:t>
      </w:r>
      <w:proofErr w:type="gramEnd"/>
      <w:r w:rsidRPr="000E7926">
        <w:rPr>
          <w:rFonts w:ascii="Times New Roman" w:hAnsi="Times New Roman" w:cs="Times New Roman"/>
          <w:color w:val="000000" w:themeColor="text1"/>
          <w:szCs w:val="24"/>
        </w:rPr>
        <w:t xml:space="preserve"> team and heritage bodies only receive letters at key </w:t>
      </w:r>
      <w:proofErr w:type="gramStart"/>
      <w:r w:rsidRPr="000E7926">
        <w:rPr>
          <w:rFonts w:ascii="Times New Roman" w:hAnsi="Times New Roman" w:cs="Times New Roman"/>
          <w:color w:val="000000" w:themeColor="text1"/>
          <w:szCs w:val="24"/>
        </w:rPr>
        <w:t>moments, and</w:t>
      </w:r>
      <w:proofErr w:type="gramEnd"/>
      <w:r w:rsidRPr="000E7926">
        <w:rPr>
          <w:rFonts w:ascii="Times New Roman" w:hAnsi="Times New Roman" w:cs="Times New Roman"/>
          <w:color w:val="000000" w:themeColor="text1"/>
          <w:szCs w:val="24"/>
        </w:rPr>
        <w:t xml:space="preserve"> are in a regulatory rather than operational role. They do not need to update regularly, since they need only respond when any of the policies or protected assets are affected. Letters save time, and affirm legal compliance. Urban planners prefer written to spoken explanation as it protects their decisions from politics (Healey, 2010).</w:t>
      </w:r>
    </w:p>
    <w:p w14:paraId="137DE40A" w14:textId="6A3707C2" w:rsidR="00EC2395" w:rsidRPr="000E7926" w:rsidRDefault="00EC2395"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Residents are not reliant on policy documents, but are affected by practical issues such as noise, light schedules and path closures. The letters are mailed because many Kensington residents do not use email lists and live in shared rentals and older properties. Having a hotline number allows for rapid feedback, especially at night when people might feel unsafe or disturbed. Community-based research suggests people tend to trust paper communication when they lack access to online planning (Jones &amp; Stokes, 2022). </w:t>
      </w:r>
    </w:p>
    <w:p w14:paraId="015DE71A" w14:textId="59A3566A" w:rsidR="00E03BFA" w:rsidRPr="000E7926" w:rsidRDefault="00EC2395"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lastRenderedPageBreak/>
        <w:t>Local businesses receive short phone calls and summaries via email due to their financial stake in changing visitor patterns. Cafe and hotel businesses rely on customers, and delivery times vary based on specific days. Digital newsletters provide them with quick information, but a phone call could harm the economy.</w:t>
      </w:r>
      <w:r w:rsidR="00A45E8D" w:rsidRPr="000E7926">
        <w:rPr>
          <w:rFonts w:ascii="Times New Roman" w:hAnsi="Times New Roman" w:cs="Times New Roman"/>
          <w:color w:val="000000" w:themeColor="text1"/>
          <w:szCs w:val="24"/>
        </w:rPr>
        <w:t xml:space="preserve"> </w:t>
      </w:r>
      <w:r w:rsidRPr="000E7926">
        <w:rPr>
          <w:rFonts w:ascii="Times New Roman" w:hAnsi="Times New Roman" w:cs="Times New Roman"/>
          <w:color w:val="000000" w:themeColor="text1"/>
          <w:szCs w:val="24"/>
        </w:rPr>
        <w:t>General audiences are reached via TfL's posters and newspapers. Websites are poorly used by most tourists, so posters and other print are used, as they reach people at a time when conformity is more likely.</w:t>
      </w:r>
    </w:p>
    <w:p w14:paraId="248098AD" w14:textId="125D71DA" w:rsidR="006130C5" w:rsidRPr="000E7926" w:rsidRDefault="003D314D" w:rsidP="000E7926">
      <w:pPr>
        <w:pStyle w:val="Heading1"/>
        <w:rPr>
          <w:rFonts w:ascii="Times New Roman" w:hAnsi="Times New Roman" w:cs="Times New Roman"/>
          <w:color w:val="000000" w:themeColor="text1"/>
          <w:sz w:val="24"/>
          <w:szCs w:val="24"/>
        </w:rPr>
      </w:pPr>
      <w:bookmarkStart w:id="12" w:name="_Toc214467677"/>
      <w:r w:rsidRPr="000E7926">
        <w:rPr>
          <w:rFonts w:ascii="Times New Roman" w:hAnsi="Times New Roman" w:cs="Times New Roman"/>
          <w:color w:val="000000" w:themeColor="text1"/>
          <w:sz w:val="24"/>
          <w:szCs w:val="24"/>
        </w:rPr>
        <w:t>Element 3: Ethical Consideration in Stakeholder Consultation, Participation and Feedback</w:t>
      </w:r>
      <w:bookmarkEnd w:id="12"/>
    </w:p>
    <w:p w14:paraId="1F270291" w14:textId="77777777" w:rsidR="00EB6E8F" w:rsidRPr="000E7926" w:rsidRDefault="00EB6E8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All aspects of a public consultation on the Kensington Gardens Community Renewal Project have a responsibility to meet ethical standards regarding public participation, equity, representation and accountability, and to engage without barrier or limitation on the basis of age, wealth, mobility, language, or access to technology. This section details how consultation takes place, the ethical risks involved, and how feedback will be fairly and proportionally scrutinized.</w:t>
      </w:r>
    </w:p>
    <w:p w14:paraId="369A3138" w14:textId="537670D8" w:rsidR="00EB6E8F" w:rsidRPr="000E7926" w:rsidRDefault="004E34E4" w:rsidP="000E7926">
      <w:pPr>
        <w:pStyle w:val="Heading1"/>
        <w:rPr>
          <w:rFonts w:ascii="Times New Roman" w:hAnsi="Times New Roman" w:cs="Times New Roman"/>
          <w:color w:val="000000" w:themeColor="text1"/>
          <w:sz w:val="24"/>
          <w:szCs w:val="24"/>
          <w:u w:val="none"/>
        </w:rPr>
      </w:pPr>
      <w:bookmarkStart w:id="13" w:name="_Toc214467678"/>
      <w:r w:rsidRPr="000E7926">
        <w:rPr>
          <w:rFonts w:ascii="Times New Roman" w:hAnsi="Times New Roman" w:cs="Times New Roman"/>
          <w:color w:val="000000" w:themeColor="text1"/>
          <w:sz w:val="24"/>
          <w:szCs w:val="24"/>
          <w:u w:val="none"/>
        </w:rPr>
        <w:t>1. Ethical Design of Consultation Methods</w:t>
      </w:r>
      <w:bookmarkEnd w:id="13"/>
    </w:p>
    <w:p w14:paraId="5BE3EB44" w14:textId="4325FA2D" w:rsidR="00EB6E8F" w:rsidRPr="000E7926" w:rsidRDefault="00EB6E8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Since there are different ways of experiencing the Gardens' sites, it has been impossible for the consultations to be restricted to a single methodology. These consultations have included telephone surveys, kiosks in the Gardens, letters, expert reviews, and short interviews with tourists. This prevents them from only reaching people with good digital access. Empirical studies on public space consultations have found online-only approaches may leave out older residents, migrants and </w:t>
      </w:r>
      <w:proofErr w:type="gramStart"/>
      <w:r w:rsidRPr="000E7926">
        <w:rPr>
          <w:rFonts w:ascii="Times New Roman" w:hAnsi="Times New Roman" w:cs="Times New Roman"/>
          <w:color w:val="000000" w:themeColor="text1"/>
          <w:szCs w:val="24"/>
        </w:rPr>
        <w:t>low income</w:t>
      </w:r>
      <w:proofErr w:type="gramEnd"/>
      <w:r w:rsidRPr="000E7926">
        <w:rPr>
          <w:rFonts w:ascii="Times New Roman" w:hAnsi="Times New Roman" w:cs="Times New Roman"/>
          <w:color w:val="000000" w:themeColor="text1"/>
          <w:szCs w:val="24"/>
        </w:rPr>
        <w:t xml:space="preserve"> renters if those groups do not use council webpages and apps (Jones &amp; Stokes, 2022). Its ethical design is composed of physical and verbal options.</w:t>
      </w:r>
    </w:p>
    <w:p w14:paraId="51C564E5" w14:textId="77777777" w:rsidR="00EB6E8F" w:rsidRPr="000E7926" w:rsidRDefault="00EB6E8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There is also a staged consultation: it first approaches residents and daily users, to ensure that expert knowledge does not override lived experience too early in the process. For example, volunteers test planting maintenance before botanists finalize species. Ethical practice prevents silencing by expertise, only using technical experts at the end of planning processes when they help refine the plan rather than directly guide it.</w:t>
      </w:r>
    </w:p>
    <w:p w14:paraId="1CBC9330" w14:textId="1D3EB84F" w:rsidR="00EB6E8F" w:rsidRPr="000E7926" w:rsidRDefault="004E34E4" w:rsidP="000E7926">
      <w:pPr>
        <w:pStyle w:val="Heading1"/>
        <w:rPr>
          <w:rFonts w:ascii="Times New Roman" w:hAnsi="Times New Roman" w:cs="Times New Roman"/>
          <w:color w:val="000000" w:themeColor="text1"/>
          <w:sz w:val="24"/>
          <w:szCs w:val="24"/>
          <w:u w:val="none"/>
        </w:rPr>
      </w:pPr>
      <w:bookmarkStart w:id="14" w:name="_Toc214467679"/>
      <w:r w:rsidRPr="000E7926">
        <w:rPr>
          <w:rFonts w:ascii="Times New Roman" w:hAnsi="Times New Roman" w:cs="Times New Roman"/>
          <w:color w:val="000000" w:themeColor="text1"/>
          <w:sz w:val="24"/>
          <w:szCs w:val="24"/>
          <w:u w:val="none"/>
        </w:rPr>
        <w:t>2. Bias and Representation in Data Collection</w:t>
      </w:r>
      <w:bookmarkEnd w:id="14"/>
    </w:p>
    <w:p w14:paraId="5E9276BE" w14:textId="1C0FADE3" w:rsidR="00EB6E8F" w:rsidRPr="000E7926" w:rsidRDefault="00EB6E8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If the engagement is based on who responds, it risks only hearing from those with loud voices. For that reason, public meetings will not be used to collect the data as this avenue is biased towards confident speakers, homeowners and native speakers of English (Healey, </w:t>
      </w:r>
      <w:r w:rsidRPr="000E7926">
        <w:rPr>
          <w:rFonts w:ascii="Times New Roman" w:hAnsi="Times New Roman" w:cs="Times New Roman"/>
          <w:color w:val="000000" w:themeColor="text1"/>
          <w:szCs w:val="24"/>
        </w:rPr>
        <w:lastRenderedPageBreak/>
        <w:t>2010). Short telephone calls, voting cards, and other measures at kiosks which do not require literacy will be used in order to counteract this bias. Language will not be a barrier to participation. Closed questions (e.g. on the hours of lighting preferred or the safest routes) will help, while telephone interpretation in the evening, the main period when migrant workers are free, will make participation more equal, without calling people from some groups 'hard to reach'.</w:t>
      </w:r>
    </w:p>
    <w:p w14:paraId="33E23D4D" w14:textId="77777777" w:rsidR="00EB6E8F" w:rsidRPr="000E7926" w:rsidRDefault="00EB6E8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Furthermore, bias may be introduced by park staff attitudes. All staff collecting responses will use the same standardized script with no persuasive language. Staff must not cue preferred answers, must record answers even when disagreeing, and must not let their personal bias influence the study. All staff will sign a brief ethics statement agreeing not to influence comments.</w:t>
      </w:r>
    </w:p>
    <w:p w14:paraId="09568A7E" w14:textId="1F8511B3" w:rsidR="00EB6E8F" w:rsidRPr="000E7926" w:rsidRDefault="00EB2323" w:rsidP="000E7926">
      <w:pPr>
        <w:pStyle w:val="Heading1"/>
        <w:rPr>
          <w:rFonts w:ascii="Times New Roman" w:hAnsi="Times New Roman" w:cs="Times New Roman"/>
          <w:color w:val="000000" w:themeColor="text1"/>
          <w:sz w:val="24"/>
          <w:szCs w:val="24"/>
          <w:u w:val="none"/>
        </w:rPr>
      </w:pPr>
      <w:bookmarkStart w:id="15" w:name="_Toc214467680"/>
      <w:r w:rsidRPr="000E7926">
        <w:rPr>
          <w:rFonts w:ascii="Times New Roman" w:hAnsi="Times New Roman" w:cs="Times New Roman"/>
          <w:color w:val="000000" w:themeColor="text1"/>
          <w:sz w:val="24"/>
          <w:szCs w:val="24"/>
          <w:u w:val="none"/>
        </w:rPr>
        <w:t>3. Diversity, Equity and Inclusion (DEI) in Participation</w:t>
      </w:r>
      <w:bookmarkEnd w:id="15"/>
    </w:p>
    <w:p w14:paraId="5567D993" w14:textId="3C5CDFEF" w:rsidR="00EB6E8F" w:rsidRPr="000E7926" w:rsidRDefault="00EB6E8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Part of DEI is </w:t>
      </w:r>
      <w:r w:rsidR="00EB2323" w:rsidRPr="000E7926">
        <w:rPr>
          <w:rFonts w:ascii="Times New Roman" w:hAnsi="Times New Roman" w:cs="Times New Roman"/>
          <w:color w:val="000000" w:themeColor="text1"/>
          <w:szCs w:val="24"/>
        </w:rPr>
        <w:t>about</w:t>
      </w:r>
      <w:r w:rsidRPr="000E7926">
        <w:rPr>
          <w:rFonts w:ascii="Times New Roman" w:hAnsi="Times New Roman" w:cs="Times New Roman"/>
          <w:color w:val="000000" w:themeColor="text1"/>
          <w:szCs w:val="24"/>
        </w:rPr>
        <w:t xml:space="preserve"> how the invitation is designed. For this project, the printed invitation will be translated into the three languages that census data show are common among Kensington households and workers. For example, lighting hours, path closures and toilet access are translated but text in these cases is kept brief and concise to maintain equal access to key information for safety/health and wellbeing.</w:t>
      </w:r>
      <w:r w:rsidR="0071672B" w:rsidRPr="000E7926">
        <w:rPr>
          <w:rFonts w:ascii="Times New Roman" w:hAnsi="Times New Roman" w:cs="Times New Roman"/>
          <w:color w:val="000000" w:themeColor="text1"/>
          <w:szCs w:val="24"/>
        </w:rPr>
        <w:t xml:space="preserve"> Urban mobility studies argue that visitors and commuters are “situational users” who deserve equal representation because their experience shapes how public space works in practice (Amin &amp; Thrift, 2017).</w:t>
      </w:r>
    </w:p>
    <w:p w14:paraId="472AE012" w14:textId="65C941B2" w:rsidR="00EB6E8F" w:rsidRPr="000E7926" w:rsidRDefault="00EB6E8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A separate DEI category would be for tourists and commuters. </w:t>
      </w:r>
      <w:r w:rsidR="00D83A2E" w:rsidRPr="000E7926">
        <w:rPr>
          <w:rFonts w:ascii="Times New Roman" w:hAnsi="Times New Roman" w:cs="Times New Roman"/>
          <w:color w:val="000000" w:themeColor="text1"/>
          <w:szCs w:val="24"/>
        </w:rPr>
        <w:t xml:space="preserve">Research shows that translated public notices improve participation in urban planning because they help non-native speakers understand safety-related information quickly (Phillips &amp; Udegbe, 2020). </w:t>
      </w:r>
      <w:r w:rsidRPr="000E7926">
        <w:rPr>
          <w:rFonts w:ascii="Times New Roman" w:hAnsi="Times New Roman" w:cs="Times New Roman"/>
          <w:color w:val="000000" w:themeColor="text1"/>
          <w:szCs w:val="24"/>
        </w:rPr>
        <w:t>These groups, while not residents, could be seen as a part of the community since they use the park on weekends and summer days. Exclusion could privilege homeowners over street users. Accordingly,</w:t>
      </w:r>
      <w:r w:rsidR="00E873AF" w:rsidRPr="000E7926">
        <w:rPr>
          <w:rFonts w:ascii="Times New Roman" w:hAnsi="Times New Roman" w:cs="Times New Roman"/>
          <w:color w:val="000000" w:themeColor="text1"/>
          <w:szCs w:val="24"/>
        </w:rPr>
        <w:t xml:space="preserve"> </w:t>
      </w:r>
      <w:r w:rsidRPr="000E7926">
        <w:rPr>
          <w:rFonts w:ascii="Times New Roman" w:hAnsi="Times New Roman" w:cs="Times New Roman"/>
          <w:color w:val="000000" w:themeColor="text1"/>
          <w:szCs w:val="24"/>
        </w:rPr>
        <w:t xml:space="preserve">will </w:t>
      </w:r>
      <w:r w:rsidR="00E873AF" w:rsidRPr="000E7926">
        <w:rPr>
          <w:rFonts w:ascii="Times New Roman" w:hAnsi="Times New Roman" w:cs="Times New Roman"/>
          <w:color w:val="000000" w:themeColor="text1"/>
          <w:szCs w:val="24"/>
        </w:rPr>
        <w:t>be</w:t>
      </w:r>
      <w:r w:rsidRPr="000E7926">
        <w:rPr>
          <w:rFonts w:ascii="Times New Roman" w:hAnsi="Times New Roman" w:cs="Times New Roman"/>
          <w:color w:val="000000" w:themeColor="text1"/>
          <w:szCs w:val="24"/>
        </w:rPr>
        <w:t xml:space="preserve"> conduct</w:t>
      </w:r>
      <w:r w:rsidR="00E873AF" w:rsidRPr="000E7926">
        <w:rPr>
          <w:rFonts w:ascii="Times New Roman" w:hAnsi="Times New Roman" w:cs="Times New Roman"/>
          <w:color w:val="000000" w:themeColor="text1"/>
          <w:szCs w:val="24"/>
        </w:rPr>
        <w:t>ed as well</w:t>
      </w:r>
      <w:r w:rsidRPr="000E7926">
        <w:rPr>
          <w:rFonts w:ascii="Times New Roman" w:hAnsi="Times New Roman" w:cs="Times New Roman"/>
          <w:color w:val="000000" w:themeColor="text1"/>
          <w:szCs w:val="24"/>
        </w:rPr>
        <w:t xml:space="preserve"> short street interviews and post QR survey posters at transportation stops. Tourists need not be overburdened with long questionnaires, but only be asked to report congestion, confusing signs, or a lack of toilets for the short time they visit.</w:t>
      </w:r>
    </w:p>
    <w:p w14:paraId="683C83C5" w14:textId="628C7998" w:rsidR="00EB6E8F" w:rsidRPr="000E7926" w:rsidRDefault="004E351C" w:rsidP="000E7926">
      <w:pPr>
        <w:pStyle w:val="Heading1"/>
        <w:rPr>
          <w:rFonts w:ascii="Times New Roman" w:hAnsi="Times New Roman" w:cs="Times New Roman"/>
          <w:color w:val="000000" w:themeColor="text1"/>
          <w:sz w:val="24"/>
          <w:szCs w:val="24"/>
          <w:u w:val="none"/>
        </w:rPr>
      </w:pPr>
      <w:bookmarkStart w:id="16" w:name="_Toc214467681"/>
      <w:r w:rsidRPr="000E7926">
        <w:rPr>
          <w:rFonts w:ascii="Times New Roman" w:hAnsi="Times New Roman" w:cs="Times New Roman"/>
          <w:color w:val="000000" w:themeColor="text1"/>
          <w:sz w:val="24"/>
          <w:szCs w:val="24"/>
          <w:u w:val="none"/>
        </w:rPr>
        <w:t>4. Ethical Review of Feedback and Decision-Making</w:t>
      </w:r>
      <w:bookmarkEnd w:id="16"/>
    </w:p>
    <w:p w14:paraId="0558FF82" w14:textId="204F7D4B" w:rsidR="00EB6E8F" w:rsidRPr="000E7926" w:rsidRDefault="00EB6E8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Ethical feedback does not involve an attempt to influence the project, but instead, the project will </w:t>
      </w:r>
      <w:proofErr w:type="spellStart"/>
      <w:r w:rsidRPr="000E7926">
        <w:rPr>
          <w:rFonts w:ascii="Times New Roman" w:hAnsi="Times New Roman" w:cs="Times New Roman"/>
          <w:color w:val="000000" w:themeColor="text1"/>
          <w:szCs w:val="24"/>
        </w:rPr>
        <w:t>weight</w:t>
      </w:r>
      <w:proofErr w:type="spellEnd"/>
      <w:r w:rsidRPr="000E7926">
        <w:rPr>
          <w:rFonts w:ascii="Times New Roman" w:hAnsi="Times New Roman" w:cs="Times New Roman"/>
          <w:color w:val="000000" w:themeColor="text1"/>
          <w:szCs w:val="24"/>
        </w:rPr>
        <w:t xml:space="preserve"> the group's responses according to how often the group uses the park. </w:t>
      </w:r>
      <w:r w:rsidR="00691810" w:rsidRPr="000E7926">
        <w:rPr>
          <w:rFonts w:ascii="Times New Roman" w:hAnsi="Times New Roman" w:cs="Times New Roman"/>
          <w:color w:val="000000" w:themeColor="text1"/>
          <w:szCs w:val="24"/>
        </w:rPr>
        <w:t xml:space="preserve">Research on visitor consultation recommends short, low-burden surveys in public spaces because </w:t>
      </w:r>
      <w:r w:rsidR="00691810" w:rsidRPr="000E7926">
        <w:rPr>
          <w:rFonts w:ascii="Times New Roman" w:hAnsi="Times New Roman" w:cs="Times New Roman"/>
          <w:color w:val="000000" w:themeColor="text1"/>
          <w:szCs w:val="24"/>
        </w:rPr>
        <w:lastRenderedPageBreak/>
        <w:t xml:space="preserve">tourists cannot engage with long questionnaires (Gibson &amp; Wong, 2021). </w:t>
      </w:r>
      <w:r w:rsidRPr="000E7926">
        <w:rPr>
          <w:rFonts w:ascii="Times New Roman" w:hAnsi="Times New Roman" w:cs="Times New Roman"/>
          <w:color w:val="000000" w:themeColor="text1"/>
          <w:szCs w:val="24"/>
        </w:rPr>
        <w:t>A volunteer who weeded lawns weekly perhaps deserves to be consulted more than a one-time tourist, making sense with ethics to prevent sensationalism from trumping environmental protection.</w:t>
      </w:r>
      <w:r w:rsidR="00691810" w:rsidRPr="000E7926">
        <w:rPr>
          <w:rFonts w:ascii="Times New Roman" w:hAnsi="Times New Roman" w:cs="Times New Roman"/>
          <w:color w:val="000000" w:themeColor="text1"/>
          <w:szCs w:val="24"/>
        </w:rPr>
        <w:t xml:space="preserve"> </w:t>
      </w:r>
    </w:p>
    <w:p w14:paraId="39F60170" w14:textId="179A6DD8" w:rsidR="006130C5" w:rsidRPr="000E7926" w:rsidRDefault="00EB6E8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Results will be published in a public consultation report, which will be available online and in local park gates, showing which ideas have been accepted or rejected and providing further reasoning in the case of rejection so that teams don't feel dismissed. </w:t>
      </w:r>
    </w:p>
    <w:p w14:paraId="3BBAA55F" w14:textId="77777777" w:rsidR="006130C5" w:rsidRPr="000E7926" w:rsidRDefault="006130C5" w:rsidP="000E7926">
      <w:pPr>
        <w:rPr>
          <w:rFonts w:ascii="Times New Roman" w:hAnsi="Times New Roman" w:cs="Times New Roman"/>
          <w:color w:val="000000" w:themeColor="text1"/>
          <w:szCs w:val="24"/>
        </w:rPr>
      </w:pPr>
    </w:p>
    <w:p w14:paraId="4216C175" w14:textId="6F813E99" w:rsidR="006130C5" w:rsidRPr="000E7926" w:rsidRDefault="00EF6E6E" w:rsidP="000E7926">
      <w:pPr>
        <w:pStyle w:val="Heading1"/>
        <w:rPr>
          <w:rFonts w:ascii="Times New Roman" w:hAnsi="Times New Roman" w:cs="Times New Roman"/>
          <w:color w:val="000000" w:themeColor="text1"/>
          <w:sz w:val="24"/>
          <w:szCs w:val="24"/>
        </w:rPr>
      </w:pPr>
      <w:bookmarkStart w:id="17" w:name="_Toc214467682"/>
      <w:r w:rsidRPr="000E7926">
        <w:rPr>
          <w:rFonts w:ascii="Times New Roman" w:hAnsi="Times New Roman" w:cs="Times New Roman"/>
          <w:color w:val="000000" w:themeColor="text1"/>
          <w:sz w:val="24"/>
          <w:szCs w:val="24"/>
        </w:rPr>
        <w:t>Element 4: Conclusion and Reflection</w:t>
      </w:r>
      <w:bookmarkEnd w:id="17"/>
    </w:p>
    <w:p w14:paraId="3FDD1831" w14:textId="12E832BA" w:rsidR="002D361F" w:rsidRPr="000E7926" w:rsidRDefault="002D361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It taught me that stakeholder engagement is not just a stage of the planning process but a constant negotiation between knowledge, authority and everyday </w:t>
      </w:r>
      <w:proofErr w:type="spellStart"/>
      <w:r w:rsidRPr="000E7926">
        <w:rPr>
          <w:rFonts w:ascii="Times New Roman" w:hAnsi="Times New Roman" w:cs="Times New Roman"/>
          <w:color w:val="000000" w:themeColor="text1"/>
          <w:szCs w:val="24"/>
        </w:rPr>
        <w:t>behavior</w:t>
      </w:r>
      <w:proofErr w:type="spellEnd"/>
      <w:r w:rsidRPr="000E7926">
        <w:rPr>
          <w:rFonts w:ascii="Times New Roman" w:hAnsi="Times New Roman" w:cs="Times New Roman"/>
          <w:color w:val="000000" w:themeColor="text1"/>
          <w:szCs w:val="24"/>
        </w:rPr>
        <w:t>: that while good engagement can lock in value for the future of the park, poor engagement often creates more problems than it solves.</w:t>
      </w:r>
    </w:p>
    <w:p w14:paraId="38F1402A" w14:textId="5729A1B6" w:rsidR="002D361F" w:rsidRPr="000E7926" w:rsidRDefault="002D361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Another benefit is the realization that consultation can provide information which the experts know, but overlook. If a place is used regularly, users may be first to notice problems. Volunteers, or every day walkers, will notice the puddling in the unpaved forest, or the shortcut trail through the grass, or overflowing rubbish bins because of a day's extra visitors. None of that is in a policy paper. Good engagement turns these everyday observations into good evidence for decisions. I assumed experts should lead consultation first. Now, I see that expertise must be grounded in lived experience.</w:t>
      </w:r>
    </w:p>
    <w:p w14:paraId="57EF5B9E" w14:textId="74D6F14B" w:rsidR="002D361F" w:rsidRPr="000E7926" w:rsidRDefault="002D361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Another positive understanding is that fairness does not mean treating all groups equally. When communicating with different groups, using different means of communication can increase equity. For example, tourists need street interviews and ad hoc QR posters; because they are not involved in proactive preparation, but residents need printed letters and dedicated hotline numbers; because they are the ones exposed to night-time safety and the effects of events. Thus, the plan can both avoid unnecessary details for some members of the audience, while providing useful detail for others.</w:t>
      </w:r>
    </w:p>
    <w:p w14:paraId="0C3A148A" w14:textId="3C5786E0" w:rsidR="002D361F" w:rsidRPr="000E7926" w:rsidRDefault="002D361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The process demonstrated that participation can also be distorted and that if no measures are taken then individuals with greater confidence, with more advanced English skills or with more spare time will predominate. It was also shown that telephone interviews, drop-in booths or letters may reduce, but not eliminate, distortions as some social groups may respond less for other reasons, such as lack of time, lack of trust or lack of information. Such </w:t>
      </w:r>
      <w:r w:rsidRPr="000E7926">
        <w:rPr>
          <w:rFonts w:ascii="Times New Roman" w:hAnsi="Times New Roman" w:cs="Times New Roman"/>
          <w:color w:val="000000" w:themeColor="text1"/>
          <w:szCs w:val="24"/>
        </w:rPr>
        <w:lastRenderedPageBreak/>
        <w:t>a method may also run the risk of giving undue voice to people with social power (such as homeowners), while marginalizing others (such as renters, migrant workers, or commuters).</w:t>
      </w:r>
    </w:p>
    <w:p w14:paraId="50FCA3DC" w14:textId="591425F1" w:rsidR="002D361F" w:rsidRPr="000E7926" w:rsidRDefault="002D361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Likewise, I have also learned that suggestions shared may not necessarily lead to constructive outcomes, as they often stem from momentary frustrations. To take an extreme example, the view of a tourist complaining of long queues is not equal to the view of a gardener who wants to avoid soil disturbance when using spades. Equal consultation would reduce the debates to popularity competitions, and decisions that seem right for visitors today could erode ecological value tomorrow. From then on, I started to think differently about the "public voice." Not all voices are equally knowledgeable, and ethical judgments, rather than mathematical ones, must be made.</w:t>
      </w:r>
    </w:p>
    <w:p w14:paraId="01EF16D7" w14:textId="2908ABDE" w:rsidR="002D361F" w:rsidRDefault="002D361F"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When I started this project, I thought transparency just meant publishing results and saying thank you. It should also be telling people why we reject their suggestions. When people only see proposed actions they dislike, they will conclude their inputs were disregarded. Providing reasoned rejections makes engagement educational rather than symbolic. People also learn from how decisions protect broader ecological, safety, or heritage needs. Transparency about rejected options builds trust too. The API prevents situations where you every time you request an event or change the path, you automatically get what you requested.</w:t>
      </w:r>
    </w:p>
    <w:p w14:paraId="37ADF92C" w14:textId="77777777" w:rsidR="00253F51" w:rsidRDefault="00253F51" w:rsidP="000E7926">
      <w:pPr>
        <w:rPr>
          <w:rFonts w:ascii="Times New Roman" w:hAnsi="Times New Roman" w:cs="Times New Roman"/>
          <w:color w:val="000000" w:themeColor="text1"/>
          <w:szCs w:val="24"/>
        </w:rPr>
      </w:pPr>
    </w:p>
    <w:p w14:paraId="3F794BFA" w14:textId="77777777" w:rsidR="00253F51" w:rsidRDefault="00253F51" w:rsidP="000E7926">
      <w:pPr>
        <w:rPr>
          <w:rFonts w:ascii="Times New Roman" w:hAnsi="Times New Roman" w:cs="Times New Roman"/>
          <w:color w:val="000000" w:themeColor="text1"/>
          <w:szCs w:val="24"/>
        </w:rPr>
      </w:pPr>
    </w:p>
    <w:p w14:paraId="4B60FE25" w14:textId="77777777" w:rsidR="00253F51" w:rsidRDefault="00253F51" w:rsidP="000E7926">
      <w:pPr>
        <w:rPr>
          <w:rFonts w:ascii="Times New Roman" w:hAnsi="Times New Roman" w:cs="Times New Roman"/>
          <w:color w:val="000000" w:themeColor="text1"/>
          <w:szCs w:val="24"/>
        </w:rPr>
      </w:pPr>
    </w:p>
    <w:p w14:paraId="78A8585E" w14:textId="77777777" w:rsidR="00253F51" w:rsidRDefault="00253F51" w:rsidP="000E7926">
      <w:pPr>
        <w:rPr>
          <w:rFonts w:ascii="Times New Roman" w:hAnsi="Times New Roman" w:cs="Times New Roman"/>
          <w:color w:val="000000" w:themeColor="text1"/>
          <w:szCs w:val="24"/>
        </w:rPr>
      </w:pPr>
    </w:p>
    <w:p w14:paraId="260CC7DC" w14:textId="77777777" w:rsidR="00253F51" w:rsidRDefault="00253F51" w:rsidP="000E7926">
      <w:pPr>
        <w:rPr>
          <w:rFonts w:ascii="Times New Roman" w:hAnsi="Times New Roman" w:cs="Times New Roman"/>
          <w:color w:val="000000" w:themeColor="text1"/>
          <w:szCs w:val="24"/>
        </w:rPr>
      </w:pPr>
    </w:p>
    <w:p w14:paraId="0F273DC2" w14:textId="77777777" w:rsidR="00253F51" w:rsidRDefault="00253F51" w:rsidP="000E7926">
      <w:pPr>
        <w:rPr>
          <w:rFonts w:ascii="Times New Roman" w:hAnsi="Times New Roman" w:cs="Times New Roman"/>
          <w:color w:val="000000" w:themeColor="text1"/>
          <w:szCs w:val="24"/>
        </w:rPr>
      </w:pPr>
    </w:p>
    <w:p w14:paraId="3884D929" w14:textId="77777777" w:rsidR="00253F51" w:rsidRPr="000E7926" w:rsidRDefault="00253F51" w:rsidP="000E7926">
      <w:pPr>
        <w:rPr>
          <w:rFonts w:ascii="Times New Roman" w:hAnsi="Times New Roman" w:cs="Times New Roman"/>
          <w:color w:val="000000" w:themeColor="text1"/>
          <w:szCs w:val="24"/>
        </w:rPr>
      </w:pPr>
    </w:p>
    <w:p w14:paraId="19F06D5A" w14:textId="490930BB" w:rsidR="006130C5" w:rsidRPr="000E7926" w:rsidRDefault="006130C5" w:rsidP="000E7926">
      <w:pPr>
        <w:pStyle w:val="Heading1"/>
        <w:rPr>
          <w:rFonts w:ascii="Times New Roman" w:hAnsi="Times New Roman" w:cs="Times New Roman"/>
          <w:color w:val="000000" w:themeColor="text1"/>
          <w:sz w:val="24"/>
          <w:szCs w:val="24"/>
        </w:rPr>
      </w:pPr>
      <w:bookmarkStart w:id="18" w:name="_Toc214467683"/>
      <w:r w:rsidRPr="000E7926">
        <w:rPr>
          <w:rFonts w:ascii="Times New Roman" w:hAnsi="Times New Roman" w:cs="Times New Roman"/>
          <w:color w:val="000000" w:themeColor="text1"/>
          <w:sz w:val="24"/>
          <w:szCs w:val="24"/>
        </w:rPr>
        <w:t>Reference List</w:t>
      </w:r>
      <w:bookmarkEnd w:id="18"/>
    </w:p>
    <w:p w14:paraId="6D5C9BB0" w14:textId="77777777" w:rsidR="008F317B" w:rsidRPr="000E7926" w:rsidRDefault="008F317B" w:rsidP="000E7926">
      <w:pPr>
        <w:rPr>
          <w:rFonts w:ascii="Times New Roman" w:hAnsi="Times New Roman" w:cs="Times New Roman"/>
          <w:color w:val="000000" w:themeColor="text1"/>
          <w:szCs w:val="24"/>
        </w:rPr>
      </w:pPr>
      <w:proofErr w:type="spellStart"/>
      <w:r w:rsidRPr="000E7926">
        <w:rPr>
          <w:rFonts w:ascii="Times New Roman" w:hAnsi="Times New Roman" w:cs="Times New Roman"/>
          <w:color w:val="000000" w:themeColor="text1"/>
          <w:szCs w:val="24"/>
        </w:rPr>
        <w:t>Chenini</w:t>
      </w:r>
      <w:proofErr w:type="spellEnd"/>
      <w:r w:rsidRPr="000E7926">
        <w:rPr>
          <w:rFonts w:ascii="Times New Roman" w:hAnsi="Times New Roman" w:cs="Times New Roman"/>
          <w:color w:val="000000" w:themeColor="text1"/>
          <w:szCs w:val="24"/>
        </w:rPr>
        <w:t>, A. (2021) ‘Strategic procurement, supplier integration, and speed-to-market’, Production and Operations Management, 30(4), pp. 1028-1045.  Wiley Online Library</w:t>
      </w:r>
    </w:p>
    <w:p w14:paraId="14CD9717" w14:textId="77777777" w:rsidR="008F317B" w:rsidRPr="006130C5" w:rsidRDefault="008F317B" w:rsidP="000E7926">
      <w:pPr>
        <w:rPr>
          <w:rFonts w:ascii="Times New Roman" w:hAnsi="Times New Roman" w:cs="Times New Roman"/>
          <w:color w:val="000000" w:themeColor="text1"/>
          <w:szCs w:val="24"/>
        </w:rPr>
      </w:pPr>
      <w:r w:rsidRPr="006130C5">
        <w:rPr>
          <w:rFonts w:ascii="Times New Roman" w:hAnsi="Times New Roman" w:cs="Times New Roman"/>
          <w:color w:val="000000" w:themeColor="text1"/>
          <w:szCs w:val="24"/>
        </w:rPr>
        <w:lastRenderedPageBreak/>
        <w:t>Consultation principles: guidance - GOV.UK, available at: </w:t>
      </w:r>
      <w:hyperlink r:id="rId14" w:tgtFrame="_blank" w:history="1">
        <w:r w:rsidRPr="006130C5">
          <w:rPr>
            <w:rStyle w:val="Hyperlink"/>
            <w:rFonts w:ascii="Times New Roman" w:hAnsi="Times New Roman" w:cs="Times New Roman"/>
            <w:color w:val="000000" w:themeColor="text1"/>
            <w:szCs w:val="24"/>
          </w:rPr>
          <w:t>https://www.gov.uk/government/publications/consultation-principles-guidance</w:t>
        </w:r>
      </w:hyperlink>
      <w:r w:rsidRPr="006130C5">
        <w:rPr>
          <w:rFonts w:ascii="Times New Roman" w:hAnsi="Times New Roman" w:cs="Times New Roman"/>
          <w:color w:val="000000" w:themeColor="text1"/>
          <w:szCs w:val="24"/>
        </w:rPr>
        <w:t> (Accessed: 19 November 2025).</w:t>
      </w:r>
    </w:p>
    <w:p w14:paraId="2E2A136A" w14:textId="77777777" w:rsidR="008F317B" w:rsidRPr="006130C5" w:rsidRDefault="008F317B" w:rsidP="000E7926">
      <w:pPr>
        <w:rPr>
          <w:rFonts w:ascii="Times New Roman" w:hAnsi="Times New Roman" w:cs="Times New Roman"/>
          <w:color w:val="000000" w:themeColor="text1"/>
          <w:szCs w:val="24"/>
        </w:rPr>
      </w:pPr>
      <w:r w:rsidRPr="006130C5">
        <w:rPr>
          <w:rFonts w:ascii="Times New Roman" w:hAnsi="Times New Roman" w:cs="Times New Roman"/>
          <w:color w:val="000000" w:themeColor="text1"/>
          <w:szCs w:val="24"/>
        </w:rPr>
        <w:t>Consultations - GLAA, available at: </w:t>
      </w:r>
      <w:hyperlink r:id="rId15" w:tgtFrame="_blank" w:history="1">
        <w:r w:rsidRPr="006130C5">
          <w:rPr>
            <w:rStyle w:val="Hyperlink"/>
            <w:rFonts w:ascii="Times New Roman" w:hAnsi="Times New Roman" w:cs="Times New Roman"/>
            <w:color w:val="000000" w:themeColor="text1"/>
            <w:szCs w:val="24"/>
          </w:rPr>
          <w:t>https://www.gla.gov.uk/who-we-are/consultations</w:t>
        </w:r>
      </w:hyperlink>
      <w:r w:rsidRPr="006130C5">
        <w:rPr>
          <w:rFonts w:ascii="Times New Roman" w:hAnsi="Times New Roman" w:cs="Times New Roman"/>
          <w:color w:val="000000" w:themeColor="text1"/>
          <w:szCs w:val="24"/>
        </w:rPr>
        <w:t> (Accessed: 18 November 2025).</w:t>
      </w:r>
    </w:p>
    <w:p w14:paraId="338E09FF" w14:textId="77777777" w:rsidR="008F317B" w:rsidRPr="000E7926" w:rsidRDefault="008F317B"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Firth, K., 2024. London’s Royal Parks. London Assembly Research Unit. Available at: file:///C:/Users/anama/Downloads/London's%20Royal%20Parks%20(3).pdf (Accessed: 18 November 2025). </w:t>
      </w:r>
    </w:p>
    <w:p w14:paraId="6B225A0B" w14:textId="77777777" w:rsidR="008F317B" w:rsidRPr="006130C5" w:rsidRDefault="008F317B"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Gibson, A. &amp; Wong, K. (2021) ‘Tourism feedback strategies in urban public parks’, International Journal of Leisure Studies, 39(1), pp. 22–38. Amin, A. &amp; Thrift, N. (2017) Seeing Like a City. Cambridge: Polity Press.</w:t>
      </w:r>
    </w:p>
    <w:p w14:paraId="1FE5531B" w14:textId="77777777" w:rsidR="008F317B" w:rsidRPr="006130C5" w:rsidRDefault="008F317B" w:rsidP="000E7926">
      <w:pPr>
        <w:rPr>
          <w:rFonts w:ascii="Times New Roman" w:hAnsi="Times New Roman" w:cs="Times New Roman"/>
          <w:color w:val="000000" w:themeColor="text1"/>
          <w:szCs w:val="24"/>
        </w:rPr>
      </w:pPr>
      <w:proofErr w:type="spellStart"/>
      <w:r w:rsidRPr="000E7926">
        <w:rPr>
          <w:rFonts w:ascii="Times New Roman" w:hAnsi="Times New Roman" w:cs="Times New Roman"/>
          <w:color w:val="000000" w:themeColor="text1"/>
          <w:szCs w:val="24"/>
        </w:rPr>
        <w:t>Guenat</w:t>
      </w:r>
      <w:proofErr w:type="spellEnd"/>
      <w:r w:rsidRPr="000E7926">
        <w:rPr>
          <w:rFonts w:ascii="Times New Roman" w:hAnsi="Times New Roman" w:cs="Times New Roman"/>
          <w:color w:val="000000" w:themeColor="text1"/>
          <w:szCs w:val="24"/>
        </w:rPr>
        <w:t xml:space="preserve">, S., Dougill, A. J., Kunin, W. E. &amp; </w:t>
      </w:r>
      <w:proofErr w:type="spellStart"/>
      <w:r w:rsidRPr="000E7926">
        <w:rPr>
          <w:rFonts w:ascii="Times New Roman" w:hAnsi="Times New Roman" w:cs="Times New Roman"/>
          <w:color w:val="000000" w:themeColor="text1"/>
          <w:szCs w:val="24"/>
        </w:rPr>
        <w:t>Dallimer</w:t>
      </w:r>
      <w:proofErr w:type="spellEnd"/>
      <w:r w:rsidRPr="000E7926">
        <w:rPr>
          <w:rFonts w:ascii="Times New Roman" w:hAnsi="Times New Roman" w:cs="Times New Roman"/>
          <w:color w:val="000000" w:themeColor="text1"/>
          <w:szCs w:val="24"/>
        </w:rPr>
        <w:t>, M., 2019. Untangling the motivations of different stakeholders for urban greenspace conservation in sub-Saharan Africa. Available at: https://www.sciencedirect.com/science/article/abs/pii/S2212041618304418(Accessed: 23 November 2025).</w:t>
      </w:r>
    </w:p>
    <w:p w14:paraId="4699E8B3" w14:textId="77777777" w:rsidR="008F317B" w:rsidRPr="000E7926" w:rsidRDefault="008F317B"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Healey, P. (2010) Making Better Places: The Planning Project in the Twenty-First Century. Basingstoke: Palgrave Macmillan.</w:t>
      </w:r>
    </w:p>
    <w:p w14:paraId="029521F4" w14:textId="77777777" w:rsidR="008F317B" w:rsidRPr="000E7926" w:rsidRDefault="008F317B"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Historic England (2020) Managing Significance in Decision-Taking in the Historic Environment: GPA 2. London: Historic England.</w:t>
      </w:r>
    </w:p>
    <w:p w14:paraId="0D62F7FB" w14:textId="77777777" w:rsidR="008F317B" w:rsidRPr="000E7926" w:rsidRDefault="008F317B"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Jones, L. and Stokes, M. (2022) ‘Community trust in digital versus physical consultation methods in urban renewal’, Journal of Urban Engagement, 8(1), pp. 35-52.</w:t>
      </w:r>
    </w:p>
    <w:p w14:paraId="28CFFE2D" w14:textId="77777777" w:rsidR="008F317B" w:rsidRPr="000E7926" w:rsidRDefault="008F317B"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Lee, J. and Cooper, M. (2020) ‘Negotiation dynamics in procurement: examining strategies and outcomes’, International Journal of Procurement Studies, 12(3), pp. 45-60.</w:t>
      </w:r>
    </w:p>
    <w:p w14:paraId="705E053E" w14:textId="77777777" w:rsidR="008F317B" w:rsidRPr="000E7926" w:rsidRDefault="008F317B"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Miller, D., The James Hutton Institute, University of Edinburgh, University of Glasgow, Heriot Watt University &amp; Biomathematics and Statistics Scotland, [no date]. Green space Services: Community Engagement Case Study. Available at: https://www.hutton.ac.uk/sites/default/files/files/no5%20greenspace%20services.pdf (Accessed: 21 November 2025).</w:t>
      </w:r>
    </w:p>
    <w:p w14:paraId="1F676441" w14:textId="77777777" w:rsidR="008F317B" w:rsidRPr="006130C5" w:rsidRDefault="008F317B" w:rsidP="000E7926">
      <w:pPr>
        <w:rPr>
          <w:rFonts w:ascii="Times New Roman" w:hAnsi="Times New Roman" w:cs="Times New Roman"/>
          <w:color w:val="000000" w:themeColor="text1"/>
          <w:szCs w:val="24"/>
        </w:rPr>
      </w:pPr>
      <w:r w:rsidRPr="006130C5">
        <w:rPr>
          <w:rFonts w:ascii="Times New Roman" w:hAnsi="Times New Roman" w:cs="Times New Roman"/>
          <w:color w:val="000000" w:themeColor="text1"/>
          <w:szCs w:val="24"/>
        </w:rPr>
        <w:lastRenderedPageBreak/>
        <w:t>Parks Strategy 2016-2025, available at: </w:t>
      </w:r>
      <w:hyperlink r:id="rId16" w:tgtFrame="_blank" w:history="1">
        <w:r w:rsidRPr="006130C5">
          <w:rPr>
            <w:rStyle w:val="Hyperlink"/>
            <w:rFonts w:ascii="Times New Roman" w:hAnsi="Times New Roman" w:cs="Times New Roman"/>
            <w:color w:val="000000" w:themeColor="text1"/>
            <w:szCs w:val="24"/>
          </w:rPr>
          <w:t>https://www.rbkc.gov.uk/sites/default/files/media/documents/Parks%20Strategy%202016-2025.pdf</w:t>
        </w:r>
      </w:hyperlink>
      <w:r w:rsidRPr="006130C5">
        <w:rPr>
          <w:rFonts w:ascii="Times New Roman" w:hAnsi="Times New Roman" w:cs="Times New Roman"/>
          <w:color w:val="000000" w:themeColor="text1"/>
          <w:szCs w:val="24"/>
        </w:rPr>
        <w:t> (Accessed: 21 November 2025).</w:t>
      </w:r>
    </w:p>
    <w:p w14:paraId="5C7DD14D" w14:textId="77777777" w:rsidR="008F317B" w:rsidRPr="000E7926" w:rsidRDefault="008F317B"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Phillips, A. &amp; Udegbe, I. (2020) ‘Translation equity and public communication in cities’, Journal of Urban Communication, 6(2), pp. 45–60.</w:t>
      </w:r>
    </w:p>
    <w:p w14:paraId="0514B31D" w14:textId="77777777" w:rsidR="008F317B" w:rsidRPr="000E7926" w:rsidRDefault="008F317B"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Putnam, R. (2000) Bowling Alone: The Collapse and Revival of American Community. New York: Simon &amp; Schuster.</w:t>
      </w:r>
    </w:p>
    <w:p w14:paraId="4C17989F" w14:textId="77777777" w:rsidR="008F317B" w:rsidRPr="000E7926" w:rsidRDefault="008F317B"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Royal Borough of Kensington and Chelsea, 2016. Parks Strategy 2016-2025. Available at: </w:t>
      </w:r>
      <w:proofErr w:type="gramStart"/>
      <w:r w:rsidRPr="000E7926">
        <w:rPr>
          <w:rFonts w:ascii="Times New Roman" w:hAnsi="Times New Roman" w:cs="Times New Roman"/>
          <w:color w:val="000000" w:themeColor="text1"/>
          <w:szCs w:val="24"/>
        </w:rPr>
        <w:t>https://www.rbkc.gov.uk/sites/default/files/media/documents/Parks%20Strategy%202016-2025.pdf  (</w:t>
      </w:r>
      <w:proofErr w:type="gramEnd"/>
      <w:r w:rsidRPr="000E7926">
        <w:rPr>
          <w:rFonts w:ascii="Times New Roman" w:hAnsi="Times New Roman" w:cs="Times New Roman"/>
          <w:color w:val="000000" w:themeColor="text1"/>
          <w:szCs w:val="24"/>
        </w:rPr>
        <w:t>Accessed: 18 November 2025).</w:t>
      </w:r>
    </w:p>
    <w:p w14:paraId="7B6750AA" w14:textId="77777777" w:rsidR="008F317B" w:rsidRPr="000E7926" w:rsidRDefault="008F317B"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 xml:space="preserve">Scott, R. (2014) Institutions and Organizations: Ideas, Interests and Identities. 4th </w:t>
      </w:r>
      <w:proofErr w:type="spellStart"/>
      <w:r w:rsidRPr="000E7926">
        <w:rPr>
          <w:rFonts w:ascii="Times New Roman" w:hAnsi="Times New Roman" w:cs="Times New Roman"/>
          <w:color w:val="000000" w:themeColor="text1"/>
          <w:szCs w:val="24"/>
        </w:rPr>
        <w:t>edn</w:t>
      </w:r>
      <w:proofErr w:type="spellEnd"/>
      <w:r w:rsidRPr="000E7926">
        <w:rPr>
          <w:rFonts w:ascii="Times New Roman" w:hAnsi="Times New Roman" w:cs="Times New Roman"/>
          <w:color w:val="000000" w:themeColor="text1"/>
          <w:szCs w:val="24"/>
        </w:rPr>
        <w:t>. London: Sage.</w:t>
      </w:r>
    </w:p>
    <w:p w14:paraId="458E8BC2" w14:textId="77777777" w:rsidR="008F317B" w:rsidRPr="000E7926" w:rsidRDefault="008F317B" w:rsidP="000E7926">
      <w:pPr>
        <w:rPr>
          <w:rFonts w:ascii="Times New Roman" w:hAnsi="Times New Roman" w:cs="Times New Roman"/>
          <w:color w:val="000000" w:themeColor="text1"/>
          <w:szCs w:val="24"/>
        </w:rPr>
      </w:pPr>
      <w:r w:rsidRPr="006130C5">
        <w:rPr>
          <w:rFonts w:ascii="Times New Roman" w:hAnsi="Times New Roman" w:cs="Times New Roman"/>
          <w:color w:val="000000" w:themeColor="text1"/>
          <w:szCs w:val="24"/>
        </w:rPr>
        <w:t>Sustainability Strategy 2016, available at:</w:t>
      </w:r>
      <w:r w:rsidRPr="000E7926">
        <w:rPr>
          <w:rFonts w:ascii="Times New Roman" w:hAnsi="Times New Roman" w:cs="Times New Roman"/>
          <w:color w:val="000000" w:themeColor="text1"/>
          <w:szCs w:val="24"/>
        </w:rPr>
        <w:t xml:space="preserve"> </w:t>
      </w:r>
      <w:r w:rsidRPr="006130C5">
        <w:rPr>
          <w:rFonts w:ascii="Times New Roman" w:hAnsi="Times New Roman" w:cs="Times New Roman"/>
          <w:color w:val="000000" w:themeColor="text1"/>
          <w:szCs w:val="24"/>
        </w:rPr>
        <w:t>file:///C:/Users/anama/Downloads/Sustainability-Strategy-2016.pdf (Accessed: 19 November 2025).</w:t>
      </w:r>
    </w:p>
    <w:p w14:paraId="08947104" w14:textId="77777777" w:rsidR="008F317B" w:rsidRPr="006130C5" w:rsidRDefault="008F317B" w:rsidP="000E7926">
      <w:pPr>
        <w:rPr>
          <w:rFonts w:ascii="Times New Roman" w:hAnsi="Times New Roman" w:cs="Times New Roman"/>
          <w:color w:val="000000" w:themeColor="text1"/>
          <w:szCs w:val="24"/>
        </w:rPr>
      </w:pPr>
      <w:r w:rsidRPr="006130C5">
        <w:rPr>
          <w:rFonts w:ascii="Times New Roman" w:hAnsi="Times New Roman" w:cs="Times New Roman"/>
          <w:color w:val="000000" w:themeColor="text1"/>
          <w:szCs w:val="24"/>
        </w:rPr>
        <w:t>The Royal Parks Annual Report and Accounts 2014-15, available at: </w:t>
      </w:r>
      <w:hyperlink r:id="rId17" w:tgtFrame="_blank" w:history="1">
        <w:r w:rsidRPr="006130C5">
          <w:rPr>
            <w:rStyle w:val="Hyperlink"/>
            <w:rFonts w:ascii="Times New Roman" w:hAnsi="Times New Roman" w:cs="Times New Roman"/>
            <w:b/>
            <w:bCs/>
            <w:color w:val="000000" w:themeColor="text1"/>
            <w:szCs w:val="24"/>
          </w:rPr>
          <w:t>https://assets.publishing.service.gov.uk/media/5a7f2ca640f0b6230268de44/The_Royal_Parks_Annual_Report_and_Accounts_2014-15.pdf</w:t>
        </w:r>
      </w:hyperlink>
      <w:r w:rsidRPr="006130C5">
        <w:rPr>
          <w:rFonts w:ascii="Times New Roman" w:hAnsi="Times New Roman" w:cs="Times New Roman"/>
          <w:color w:val="000000" w:themeColor="text1"/>
          <w:szCs w:val="24"/>
        </w:rPr>
        <w:t> (Accessed: 23 November 2025).</w:t>
      </w:r>
    </w:p>
    <w:p w14:paraId="41C04A45" w14:textId="77777777" w:rsidR="008F317B" w:rsidRPr="000E7926" w:rsidRDefault="008F317B" w:rsidP="000E7926">
      <w:pPr>
        <w:rPr>
          <w:rFonts w:ascii="Times New Roman" w:hAnsi="Times New Roman" w:cs="Times New Roman"/>
          <w:color w:val="000000" w:themeColor="text1"/>
          <w:szCs w:val="24"/>
        </w:rPr>
      </w:pPr>
      <w:r w:rsidRPr="000E7926">
        <w:rPr>
          <w:rFonts w:ascii="Times New Roman" w:hAnsi="Times New Roman" w:cs="Times New Roman"/>
          <w:color w:val="000000" w:themeColor="text1"/>
          <w:szCs w:val="24"/>
        </w:rPr>
        <w:t>The Royal Parks, 2020. Movement Strategy. Available at: https://www.royalparks.org.uk/sites/default/files/2023-06/TheRoyalParks_MovementStrategy.pdf (Accessed: 22 November 2025).</w:t>
      </w:r>
    </w:p>
    <w:p w14:paraId="788B0A34" w14:textId="77777777" w:rsidR="006130C5" w:rsidRPr="006130C5" w:rsidRDefault="006130C5" w:rsidP="006130C5"/>
    <w:sectPr w:rsidR="006130C5" w:rsidRPr="006130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A1D67" w14:textId="77777777" w:rsidR="008C3910" w:rsidRDefault="008C3910" w:rsidP="00656C6C">
      <w:pPr>
        <w:spacing w:after="0" w:line="240" w:lineRule="auto"/>
      </w:pPr>
      <w:r>
        <w:separator/>
      </w:r>
    </w:p>
  </w:endnote>
  <w:endnote w:type="continuationSeparator" w:id="0">
    <w:p w14:paraId="707DE7ED" w14:textId="77777777" w:rsidR="008C3910" w:rsidRDefault="008C3910" w:rsidP="00656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9E6CF" w14:textId="77777777" w:rsidR="008C3910" w:rsidRDefault="008C3910" w:rsidP="00656C6C">
      <w:pPr>
        <w:spacing w:after="0" w:line="240" w:lineRule="auto"/>
      </w:pPr>
      <w:r>
        <w:separator/>
      </w:r>
    </w:p>
  </w:footnote>
  <w:footnote w:type="continuationSeparator" w:id="0">
    <w:p w14:paraId="159489EB" w14:textId="77777777" w:rsidR="008C3910" w:rsidRDefault="008C3910" w:rsidP="00656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922E9"/>
    <w:multiLevelType w:val="hybridMultilevel"/>
    <w:tmpl w:val="8F5C311C"/>
    <w:lvl w:ilvl="0" w:tplc="D65C215E">
      <w:start w:val="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F01F54"/>
    <w:multiLevelType w:val="hybridMultilevel"/>
    <w:tmpl w:val="8F66E512"/>
    <w:lvl w:ilvl="0" w:tplc="D65C215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6A63757"/>
    <w:multiLevelType w:val="hybridMultilevel"/>
    <w:tmpl w:val="A0821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896312">
    <w:abstractNumId w:val="2"/>
  </w:num>
  <w:num w:numId="2" w16cid:durableId="736587555">
    <w:abstractNumId w:val="0"/>
  </w:num>
  <w:num w:numId="3" w16cid:durableId="3542382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2BE"/>
    <w:rsid w:val="000066EA"/>
    <w:rsid w:val="00037D28"/>
    <w:rsid w:val="00080FDE"/>
    <w:rsid w:val="00083503"/>
    <w:rsid w:val="000E7926"/>
    <w:rsid w:val="001560A0"/>
    <w:rsid w:val="001C665C"/>
    <w:rsid w:val="00233F31"/>
    <w:rsid w:val="00253F51"/>
    <w:rsid w:val="002C643D"/>
    <w:rsid w:val="002D361F"/>
    <w:rsid w:val="002D3688"/>
    <w:rsid w:val="002E76C5"/>
    <w:rsid w:val="00320CA1"/>
    <w:rsid w:val="003C48C1"/>
    <w:rsid w:val="003C70ED"/>
    <w:rsid w:val="003D314D"/>
    <w:rsid w:val="003D33C9"/>
    <w:rsid w:val="003E6126"/>
    <w:rsid w:val="004700AF"/>
    <w:rsid w:val="00484CAC"/>
    <w:rsid w:val="004958F7"/>
    <w:rsid w:val="004A252D"/>
    <w:rsid w:val="004A4BDD"/>
    <w:rsid w:val="004C0482"/>
    <w:rsid w:val="004D18F2"/>
    <w:rsid w:val="004E1642"/>
    <w:rsid w:val="004E34E4"/>
    <w:rsid w:val="004E351C"/>
    <w:rsid w:val="00573BD3"/>
    <w:rsid w:val="005B1DA0"/>
    <w:rsid w:val="00610087"/>
    <w:rsid w:val="006130C5"/>
    <w:rsid w:val="00647D8E"/>
    <w:rsid w:val="00656C6C"/>
    <w:rsid w:val="006639E9"/>
    <w:rsid w:val="00691810"/>
    <w:rsid w:val="006A110E"/>
    <w:rsid w:val="006E7FE0"/>
    <w:rsid w:val="00704DDF"/>
    <w:rsid w:val="0071672B"/>
    <w:rsid w:val="00721D48"/>
    <w:rsid w:val="00763EB9"/>
    <w:rsid w:val="0081587F"/>
    <w:rsid w:val="00872DE5"/>
    <w:rsid w:val="008A74F7"/>
    <w:rsid w:val="008C3910"/>
    <w:rsid w:val="008F317B"/>
    <w:rsid w:val="008F3357"/>
    <w:rsid w:val="00917618"/>
    <w:rsid w:val="00921DC6"/>
    <w:rsid w:val="00966E9F"/>
    <w:rsid w:val="009A7511"/>
    <w:rsid w:val="00A40D0C"/>
    <w:rsid w:val="00A45E8D"/>
    <w:rsid w:val="00A61DC9"/>
    <w:rsid w:val="00A837CF"/>
    <w:rsid w:val="00A95793"/>
    <w:rsid w:val="00AA06DC"/>
    <w:rsid w:val="00AB5615"/>
    <w:rsid w:val="00AD26B4"/>
    <w:rsid w:val="00B54EEC"/>
    <w:rsid w:val="00BA2D1D"/>
    <w:rsid w:val="00BD0370"/>
    <w:rsid w:val="00BE7C52"/>
    <w:rsid w:val="00BF09EC"/>
    <w:rsid w:val="00C37A1C"/>
    <w:rsid w:val="00C52EBA"/>
    <w:rsid w:val="00C62924"/>
    <w:rsid w:val="00C8796F"/>
    <w:rsid w:val="00CA00E9"/>
    <w:rsid w:val="00D007C3"/>
    <w:rsid w:val="00D326B9"/>
    <w:rsid w:val="00D53F64"/>
    <w:rsid w:val="00D67A8C"/>
    <w:rsid w:val="00D83A2E"/>
    <w:rsid w:val="00DE780E"/>
    <w:rsid w:val="00E03BFA"/>
    <w:rsid w:val="00E06F80"/>
    <w:rsid w:val="00E232BE"/>
    <w:rsid w:val="00E84D85"/>
    <w:rsid w:val="00E873AF"/>
    <w:rsid w:val="00EA39F7"/>
    <w:rsid w:val="00EB2323"/>
    <w:rsid w:val="00EB6E8F"/>
    <w:rsid w:val="00EC2395"/>
    <w:rsid w:val="00EE779E"/>
    <w:rsid w:val="00EF6E6E"/>
    <w:rsid w:val="00FF2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786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Calibri"/>
        <w:sz w:val="24"/>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2BE"/>
    <w:pPr>
      <w:keepNext/>
      <w:keepLines/>
      <w:spacing w:before="360" w:after="80"/>
      <w:outlineLvl w:val="0"/>
    </w:pPr>
    <w:rPr>
      <w:rFonts w:asciiTheme="majorHAnsi" w:eastAsiaTheme="majorEastAsia" w:hAnsiTheme="majorHAnsi" w:cstheme="majorBidi"/>
      <w:color w:val="2F5496" w:themeColor="accent1" w:themeShade="BF"/>
      <w:sz w:val="40"/>
      <w:szCs w:val="40"/>
      <w:u w:val="single"/>
    </w:rPr>
  </w:style>
  <w:style w:type="paragraph" w:styleId="Heading2">
    <w:name w:val="heading 2"/>
    <w:basedOn w:val="Normal"/>
    <w:next w:val="Normal"/>
    <w:link w:val="Heading2Char"/>
    <w:uiPriority w:val="9"/>
    <w:semiHidden/>
    <w:unhideWhenUsed/>
    <w:qFormat/>
    <w:rsid w:val="00E232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232B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232B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232B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232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232B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232B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232B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2BE"/>
    <w:rPr>
      <w:rFonts w:asciiTheme="majorHAnsi" w:eastAsiaTheme="majorEastAsia" w:hAnsiTheme="majorHAnsi" w:cstheme="majorBidi"/>
      <w:color w:val="2F5496" w:themeColor="accent1" w:themeShade="BF"/>
      <w:sz w:val="40"/>
      <w:szCs w:val="40"/>
      <w:u w:val="single"/>
    </w:rPr>
  </w:style>
  <w:style w:type="character" w:customStyle="1" w:styleId="Heading2Char">
    <w:name w:val="Heading 2 Char"/>
    <w:basedOn w:val="DefaultParagraphFont"/>
    <w:link w:val="Heading2"/>
    <w:uiPriority w:val="9"/>
    <w:semiHidden/>
    <w:rsid w:val="00E232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232B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232B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E232B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E232B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232B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232B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232B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232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2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32B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2B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232BE"/>
    <w:pPr>
      <w:spacing w:before="160"/>
      <w:jc w:val="center"/>
    </w:pPr>
    <w:rPr>
      <w:i/>
      <w:iCs/>
      <w:color w:val="404040" w:themeColor="text1" w:themeTint="BF"/>
    </w:rPr>
  </w:style>
  <w:style w:type="character" w:customStyle="1" w:styleId="QuoteChar">
    <w:name w:val="Quote Char"/>
    <w:basedOn w:val="DefaultParagraphFont"/>
    <w:link w:val="Quote"/>
    <w:uiPriority w:val="29"/>
    <w:rsid w:val="00E232BE"/>
    <w:rPr>
      <w:i/>
      <w:iCs/>
      <w:color w:val="404040" w:themeColor="text1" w:themeTint="BF"/>
    </w:rPr>
  </w:style>
  <w:style w:type="paragraph" w:styleId="ListParagraph">
    <w:name w:val="List Paragraph"/>
    <w:basedOn w:val="Normal"/>
    <w:uiPriority w:val="34"/>
    <w:qFormat/>
    <w:rsid w:val="00E232BE"/>
    <w:pPr>
      <w:ind w:left="720"/>
      <w:contextualSpacing/>
    </w:pPr>
  </w:style>
  <w:style w:type="character" w:styleId="IntenseEmphasis">
    <w:name w:val="Intense Emphasis"/>
    <w:basedOn w:val="DefaultParagraphFont"/>
    <w:uiPriority w:val="21"/>
    <w:qFormat/>
    <w:rsid w:val="00E232BE"/>
    <w:rPr>
      <w:i/>
      <w:iCs/>
      <w:color w:val="2F5496" w:themeColor="accent1" w:themeShade="BF"/>
    </w:rPr>
  </w:style>
  <w:style w:type="paragraph" w:styleId="IntenseQuote">
    <w:name w:val="Intense Quote"/>
    <w:basedOn w:val="Normal"/>
    <w:next w:val="Normal"/>
    <w:link w:val="IntenseQuoteChar"/>
    <w:uiPriority w:val="30"/>
    <w:qFormat/>
    <w:rsid w:val="00E232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32BE"/>
    <w:rPr>
      <w:i/>
      <w:iCs/>
      <w:color w:val="2F5496" w:themeColor="accent1" w:themeShade="BF"/>
    </w:rPr>
  </w:style>
  <w:style w:type="character" w:styleId="IntenseReference">
    <w:name w:val="Intense Reference"/>
    <w:basedOn w:val="DefaultParagraphFont"/>
    <w:uiPriority w:val="32"/>
    <w:qFormat/>
    <w:rsid w:val="00E232BE"/>
    <w:rPr>
      <w:b/>
      <w:bCs/>
      <w:smallCaps/>
      <w:color w:val="2F5496" w:themeColor="accent1" w:themeShade="BF"/>
      <w:spacing w:val="5"/>
    </w:rPr>
  </w:style>
  <w:style w:type="table" w:styleId="TableGrid">
    <w:name w:val="Table Grid"/>
    <w:basedOn w:val="TableNormal"/>
    <w:uiPriority w:val="39"/>
    <w:rsid w:val="00E23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232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6130C5"/>
    <w:rPr>
      <w:color w:val="0563C1" w:themeColor="hyperlink"/>
      <w:u w:val="single"/>
    </w:rPr>
  </w:style>
  <w:style w:type="character" w:styleId="UnresolvedMention">
    <w:name w:val="Unresolved Mention"/>
    <w:basedOn w:val="DefaultParagraphFont"/>
    <w:uiPriority w:val="99"/>
    <w:semiHidden/>
    <w:unhideWhenUsed/>
    <w:rsid w:val="006130C5"/>
    <w:rPr>
      <w:color w:val="605E5C"/>
      <w:shd w:val="clear" w:color="auto" w:fill="E1DFDD"/>
    </w:rPr>
  </w:style>
  <w:style w:type="character" w:styleId="FollowedHyperlink">
    <w:name w:val="FollowedHyperlink"/>
    <w:basedOn w:val="DefaultParagraphFont"/>
    <w:uiPriority w:val="99"/>
    <w:semiHidden/>
    <w:unhideWhenUsed/>
    <w:rsid w:val="00C37A1C"/>
    <w:rPr>
      <w:color w:val="954F72" w:themeColor="followedHyperlink"/>
      <w:u w:val="single"/>
    </w:rPr>
  </w:style>
  <w:style w:type="paragraph" w:styleId="Header">
    <w:name w:val="header"/>
    <w:basedOn w:val="Normal"/>
    <w:link w:val="HeaderChar"/>
    <w:uiPriority w:val="99"/>
    <w:unhideWhenUsed/>
    <w:rsid w:val="00656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C6C"/>
  </w:style>
  <w:style w:type="paragraph" w:styleId="Footer">
    <w:name w:val="footer"/>
    <w:basedOn w:val="Normal"/>
    <w:link w:val="FooterChar"/>
    <w:uiPriority w:val="99"/>
    <w:unhideWhenUsed/>
    <w:rsid w:val="00656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C6C"/>
  </w:style>
  <w:style w:type="table" w:styleId="GridTable5Dark-Accent3">
    <w:name w:val="Grid Table 5 Dark Accent 3"/>
    <w:basedOn w:val="TableNormal"/>
    <w:uiPriority w:val="50"/>
    <w:rsid w:val="00BF09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Heading">
    <w:name w:val="TOC Heading"/>
    <w:basedOn w:val="Heading1"/>
    <w:next w:val="Normal"/>
    <w:uiPriority w:val="39"/>
    <w:unhideWhenUsed/>
    <w:qFormat/>
    <w:rsid w:val="00253F51"/>
    <w:pPr>
      <w:spacing w:before="240" w:after="0" w:line="259" w:lineRule="auto"/>
      <w:outlineLvl w:val="9"/>
    </w:pPr>
    <w:rPr>
      <w:sz w:val="32"/>
      <w:szCs w:val="32"/>
      <w:u w:val="none"/>
      <w:lang w:eastAsia="en-GB"/>
    </w:rPr>
  </w:style>
  <w:style w:type="paragraph" w:styleId="TOC1">
    <w:name w:val="toc 1"/>
    <w:basedOn w:val="Normal"/>
    <w:next w:val="Normal"/>
    <w:autoRedefine/>
    <w:uiPriority w:val="39"/>
    <w:unhideWhenUsed/>
    <w:rsid w:val="00253F5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260521">
      <w:bodyDiv w:val="1"/>
      <w:marLeft w:val="0"/>
      <w:marRight w:val="0"/>
      <w:marTop w:val="0"/>
      <w:marBottom w:val="0"/>
      <w:divBdr>
        <w:top w:val="none" w:sz="0" w:space="0" w:color="auto"/>
        <w:left w:val="none" w:sz="0" w:space="0" w:color="auto"/>
        <w:bottom w:val="none" w:sz="0" w:space="0" w:color="auto"/>
        <w:right w:val="none" w:sz="0" w:space="0" w:color="auto"/>
      </w:divBdr>
    </w:div>
    <w:div w:id="635180609">
      <w:bodyDiv w:val="1"/>
      <w:marLeft w:val="0"/>
      <w:marRight w:val="0"/>
      <w:marTop w:val="0"/>
      <w:marBottom w:val="0"/>
      <w:divBdr>
        <w:top w:val="none" w:sz="0" w:space="0" w:color="auto"/>
        <w:left w:val="none" w:sz="0" w:space="0" w:color="auto"/>
        <w:bottom w:val="none" w:sz="0" w:space="0" w:color="auto"/>
        <w:right w:val="none" w:sz="0" w:space="0" w:color="auto"/>
      </w:divBdr>
      <w:divsChild>
        <w:div w:id="1248148892">
          <w:marLeft w:val="0"/>
          <w:marRight w:val="0"/>
          <w:marTop w:val="0"/>
          <w:marBottom w:val="0"/>
          <w:divBdr>
            <w:top w:val="none" w:sz="0" w:space="0" w:color="auto"/>
            <w:left w:val="none" w:sz="0" w:space="0" w:color="auto"/>
            <w:bottom w:val="none" w:sz="0" w:space="0" w:color="auto"/>
            <w:right w:val="none" w:sz="0" w:space="0" w:color="auto"/>
          </w:divBdr>
          <w:divsChild>
            <w:div w:id="130300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92140">
      <w:bodyDiv w:val="1"/>
      <w:marLeft w:val="0"/>
      <w:marRight w:val="0"/>
      <w:marTop w:val="0"/>
      <w:marBottom w:val="0"/>
      <w:divBdr>
        <w:top w:val="none" w:sz="0" w:space="0" w:color="auto"/>
        <w:left w:val="none" w:sz="0" w:space="0" w:color="auto"/>
        <w:bottom w:val="none" w:sz="0" w:space="0" w:color="auto"/>
        <w:right w:val="none" w:sz="0" w:space="0" w:color="auto"/>
      </w:divBdr>
    </w:div>
    <w:div w:id="1460605915">
      <w:bodyDiv w:val="1"/>
      <w:marLeft w:val="0"/>
      <w:marRight w:val="0"/>
      <w:marTop w:val="0"/>
      <w:marBottom w:val="0"/>
      <w:divBdr>
        <w:top w:val="none" w:sz="0" w:space="0" w:color="auto"/>
        <w:left w:val="none" w:sz="0" w:space="0" w:color="auto"/>
        <w:bottom w:val="none" w:sz="0" w:space="0" w:color="auto"/>
        <w:right w:val="none" w:sz="0" w:space="0" w:color="auto"/>
      </w:divBdr>
    </w:div>
    <w:div w:id="1847282134">
      <w:bodyDiv w:val="1"/>
      <w:marLeft w:val="0"/>
      <w:marRight w:val="0"/>
      <w:marTop w:val="0"/>
      <w:marBottom w:val="0"/>
      <w:divBdr>
        <w:top w:val="none" w:sz="0" w:space="0" w:color="auto"/>
        <w:left w:val="none" w:sz="0" w:space="0" w:color="auto"/>
        <w:bottom w:val="none" w:sz="0" w:space="0" w:color="auto"/>
        <w:right w:val="none" w:sz="0" w:space="0" w:color="auto"/>
      </w:divBdr>
      <w:divsChild>
        <w:div w:id="827862749">
          <w:marLeft w:val="0"/>
          <w:marRight w:val="0"/>
          <w:marTop w:val="0"/>
          <w:marBottom w:val="0"/>
          <w:divBdr>
            <w:top w:val="none" w:sz="0" w:space="0" w:color="auto"/>
            <w:left w:val="none" w:sz="0" w:space="0" w:color="auto"/>
            <w:bottom w:val="none" w:sz="0" w:space="0" w:color="auto"/>
            <w:right w:val="none" w:sz="0" w:space="0" w:color="auto"/>
          </w:divBdr>
          <w:divsChild>
            <w:div w:id="204439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assets.publishing.service.gov.uk/media/5a7f2ca640f0b6230268de44/The_Royal_Parks_Annual_Report_and_Accounts_2014-15.pdf" TargetMode="External"/><Relationship Id="rId2" Type="http://schemas.openxmlformats.org/officeDocument/2006/relationships/numbering" Target="numbering.xml"/><Relationship Id="rId16" Type="http://schemas.openxmlformats.org/officeDocument/2006/relationships/hyperlink" Target="https://www.rbkc.gov.uk/sites/default/files/media/documents/Parks%20Strategy%202016-202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gla.gov.uk/who-we-are/consultations" TargetMode="Externa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gov.uk/government/publications/consultation-principles-guidance"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835C0CB-D6FD-4C37-89B3-5D158EE5E82E}" type="doc">
      <dgm:prSet loTypeId="urn:microsoft.com/office/officeart/2008/layout/BendingPictureSemiTransparentText" loCatId="picture" qsTypeId="urn:microsoft.com/office/officeart/2005/8/quickstyle/simple1" qsCatId="simple" csTypeId="urn:microsoft.com/office/officeart/2005/8/colors/accent1_2" csCatId="accent1" phldr="1"/>
      <dgm:spPr/>
      <dgm:t>
        <a:bodyPr/>
        <a:lstStyle/>
        <a:p>
          <a:endParaRPr lang="en-GB"/>
        </a:p>
      </dgm:t>
    </dgm:pt>
    <dgm:pt modelId="{8D2F940D-23D0-4B8E-BA61-FF10415FC0AD}">
      <dgm:prSet phldrT="[Text]"/>
      <dgm:spPr/>
      <dgm:t>
        <a:bodyPr/>
        <a:lstStyle/>
        <a:p>
          <a:r>
            <a:rPr lang="ro-RO">
              <a:solidFill>
                <a:schemeClr val="tx1"/>
              </a:solidFill>
            </a:rPr>
            <a:t>email</a:t>
          </a:r>
          <a:endParaRPr lang="en-GB">
            <a:solidFill>
              <a:schemeClr val="tx1"/>
            </a:solidFill>
          </a:endParaRPr>
        </a:p>
      </dgm:t>
    </dgm:pt>
    <dgm:pt modelId="{7AE4F07A-F452-4BF1-8B48-E33C5D3C3F46}" type="parTrans" cxnId="{F79A99F8-8633-4EC4-A6E1-1C853DD11CE7}">
      <dgm:prSet/>
      <dgm:spPr/>
      <dgm:t>
        <a:bodyPr/>
        <a:lstStyle/>
        <a:p>
          <a:endParaRPr lang="en-GB"/>
        </a:p>
      </dgm:t>
    </dgm:pt>
    <dgm:pt modelId="{51538BE4-F826-4F8F-BEEF-D4AD20C6FBD6}" type="sibTrans" cxnId="{F79A99F8-8633-4EC4-A6E1-1C853DD11CE7}">
      <dgm:prSet/>
      <dgm:spPr/>
      <dgm:t>
        <a:bodyPr/>
        <a:lstStyle/>
        <a:p>
          <a:endParaRPr lang="en-GB"/>
        </a:p>
      </dgm:t>
    </dgm:pt>
    <dgm:pt modelId="{7264E8DE-707A-492F-95EB-79B5E62BBC14}">
      <dgm:prSet phldrT="[Text]"/>
      <dgm:spPr/>
      <dgm:t>
        <a:bodyPr/>
        <a:lstStyle/>
        <a:p>
          <a:r>
            <a:rPr lang="ro-RO">
              <a:solidFill>
                <a:schemeClr val="tx1"/>
              </a:solidFill>
            </a:rPr>
            <a:t>volunteer sessions</a:t>
          </a:r>
          <a:endParaRPr lang="en-GB">
            <a:solidFill>
              <a:schemeClr val="tx1"/>
            </a:solidFill>
          </a:endParaRPr>
        </a:p>
      </dgm:t>
    </dgm:pt>
    <dgm:pt modelId="{0C89B19E-2695-4737-8F59-8573F3AD001F}" type="parTrans" cxnId="{61B62812-9E55-4B88-B913-025D61358D1E}">
      <dgm:prSet/>
      <dgm:spPr/>
      <dgm:t>
        <a:bodyPr/>
        <a:lstStyle/>
        <a:p>
          <a:endParaRPr lang="en-GB"/>
        </a:p>
      </dgm:t>
    </dgm:pt>
    <dgm:pt modelId="{70561A7D-01F5-470B-AD5F-8DFA70DD54EE}" type="sibTrans" cxnId="{61B62812-9E55-4B88-B913-025D61358D1E}">
      <dgm:prSet/>
      <dgm:spPr/>
      <dgm:t>
        <a:bodyPr/>
        <a:lstStyle/>
        <a:p>
          <a:endParaRPr lang="en-GB"/>
        </a:p>
      </dgm:t>
    </dgm:pt>
    <dgm:pt modelId="{6497B095-7105-4732-AFBC-03CEA3B2FAE0}">
      <dgm:prSet phldrT="[Text]"/>
      <dgm:spPr/>
      <dgm:t>
        <a:bodyPr/>
        <a:lstStyle/>
        <a:p>
          <a:r>
            <a:rPr lang="ro-RO">
              <a:solidFill>
                <a:schemeClr val="tx1"/>
              </a:solidFill>
            </a:rPr>
            <a:t>qr</a:t>
          </a:r>
          <a:endParaRPr lang="en-GB">
            <a:solidFill>
              <a:schemeClr val="tx1"/>
            </a:solidFill>
          </a:endParaRPr>
        </a:p>
      </dgm:t>
    </dgm:pt>
    <dgm:pt modelId="{73E991ED-E640-4E26-8839-57061883250B}" type="sibTrans" cxnId="{0FCA3B76-81C5-4EF9-83EE-8632EE6F60AD}">
      <dgm:prSet/>
      <dgm:spPr/>
      <dgm:t>
        <a:bodyPr/>
        <a:lstStyle/>
        <a:p>
          <a:endParaRPr lang="en-GB"/>
        </a:p>
      </dgm:t>
    </dgm:pt>
    <dgm:pt modelId="{16586A90-951C-41D3-976F-33C185E444FC}" type="parTrans" cxnId="{0FCA3B76-81C5-4EF9-83EE-8632EE6F60AD}">
      <dgm:prSet/>
      <dgm:spPr/>
      <dgm:t>
        <a:bodyPr/>
        <a:lstStyle/>
        <a:p>
          <a:endParaRPr lang="en-GB"/>
        </a:p>
      </dgm:t>
    </dgm:pt>
    <dgm:pt modelId="{88A1A89B-8822-4744-9ABF-84859C9C7602}">
      <dgm:prSet phldrT="[Text]"/>
      <dgm:spPr/>
      <dgm:t>
        <a:bodyPr/>
        <a:lstStyle/>
        <a:p>
          <a:r>
            <a:rPr lang="ro-RO">
              <a:solidFill>
                <a:schemeClr val="tx1"/>
              </a:solidFill>
            </a:rPr>
            <a:t>officer meetings</a:t>
          </a:r>
          <a:endParaRPr lang="en-GB">
            <a:solidFill>
              <a:schemeClr val="tx1"/>
            </a:solidFill>
          </a:endParaRPr>
        </a:p>
      </dgm:t>
    </dgm:pt>
    <dgm:pt modelId="{F6B53953-7B35-45BA-AC58-9539AD391855}" type="parTrans" cxnId="{95C3C9CB-08CE-4C61-B93C-1049C63F6A45}">
      <dgm:prSet/>
      <dgm:spPr/>
      <dgm:t>
        <a:bodyPr/>
        <a:lstStyle/>
        <a:p>
          <a:endParaRPr lang="en-GB"/>
        </a:p>
      </dgm:t>
    </dgm:pt>
    <dgm:pt modelId="{55A56D9C-90AD-434B-AA8A-07B1905F0374}" type="sibTrans" cxnId="{95C3C9CB-08CE-4C61-B93C-1049C63F6A45}">
      <dgm:prSet/>
      <dgm:spPr/>
      <dgm:t>
        <a:bodyPr/>
        <a:lstStyle/>
        <a:p>
          <a:endParaRPr lang="en-GB"/>
        </a:p>
      </dgm:t>
    </dgm:pt>
    <dgm:pt modelId="{A5E4EC2E-ACAE-4C62-951A-BABBEDD2D52B}" type="pres">
      <dgm:prSet presAssocID="{D835C0CB-D6FD-4C37-89B3-5D158EE5E82E}" presName="Name0" presStyleCnt="0">
        <dgm:presLayoutVars>
          <dgm:dir/>
          <dgm:resizeHandles val="exact"/>
        </dgm:presLayoutVars>
      </dgm:prSet>
      <dgm:spPr/>
    </dgm:pt>
    <dgm:pt modelId="{4218FF38-3E29-4EB8-A6D2-AEB2977366B3}" type="pres">
      <dgm:prSet presAssocID="{8D2F940D-23D0-4B8E-BA61-FF10415FC0AD}" presName="composite" presStyleCnt="0"/>
      <dgm:spPr/>
    </dgm:pt>
    <dgm:pt modelId="{234C774B-9CB1-44C2-A5D9-16D1153F4FB8}" type="pres">
      <dgm:prSet presAssocID="{8D2F940D-23D0-4B8E-BA61-FF10415FC0AD}" presName="rect1" presStyleLbl="bgShp" presStyleIdx="0" presStyleCnt="4"/>
      <dgm:spPr>
        <a:blipFill rotWithShape="1">
          <a:blip xmlns:r="http://schemas.openxmlformats.org/officeDocument/2006/relationships" r:embed="rId1"/>
          <a:srcRect/>
          <a:stretch>
            <a:fillRect t="-7000" b="-7000"/>
          </a:stretch>
        </a:blipFill>
      </dgm:spPr>
    </dgm:pt>
    <dgm:pt modelId="{7F655B4F-E74A-490A-BC2F-A761E566C6B5}" type="pres">
      <dgm:prSet presAssocID="{8D2F940D-23D0-4B8E-BA61-FF10415FC0AD}" presName="rect2" presStyleLbl="trBgShp" presStyleIdx="0" presStyleCnt="4">
        <dgm:presLayoutVars>
          <dgm:bulletEnabled val="1"/>
        </dgm:presLayoutVars>
      </dgm:prSet>
      <dgm:spPr/>
    </dgm:pt>
    <dgm:pt modelId="{F67AA76E-4C13-432F-8BA8-F53D73CA3C04}" type="pres">
      <dgm:prSet presAssocID="{51538BE4-F826-4F8F-BEEF-D4AD20C6FBD6}" presName="sibTrans" presStyleCnt="0"/>
      <dgm:spPr/>
    </dgm:pt>
    <dgm:pt modelId="{7E7DE4B8-C702-4F50-9415-2CD9739D3072}" type="pres">
      <dgm:prSet presAssocID="{6497B095-7105-4732-AFBC-03CEA3B2FAE0}" presName="composite" presStyleCnt="0"/>
      <dgm:spPr/>
    </dgm:pt>
    <dgm:pt modelId="{C42CE794-41E7-4F41-BB76-6564E142ECBF}" type="pres">
      <dgm:prSet presAssocID="{6497B095-7105-4732-AFBC-03CEA3B2FAE0}" presName="rect1" presStyleLbl="bgShp" presStyleIdx="1" presStyleCnt="4"/>
      <dgm:spPr>
        <a:blipFill rotWithShape="1">
          <a:blip xmlns:r="http://schemas.openxmlformats.org/officeDocument/2006/relationships" r:embed="rId2"/>
          <a:srcRect/>
          <a:stretch>
            <a:fillRect t="-29000" b="-29000"/>
          </a:stretch>
        </a:blipFill>
      </dgm:spPr>
    </dgm:pt>
    <dgm:pt modelId="{B12622C4-9617-4608-9D83-C7CB67E53147}" type="pres">
      <dgm:prSet presAssocID="{6497B095-7105-4732-AFBC-03CEA3B2FAE0}" presName="rect2" presStyleLbl="trBgShp" presStyleIdx="1" presStyleCnt="4">
        <dgm:presLayoutVars>
          <dgm:bulletEnabled val="1"/>
        </dgm:presLayoutVars>
      </dgm:prSet>
      <dgm:spPr/>
    </dgm:pt>
    <dgm:pt modelId="{F10CB64D-58D8-435D-B2BB-5F9107BE5BDB}" type="pres">
      <dgm:prSet presAssocID="{73E991ED-E640-4E26-8839-57061883250B}" presName="sibTrans" presStyleCnt="0"/>
      <dgm:spPr/>
    </dgm:pt>
    <dgm:pt modelId="{7C659364-6A8B-4B5F-8DBC-41A4549889CC}" type="pres">
      <dgm:prSet presAssocID="{7264E8DE-707A-492F-95EB-79B5E62BBC14}" presName="composite" presStyleCnt="0"/>
      <dgm:spPr/>
    </dgm:pt>
    <dgm:pt modelId="{57CE3026-C18F-44A5-A250-072942E05664}" type="pres">
      <dgm:prSet presAssocID="{7264E8DE-707A-492F-95EB-79B5E62BBC14}" presName="rect1" presStyleLbl="bgShp" presStyleIdx="2" presStyleCnt="4"/>
      <dgm:spPr>
        <a:blipFill rotWithShape="1">
          <a:blip xmlns:r="http://schemas.openxmlformats.org/officeDocument/2006/relationships" r:embed="rId3"/>
          <a:srcRect/>
          <a:stretch>
            <a:fillRect t="-8000" b="-8000"/>
          </a:stretch>
        </a:blipFill>
      </dgm:spPr>
    </dgm:pt>
    <dgm:pt modelId="{C5ACD8B5-AE48-4BF0-8A28-E16CAE468ABC}" type="pres">
      <dgm:prSet presAssocID="{7264E8DE-707A-492F-95EB-79B5E62BBC14}" presName="rect2" presStyleLbl="trBgShp" presStyleIdx="2" presStyleCnt="4">
        <dgm:presLayoutVars>
          <dgm:bulletEnabled val="1"/>
        </dgm:presLayoutVars>
      </dgm:prSet>
      <dgm:spPr/>
    </dgm:pt>
    <dgm:pt modelId="{C2C06035-53C8-49B7-A0F6-8E5048C63E12}" type="pres">
      <dgm:prSet presAssocID="{70561A7D-01F5-470B-AD5F-8DFA70DD54EE}" presName="sibTrans" presStyleCnt="0"/>
      <dgm:spPr/>
    </dgm:pt>
    <dgm:pt modelId="{256062E8-818C-490B-9C78-2F1ED9BFEBEF}" type="pres">
      <dgm:prSet presAssocID="{88A1A89B-8822-4744-9ABF-84859C9C7602}" presName="composite" presStyleCnt="0"/>
      <dgm:spPr/>
    </dgm:pt>
    <dgm:pt modelId="{46D49EF0-C4FB-487A-9891-31FAC0744E7C}" type="pres">
      <dgm:prSet presAssocID="{88A1A89B-8822-4744-9ABF-84859C9C7602}" presName="rect1" presStyleLbl="bgShp" presStyleIdx="3" presStyleCnt="4"/>
      <dgm:spPr>
        <a:blipFill rotWithShape="1">
          <a:blip xmlns:r="http://schemas.openxmlformats.org/officeDocument/2006/relationships" r:embed="rId4"/>
          <a:srcRect/>
          <a:stretch>
            <a:fillRect l="-14000" r="-14000"/>
          </a:stretch>
        </a:blipFill>
      </dgm:spPr>
    </dgm:pt>
    <dgm:pt modelId="{7FB2F275-F4B3-4C22-817C-7BACD1255557}" type="pres">
      <dgm:prSet presAssocID="{88A1A89B-8822-4744-9ABF-84859C9C7602}" presName="rect2" presStyleLbl="trBgShp" presStyleIdx="3" presStyleCnt="4">
        <dgm:presLayoutVars>
          <dgm:bulletEnabled val="1"/>
        </dgm:presLayoutVars>
      </dgm:prSet>
      <dgm:spPr/>
    </dgm:pt>
  </dgm:ptLst>
  <dgm:cxnLst>
    <dgm:cxn modelId="{61446310-1AB3-44D1-B8AA-FC233B68382D}" type="presOf" srcId="{7264E8DE-707A-492F-95EB-79B5E62BBC14}" destId="{C5ACD8B5-AE48-4BF0-8A28-E16CAE468ABC}" srcOrd="0" destOrd="0" presId="urn:microsoft.com/office/officeart/2008/layout/BendingPictureSemiTransparentText"/>
    <dgm:cxn modelId="{61B62812-9E55-4B88-B913-025D61358D1E}" srcId="{D835C0CB-D6FD-4C37-89B3-5D158EE5E82E}" destId="{7264E8DE-707A-492F-95EB-79B5E62BBC14}" srcOrd="2" destOrd="0" parTransId="{0C89B19E-2695-4737-8F59-8573F3AD001F}" sibTransId="{70561A7D-01F5-470B-AD5F-8DFA70DD54EE}"/>
    <dgm:cxn modelId="{F07C4353-651D-41D8-B190-C0B85C865A5F}" type="presOf" srcId="{D835C0CB-D6FD-4C37-89B3-5D158EE5E82E}" destId="{A5E4EC2E-ACAE-4C62-951A-BABBEDD2D52B}" srcOrd="0" destOrd="0" presId="urn:microsoft.com/office/officeart/2008/layout/BendingPictureSemiTransparentText"/>
    <dgm:cxn modelId="{0FCA3B76-81C5-4EF9-83EE-8632EE6F60AD}" srcId="{D835C0CB-D6FD-4C37-89B3-5D158EE5E82E}" destId="{6497B095-7105-4732-AFBC-03CEA3B2FAE0}" srcOrd="1" destOrd="0" parTransId="{16586A90-951C-41D3-976F-33C185E444FC}" sibTransId="{73E991ED-E640-4E26-8839-57061883250B}"/>
    <dgm:cxn modelId="{5C53E47D-BAC1-4B40-A1F1-4FB894557865}" type="presOf" srcId="{6497B095-7105-4732-AFBC-03CEA3B2FAE0}" destId="{B12622C4-9617-4608-9D83-C7CB67E53147}" srcOrd="0" destOrd="0" presId="urn:microsoft.com/office/officeart/2008/layout/BendingPictureSemiTransparentText"/>
    <dgm:cxn modelId="{FC356883-0AF4-46C8-9C99-794579322D38}" type="presOf" srcId="{8D2F940D-23D0-4B8E-BA61-FF10415FC0AD}" destId="{7F655B4F-E74A-490A-BC2F-A761E566C6B5}" srcOrd="0" destOrd="0" presId="urn:microsoft.com/office/officeart/2008/layout/BendingPictureSemiTransparentText"/>
    <dgm:cxn modelId="{3EFB89A4-D8F2-4B71-905F-6B93CADF2CFD}" type="presOf" srcId="{88A1A89B-8822-4744-9ABF-84859C9C7602}" destId="{7FB2F275-F4B3-4C22-817C-7BACD1255557}" srcOrd="0" destOrd="0" presId="urn:microsoft.com/office/officeart/2008/layout/BendingPictureSemiTransparentText"/>
    <dgm:cxn modelId="{95C3C9CB-08CE-4C61-B93C-1049C63F6A45}" srcId="{D835C0CB-D6FD-4C37-89B3-5D158EE5E82E}" destId="{88A1A89B-8822-4744-9ABF-84859C9C7602}" srcOrd="3" destOrd="0" parTransId="{F6B53953-7B35-45BA-AC58-9539AD391855}" sibTransId="{55A56D9C-90AD-434B-AA8A-07B1905F0374}"/>
    <dgm:cxn modelId="{F79A99F8-8633-4EC4-A6E1-1C853DD11CE7}" srcId="{D835C0CB-D6FD-4C37-89B3-5D158EE5E82E}" destId="{8D2F940D-23D0-4B8E-BA61-FF10415FC0AD}" srcOrd="0" destOrd="0" parTransId="{7AE4F07A-F452-4BF1-8B48-E33C5D3C3F46}" sibTransId="{51538BE4-F826-4F8F-BEEF-D4AD20C6FBD6}"/>
    <dgm:cxn modelId="{8D85CFD4-A7B3-4E01-9656-A8F99E1C5A29}" type="presParOf" srcId="{A5E4EC2E-ACAE-4C62-951A-BABBEDD2D52B}" destId="{4218FF38-3E29-4EB8-A6D2-AEB2977366B3}" srcOrd="0" destOrd="0" presId="urn:microsoft.com/office/officeart/2008/layout/BendingPictureSemiTransparentText"/>
    <dgm:cxn modelId="{734331F3-7458-484F-BB7D-0DE4B37527A0}" type="presParOf" srcId="{4218FF38-3E29-4EB8-A6D2-AEB2977366B3}" destId="{234C774B-9CB1-44C2-A5D9-16D1153F4FB8}" srcOrd="0" destOrd="0" presId="urn:microsoft.com/office/officeart/2008/layout/BendingPictureSemiTransparentText"/>
    <dgm:cxn modelId="{BE5E2FDA-2A36-483F-B42C-A642F03D83F5}" type="presParOf" srcId="{4218FF38-3E29-4EB8-A6D2-AEB2977366B3}" destId="{7F655B4F-E74A-490A-BC2F-A761E566C6B5}" srcOrd="1" destOrd="0" presId="urn:microsoft.com/office/officeart/2008/layout/BendingPictureSemiTransparentText"/>
    <dgm:cxn modelId="{7C65840A-C8AB-4824-AF7C-FA9F26EF329E}" type="presParOf" srcId="{A5E4EC2E-ACAE-4C62-951A-BABBEDD2D52B}" destId="{F67AA76E-4C13-432F-8BA8-F53D73CA3C04}" srcOrd="1" destOrd="0" presId="urn:microsoft.com/office/officeart/2008/layout/BendingPictureSemiTransparentText"/>
    <dgm:cxn modelId="{24ED116B-7835-4C6C-B458-87F3570C2AB4}" type="presParOf" srcId="{A5E4EC2E-ACAE-4C62-951A-BABBEDD2D52B}" destId="{7E7DE4B8-C702-4F50-9415-2CD9739D3072}" srcOrd="2" destOrd="0" presId="urn:microsoft.com/office/officeart/2008/layout/BendingPictureSemiTransparentText"/>
    <dgm:cxn modelId="{D4E3CA05-3F1B-4105-9731-E0B465376136}" type="presParOf" srcId="{7E7DE4B8-C702-4F50-9415-2CD9739D3072}" destId="{C42CE794-41E7-4F41-BB76-6564E142ECBF}" srcOrd="0" destOrd="0" presId="urn:microsoft.com/office/officeart/2008/layout/BendingPictureSemiTransparentText"/>
    <dgm:cxn modelId="{8BF675B2-1668-4E95-AA28-4BFF57F3F39F}" type="presParOf" srcId="{7E7DE4B8-C702-4F50-9415-2CD9739D3072}" destId="{B12622C4-9617-4608-9D83-C7CB67E53147}" srcOrd="1" destOrd="0" presId="urn:microsoft.com/office/officeart/2008/layout/BendingPictureSemiTransparentText"/>
    <dgm:cxn modelId="{6889339E-A35E-4997-B07D-336DD77287C8}" type="presParOf" srcId="{A5E4EC2E-ACAE-4C62-951A-BABBEDD2D52B}" destId="{F10CB64D-58D8-435D-B2BB-5F9107BE5BDB}" srcOrd="3" destOrd="0" presId="urn:microsoft.com/office/officeart/2008/layout/BendingPictureSemiTransparentText"/>
    <dgm:cxn modelId="{4D777099-9CA1-4614-A55C-8EC8C3AF3788}" type="presParOf" srcId="{A5E4EC2E-ACAE-4C62-951A-BABBEDD2D52B}" destId="{7C659364-6A8B-4B5F-8DBC-41A4549889CC}" srcOrd="4" destOrd="0" presId="urn:microsoft.com/office/officeart/2008/layout/BendingPictureSemiTransparentText"/>
    <dgm:cxn modelId="{F0C903A1-7BA4-4F30-ABD3-880B9E8AD1B9}" type="presParOf" srcId="{7C659364-6A8B-4B5F-8DBC-41A4549889CC}" destId="{57CE3026-C18F-44A5-A250-072942E05664}" srcOrd="0" destOrd="0" presId="urn:microsoft.com/office/officeart/2008/layout/BendingPictureSemiTransparentText"/>
    <dgm:cxn modelId="{4BC6E61A-7DC0-4612-B580-56CDBA94BEBF}" type="presParOf" srcId="{7C659364-6A8B-4B5F-8DBC-41A4549889CC}" destId="{C5ACD8B5-AE48-4BF0-8A28-E16CAE468ABC}" srcOrd="1" destOrd="0" presId="urn:microsoft.com/office/officeart/2008/layout/BendingPictureSemiTransparentText"/>
    <dgm:cxn modelId="{48E293AB-A64B-4CA4-BC61-0BEDF0690210}" type="presParOf" srcId="{A5E4EC2E-ACAE-4C62-951A-BABBEDD2D52B}" destId="{C2C06035-53C8-49B7-A0F6-8E5048C63E12}" srcOrd="5" destOrd="0" presId="urn:microsoft.com/office/officeart/2008/layout/BendingPictureSemiTransparentText"/>
    <dgm:cxn modelId="{93168622-BB49-4EF8-AF98-CA144C404736}" type="presParOf" srcId="{A5E4EC2E-ACAE-4C62-951A-BABBEDD2D52B}" destId="{256062E8-818C-490B-9C78-2F1ED9BFEBEF}" srcOrd="6" destOrd="0" presId="urn:microsoft.com/office/officeart/2008/layout/BendingPictureSemiTransparentText"/>
    <dgm:cxn modelId="{B53462A9-359A-4EF5-A69D-33CA80BF9FA0}" type="presParOf" srcId="{256062E8-818C-490B-9C78-2F1ED9BFEBEF}" destId="{46D49EF0-C4FB-487A-9891-31FAC0744E7C}" srcOrd="0" destOrd="0" presId="urn:microsoft.com/office/officeart/2008/layout/BendingPictureSemiTransparentText"/>
    <dgm:cxn modelId="{2B398E6D-BC1F-44A1-9F0D-EFAA932ED47D}" type="presParOf" srcId="{256062E8-818C-490B-9C78-2F1ED9BFEBEF}" destId="{7FB2F275-F4B3-4C22-817C-7BACD1255557}" srcOrd="1" destOrd="0" presId="urn:microsoft.com/office/officeart/2008/layout/BendingPictureSemiTransparentTex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4C774B-9CB1-44C2-A5D9-16D1153F4FB8}">
      <dsp:nvSpPr>
        <dsp:cNvPr id="0" name=""/>
        <dsp:cNvSpPr/>
      </dsp:nvSpPr>
      <dsp:spPr>
        <a:xfrm>
          <a:off x="30952" y="1686"/>
          <a:ext cx="1153171" cy="988404"/>
        </a:xfrm>
        <a:prstGeom prst="rect">
          <a:avLst/>
        </a:prstGeom>
        <a:blipFill rotWithShape="1">
          <a:blip xmlns:r="http://schemas.openxmlformats.org/officeDocument/2006/relationships" r:embed="rId1"/>
          <a:srcRect/>
          <a:stretch>
            <a:fillRect t="-7000" b="-7000"/>
          </a:stretch>
        </a:blipFill>
        <a:ln>
          <a:noFill/>
        </a:ln>
        <a:effectLst/>
      </dsp:spPr>
      <dsp:style>
        <a:lnRef idx="0">
          <a:scrgbClr r="0" g="0" b="0"/>
        </a:lnRef>
        <a:fillRef idx="1">
          <a:scrgbClr r="0" g="0" b="0"/>
        </a:fillRef>
        <a:effectRef idx="0">
          <a:scrgbClr r="0" g="0" b="0"/>
        </a:effectRef>
        <a:fontRef idx="minor"/>
      </dsp:style>
    </dsp:sp>
    <dsp:sp modelId="{7F655B4F-E74A-490A-BC2F-A761E566C6B5}">
      <dsp:nvSpPr>
        <dsp:cNvPr id="0" name=""/>
        <dsp:cNvSpPr/>
      </dsp:nvSpPr>
      <dsp:spPr>
        <a:xfrm>
          <a:off x="30952" y="693569"/>
          <a:ext cx="1153171" cy="237217"/>
        </a:xfrm>
        <a:prstGeom prst="rect">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ro-RO" sz="1100" kern="1200">
              <a:solidFill>
                <a:schemeClr val="tx1"/>
              </a:solidFill>
            </a:rPr>
            <a:t>email</a:t>
          </a:r>
          <a:endParaRPr lang="en-GB" sz="1100" kern="1200">
            <a:solidFill>
              <a:schemeClr val="tx1"/>
            </a:solidFill>
          </a:endParaRPr>
        </a:p>
      </dsp:txBody>
      <dsp:txXfrm>
        <a:off x="30952" y="693569"/>
        <a:ext cx="1153171" cy="237217"/>
      </dsp:txXfrm>
    </dsp:sp>
    <dsp:sp modelId="{C42CE794-41E7-4F41-BB76-6564E142ECBF}">
      <dsp:nvSpPr>
        <dsp:cNvPr id="0" name=""/>
        <dsp:cNvSpPr/>
      </dsp:nvSpPr>
      <dsp:spPr>
        <a:xfrm>
          <a:off x="1301744" y="1686"/>
          <a:ext cx="1153171" cy="988404"/>
        </a:xfrm>
        <a:prstGeom prst="rect">
          <a:avLst/>
        </a:prstGeom>
        <a:blipFill rotWithShape="1">
          <a:blip xmlns:r="http://schemas.openxmlformats.org/officeDocument/2006/relationships" r:embed="rId2"/>
          <a:srcRect/>
          <a:stretch>
            <a:fillRect t="-29000" b="-29000"/>
          </a:stretch>
        </a:blipFill>
        <a:ln>
          <a:noFill/>
        </a:ln>
        <a:effectLst/>
      </dsp:spPr>
      <dsp:style>
        <a:lnRef idx="0">
          <a:scrgbClr r="0" g="0" b="0"/>
        </a:lnRef>
        <a:fillRef idx="1">
          <a:scrgbClr r="0" g="0" b="0"/>
        </a:fillRef>
        <a:effectRef idx="0">
          <a:scrgbClr r="0" g="0" b="0"/>
        </a:effectRef>
        <a:fontRef idx="minor"/>
      </dsp:style>
    </dsp:sp>
    <dsp:sp modelId="{B12622C4-9617-4608-9D83-C7CB67E53147}">
      <dsp:nvSpPr>
        <dsp:cNvPr id="0" name=""/>
        <dsp:cNvSpPr/>
      </dsp:nvSpPr>
      <dsp:spPr>
        <a:xfrm>
          <a:off x="1301744" y="693569"/>
          <a:ext cx="1153171" cy="237217"/>
        </a:xfrm>
        <a:prstGeom prst="rect">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ro-RO" sz="1100" kern="1200">
              <a:solidFill>
                <a:schemeClr val="tx1"/>
              </a:solidFill>
            </a:rPr>
            <a:t>qr</a:t>
          </a:r>
          <a:endParaRPr lang="en-GB" sz="1100" kern="1200">
            <a:solidFill>
              <a:schemeClr val="tx1"/>
            </a:solidFill>
          </a:endParaRPr>
        </a:p>
      </dsp:txBody>
      <dsp:txXfrm>
        <a:off x="1301744" y="693569"/>
        <a:ext cx="1153171" cy="237217"/>
      </dsp:txXfrm>
    </dsp:sp>
    <dsp:sp modelId="{57CE3026-C18F-44A5-A250-072942E05664}">
      <dsp:nvSpPr>
        <dsp:cNvPr id="0" name=""/>
        <dsp:cNvSpPr/>
      </dsp:nvSpPr>
      <dsp:spPr>
        <a:xfrm>
          <a:off x="2572536" y="1686"/>
          <a:ext cx="1153171" cy="988404"/>
        </a:xfrm>
        <a:prstGeom prst="rect">
          <a:avLst/>
        </a:prstGeom>
        <a:blipFill rotWithShape="1">
          <a:blip xmlns:r="http://schemas.openxmlformats.org/officeDocument/2006/relationships" r:embed="rId3"/>
          <a:srcRect/>
          <a:stretch>
            <a:fillRect t="-8000" b="-8000"/>
          </a:stretch>
        </a:blipFill>
        <a:ln>
          <a:noFill/>
        </a:ln>
        <a:effectLst/>
      </dsp:spPr>
      <dsp:style>
        <a:lnRef idx="0">
          <a:scrgbClr r="0" g="0" b="0"/>
        </a:lnRef>
        <a:fillRef idx="1">
          <a:scrgbClr r="0" g="0" b="0"/>
        </a:fillRef>
        <a:effectRef idx="0">
          <a:scrgbClr r="0" g="0" b="0"/>
        </a:effectRef>
        <a:fontRef idx="minor"/>
      </dsp:style>
    </dsp:sp>
    <dsp:sp modelId="{C5ACD8B5-AE48-4BF0-8A28-E16CAE468ABC}">
      <dsp:nvSpPr>
        <dsp:cNvPr id="0" name=""/>
        <dsp:cNvSpPr/>
      </dsp:nvSpPr>
      <dsp:spPr>
        <a:xfrm>
          <a:off x="2572536" y="693569"/>
          <a:ext cx="1153171" cy="237217"/>
        </a:xfrm>
        <a:prstGeom prst="rect">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ro-RO" sz="1100" kern="1200">
              <a:solidFill>
                <a:schemeClr val="tx1"/>
              </a:solidFill>
            </a:rPr>
            <a:t>volunteer sessions</a:t>
          </a:r>
          <a:endParaRPr lang="en-GB" sz="1100" kern="1200">
            <a:solidFill>
              <a:schemeClr val="tx1"/>
            </a:solidFill>
          </a:endParaRPr>
        </a:p>
      </dsp:txBody>
      <dsp:txXfrm>
        <a:off x="2572536" y="693569"/>
        <a:ext cx="1153171" cy="237217"/>
      </dsp:txXfrm>
    </dsp:sp>
    <dsp:sp modelId="{46D49EF0-C4FB-487A-9891-31FAC0744E7C}">
      <dsp:nvSpPr>
        <dsp:cNvPr id="0" name=""/>
        <dsp:cNvSpPr/>
      </dsp:nvSpPr>
      <dsp:spPr>
        <a:xfrm>
          <a:off x="1301744" y="1105408"/>
          <a:ext cx="1153171" cy="988404"/>
        </a:xfrm>
        <a:prstGeom prst="rect">
          <a:avLst/>
        </a:prstGeom>
        <a:blipFill rotWithShape="1">
          <a:blip xmlns:r="http://schemas.openxmlformats.org/officeDocument/2006/relationships" r:embed="rId4"/>
          <a:srcRect/>
          <a:stretch>
            <a:fillRect l="-14000" r="-14000"/>
          </a:stretch>
        </a:blipFill>
        <a:ln>
          <a:noFill/>
        </a:ln>
        <a:effectLst/>
      </dsp:spPr>
      <dsp:style>
        <a:lnRef idx="0">
          <a:scrgbClr r="0" g="0" b="0"/>
        </a:lnRef>
        <a:fillRef idx="1">
          <a:scrgbClr r="0" g="0" b="0"/>
        </a:fillRef>
        <a:effectRef idx="0">
          <a:scrgbClr r="0" g="0" b="0"/>
        </a:effectRef>
        <a:fontRef idx="minor"/>
      </dsp:style>
    </dsp:sp>
    <dsp:sp modelId="{7FB2F275-F4B3-4C22-817C-7BACD1255557}">
      <dsp:nvSpPr>
        <dsp:cNvPr id="0" name=""/>
        <dsp:cNvSpPr/>
      </dsp:nvSpPr>
      <dsp:spPr>
        <a:xfrm>
          <a:off x="1301744" y="1797291"/>
          <a:ext cx="1153171" cy="237217"/>
        </a:xfrm>
        <a:prstGeom prst="rect">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ro-RO" sz="1100" kern="1200">
              <a:solidFill>
                <a:schemeClr val="tx1"/>
              </a:solidFill>
            </a:rPr>
            <a:t>officer meetings</a:t>
          </a:r>
          <a:endParaRPr lang="en-GB" sz="1100" kern="1200">
            <a:solidFill>
              <a:schemeClr val="tx1"/>
            </a:solidFill>
          </a:endParaRPr>
        </a:p>
      </dsp:txBody>
      <dsp:txXfrm>
        <a:off x="1301744" y="1797291"/>
        <a:ext cx="1153171" cy="237217"/>
      </dsp:txXfrm>
    </dsp:sp>
  </dsp:spTree>
</dsp:drawing>
</file>

<file path=word/diagrams/layout1.xml><?xml version="1.0" encoding="utf-8"?>
<dgm:layoutDef xmlns:dgm="http://schemas.openxmlformats.org/drawingml/2006/diagram" xmlns:a="http://schemas.openxmlformats.org/drawingml/2006/main" uniqueId="urn:microsoft.com/office/officeart/2008/layout/BendingPictureSemiTransparentText">
  <dgm:title val=""/>
  <dgm:desc val=""/>
  <dgm:catLst>
    <dgm:cat type="picture" pri="7000"/>
    <dgm:cat type="pictureconvert" pri="7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h" fact="1.19"/>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1667"/>
        </dgm:alg>
        <dgm:shape xmlns:r="http://schemas.openxmlformats.org/officeDocument/2006/relationships" r:blip="">
          <dgm:adjLst/>
        </dgm:shape>
        <dgm:constrLst>
          <dgm:constr type="l" for="ch" forName="rect1" refType="w" fact="0"/>
          <dgm:constr type="t" for="ch" forName="rect1" refType="h" fact="0"/>
          <dgm:constr type="w" for="ch" forName="rect1" refType="w"/>
          <dgm:constr type="h" for="ch" forName="rect1" refType="h"/>
          <dgm:constr type="l" for="ch" forName="rect2" refType="w" fact="0"/>
          <dgm:constr type="t" for="ch" forName="rect2" refType="h" fact="0.7"/>
          <dgm:constr type="w" for="ch" forName="rect2" refType="w"/>
          <dgm:constr type="h" for="ch" forName="rect2" refType="h" fact="0.24"/>
        </dgm:constrLst>
        <dgm:layoutNode name="rect1" styleLbl="bgShp">
          <dgm:alg type="sp"/>
          <dgm:shape xmlns:r="http://schemas.openxmlformats.org/officeDocument/2006/relationships" type="rect" r:blip="" blipPhldr="1">
            <dgm:adjLst/>
          </dgm:shape>
          <dgm:presOf/>
        </dgm:layoutNode>
        <dgm:layoutNode name="rect2" styleLbl="trBgShp">
          <dgm:varLst>
            <dgm:bulletEnabled val="1"/>
          </dgm:varLst>
          <dgm:alg type="tx">
            <dgm:param type="txAnchorVertCh" val="mid"/>
          </dgm:alg>
          <dgm:shape xmlns:r="http://schemas.openxmlformats.org/officeDocument/2006/relationships" type="rect" r:blip="">
            <dgm:adjLst/>
          </dgm:shape>
          <dgm:presOf axis="desOrSelf"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D0EBE-FC69-440E-899F-3EAE92D54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4247</Words>
  <Characters>24209</Characters>
  <Application>Microsoft Office Word</Application>
  <DocSecurity>0</DocSecurity>
  <Lines>201</Lines>
  <Paragraphs>56</Paragraphs>
  <ScaleCrop>false</ScaleCrop>
  <Company/>
  <LinksUpToDate>false</LinksUpToDate>
  <CharactersWithSpaces>28400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2025-11-19T16:07:00Z</dcterms:created>
  <dcterms:modified xsi:type="dcterms:W3CDTF">2025-11-29T17:07:00Z</dcterms:modified>
</cp:coreProperties>
</file>