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04098254"/>
        <w:docPartObj>
          <w:docPartGallery w:val="Cover Pages"/>
          <w:docPartUnique/>
        </w:docPartObj>
      </w:sdtPr>
      <w:sdtEndPr>
        <w:rPr>
          <w:b/>
          <w:sz w:val="2"/>
        </w:rPr>
      </w:sdtEndPr>
      <w:sdtContent>
        <w:p w14:paraId="25266827" w14:textId="1DB8F862" w:rsidR="003D79B1" w:rsidRDefault="003D79B1">
          <w:pPr>
            <w:pStyle w:val="NoSpacing"/>
          </w:pPr>
          <w:r>
            <w:rPr>
              <w:noProof/>
            </w:rPr>
            <w:pict w14:anchorId="7F7895EA">
              <v:group id="Group 2" o:spid="_x0000_s103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3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p w14:paraId="09CB2A21" w14:textId="4824EC39" w:rsidR="003D79B1" w:rsidRDefault="003D79B1">
                        <w:pPr>
                          <w:pStyle w:val="NoSpacing"/>
                          <w:jc w:val="right"/>
                          <w:rPr>
                            <w:color w:val="FFFFFF" w:themeColor="background1"/>
                            <w:sz w:val="28"/>
                            <w:szCs w:val="28"/>
                          </w:rPr>
                        </w:pPr>
                      </w:p>
                    </w:txbxContent>
                  </v:textbox>
                </v:shape>
                <v:group id="Group 5" o:spid="_x0000_s103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4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4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4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4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4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4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4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4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4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5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5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5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5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5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5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5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5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5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6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6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6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6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6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6979D834">
              <v:shapetype id="_x0000_t202" coordsize="21600,21600" o:spt="202" path="m,l,21600r21600,l21600,xe">
                <v:stroke joinstyle="miter"/>
                <v:path gradientshapeok="t" o:connecttype="rect"/>
              </v:shapetype>
              <v:shape id="Text Box 32" o:spid="_x0000_s103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21BDDB9" w14:textId="112ACB6F" w:rsidR="003D79B1" w:rsidRPr="003D79B1" w:rsidRDefault="003D79B1">
                      <w:pPr>
                        <w:pStyle w:val="NoSpacing"/>
                        <w:rPr>
                          <w:color w:val="4F81BD" w:themeColor="accent1"/>
                          <w:sz w:val="44"/>
                          <w:szCs w:val="44"/>
                        </w:rPr>
                      </w:pPr>
                      <w:sdt>
                        <w:sdtPr>
                          <w:rPr>
                            <w:color w:val="4F81BD" w:themeColor="accent1"/>
                            <w:sz w:val="44"/>
                            <w:szCs w:val="4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3D79B1">
                            <w:rPr>
                              <w:color w:val="4F81BD" w:themeColor="accent1"/>
                              <w:sz w:val="44"/>
                              <w:szCs w:val="44"/>
                            </w:rPr>
                            <w:t xml:space="preserve">Monica </w:t>
                          </w:r>
                          <w:proofErr w:type="spellStart"/>
                          <w:r w:rsidRPr="003D79B1">
                            <w:rPr>
                              <w:color w:val="4F81BD" w:themeColor="accent1"/>
                              <w:sz w:val="44"/>
                              <w:szCs w:val="44"/>
                            </w:rPr>
                            <w:t>Antonescu</w:t>
                          </w:r>
                          <w:proofErr w:type="spellEnd"/>
                        </w:sdtContent>
                      </w:sdt>
                    </w:p>
                    <w:p w14:paraId="1215E2B8" w14:textId="2F6F79AD" w:rsidR="003D79B1" w:rsidRDefault="003D79B1">
                      <w:pPr>
                        <w:pStyle w:val="NoSpacing"/>
                        <w:rPr>
                          <w:color w:val="595959" w:themeColor="text1" w:themeTint="A6"/>
                          <w:sz w:val="20"/>
                          <w:szCs w:val="20"/>
                        </w:rPr>
                      </w:pPr>
                    </w:p>
                  </w:txbxContent>
                </v:textbox>
                <w10:wrap anchorx="page" anchory="page"/>
              </v:shape>
            </w:pict>
          </w:r>
          <w:r>
            <w:rPr>
              <w:noProof/>
            </w:rPr>
            <w:pict w14:anchorId="412D3E55">
              <v:shape id="Text Box 1" o:spid="_x0000_s1034"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CA75E85" w14:textId="113E1404" w:rsidR="003D79B1" w:rsidRDefault="003D79B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Criminal Litigation</w:t>
                          </w:r>
                        </w:sdtContent>
                      </w:sdt>
                    </w:p>
                    <w:p w14:paraId="6BE1FE90" w14:textId="03ABB9FE" w:rsidR="003D79B1" w:rsidRDefault="003D79B1">
                      <w:pPr>
                        <w:spacing w:before="120"/>
                        <w:rPr>
                          <w:color w:val="404040" w:themeColor="text1" w:themeTint="BF"/>
                          <w:sz w:val="36"/>
                          <w:szCs w:val="36"/>
                        </w:rPr>
                      </w:pPr>
                    </w:p>
                  </w:txbxContent>
                </v:textbox>
                <w10:wrap anchorx="page" anchory="page"/>
              </v:shape>
            </w:pict>
          </w:r>
        </w:p>
        <w:p w14:paraId="7D002653" w14:textId="77777777" w:rsidR="003D79B1" w:rsidRDefault="003D79B1">
          <w:pPr>
            <w:spacing w:after="200" w:line="276" w:lineRule="auto"/>
            <w:jc w:val="left"/>
            <w:rPr>
              <w:rFonts w:asciiTheme="minorHAnsi" w:eastAsiaTheme="minorEastAsia" w:hAnsiTheme="minorHAnsi"/>
              <w:sz w:val="2"/>
            </w:rPr>
          </w:pPr>
          <w:r>
            <w:rPr>
              <w:rFonts w:asciiTheme="minorHAnsi" w:eastAsiaTheme="minorEastAsia" w:hAnsiTheme="minorHAnsi"/>
              <w:b/>
              <w:sz w:val="2"/>
            </w:rPr>
            <w:br w:type="page"/>
          </w:r>
        </w:p>
      </w:sdtContent>
    </w:sdt>
    <w:p w14:paraId="70A64D46" w14:textId="77777777" w:rsidR="00DE1F47" w:rsidRDefault="00DE1F47" w:rsidP="00DE1F47">
      <w:pPr>
        <w:pStyle w:val="Title"/>
      </w:pPr>
      <w:r>
        <w:lastRenderedPageBreak/>
        <w:t>Criminal Litigation</w:t>
      </w:r>
    </w:p>
    <w:p w14:paraId="36EF67F2" w14:textId="77777777" w:rsidR="00DE1F47" w:rsidRDefault="00DE1F47" w:rsidP="00DE1F47">
      <w:pPr>
        <w:jc w:val="left"/>
        <w:rPr>
          <w:rFonts w:eastAsia="Times New Roman" w:cs="Times New Roman"/>
          <w:b/>
          <w:bCs/>
          <w:color w:val="000000"/>
          <w:szCs w:val="24"/>
        </w:rPr>
      </w:pPr>
      <w:r>
        <w:rPr>
          <w:b/>
          <w:bCs/>
          <w:color w:val="000000"/>
        </w:rPr>
        <w:br w:type="page"/>
      </w:r>
    </w:p>
    <w:sdt>
      <w:sdtPr>
        <w:rPr>
          <w:rFonts w:ascii="Times New Roman" w:eastAsiaTheme="minorHAnsi" w:hAnsi="Times New Roman" w:cstheme="minorBidi"/>
          <w:b w:val="0"/>
          <w:bCs w:val="0"/>
          <w:color w:val="auto"/>
          <w:sz w:val="24"/>
          <w:szCs w:val="22"/>
        </w:rPr>
        <w:id w:val="86543922"/>
        <w:docPartObj>
          <w:docPartGallery w:val="Table of Contents"/>
          <w:docPartUnique/>
        </w:docPartObj>
      </w:sdtPr>
      <w:sdtContent>
        <w:p w14:paraId="19738FF3" w14:textId="77777777" w:rsidR="00DE1F47" w:rsidRDefault="00DE1F47" w:rsidP="00DE1F47">
          <w:pPr>
            <w:pStyle w:val="TOCHeading"/>
            <w:spacing w:before="0" w:line="360" w:lineRule="auto"/>
            <w:jc w:val="center"/>
          </w:pPr>
          <w:r w:rsidRPr="00DE1F47">
            <w:rPr>
              <w:rFonts w:ascii="Times New Roman" w:hAnsi="Times New Roman" w:cs="Times New Roman"/>
              <w:color w:val="auto"/>
              <w:sz w:val="24"/>
              <w:szCs w:val="24"/>
            </w:rPr>
            <w:t>Table of Contents</w:t>
          </w:r>
        </w:p>
        <w:p w14:paraId="01661960" w14:textId="77777777" w:rsidR="00DE1F47" w:rsidRDefault="006C0D25" w:rsidP="00DE1F47">
          <w:pPr>
            <w:pStyle w:val="TOC1"/>
            <w:tabs>
              <w:tab w:val="right" w:leader="dot" w:pos="9350"/>
            </w:tabs>
            <w:spacing w:after="0"/>
            <w:rPr>
              <w:noProof/>
            </w:rPr>
          </w:pPr>
          <w:r>
            <w:fldChar w:fldCharType="begin"/>
          </w:r>
          <w:r w:rsidR="00DE1F47">
            <w:instrText xml:space="preserve"> TOC \o "1-3" \h \z \u </w:instrText>
          </w:r>
          <w:r>
            <w:fldChar w:fldCharType="separate"/>
          </w:r>
          <w:hyperlink w:anchor="_Toc119079771" w:history="1">
            <w:r w:rsidR="00DE1F47" w:rsidRPr="0076427B">
              <w:rPr>
                <w:rStyle w:val="Hyperlink"/>
                <w:noProof/>
              </w:rPr>
              <w:t>Introduction</w:t>
            </w:r>
            <w:r w:rsidR="00DE1F47">
              <w:rPr>
                <w:noProof/>
                <w:webHidden/>
              </w:rPr>
              <w:tab/>
            </w:r>
            <w:r>
              <w:rPr>
                <w:noProof/>
                <w:webHidden/>
              </w:rPr>
              <w:fldChar w:fldCharType="begin"/>
            </w:r>
            <w:r w:rsidR="00DE1F47">
              <w:rPr>
                <w:noProof/>
                <w:webHidden/>
              </w:rPr>
              <w:instrText xml:space="preserve"> PAGEREF _Toc119079771 \h </w:instrText>
            </w:r>
            <w:r>
              <w:rPr>
                <w:noProof/>
                <w:webHidden/>
              </w:rPr>
            </w:r>
            <w:r>
              <w:rPr>
                <w:noProof/>
                <w:webHidden/>
              </w:rPr>
              <w:fldChar w:fldCharType="separate"/>
            </w:r>
            <w:r w:rsidR="00DE1F47">
              <w:rPr>
                <w:noProof/>
                <w:webHidden/>
              </w:rPr>
              <w:t>3</w:t>
            </w:r>
            <w:r>
              <w:rPr>
                <w:noProof/>
                <w:webHidden/>
              </w:rPr>
              <w:fldChar w:fldCharType="end"/>
            </w:r>
          </w:hyperlink>
        </w:p>
        <w:p w14:paraId="44E81EEA" w14:textId="77777777" w:rsidR="00DE1F47" w:rsidRDefault="00000000" w:rsidP="00DE1F47">
          <w:pPr>
            <w:pStyle w:val="TOC1"/>
            <w:tabs>
              <w:tab w:val="right" w:leader="dot" w:pos="9350"/>
            </w:tabs>
            <w:spacing w:after="0"/>
            <w:rPr>
              <w:noProof/>
            </w:rPr>
          </w:pPr>
          <w:hyperlink w:anchor="_Toc119079772" w:history="1">
            <w:r w:rsidR="00DE1F47" w:rsidRPr="0076427B">
              <w:rPr>
                <w:rStyle w:val="Hyperlink"/>
                <w:noProof/>
              </w:rPr>
              <w:t>MEMORANDUM</w:t>
            </w:r>
            <w:r w:rsidR="00DE1F47">
              <w:rPr>
                <w:noProof/>
                <w:webHidden/>
              </w:rPr>
              <w:tab/>
            </w:r>
            <w:r w:rsidR="006C0D25">
              <w:rPr>
                <w:noProof/>
                <w:webHidden/>
              </w:rPr>
              <w:fldChar w:fldCharType="begin"/>
            </w:r>
            <w:r w:rsidR="00DE1F47">
              <w:rPr>
                <w:noProof/>
                <w:webHidden/>
              </w:rPr>
              <w:instrText xml:space="preserve"> PAGEREF _Toc119079772 \h </w:instrText>
            </w:r>
            <w:r w:rsidR="006C0D25">
              <w:rPr>
                <w:noProof/>
                <w:webHidden/>
              </w:rPr>
            </w:r>
            <w:r w:rsidR="006C0D25">
              <w:rPr>
                <w:noProof/>
                <w:webHidden/>
              </w:rPr>
              <w:fldChar w:fldCharType="separate"/>
            </w:r>
            <w:r w:rsidR="00DE1F47">
              <w:rPr>
                <w:noProof/>
                <w:webHidden/>
              </w:rPr>
              <w:t>4</w:t>
            </w:r>
            <w:r w:rsidR="006C0D25">
              <w:rPr>
                <w:noProof/>
                <w:webHidden/>
              </w:rPr>
              <w:fldChar w:fldCharType="end"/>
            </w:r>
          </w:hyperlink>
        </w:p>
        <w:p w14:paraId="17F6C2D7" w14:textId="77777777" w:rsidR="00DE1F47" w:rsidRDefault="00000000" w:rsidP="00DE1F47">
          <w:pPr>
            <w:pStyle w:val="TOC1"/>
            <w:tabs>
              <w:tab w:val="right" w:leader="dot" w:pos="9350"/>
            </w:tabs>
            <w:spacing w:after="0"/>
            <w:rPr>
              <w:noProof/>
            </w:rPr>
          </w:pPr>
          <w:hyperlink w:anchor="_Toc119079773" w:history="1">
            <w:r w:rsidR="00DE1F47" w:rsidRPr="0076427B">
              <w:rPr>
                <w:rStyle w:val="Hyperlink"/>
                <w:noProof/>
              </w:rPr>
              <w:t>Conclusion</w:t>
            </w:r>
            <w:r w:rsidR="00DE1F47">
              <w:rPr>
                <w:noProof/>
                <w:webHidden/>
              </w:rPr>
              <w:tab/>
            </w:r>
            <w:r w:rsidR="006C0D25">
              <w:rPr>
                <w:noProof/>
                <w:webHidden/>
              </w:rPr>
              <w:fldChar w:fldCharType="begin"/>
            </w:r>
            <w:r w:rsidR="00DE1F47">
              <w:rPr>
                <w:noProof/>
                <w:webHidden/>
              </w:rPr>
              <w:instrText xml:space="preserve"> PAGEREF _Toc119079773 \h </w:instrText>
            </w:r>
            <w:r w:rsidR="006C0D25">
              <w:rPr>
                <w:noProof/>
                <w:webHidden/>
              </w:rPr>
            </w:r>
            <w:r w:rsidR="006C0D25">
              <w:rPr>
                <w:noProof/>
                <w:webHidden/>
              </w:rPr>
              <w:fldChar w:fldCharType="separate"/>
            </w:r>
            <w:r w:rsidR="00DE1F47">
              <w:rPr>
                <w:noProof/>
                <w:webHidden/>
              </w:rPr>
              <w:t>7</w:t>
            </w:r>
            <w:r w:rsidR="006C0D25">
              <w:rPr>
                <w:noProof/>
                <w:webHidden/>
              </w:rPr>
              <w:fldChar w:fldCharType="end"/>
            </w:r>
          </w:hyperlink>
        </w:p>
        <w:p w14:paraId="709D6A26" w14:textId="77777777" w:rsidR="00DE1F47" w:rsidRDefault="00000000" w:rsidP="00DE1F47">
          <w:pPr>
            <w:pStyle w:val="TOC1"/>
            <w:tabs>
              <w:tab w:val="right" w:leader="dot" w:pos="9350"/>
            </w:tabs>
            <w:spacing w:after="0"/>
            <w:rPr>
              <w:noProof/>
            </w:rPr>
          </w:pPr>
          <w:hyperlink w:anchor="_Toc119079774" w:history="1">
            <w:r w:rsidR="00DE1F47" w:rsidRPr="0076427B">
              <w:rPr>
                <w:rStyle w:val="Hyperlink"/>
                <w:noProof/>
              </w:rPr>
              <w:t>References</w:t>
            </w:r>
            <w:r w:rsidR="00DE1F47">
              <w:rPr>
                <w:noProof/>
                <w:webHidden/>
              </w:rPr>
              <w:tab/>
            </w:r>
            <w:r w:rsidR="006C0D25">
              <w:rPr>
                <w:noProof/>
                <w:webHidden/>
              </w:rPr>
              <w:fldChar w:fldCharType="begin"/>
            </w:r>
            <w:r w:rsidR="00DE1F47">
              <w:rPr>
                <w:noProof/>
                <w:webHidden/>
              </w:rPr>
              <w:instrText xml:space="preserve"> PAGEREF _Toc119079774 \h </w:instrText>
            </w:r>
            <w:r w:rsidR="006C0D25">
              <w:rPr>
                <w:noProof/>
                <w:webHidden/>
              </w:rPr>
            </w:r>
            <w:r w:rsidR="006C0D25">
              <w:rPr>
                <w:noProof/>
                <w:webHidden/>
              </w:rPr>
              <w:fldChar w:fldCharType="separate"/>
            </w:r>
            <w:r w:rsidR="00DE1F47">
              <w:rPr>
                <w:noProof/>
                <w:webHidden/>
              </w:rPr>
              <w:t>8</w:t>
            </w:r>
            <w:r w:rsidR="006C0D25">
              <w:rPr>
                <w:noProof/>
                <w:webHidden/>
              </w:rPr>
              <w:fldChar w:fldCharType="end"/>
            </w:r>
          </w:hyperlink>
        </w:p>
        <w:p w14:paraId="61FE2EE9" w14:textId="77777777" w:rsidR="00DE1F47" w:rsidRDefault="006C0D25" w:rsidP="00DE1F47">
          <w:r>
            <w:fldChar w:fldCharType="end"/>
          </w:r>
        </w:p>
      </w:sdtContent>
    </w:sdt>
    <w:p w14:paraId="6F5A8B44" w14:textId="77777777" w:rsidR="00DE1F47" w:rsidRDefault="00DE1F47" w:rsidP="00DE1F47">
      <w:pPr>
        <w:pStyle w:val="NormalWeb"/>
        <w:spacing w:before="0" w:beforeAutospacing="0" w:after="0" w:afterAutospacing="0" w:line="360" w:lineRule="auto"/>
        <w:jc w:val="both"/>
      </w:pPr>
    </w:p>
    <w:p w14:paraId="7F9D9BBF" w14:textId="77777777" w:rsidR="00DE1F47" w:rsidRDefault="00DE1F47" w:rsidP="00DE1F47">
      <w:pPr>
        <w:jc w:val="left"/>
        <w:rPr>
          <w:rFonts w:eastAsia="Times New Roman" w:cs="Times New Roman"/>
          <w:b/>
          <w:bCs/>
          <w:color w:val="000000"/>
          <w:szCs w:val="24"/>
        </w:rPr>
      </w:pPr>
      <w:r>
        <w:rPr>
          <w:b/>
          <w:bCs/>
          <w:color w:val="000000"/>
        </w:rPr>
        <w:br w:type="page"/>
      </w:r>
    </w:p>
    <w:p w14:paraId="5C6CEBE4" w14:textId="77777777" w:rsidR="00DE1F47" w:rsidRDefault="00DE1F47" w:rsidP="00DE1F47">
      <w:pPr>
        <w:pStyle w:val="Heading1"/>
      </w:pPr>
      <w:bookmarkStart w:id="0" w:name="_Toc119079771"/>
      <w:r>
        <w:lastRenderedPageBreak/>
        <w:t>Introduction</w:t>
      </w:r>
      <w:bookmarkEnd w:id="0"/>
    </w:p>
    <w:p w14:paraId="59A26D42" w14:textId="77777777" w:rsidR="00DE1F47" w:rsidRDefault="00DE1F47" w:rsidP="00DE1F47">
      <w:r>
        <w:t xml:space="preserve">The memorandum below will be discussing the various sets of laws and rules under which the explanation of actus Reus and </w:t>
      </w:r>
      <w:proofErr w:type="spellStart"/>
      <w:r>
        <w:t>mens</w:t>
      </w:r>
      <w:proofErr w:type="spellEnd"/>
      <w:r>
        <w:t xml:space="preserve"> rea will be discussed. It will further also explain the reforms of possible sentences and alleging of various cases as per the clients and their side of justification. Along with that, pros and cons of the laws which will be further carried down with describing the advantages and disadvantages of both the clients. Lastly, both the clients will be suggested with different reforms under which they would be suggested with various actions and remaining silent where necessary.    </w:t>
      </w:r>
    </w:p>
    <w:p w14:paraId="4746583D" w14:textId="77777777" w:rsidR="00DE1F47" w:rsidRDefault="00DE1F47" w:rsidP="00DE1F47">
      <w:pPr>
        <w:jc w:val="left"/>
        <w:rPr>
          <w:rFonts w:eastAsia="Times New Roman" w:cs="Times New Roman"/>
          <w:b/>
          <w:bCs/>
          <w:color w:val="000000"/>
          <w:szCs w:val="24"/>
        </w:rPr>
      </w:pPr>
      <w:r>
        <w:rPr>
          <w:b/>
          <w:bCs/>
          <w:color w:val="000000"/>
        </w:rPr>
        <w:br w:type="page"/>
      </w:r>
    </w:p>
    <w:p w14:paraId="70B3FF23" w14:textId="77777777" w:rsidR="00DE1F47" w:rsidRDefault="00DE1F47" w:rsidP="00DE1F47">
      <w:pPr>
        <w:pStyle w:val="Heading1"/>
        <w:jc w:val="center"/>
      </w:pPr>
      <w:bookmarkStart w:id="1" w:name="_Toc119079772"/>
      <w:r>
        <w:lastRenderedPageBreak/>
        <w:t>MEMORANDUM</w:t>
      </w:r>
      <w:bookmarkEnd w:id="1"/>
    </w:p>
    <w:p w14:paraId="444FDFE5" w14:textId="77777777" w:rsidR="00DE1F47" w:rsidRPr="00DE1F47" w:rsidRDefault="00DE1F47" w:rsidP="00DE1F47">
      <w:pPr>
        <w:rPr>
          <w:b/>
        </w:rPr>
      </w:pPr>
      <w:r w:rsidRPr="00DE1F47">
        <w:rPr>
          <w:b/>
        </w:rPr>
        <w:t>TO: Thomas Trinity</w:t>
      </w:r>
    </w:p>
    <w:p w14:paraId="474D2989" w14:textId="77777777" w:rsidR="00DE1F47" w:rsidRPr="00DE1F47" w:rsidRDefault="00DE1F47" w:rsidP="00DE1F47">
      <w:pPr>
        <w:rPr>
          <w:b/>
        </w:rPr>
      </w:pPr>
      <w:r w:rsidRPr="00DE1F47">
        <w:rPr>
          <w:b/>
        </w:rPr>
        <w:t>FROM: V. Jonas, Trainee lawyer</w:t>
      </w:r>
    </w:p>
    <w:p w14:paraId="763F4256" w14:textId="77777777" w:rsidR="00DE1F47" w:rsidRPr="00DE1F47" w:rsidRDefault="00DE1F47" w:rsidP="00DE1F47">
      <w:pPr>
        <w:rPr>
          <w:b/>
        </w:rPr>
      </w:pPr>
      <w:r w:rsidRPr="00DE1F47">
        <w:rPr>
          <w:b/>
        </w:rPr>
        <w:t>MATTER: The case of SARAH JONES</w:t>
      </w:r>
    </w:p>
    <w:p w14:paraId="73E0C7B6" w14:textId="77777777" w:rsidR="00DE1F47" w:rsidRPr="00DE1F47" w:rsidRDefault="00DE1F47" w:rsidP="00DE1F47">
      <w:pPr>
        <w:rPr>
          <w:b/>
        </w:rPr>
      </w:pPr>
      <w:r w:rsidRPr="00DE1F47">
        <w:rPr>
          <w:b/>
        </w:rPr>
        <w:t xml:space="preserve">DATE: 11th </w:t>
      </w:r>
      <w:proofErr w:type="gramStart"/>
      <w:r w:rsidRPr="00DE1F47">
        <w:rPr>
          <w:b/>
        </w:rPr>
        <w:t>November,</w:t>
      </w:r>
      <w:proofErr w:type="gramEnd"/>
      <w:r w:rsidRPr="00DE1F47">
        <w:rPr>
          <w:b/>
        </w:rPr>
        <w:t xml:space="preserve"> 2022</w:t>
      </w:r>
    </w:p>
    <w:p w14:paraId="115A95AB" w14:textId="77777777" w:rsidR="00DE1F47" w:rsidRDefault="00DE1F47" w:rsidP="00DE1F47">
      <w:r>
        <w:t xml:space="preserve">Based on criminal laws, the legal action in matters of crime getting committed tends to disturb the overall sensation of peace and wide spread of disruption and panic. Further, it also brings a high sense of prosecution which mitigates the high burden of falls along with protecting out the rate of victims. It also brings a major sense of raising the offender in such a way that the attempt of prisoning and steering a high rate of dutiful citizens gets abided. In this matter, </w:t>
      </w:r>
      <w:proofErr w:type="spellStart"/>
      <w:r>
        <w:t>Mens</w:t>
      </w:r>
      <w:proofErr w:type="spellEnd"/>
      <w:r>
        <w:t xml:space="preserve"> rea and Actus Reus are known to be the two most </w:t>
      </w:r>
      <w:proofErr w:type="gramStart"/>
      <w:r>
        <w:t>important essentials</w:t>
      </w:r>
      <w:proofErr w:type="gramEnd"/>
      <w:r>
        <w:t xml:space="preserve"> of crime which keeps the high intention of disturbing peace. However, in the matter of building and bringing a major rate of commitment, the doubt on the offender gets benefitted (</w:t>
      </w:r>
      <w:r>
        <w:rPr>
          <w:color w:val="222222"/>
          <w:shd w:val="clear" w:color="auto" w:fill="FFFFFF"/>
        </w:rPr>
        <w:t xml:space="preserve">Brown </w:t>
      </w:r>
      <w:r>
        <w:rPr>
          <w:i/>
          <w:iCs/>
          <w:color w:val="222222"/>
          <w:shd w:val="clear" w:color="auto" w:fill="FFFFFF"/>
        </w:rPr>
        <w:t>et al</w:t>
      </w:r>
      <w:r>
        <w:rPr>
          <w:color w:val="222222"/>
          <w:shd w:val="clear" w:color="auto" w:fill="FFFFFF"/>
        </w:rPr>
        <w:t>., 2018</w:t>
      </w:r>
      <w:r>
        <w:t xml:space="preserve">). The prosecution of onus also gets known to be one of the major justices of principle along with convicting a high rate of charge in business which gets marked beyond the level of reasonable doubt. The major goal of the </w:t>
      </w:r>
      <w:r w:rsidR="00192201">
        <w:t>defense</w:t>
      </w:r>
      <w:r>
        <w:t xml:space="preserve"> therefore establishes that sense which brings major charge in conviction and reforms. </w:t>
      </w:r>
      <w:proofErr w:type="gramStart"/>
      <w:r>
        <w:t>Both of these</w:t>
      </w:r>
      <w:proofErr w:type="gramEnd"/>
      <w:r>
        <w:t xml:space="preserve"> acts are an important part of business along with its determination whether it is culpable or not. It helps in specifying the case and its rate of accusation as per high intention of knowledge and committing of different actions towards the victim. Further, </w:t>
      </w:r>
      <w:proofErr w:type="gramStart"/>
      <w:r>
        <w:t>both of these</w:t>
      </w:r>
      <w:proofErr w:type="gramEnd"/>
      <w:r>
        <w:t xml:space="preserve"> acts get to be defined as involuntary and voluntary determination under which the case and its facts get highlighted. In the case of Miss Sarah Jones and Miss Davies the guilt and likeable situation of bringing major business reforms gets voluntarily highlighted. It helps in highlighting the physical aspect which took place under the crime and omitting the result (</w:t>
      </w:r>
      <w:r>
        <w:rPr>
          <w:color w:val="222222"/>
          <w:shd w:val="clear" w:color="auto" w:fill="FFFFFF"/>
        </w:rPr>
        <w:t>Richards, 2019</w:t>
      </w:r>
      <w:r>
        <w:t xml:space="preserve">). The overall sense of bringing suitability and </w:t>
      </w:r>
      <w:proofErr w:type="spellStart"/>
      <w:r>
        <w:t>consulison</w:t>
      </w:r>
      <w:proofErr w:type="spellEnd"/>
      <w:r>
        <w:t xml:space="preserve"> behind who the real guilty person is what gets determined under which accusation of business. In these laws, the seven different types of judges get intimidated and cannot be held guilty without any sense of offence. In certain types of </w:t>
      </w:r>
      <w:proofErr w:type="gramStart"/>
      <w:r>
        <w:t>issues</w:t>
      </w:r>
      <w:proofErr w:type="gramEnd"/>
      <w:r>
        <w:t xml:space="preserve"> it has also been said that the mistake and appraising of facts has been criminally liable with the knowledge and possessing of different negligence which brings high rate of criminal liability. </w:t>
      </w:r>
    </w:p>
    <w:p w14:paraId="5B2C8109" w14:textId="77777777" w:rsidR="00DE1F47" w:rsidRDefault="00DE1F47" w:rsidP="00DE1F47">
      <w:r>
        <w:t xml:space="preserve">The overall legal case of Gucci handbag was on the major rate of intending and bringing high supply of engaging and involving different matters in it. Different types of business and its rate </w:t>
      </w:r>
      <w:r>
        <w:lastRenderedPageBreak/>
        <w:t xml:space="preserve">of investigation gets provided under such assaults where the process of quantifying major doubts gets discussed and formed in a sense of penalty. In this system of law, the case which has been getting discussed is the finding of a Gucci bag which was found by Miss Jones. The case there started getting discussed in which Miss Jones was being titled as assault due to Miss Davies claiming it as her own bag. </w:t>
      </w:r>
      <w:proofErr w:type="spellStart"/>
      <w:r>
        <w:t>Himveer</w:t>
      </w:r>
      <w:proofErr w:type="spellEnd"/>
      <w:r>
        <w:t>, the case of accusation there was decided to be ended with peace where the decision started under common law and statement of deployment (</w:t>
      </w:r>
      <w:r>
        <w:rPr>
          <w:color w:val="222222"/>
          <w:shd w:val="clear" w:color="auto" w:fill="FFFFFF"/>
        </w:rPr>
        <w:t>Welch, 2021</w:t>
      </w:r>
      <w:r>
        <w:t xml:space="preserve">). It gets determined as per the description of Miss Davies, who is known to be a bad </w:t>
      </w:r>
      <w:proofErr w:type="spellStart"/>
      <w:r>
        <w:t>neighbour</w:t>
      </w:r>
      <w:proofErr w:type="spellEnd"/>
      <w:r>
        <w:t xml:space="preserve"> which also adds that she is unemployed. Therefore, there is no possible way that she bought that Gucci Bag herself. There, Miss Davies claimed that the bag was gifted to her by her grandmother who is no </w:t>
      </w:r>
      <w:r w:rsidR="00192201">
        <w:t>more;</w:t>
      </w:r>
      <w:r>
        <w:t xml:space="preserve"> </w:t>
      </w:r>
      <w:proofErr w:type="gramStart"/>
      <w:r>
        <w:t>therefore</w:t>
      </w:r>
      <w:proofErr w:type="gramEnd"/>
      <w:r>
        <w:t xml:space="preserve"> she cannot prove herself with any bill or any legal process of handling the case. </w:t>
      </w:r>
      <w:proofErr w:type="spellStart"/>
      <w:r>
        <w:t>Akso</w:t>
      </w:r>
      <w:proofErr w:type="spellEnd"/>
      <w:r>
        <w:t xml:space="preserve">, in order to carry the case forward the police dragged down the situation to discussion in which both the assault </w:t>
      </w:r>
      <w:proofErr w:type="gramStart"/>
      <w:r>
        <w:t>were</w:t>
      </w:r>
      <w:proofErr w:type="gramEnd"/>
      <w:r>
        <w:t xml:space="preserve"> asked to answer down the question along with bringing a major sense of answer accordingly. Therefore, as per the case it is necessary to bring proper sense of essentiality and sense of sorting those questions which have been asked by the police to both the client. As it is widely known that the standpoint and evidentiary process of determining the case is to remain silent in the questioning duration or to answer in a better way (</w:t>
      </w:r>
      <w:r>
        <w:rPr>
          <w:color w:val="222222"/>
          <w:shd w:val="clear" w:color="auto" w:fill="FFFFFF"/>
        </w:rPr>
        <w:t>Aji, 2019</w:t>
      </w:r>
      <w:r>
        <w:t>). Both the clients would be asked to continue their discussion in the police department where they would be asked to answer a few questions and proofs upon which the overall conclusion of the case would be determined and discussed.</w:t>
      </w:r>
    </w:p>
    <w:p w14:paraId="555F0DC9" w14:textId="77777777" w:rsidR="00DE1F47" w:rsidRDefault="00DE1F47" w:rsidP="00DE1F47">
      <w:r>
        <w:t xml:space="preserve">In matters of legal sentences which can be marked to the accused is the theft and objectifying of cases as per the digital accordance and set of data. It can also be required to bring down the process under which the immovable property and retrieving of intervention might be getting discussed as per confidential information of case and its belongings of both clients. There are many subjects which could be stated to the guilty after the apprehending of result. In the failure to act law, the step of imprisonment and deploying the client with a major rate of change has been functioning. It includes the conducting of possible changes which could have been undertaken and recorded </w:t>
      </w:r>
      <w:proofErr w:type="gramStart"/>
      <w:r>
        <w:t>on the basis of</w:t>
      </w:r>
      <w:proofErr w:type="gramEnd"/>
      <w:r>
        <w:t xml:space="preserve"> various statements which have been claimed by Miss Davies during the case itself (</w:t>
      </w:r>
      <w:r>
        <w:rPr>
          <w:color w:val="222222"/>
          <w:shd w:val="clear" w:color="auto" w:fill="FFFFFF"/>
        </w:rPr>
        <w:t>Ross, 2018</w:t>
      </w:r>
      <w:r>
        <w:t xml:space="preserve">). Moreover, both </w:t>
      </w:r>
      <w:proofErr w:type="spellStart"/>
      <w:r>
        <w:t>mens</w:t>
      </w:r>
      <w:proofErr w:type="spellEnd"/>
      <w:r>
        <w:t xml:space="preserve"> rea and actus reus there </w:t>
      </w:r>
      <w:r w:rsidR="00192201">
        <w:t>is</w:t>
      </w:r>
      <w:r>
        <w:t xml:space="preserve"> termed as two different but major essential reforms and criminality. As per the overall rate of description, it can be said that Miss Sarah Jones found that bag randomly and she just carried it out thinking it was lost. Meanwhile, Miss Davies there stared claiming that the bag is hers which </w:t>
      </w:r>
      <w:r>
        <w:lastRenderedPageBreak/>
        <w:t xml:space="preserve">was a Gucci handbag. It has also been identified that miss Sarah is from a good background and there is </w:t>
      </w:r>
      <w:r w:rsidR="00192201">
        <w:t>no</w:t>
      </w:r>
      <w:r>
        <w:t xml:space="preserve"> way where it can be said that she was consulting any crime, whereas Miss </w:t>
      </w:r>
      <w:proofErr w:type="spellStart"/>
      <w:r>
        <w:t>davies</w:t>
      </w:r>
      <w:proofErr w:type="spellEnd"/>
      <w:r>
        <w:t xml:space="preserve"> on the other hand was subjected with chances that she was lying about the incident as she was unemployed and had not possible way of buying that handbag herself. Both the clients were also asked to answer as per their possible accordance with various </w:t>
      </w:r>
      <w:r w:rsidR="00192201">
        <w:t>standpoints</w:t>
      </w:r>
      <w:r>
        <w:t xml:space="preserve"> from their perspective (</w:t>
      </w:r>
      <w:proofErr w:type="spellStart"/>
      <w:r>
        <w:rPr>
          <w:color w:val="222222"/>
          <w:shd w:val="clear" w:color="auto" w:fill="FFFFFF"/>
        </w:rPr>
        <w:t>Ossei</w:t>
      </w:r>
      <w:proofErr w:type="spellEnd"/>
      <w:r>
        <w:rPr>
          <w:color w:val="222222"/>
          <w:shd w:val="clear" w:color="auto" w:fill="FFFFFF"/>
        </w:rPr>
        <w:t>-Owusu, 2021</w:t>
      </w:r>
      <w:r>
        <w:t>). Therefore, along with the process of carrying forward the interview of clients, the police investigation reached that subsidiary point where the way of answering questions would be the only point of determining who assaulted it.</w:t>
      </w:r>
    </w:p>
    <w:p w14:paraId="3AA0B7DA" w14:textId="77777777" w:rsidR="00DE1F47" w:rsidRDefault="00DE1F47" w:rsidP="00DE1F47">
      <w:r>
        <w:t>The factors which would be carried forward in keeping the clients good in their character where she would be judged as per the way she would be answering questions. The striking and accidental norms in terms of bringing major attempts and negligence are known to be one of the most different forms of bringing resolving senses in business. Based on different rates of sections the development and process of determination gets developed by diminishing down the rate of extent and process (</w:t>
      </w:r>
      <w:proofErr w:type="spellStart"/>
      <w:r>
        <w:rPr>
          <w:color w:val="222222"/>
          <w:shd w:val="clear" w:color="auto" w:fill="FFFFFF"/>
        </w:rPr>
        <w:t>Vanzi</w:t>
      </w:r>
      <w:proofErr w:type="spellEnd"/>
      <w:r>
        <w:rPr>
          <w:color w:val="222222"/>
          <w:shd w:val="clear" w:color="auto" w:fill="FFFFFF"/>
        </w:rPr>
        <w:t xml:space="preserve"> </w:t>
      </w:r>
      <w:r>
        <w:rPr>
          <w:i/>
          <w:iCs/>
          <w:color w:val="222222"/>
          <w:shd w:val="clear" w:color="auto" w:fill="FFFFFF"/>
        </w:rPr>
        <w:t>et al</w:t>
      </w:r>
      <w:r>
        <w:rPr>
          <w:color w:val="222222"/>
          <w:shd w:val="clear" w:color="auto" w:fill="FFFFFF"/>
        </w:rPr>
        <w:t>., 2018</w:t>
      </w:r>
      <w:r>
        <w:t xml:space="preserve">). It briefly accomplishes and determines the successful rate of crimes under which the stage of describing and overwhelming business reforms gets highly committed and determined as per different rates of business. It also has the chance of bringing decisional reforms and development through which decisional reforms get discussed and developed under a major rate of extension and processes of crimes. One of the most first and last stages of business there gets </w:t>
      </w:r>
      <w:proofErr w:type="spellStart"/>
      <w:r>
        <w:t>specialised</w:t>
      </w:r>
      <w:proofErr w:type="spellEnd"/>
      <w:r>
        <w:t xml:space="preserve"> and diminished under the rate of development and chances of committing major processes and reforms (</w:t>
      </w:r>
      <w:proofErr w:type="spellStart"/>
      <w:r>
        <w:rPr>
          <w:color w:val="222222"/>
          <w:shd w:val="clear" w:color="auto" w:fill="FFFFFF"/>
        </w:rPr>
        <w:t>Rouas</w:t>
      </w:r>
      <w:proofErr w:type="spellEnd"/>
      <w:r>
        <w:rPr>
          <w:color w:val="222222"/>
          <w:shd w:val="clear" w:color="auto" w:fill="FFFFFF"/>
        </w:rPr>
        <w:t>, 2022</w:t>
      </w:r>
      <w:r>
        <w:t xml:space="preserve">). Mainly the process of bringing and striking major changes highlights the cause of determining and developing business highlights as per the high rate of terrors in matters of investigation and development of awareness. Lastly, the </w:t>
      </w:r>
      <w:r w:rsidR="00192201">
        <w:t>case of Miss Sarah Jones and Miss Davies has</w:t>
      </w:r>
      <w:r>
        <w:t xml:space="preserve"> been concluded to the perspective where both the clients were discussed per its pros and cons along with different rates of processes and reforms. The client would be therefore suggested to justify her side by being honest and by remaining silent where necessary rather than justifying or lying during the time of investigation under police investigation.                                </w:t>
      </w:r>
      <w:r>
        <w:rPr>
          <w:b/>
          <w:bCs/>
        </w:rPr>
        <w:t> </w:t>
      </w:r>
    </w:p>
    <w:p w14:paraId="42BA0C3F" w14:textId="77777777" w:rsidR="00DE1F47" w:rsidRDefault="00DE1F47" w:rsidP="00DE1F47">
      <w:pPr>
        <w:jc w:val="left"/>
        <w:rPr>
          <w:rFonts w:eastAsia="Times New Roman" w:cs="Times New Roman"/>
          <w:b/>
          <w:bCs/>
          <w:color w:val="000000"/>
          <w:szCs w:val="24"/>
        </w:rPr>
      </w:pPr>
      <w:r>
        <w:rPr>
          <w:b/>
          <w:bCs/>
          <w:color w:val="000000"/>
        </w:rPr>
        <w:br w:type="page"/>
      </w:r>
    </w:p>
    <w:p w14:paraId="7674B5DC" w14:textId="77777777" w:rsidR="00DE1F47" w:rsidRDefault="00DE1F47" w:rsidP="00DE1F47">
      <w:pPr>
        <w:pStyle w:val="Heading1"/>
      </w:pPr>
      <w:bookmarkStart w:id="2" w:name="_Toc119079773"/>
      <w:r>
        <w:lastRenderedPageBreak/>
        <w:t>Conclusion</w:t>
      </w:r>
      <w:bookmarkEnd w:id="2"/>
    </w:p>
    <w:p w14:paraId="7671A51E" w14:textId="77777777" w:rsidR="00DE1F47" w:rsidRDefault="00DE1F47" w:rsidP="00DE1F47">
      <w:r>
        <w:t xml:space="preserve">In conclusion to the memorandum above, the legal case and actions of actus reus and </w:t>
      </w:r>
      <w:proofErr w:type="spellStart"/>
      <w:r>
        <w:t>mens</w:t>
      </w:r>
      <w:proofErr w:type="spellEnd"/>
      <w:r>
        <w:t xml:space="preserve"> rea has been discussed. It has also carried forward with the discussion of different laws and regulation which helps in determining the assault and sentences. Further, the advantages and disadvantages of remaining silent during the overall process of police investigation to the clients have been discussed. The discussion lastly concluded with the factors under which the court would be functioning the overall case along with allocating the case of Miss Sarah Jones under allocation.   </w:t>
      </w:r>
    </w:p>
    <w:p w14:paraId="00D854D5" w14:textId="77777777" w:rsidR="00DE1F47" w:rsidRDefault="00DE1F47" w:rsidP="00DE1F47">
      <w:pPr>
        <w:jc w:val="left"/>
        <w:rPr>
          <w:rFonts w:eastAsia="Times New Roman" w:cs="Times New Roman"/>
          <w:b/>
          <w:bCs/>
          <w:color w:val="000000"/>
          <w:szCs w:val="24"/>
        </w:rPr>
      </w:pPr>
      <w:r>
        <w:rPr>
          <w:b/>
          <w:bCs/>
          <w:color w:val="000000"/>
        </w:rPr>
        <w:br w:type="page"/>
      </w:r>
    </w:p>
    <w:p w14:paraId="063B1645" w14:textId="77777777" w:rsidR="00DE1F47" w:rsidRDefault="00DE1F47" w:rsidP="00DE1F47">
      <w:pPr>
        <w:pStyle w:val="Heading1"/>
      </w:pPr>
      <w:bookmarkStart w:id="3" w:name="_Toc119079774"/>
      <w:r>
        <w:lastRenderedPageBreak/>
        <w:t>References</w:t>
      </w:r>
      <w:bookmarkEnd w:id="3"/>
    </w:p>
    <w:p w14:paraId="23D212F6" w14:textId="77777777" w:rsidR="00192201" w:rsidRDefault="00192201" w:rsidP="00192201">
      <w:r w:rsidRPr="00192201">
        <w:rPr>
          <w:shd w:val="clear" w:color="auto" w:fill="FFFFFF"/>
        </w:rPr>
        <w:t xml:space="preserve">Aji, W.S., 2019. The Implementation of Diversion and Restorative Justice in the Juvenile Criminal Justice System in Indonesia. </w:t>
      </w:r>
      <w:r w:rsidRPr="00192201">
        <w:rPr>
          <w:i/>
          <w:iCs/>
          <w:shd w:val="clear" w:color="auto" w:fill="FFFFFF"/>
        </w:rPr>
        <w:t>Journal of Indonesian Legal Studies</w:t>
      </w:r>
      <w:r w:rsidRPr="00192201">
        <w:rPr>
          <w:shd w:val="clear" w:color="auto" w:fill="FFFFFF"/>
        </w:rPr>
        <w:t xml:space="preserve">, </w:t>
      </w:r>
      <w:r w:rsidRPr="00192201">
        <w:rPr>
          <w:i/>
          <w:iCs/>
          <w:shd w:val="clear" w:color="auto" w:fill="FFFFFF"/>
        </w:rPr>
        <w:t>4</w:t>
      </w:r>
      <w:r w:rsidRPr="00192201">
        <w:rPr>
          <w:shd w:val="clear" w:color="auto" w:fill="FFFFFF"/>
        </w:rPr>
        <w:t>(1), p.73.</w:t>
      </w:r>
    </w:p>
    <w:p w14:paraId="4D2E27B0" w14:textId="77777777" w:rsidR="00192201" w:rsidRDefault="00192201" w:rsidP="00192201">
      <w:r w:rsidRPr="00192201">
        <w:rPr>
          <w:shd w:val="clear" w:color="auto" w:fill="FFFFFF"/>
        </w:rPr>
        <w:t xml:space="preserve">Brown, A.J., Glisson, W.B., </w:t>
      </w:r>
      <w:proofErr w:type="spellStart"/>
      <w:r w:rsidRPr="00192201">
        <w:rPr>
          <w:shd w:val="clear" w:color="auto" w:fill="FFFFFF"/>
        </w:rPr>
        <w:t>Andel</w:t>
      </w:r>
      <w:proofErr w:type="spellEnd"/>
      <w:r w:rsidRPr="00192201">
        <w:rPr>
          <w:shd w:val="clear" w:color="auto" w:fill="FFFFFF"/>
        </w:rPr>
        <w:t xml:space="preserve">, T.R. and Choo, K.K.R., 2018. Cloud forecasting: Legal visibility issues in saturated environments. </w:t>
      </w:r>
      <w:r w:rsidRPr="00192201">
        <w:rPr>
          <w:i/>
          <w:iCs/>
          <w:shd w:val="clear" w:color="auto" w:fill="FFFFFF"/>
        </w:rPr>
        <w:t>Computer Law &amp; Security Review</w:t>
      </w:r>
      <w:r w:rsidRPr="00192201">
        <w:rPr>
          <w:shd w:val="clear" w:color="auto" w:fill="FFFFFF"/>
        </w:rPr>
        <w:t xml:space="preserve">, </w:t>
      </w:r>
      <w:r w:rsidRPr="00192201">
        <w:rPr>
          <w:i/>
          <w:iCs/>
          <w:shd w:val="clear" w:color="auto" w:fill="FFFFFF"/>
        </w:rPr>
        <w:t>34</w:t>
      </w:r>
      <w:r w:rsidRPr="00192201">
        <w:rPr>
          <w:shd w:val="clear" w:color="auto" w:fill="FFFFFF"/>
        </w:rPr>
        <w:t>(6), pp.1278-1290.</w:t>
      </w:r>
    </w:p>
    <w:p w14:paraId="7EB56DF4" w14:textId="77777777" w:rsidR="00192201" w:rsidRDefault="00192201" w:rsidP="00192201">
      <w:proofErr w:type="spellStart"/>
      <w:r w:rsidRPr="00192201">
        <w:rPr>
          <w:shd w:val="clear" w:color="auto" w:fill="FFFFFF"/>
        </w:rPr>
        <w:t>Ogolla</w:t>
      </w:r>
      <w:proofErr w:type="spellEnd"/>
      <w:r w:rsidRPr="00192201">
        <w:rPr>
          <w:shd w:val="clear" w:color="auto" w:fill="FFFFFF"/>
        </w:rPr>
        <w:t xml:space="preserve">, C., Allender, E., </w:t>
      </w:r>
      <w:proofErr w:type="spellStart"/>
      <w:r w:rsidRPr="00192201">
        <w:rPr>
          <w:shd w:val="clear" w:color="auto" w:fill="FFFFFF"/>
        </w:rPr>
        <w:t>Viger</w:t>
      </w:r>
      <w:proofErr w:type="spellEnd"/>
      <w:r w:rsidRPr="00192201">
        <w:rPr>
          <w:shd w:val="clear" w:color="auto" w:fill="FFFFFF"/>
        </w:rPr>
        <w:t xml:space="preserve">, T. and Yueh, L.A., 2021. Litigation and Public Health. </w:t>
      </w:r>
      <w:r w:rsidRPr="00192201">
        <w:rPr>
          <w:i/>
          <w:iCs/>
          <w:shd w:val="clear" w:color="auto" w:fill="FFFFFF"/>
        </w:rPr>
        <w:t>Public Health Law: Concepts and Case Studies</w:t>
      </w:r>
      <w:r w:rsidRPr="00192201">
        <w:rPr>
          <w:shd w:val="clear" w:color="auto" w:fill="FFFFFF"/>
        </w:rPr>
        <w:t>, p.61.</w:t>
      </w:r>
    </w:p>
    <w:p w14:paraId="11481817" w14:textId="77777777" w:rsidR="00192201" w:rsidRDefault="00192201" w:rsidP="00192201">
      <w:proofErr w:type="spellStart"/>
      <w:r w:rsidRPr="00192201">
        <w:rPr>
          <w:shd w:val="clear" w:color="auto" w:fill="FFFFFF"/>
        </w:rPr>
        <w:t>Ossei</w:t>
      </w:r>
      <w:proofErr w:type="spellEnd"/>
      <w:r w:rsidRPr="00192201">
        <w:rPr>
          <w:shd w:val="clear" w:color="auto" w:fill="FFFFFF"/>
        </w:rPr>
        <w:t xml:space="preserve">-Owusu, S., 2021. Criminal Legal Education. </w:t>
      </w:r>
      <w:r w:rsidRPr="00192201">
        <w:rPr>
          <w:i/>
          <w:iCs/>
          <w:shd w:val="clear" w:color="auto" w:fill="FFFFFF"/>
        </w:rPr>
        <w:t>Am. Crim. L. Rev.</w:t>
      </w:r>
      <w:r w:rsidRPr="00192201">
        <w:rPr>
          <w:shd w:val="clear" w:color="auto" w:fill="FFFFFF"/>
        </w:rPr>
        <w:t>58, p.413.</w:t>
      </w:r>
    </w:p>
    <w:p w14:paraId="15D0D3F2" w14:textId="77777777" w:rsidR="00192201" w:rsidRDefault="00192201" w:rsidP="00192201">
      <w:r w:rsidRPr="00192201">
        <w:rPr>
          <w:shd w:val="clear" w:color="auto" w:fill="FFFFFF"/>
        </w:rPr>
        <w:t xml:space="preserve">Richards, M.L., 2019. Pills, Public Nuisance, and </w:t>
      </w:r>
      <w:proofErr w:type="spellStart"/>
      <w:r w:rsidRPr="00192201">
        <w:rPr>
          <w:shd w:val="clear" w:color="auto" w:fill="FFFFFF"/>
        </w:rPr>
        <w:t>Parens</w:t>
      </w:r>
      <w:proofErr w:type="spellEnd"/>
      <w:r w:rsidRPr="00192201">
        <w:rPr>
          <w:shd w:val="clear" w:color="auto" w:fill="FFFFFF"/>
        </w:rPr>
        <w:t xml:space="preserve"> Patriae: Questioning the Propriety of the Posture of the Opioid Litigation. </w:t>
      </w:r>
      <w:r w:rsidRPr="00192201">
        <w:rPr>
          <w:i/>
          <w:iCs/>
          <w:shd w:val="clear" w:color="auto" w:fill="FFFFFF"/>
        </w:rPr>
        <w:t>U. Rich. L. Rev54</w:t>
      </w:r>
      <w:r w:rsidRPr="00192201">
        <w:rPr>
          <w:shd w:val="clear" w:color="auto" w:fill="FFFFFF"/>
        </w:rPr>
        <w:t>, p.405.</w:t>
      </w:r>
    </w:p>
    <w:p w14:paraId="075F9720" w14:textId="77777777" w:rsidR="00192201" w:rsidRDefault="00192201" w:rsidP="00192201">
      <w:r w:rsidRPr="00192201">
        <w:rPr>
          <w:shd w:val="clear" w:color="auto" w:fill="FFFFFF"/>
        </w:rPr>
        <w:t xml:space="preserve">Ross, D.L., 2018. </w:t>
      </w:r>
      <w:r w:rsidRPr="00192201">
        <w:rPr>
          <w:i/>
          <w:iCs/>
          <w:shd w:val="clear" w:color="auto" w:fill="FFFFFF"/>
        </w:rPr>
        <w:t>Civil liability in criminal justice</w:t>
      </w:r>
      <w:r w:rsidRPr="00192201">
        <w:rPr>
          <w:shd w:val="clear" w:color="auto" w:fill="FFFFFF"/>
        </w:rPr>
        <w:t>. Routledge.</w:t>
      </w:r>
    </w:p>
    <w:p w14:paraId="7935608B" w14:textId="77777777" w:rsidR="00192201" w:rsidRDefault="00192201" w:rsidP="00192201">
      <w:proofErr w:type="spellStart"/>
      <w:r w:rsidRPr="00192201">
        <w:rPr>
          <w:shd w:val="clear" w:color="auto" w:fill="FFFFFF"/>
        </w:rPr>
        <w:t>Rouas</w:t>
      </w:r>
      <w:proofErr w:type="spellEnd"/>
      <w:r w:rsidRPr="00192201">
        <w:rPr>
          <w:shd w:val="clear" w:color="auto" w:fill="FFFFFF"/>
        </w:rPr>
        <w:t>, V., 2022. Achieving Access to Justice in a Business and Human Rights Context: An Assessment of Litigation and Regulatory Responses in European Civil-Law Countries.</w:t>
      </w:r>
    </w:p>
    <w:p w14:paraId="0FC59E00" w14:textId="77777777" w:rsidR="00192201" w:rsidRDefault="00192201" w:rsidP="00192201">
      <w:proofErr w:type="spellStart"/>
      <w:r w:rsidRPr="00192201">
        <w:rPr>
          <w:shd w:val="clear" w:color="auto" w:fill="FFFFFF"/>
        </w:rPr>
        <w:t>Vanzi</w:t>
      </w:r>
      <w:proofErr w:type="spellEnd"/>
      <w:r w:rsidRPr="00192201">
        <w:rPr>
          <w:shd w:val="clear" w:color="auto" w:fill="FFFFFF"/>
        </w:rPr>
        <w:t xml:space="preserve">, L.M., Schultz, A.G. and Stambaugh, M.B., 2018. State Constitutional Litigation in New Mexico: All Shield and No Sword. </w:t>
      </w:r>
      <w:r w:rsidRPr="00192201">
        <w:rPr>
          <w:i/>
          <w:iCs/>
          <w:shd w:val="clear" w:color="auto" w:fill="FFFFFF"/>
        </w:rPr>
        <w:t>NML Rev.</w:t>
      </w:r>
      <w:r w:rsidRPr="00192201">
        <w:rPr>
          <w:shd w:val="clear" w:color="auto" w:fill="FFFFFF"/>
        </w:rPr>
        <w:t xml:space="preserve">, </w:t>
      </w:r>
      <w:r w:rsidRPr="00192201">
        <w:rPr>
          <w:i/>
          <w:iCs/>
          <w:shd w:val="clear" w:color="auto" w:fill="FFFFFF"/>
        </w:rPr>
        <w:t>48</w:t>
      </w:r>
      <w:r w:rsidRPr="00192201">
        <w:rPr>
          <w:shd w:val="clear" w:color="auto" w:fill="FFFFFF"/>
        </w:rPr>
        <w:t>, p.302.</w:t>
      </w:r>
    </w:p>
    <w:p w14:paraId="2B4B0FE3" w14:textId="77777777" w:rsidR="00192201" w:rsidRDefault="00192201" w:rsidP="00192201">
      <w:r w:rsidRPr="00192201">
        <w:rPr>
          <w:shd w:val="clear" w:color="auto" w:fill="FFFFFF"/>
        </w:rPr>
        <w:t xml:space="preserve">Welch, E.M., 2021. </w:t>
      </w:r>
      <w:r w:rsidRPr="00192201">
        <w:rPr>
          <w:i/>
          <w:iCs/>
          <w:shd w:val="clear" w:color="auto" w:fill="FFFFFF"/>
        </w:rPr>
        <w:t>Litigation Strategies for Suggestive Identification Evidence</w:t>
      </w:r>
      <w:r w:rsidRPr="00192201">
        <w:rPr>
          <w:shd w:val="clear" w:color="auto" w:fill="FFFFFF"/>
        </w:rPr>
        <w:t xml:space="preserve"> (Doctoral dissertation, City University of New York John Jay College of Criminal Justice).</w:t>
      </w:r>
    </w:p>
    <w:p w14:paraId="79AD3F8B" w14:textId="77777777" w:rsidR="00BB6F70" w:rsidRDefault="00BB6F70" w:rsidP="00DE1F47"/>
    <w:sectPr w:rsidR="00BB6F70" w:rsidSect="003D79B1">
      <w:footerReference w:type="default" r:id="rId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9628F" w14:textId="77777777" w:rsidR="00AE5DED" w:rsidRDefault="00AE5DED" w:rsidP="00DE1F47">
      <w:pPr>
        <w:spacing w:line="240" w:lineRule="auto"/>
      </w:pPr>
      <w:r>
        <w:separator/>
      </w:r>
    </w:p>
  </w:endnote>
  <w:endnote w:type="continuationSeparator" w:id="0">
    <w:p w14:paraId="57276732" w14:textId="77777777" w:rsidR="00AE5DED" w:rsidRDefault="00AE5DED" w:rsidP="00DE1F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43926"/>
      <w:docPartObj>
        <w:docPartGallery w:val="Page Numbers (Bottom of Page)"/>
        <w:docPartUnique/>
      </w:docPartObj>
    </w:sdtPr>
    <w:sdtContent>
      <w:p w14:paraId="6F72B803" w14:textId="77777777" w:rsidR="00DE1F47" w:rsidRDefault="00000000">
        <w:pPr>
          <w:pStyle w:val="Footer"/>
          <w:jc w:val="right"/>
        </w:pPr>
        <w:r>
          <w:fldChar w:fldCharType="begin"/>
        </w:r>
        <w:r>
          <w:instrText xml:space="preserve"> PAGE   \* MERGEFORMAT </w:instrText>
        </w:r>
        <w:r>
          <w:fldChar w:fldCharType="separate"/>
        </w:r>
        <w:r w:rsidR="00192201">
          <w:rPr>
            <w:noProof/>
          </w:rPr>
          <w:t>5</w:t>
        </w:r>
        <w:r>
          <w:rPr>
            <w:noProof/>
          </w:rPr>
          <w:fldChar w:fldCharType="end"/>
        </w:r>
      </w:p>
    </w:sdtContent>
  </w:sdt>
  <w:p w14:paraId="1F0A2D2C" w14:textId="77777777" w:rsidR="00DE1F47" w:rsidRDefault="00DE1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49904" w14:textId="77777777" w:rsidR="00AE5DED" w:rsidRDefault="00AE5DED" w:rsidP="00DE1F47">
      <w:pPr>
        <w:spacing w:line="240" w:lineRule="auto"/>
      </w:pPr>
      <w:r>
        <w:separator/>
      </w:r>
    </w:p>
  </w:footnote>
  <w:footnote w:type="continuationSeparator" w:id="0">
    <w:p w14:paraId="656531F2" w14:textId="77777777" w:rsidR="00AE5DED" w:rsidRDefault="00AE5DED" w:rsidP="00DE1F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2757A9"/>
    <w:multiLevelType w:val="hybridMultilevel"/>
    <w:tmpl w:val="7E8ADA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5774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E1F47"/>
    <w:rsid w:val="00192201"/>
    <w:rsid w:val="003D79B1"/>
    <w:rsid w:val="006C0D25"/>
    <w:rsid w:val="008311A9"/>
    <w:rsid w:val="00A27C61"/>
    <w:rsid w:val="00AE5DED"/>
    <w:rsid w:val="00BB6F70"/>
    <w:rsid w:val="00C64390"/>
    <w:rsid w:val="00C7725C"/>
    <w:rsid w:val="00D72F0A"/>
    <w:rsid w:val="00DE1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5"/>
    <o:shapelayout v:ext="edit">
      <o:idmap v:ext="edit" data="1"/>
    </o:shapelayout>
  </w:shapeDefaults>
  <w:decimalSymbol w:val="."/>
  <w:listSeparator w:val=","/>
  <w14:docId w14:val="4DA111CB"/>
  <w15:docId w15:val="{A25F1663-B595-4565-BA2D-7A310344A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F47"/>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E1F47"/>
    <w:pPr>
      <w:keepNext/>
      <w:keepLines/>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1F47"/>
    <w:pPr>
      <w:spacing w:before="100" w:beforeAutospacing="1" w:after="100" w:afterAutospacing="1" w:line="240" w:lineRule="auto"/>
      <w:jc w:val="left"/>
    </w:pPr>
    <w:rPr>
      <w:rFonts w:eastAsia="Times New Roman" w:cs="Times New Roman"/>
      <w:szCs w:val="24"/>
    </w:rPr>
  </w:style>
  <w:style w:type="paragraph" w:styleId="Title">
    <w:name w:val="Title"/>
    <w:basedOn w:val="Normal"/>
    <w:next w:val="Normal"/>
    <w:link w:val="TitleChar"/>
    <w:uiPriority w:val="10"/>
    <w:qFormat/>
    <w:rsid w:val="00DE1F47"/>
    <w:pPr>
      <w:pBdr>
        <w:bottom w:val="single" w:sz="8" w:space="4" w:color="4F81BD" w:themeColor="accent1"/>
      </w:pBdr>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DE1F47"/>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uiPriority w:val="9"/>
    <w:rsid w:val="00DE1F47"/>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DE1F47"/>
    <w:pPr>
      <w:spacing w:before="48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DE1F47"/>
    <w:pPr>
      <w:spacing w:after="100"/>
    </w:pPr>
  </w:style>
  <w:style w:type="character" w:styleId="Hyperlink">
    <w:name w:val="Hyperlink"/>
    <w:basedOn w:val="DefaultParagraphFont"/>
    <w:uiPriority w:val="99"/>
    <w:unhideWhenUsed/>
    <w:rsid w:val="00DE1F47"/>
    <w:rPr>
      <w:color w:val="0000FF" w:themeColor="hyperlink"/>
      <w:u w:val="single"/>
    </w:rPr>
  </w:style>
  <w:style w:type="paragraph" w:styleId="BalloonText">
    <w:name w:val="Balloon Text"/>
    <w:basedOn w:val="Normal"/>
    <w:link w:val="BalloonTextChar"/>
    <w:uiPriority w:val="99"/>
    <w:semiHidden/>
    <w:unhideWhenUsed/>
    <w:rsid w:val="00DE1F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1F47"/>
    <w:rPr>
      <w:rFonts w:ascii="Tahoma" w:hAnsi="Tahoma" w:cs="Tahoma"/>
      <w:sz w:val="16"/>
      <w:szCs w:val="16"/>
    </w:rPr>
  </w:style>
  <w:style w:type="paragraph" w:styleId="Header">
    <w:name w:val="header"/>
    <w:basedOn w:val="Normal"/>
    <w:link w:val="HeaderChar"/>
    <w:uiPriority w:val="99"/>
    <w:unhideWhenUsed/>
    <w:rsid w:val="00DE1F47"/>
    <w:pPr>
      <w:tabs>
        <w:tab w:val="center" w:pos="4680"/>
        <w:tab w:val="right" w:pos="9360"/>
      </w:tabs>
      <w:spacing w:line="240" w:lineRule="auto"/>
    </w:pPr>
  </w:style>
  <w:style w:type="character" w:customStyle="1" w:styleId="HeaderChar">
    <w:name w:val="Header Char"/>
    <w:basedOn w:val="DefaultParagraphFont"/>
    <w:link w:val="Header"/>
    <w:uiPriority w:val="99"/>
    <w:rsid w:val="00DE1F47"/>
    <w:rPr>
      <w:rFonts w:ascii="Times New Roman" w:hAnsi="Times New Roman"/>
      <w:sz w:val="24"/>
    </w:rPr>
  </w:style>
  <w:style w:type="paragraph" w:styleId="Footer">
    <w:name w:val="footer"/>
    <w:basedOn w:val="Normal"/>
    <w:link w:val="FooterChar"/>
    <w:uiPriority w:val="99"/>
    <w:unhideWhenUsed/>
    <w:rsid w:val="00DE1F47"/>
    <w:pPr>
      <w:tabs>
        <w:tab w:val="center" w:pos="4680"/>
        <w:tab w:val="right" w:pos="9360"/>
      </w:tabs>
      <w:spacing w:line="240" w:lineRule="auto"/>
    </w:pPr>
  </w:style>
  <w:style w:type="character" w:customStyle="1" w:styleId="FooterChar">
    <w:name w:val="Footer Char"/>
    <w:basedOn w:val="DefaultParagraphFont"/>
    <w:link w:val="Footer"/>
    <w:uiPriority w:val="99"/>
    <w:rsid w:val="00DE1F47"/>
    <w:rPr>
      <w:rFonts w:ascii="Times New Roman" w:hAnsi="Times New Roman"/>
      <w:sz w:val="24"/>
    </w:rPr>
  </w:style>
  <w:style w:type="paragraph" w:styleId="ListParagraph">
    <w:name w:val="List Paragraph"/>
    <w:basedOn w:val="Normal"/>
    <w:uiPriority w:val="34"/>
    <w:qFormat/>
    <w:rsid w:val="00192201"/>
    <w:pPr>
      <w:ind w:left="720"/>
      <w:contextualSpacing/>
    </w:pPr>
  </w:style>
  <w:style w:type="paragraph" w:styleId="NoSpacing">
    <w:name w:val="No Spacing"/>
    <w:link w:val="NoSpacingChar"/>
    <w:uiPriority w:val="1"/>
    <w:qFormat/>
    <w:rsid w:val="003D79B1"/>
    <w:pPr>
      <w:spacing w:after="0" w:line="240" w:lineRule="auto"/>
    </w:pPr>
    <w:rPr>
      <w:rFonts w:eastAsiaTheme="minorEastAsia"/>
    </w:rPr>
  </w:style>
  <w:style w:type="character" w:customStyle="1" w:styleId="NoSpacingChar">
    <w:name w:val="No Spacing Char"/>
    <w:basedOn w:val="DefaultParagraphFont"/>
    <w:link w:val="NoSpacing"/>
    <w:uiPriority w:val="1"/>
    <w:rsid w:val="003D79B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036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790FE-AE9D-4F0D-8B86-18DE2463D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1592</Words>
  <Characters>9236</Characters>
  <Application>Microsoft Office Word</Application>
  <DocSecurity>0</DocSecurity>
  <Lines>76</Lines>
  <Paragraphs>21</Paragraphs>
  <ScaleCrop>false</ScaleCrop>
  <Company>Grizli777</Company>
  <LinksUpToDate>false</LinksUpToDate>
  <CharactersWithSpaces>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Litigation</dc:title>
  <dc:creator>Monica Antonescu</dc:creator>
  <cp:lastModifiedBy>mihnea.antonescu1@outlook.com</cp:lastModifiedBy>
  <cp:revision>3</cp:revision>
  <dcterms:created xsi:type="dcterms:W3CDTF">2022-11-11T12:52:00Z</dcterms:created>
  <dcterms:modified xsi:type="dcterms:W3CDTF">2022-11-11T20:47:00Z</dcterms:modified>
</cp:coreProperties>
</file>