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8ACF3" w14:textId="77777777" w:rsidR="005B0CF2" w:rsidRDefault="005B0CF2" w:rsidP="005B0CF2">
      <w:pPr>
        <w:jc w:val="center"/>
      </w:pPr>
      <w:r>
        <w:rPr>
          <w:noProof/>
        </w:rPr>
        <w:drawing>
          <wp:inline distT="0" distB="0" distL="0" distR="0" wp14:anchorId="6DA517B7" wp14:editId="718BC309">
            <wp:extent cx="2272145" cy="781414"/>
            <wp:effectExtent l="0" t="0" r="0" b="0"/>
            <wp:docPr id="382100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706" t="16326" r="10352" b="17850"/>
                    <a:stretch>
                      <a:fillRect/>
                    </a:stretch>
                  </pic:blipFill>
                  <pic:spPr bwMode="auto">
                    <a:xfrm>
                      <a:off x="0" y="0"/>
                      <a:ext cx="2296704" cy="789860"/>
                    </a:xfrm>
                    <a:prstGeom prst="rect">
                      <a:avLst/>
                    </a:prstGeom>
                    <a:noFill/>
                    <a:ln>
                      <a:noFill/>
                    </a:ln>
                    <a:extLst>
                      <a:ext uri="{53640926-AAD7-44D8-BBD7-CCE9431645EC}">
                        <a14:shadowObscured xmlns:a14="http://schemas.microsoft.com/office/drawing/2010/main"/>
                      </a:ext>
                    </a:extLst>
                  </pic:spPr>
                </pic:pic>
              </a:graphicData>
            </a:graphic>
          </wp:inline>
        </w:drawing>
      </w:r>
    </w:p>
    <w:p w14:paraId="1DBFD94B" w14:textId="77777777" w:rsidR="005B0CF2" w:rsidRDefault="005B0CF2" w:rsidP="005B0CF2">
      <w:pPr>
        <w:jc w:val="center"/>
      </w:pPr>
    </w:p>
    <w:p w14:paraId="63FFE531" w14:textId="77777777" w:rsidR="005B0CF2" w:rsidRDefault="005B0CF2" w:rsidP="005B0CF2">
      <w:pPr>
        <w:jc w:val="center"/>
        <w:rPr>
          <w:b/>
          <w:bCs/>
          <w:sz w:val="28"/>
          <w:szCs w:val="28"/>
        </w:rPr>
      </w:pPr>
      <w:r w:rsidRPr="003364EF">
        <w:rPr>
          <w:b/>
          <w:bCs/>
          <w:sz w:val="28"/>
          <w:szCs w:val="28"/>
        </w:rPr>
        <w:t>Programme: Master of Business Administration</w:t>
      </w:r>
    </w:p>
    <w:p w14:paraId="6B08658F" w14:textId="77777777" w:rsidR="005B0CF2" w:rsidRPr="003364EF" w:rsidRDefault="005B0CF2" w:rsidP="005B0CF2">
      <w:pPr>
        <w:jc w:val="center"/>
        <w:rPr>
          <w:b/>
          <w:bCs/>
          <w:sz w:val="28"/>
          <w:szCs w:val="28"/>
        </w:rPr>
      </w:pPr>
    </w:p>
    <w:p w14:paraId="3C2D1A35" w14:textId="77777777" w:rsidR="005B0CF2" w:rsidRPr="003364EF" w:rsidRDefault="005B0CF2" w:rsidP="005B0CF2">
      <w:pPr>
        <w:jc w:val="center"/>
        <w:rPr>
          <w:b/>
          <w:bCs/>
          <w:sz w:val="28"/>
          <w:szCs w:val="28"/>
        </w:rPr>
      </w:pPr>
      <w:r w:rsidRPr="003364EF">
        <w:rPr>
          <w:b/>
          <w:bCs/>
          <w:sz w:val="28"/>
          <w:szCs w:val="28"/>
        </w:rPr>
        <w:t>Module: Marketing Management</w:t>
      </w:r>
    </w:p>
    <w:p w14:paraId="29533574" w14:textId="77777777" w:rsidR="005B0CF2" w:rsidRPr="003364EF" w:rsidRDefault="005B0CF2" w:rsidP="005B0CF2">
      <w:pPr>
        <w:jc w:val="center"/>
        <w:rPr>
          <w:b/>
          <w:bCs/>
          <w:sz w:val="28"/>
          <w:szCs w:val="28"/>
        </w:rPr>
      </w:pPr>
      <w:r w:rsidRPr="003364EF">
        <w:rPr>
          <w:b/>
          <w:bCs/>
          <w:sz w:val="28"/>
          <w:szCs w:val="28"/>
        </w:rPr>
        <w:t>Module code: LCMB7024</w:t>
      </w:r>
    </w:p>
    <w:p w14:paraId="59240BDE" w14:textId="5CDA80CF" w:rsidR="005B0CF2" w:rsidRPr="003364EF" w:rsidRDefault="005B0CF2" w:rsidP="005B0CF2">
      <w:pPr>
        <w:jc w:val="center"/>
        <w:rPr>
          <w:b/>
          <w:bCs/>
          <w:sz w:val="28"/>
          <w:szCs w:val="28"/>
        </w:rPr>
      </w:pPr>
      <w:r w:rsidRPr="003364EF">
        <w:rPr>
          <w:b/>
          <w:bCs/>
          <w:sz w:val="28"/>
          <w:szCs w:val="28"/>
        </w:rPr>
        <w:t xml:space="preserve">Lecturer: Laila </w:t>
      </w:r>
      <w:proofErr w:type="spellStart"/>
      <w:r w:rsidRPr="003364EF">
        <w:rPr>
          <w:b/>
          <w:bCs/>
          <w:sz w:val="28"/>
          <w:szCs w:val="28"/>
        </w:rPr>
        <w:t>Maazouz</w:t>
      </w:r>
      <w:proofErr w:type="spellEnd"/>
      <w:r>
        <w:rPr>
          <w:b/>
          <w:bCs/>
          <w:sz w:val="28"/>
          <w:szCs w:val="28"/>
        </w:rPr>
        <w:t xml:space="preserve"> </w:t>
      </w:r>
      <w:r w:rsidRPr="003364EF">
        <w:rPr>
          <w:b/>
          <w:bCs/>
          <w:sz w:val="28"/>
          <w:szCs w:val="28"/>
        </w:rPr>
        <w:t xml:space="preserve">Taonga Kaonga </w:t>
      </w:r>
      <w:proofErr w:type="spellStart"/>
      <w:r w:rsidRPr="003364EF">
        <w:rPr>
          <w:b/>
          <w:bCs/>
          <w:sz w:val="28"/>
          <w:szCs w:val="28"/>
        </w:rPr>
        <w:t>Sobere-Snithers</w:t>
      </w:r>
      <w:proofErr w:type="spellEnd"/>
    </w:p>
    <w:p w14:paraId="56E83876" w14:textId="77777777" w:rsidR="005B0CF2" w:rsidRDefault="005B0CF2" w:rsidP="005B0CF2">
      <w:pPr>
        <w:jc w:val="center"/>
        <w:rPr>
          <w:b/>
          <w:bCs/>
          <w:sz w:val="28"/>
          <w:szCs w:val="28"/>
        </w:rPr>
      </w:pPr>
      <w:r w:rsidRPr="003364EF">
        <w:rPr>
          <w:b/>
          <w:bCs/>
          <w:sz w:val="28"/>
          <w:szCs w:val="28"/>
        </w:rPr>
        <w:t>Assignment Title: Marketing Environment Analysis</w:t>
      </w:r>
    </w:p>
    <w:p w14:paraId="25CAE787" w14:textId="77777777" w:rsidR="005B0CF2" w:rsidRDefault="005B0CF2" w:rsidP="005B0CF2">
      <w:pPr>
        <w:jc w:val="center"/>
        <w:rPr>
          <w:b/>
          <w:bCs/>
          <w:sz w:val="28"/>
          <w:szCs w:val="28"/>
        </w:rPr>
      </w:pPr>
    </w:p>
    <w:p w14:paraId="7420E5A7" w14:textId="77777777" w:rsidR="005B0CF2" w:rsidRDefault="005B0CF2" w:rsidP="005B0CF2">
      <w:pPr>
        <w:jc w:val="center"/>
        <w:rPr>
          <w:b/>
          <w:bCs/>
          <w:sz w:val="28"/>
          <w:szCs w:val="28"/>
        </w:rPr>
      </w:pPr>
    </w:p>
    <w:p w14:paraId="2D17400A" w14:textId="77777777" w:rsidR="005B0CF2" w:rsidRPr="003364EF" w:rsidRDefault="005B0CF2" w:rsidP="005B0CF2">
      <w:pPr>
        <w:jc w:val="center"/>
        <w:rPr>
          <w:b/>
          <w:bCs/>
          <w:sz w:val="28"/>
          <w:szCs w:val="28"/>
        </w:rPr>
      </w:pPr>
    </w:p>
    <w:p w14:paraId="70008996" w14:textId="5038EDD8" w:rsidR="005B0CF2" w:rsidRPr="003364EF" w:rsidRDefault="005B0CF2" w:rsidP="005B0CF2">
      <w:pPr>
        <w:jc w:val="center"/>
        <w:rPr>
          <w:b/>
          <w:bCs/>
          <w:sz w:val="28"/>
          <w:szCs w:val="28"/>
        </w:rPr>
      </w:pPr>
      <w:r w:rsidRPr="003364EF">
        <w:rPr>
          <w:b/>
          <w:bCs/>
          <w:sz w:val="28"/>
          <w:szCs w:val="28"/>
        </w:rPr>
        <w:t xml:space="preserve">Student </w:t>
      </w:r>
      <w:r>
        <w:rPr>
          <w:b/>
          <w:bCs/>
          <w:sz w:val="28"/>
          <w:szCs w:val="28"/>
        </w:rPr>
        <w:t>N</w:t>
      </w:r>
      <w:r w:rsidRPr="003364EF">
        <w:rPr>
          <w:b/>
          <w:bCs/>
          <w:sz w:val="28"/>
          <w:szCs w:val="28"/>
        </w:rPr>
        <w:t>ame:</w:t>
      </w:r>
      <w:r w:rsidRPr="005B0CF2">
        <w:t xml:space="preserve"> </w:t>
      </w:r>
      <w:r w:rsidRPr="005B0CF2">
        <w:rPr>
          <w:b/>
          <w:bCs/>
          <w:sz w:val="28"/>
          <w:szCs w:val="28"/>
        </w:rPr>
        <w:t>Ritika Rastogi</w:t>
      </w:r>
    </w:p>
    <w:p w14:paraId="5FAB240B" w14:textId="4799C0C6" w:rsidR="005B0CF2" w:rsidRPr="003364EF" w:rsidRDefault="005B0CF2" w:rsidP="005B0CF2">
      <w:pPr>
        <w:jc w:val="center"/>
        <w:rPr>
          <w:b/>
          <w:bCs/>
          <w:sz w:val="28"/>
          <w:szCs w:val="28"/>
        </w:rPr>
      </w:pPr>
      <w:r w:rsidRPr="003364EF">
        <w:rPr>
          <w:b/>
          <w:bCs/>
          <w:sz w:val="28"/>
          <w:szCs w:val="28"/>
        </w:rPr>
        <w:t xml:space="preserve">Student ID </w:t>
      </w:r>
      <w:r>
        <w:rPr>
          <w:b/>
          <w:bCs/>
          <w:sz w:val="28"/>
          <w:szCs w:val="28"/>
        </w:rPr>
        <w:t>N</w:t>
      </w:r>
      <w:r w:rsidRPr="003364EF">
        <w:rPr>
          <w:b/>
          <w:bCs/>
          <w:sz w:val="28"/>
          <w:szCs w:val="28"/>
        </w:rPr>
        <w:t>umber:</w:t>
      </w:r>
      <w:r>
        <w:rPr>
          <w:b/>
          <w:bCs/>
          <w:sz w:val="28"/>
          <w:szCs w:val="28"/>
        </w:rPr>
        <w:t xml:space="preserve"> </w:t>
      </w:r>
      <w:r w:rsidRPr="005B0CF2">
        <w:rPr>
          <w:b/>
          <w:bCs/>
          <w:sz w:val="28"/>
          <w:szCs w:val="28"/>
        </w:rPr>
        <w:t>2536680</w:t>
      </w:r>
    </w:p>
    <w:p w14:paraId="4392B135" w14:textId="2EF71D4A" w:rsidR="005B0CF2" w:rsidRDefault="005B0CF2" w:rsidP="005B0CF2">
      <w:pPr>
        <w:jc w:val="center"/>
        <w:rPr>
          <w:b/>
          <w:bCs/>
          <w:sz w:val="28"/>
          <w:szCs w:val="28"/>
        </w:rPr>
      </w:pPr>
      <w:r w:rsidRPr="003364EF">
        <w:rPr>
          <w:b/>
          <w:bCs/>
          <w:sz w:val="28"/>
          <w:szCs w:val="28"/>
        </w:rPr>
        <w:t>Word Count:</w:t>
      </w:r>
      <w:r>
        <w:rPr>
          <w:b/>
          <w:bCs/>
          <w:sz w:val="28"/>
          <w:szCs w:val="28"/>
        </w:rPr>
        <w:t xml:space="preserve"> 2531</w:t>
      </w:r>
    </w:p>
    <w:p w14:paraId="7EE9CACE" w14:textId="77777777" w:rsidR="005B0CF2" w:rsidRDefault="005B0CF2">
      <w:pPr>
        <w:rPr>
          <w:b/>
          <w:bCs/>
          <w:sz w:val="28"/>
          <w:szCs w:val="28"/>
        </w:rPr>
      </w:pPr>
      <w:r>
        <w:rPr>
          <w:b/>
          <w:bCs/>
          <w:sz w:val="28"/>
          <w:szCs w:val="28"/>
        </w:rPr>
        <w:br w:type="page"/>
      </w:r>
    </w:p>
    <w:p w14:paraId="72BEF9D5" w14:textId="77777777" w:rsidR="005B0CF2" w:rsidRPr="003364EF" w:rsidRDefault="005B0CF2" w:rsidP="005B0CF2">
      <w:pPr>
        <w:jc w:val="center"/>
        <w:rPr>
          <w:b/>
          <w:bCs/>
          <w:sz w:val="28"/>
          <w:szCs w:val="28"/>
        </w:rPr>
      </w:pPr>
    </w:p>
    <w:sdt>
      <w:sdtPr>
        <w:rPr>
          <w:rFonts w:ascii="Arial" w:eastAsia="Arial" w:hAnsi="Arial" w:cs="Arial"/>
          <w:color w:val="auto"/>
          <w:sz w:val="22"/>
          <w:szCs w:val="22"/>
          <w:lang w:val="en-GB" w:eastAsia="en-IN"/>
        </w:rPr>
        <w:id w:val="34929510"/>
        <w:docPartObj>
          <w:docPartGallery w:val="Table of Contents"/>
          <w:docPartUnique/>
        </w:docPartObj>
      </w:sdtPr>
      <w:sdtEndPr>
        <w:rPr>
          <w:b/>
          <w:bCs/>
          <w:noProof/>
        </w:rPr>
      </w:sdtEndPr>
      <w:sdtContent>
        <w:p w14:paraId="2DAAB1A7" w14:textId="3E1F74A5" w:rsidR="00E7127D" w:rsidRPr="00084AF3" w:rsidRDefault="00E7127D" w:rsidP="00E7127D">
          <w:pPr>
            <w:pStyle w:val="TOCHeading"/>
            <w:spacing w:line="360" w:lineRule="auto"/>
            <w:jc w:val="center"/>
            <w:rPr>
              <w:rFonts w:ascii="Times New Roman" w:hAnsi="Times New Roman" w:cs="Times New Roman"/>
              <w:b/>
              <w:bCs/>
              <w:color w:val="auto"/>
            </w:rPr>
          </w:pPr>
          <w:r w:rsidRPr="00084AF3">
            <w:rPr>
              <w:rFonts w:ascii="Times New Roman" w:hAnsi="Times New Roman" w:cs="Times New Roman"/>
              <w:b/>
              <w:bCs/>
              <w:color w:val="auto"/>
            </w:rPr>
            <w:t>Table of Contents</w:t>
          </w:r>
        </w:p>
        <w:p w14:paraId="6B130776" w14:textId="33D32890" w:rsidR="00AF3987" w:rsidRPr="00084AF3" w:rsidRDefault="00E7127D" w:rsidP="00AF3987">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r w:rsidRPr="00084AF3">
            <w:fldChar w:fldCharType="begin"/>
          </w:r>
          <w:r w:rsidRPr="00084AF3">
            <w:instrText xml:space="preserve"> TOC \o "1-3" \h \z \u </w:instrText>
          </w:r>
          <w:r w:rsidRPr="00084AF3">
            <w:fldChar w:fldCharType="separate"/>
          </w:r>
          <w:hyperlink w:anchor="_Toc234513132" w:history="1">
            <w:r w:rsidR="00AF3987" w:rsidRPr="00084AF3">
              <w:rPr>
                <w:rStyle w:val="Hyperlink"/>
                <w:rFonts w:ascii="Times New Roman" w:hAnsi="Times New Roman" w:cs="Times New Roman"/>
                <w:noProof/>
                <w:color w:val="auto"/>
                <w:sz w:val="24"/>
                <w:szCs w:val="24"/>
              </w:rPr>
              <w:t>Task 1: Marketing Environment Analysis</w:t>
            </w:r>
            <w:r w:rsidR="00AF3987" w:rsidRPr="00084AF3">
              <w:rPr>
                <w:rFonts w:ascii="Times New Roman" w:hAnsi="Times New Roman" w:cs="Times New Roman"/>
                <w:noProof/>
                <w:webHidden/>
                <w:sz w:val="24"/>
                <w:szCs w:val="24"/>
              </w:rPr>
              <w:tab/>
            </w:r>
            <w:r w:rsidR="00AF3987" w:rsidRPr="00084AF3">
              <w:rPr>
                <w:rFonts w:ascii="Times New Roman" w:hAnsi="Times New Roman" w:cs="Times New Roman"/>
                <w:noProof/>
                <w:webHidden/>
                <w:sz w:val="24"/>
                <w:szCs w:val="24"/>
              </w:rPr>
              <w:fldChar w:fldCharType="begin"/>
            </w:r>
            <w:r w:rsidR="00AF3987" w:rsidRPr="00084AF3">
              <w:rPr>
                <w:rFonts w:ascii="Times New Roman" w:hAnsi="Times New Roman" w:cs="Times New Roman"/>
                <w:noProof/>
                <w:webHidden/>
                <w:sz w:val="24"/>
                <w:szCs w:val="24"/>
              </w:rPr>
              <w:instrText xml:space="preserve"> PAGEREF _Toc234513132 \h </w:instrText>
            </w:r>
            <w:r w:rsidR="00AF3987" w:rsidRPr="00084AF3">
              <w:rPr>
                <w:rFonts w:ascii="Times New Roman" w:hAnsi="Times New Roman" w:cs="Times New Roman"/>
                <w:noProof/>
                <w:webHidden/>
                <w:sz w:val="24"/>
                <w:szCs w:val="24"/>
              </w:rPr>
            </w:r>
            <w:r w:rsidR="00AF3987"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3</w:t>
            </w:r>
            <w:r w:rsidR="00AF3987" w:rsidRPr="00084AF3">
              <w:rPr>
                <w:rFonts w:ascii="Times New Roman" w:hAnsi="Times New Roman" w:cs="Times New Roman"/>
                <w:noProof/>
                <w:webHidden/>
                <w:sz w:val="24"/>
                <w:szCs w:val="24"/>
              </w:rPr>
              <w:fldChar w:fldCharType="end"/>
            </w:r>
          </w:hyperlink>
        </w:p>
        <w:p w14:paraId="54121E7F" w14:textId="4734F85F" w:rsidR="00AF3987" w:rsidRPr="00084AF3" w:rsidRDefault="00AF3987" w:rsidP="00AF3987">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33" w:history="1">
            <w:r w:rsidRPr="00084AF3">
              <w:rPr>
                <w:rStyle w:val="Hyperlink"/>
                <w:rFonts w:ascii="Times New Roman" w:hAnsi="Times New Roman" w:cs="Times New Roman"/>
                <w:noProof/>
                <w:color w:val="auto"/>
                <w:sz w:val="24"/>
                <w:szCs w:val="24"/>
              </w:rPr>
              <w:t>BHP’s Transition Towards Lower-Carbon Products</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_Toc234513133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3</w:t>
            </w:r>
            <w:r w:rsidRPr="00084AF3">
              <w:rPr>
                <w:rFonts w:ascii="Times New Roman" w:hAnsi="Times New Roman" w:cs="Times New Roman"/>
                <w:noProof/>
                <w:webHidden/>
                <w:sz w:val="24"/>
                <w:szCs w:val="24"/>
              </w:rPr>
              <w:fldChar w:fldCharType="end"/>
            </w:r>
          </w:hyperlink>
        </w:p>
        <w:p w14:paraId="5628C5E0" w14:textId="4427C538"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34" w:history="1">
            <w:r w:rsidRPr="00084AF3">
              <w:rPr>
                <w:rStyle w:val="Hyperlink"/>
                <w:rFonts w:ascii="Times New Roman" w:hAnsi="Times New Roman" w:cs="Times New Roman"/>
                <w:noProof/>
                <w:color w:val="auto"/>
                <w:sz w:val="24"/>
                <w:szCs w:val="24"/>
              </w:rPr>
              <w:t>1.1 Introduction</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_Toc234513134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3</w:t>
            </w:r>
            <w:r w:rsidRPr="00084AF3">
              <w:rPr>
                <w:rFonts w:ascii="Times New Roman" w:hAnsi="Times New Roman" w:cs="Times New Roman"/>
                <w:noProof/>
                <w:webHidden/>
                <w:sz w:val="24"/>
                <w:szCs w:val="24"/>
              </w:rPr>
              <w:fldChar w:fldCharType="end"/>
            </w:r>
          </w:hyperlink>
        </w:p>
        <w:p w14:paraId="753C171C" w14:textId="2ED88EF3"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35" w:history="1">
            <w:r w:rsidRPr="00084AF3">
              <w:rPr>
                <w:rStyle w:val="Hyperlink"/>
                <w:rFonts w:ascii="Times New Roman" w:hAnsi="Times New Roman" w:cs="Times New Roman"/>
                <w:noProof/>
                <w:color w:val="auto"/>
                <w:sz w:val="24"/>
                <w:szCs w:val="24"/>
              </w:rPr>
              <w:t>1.2 Natural Environment: The Primary External Marketing Actor</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_Toc234513135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4</w:t>
            </w:r>
            <w:r w:rsidRPr="00084AF3">
              <w:rPr>
                <w:rFonts w:ascii="Times New Roman" w:hAnsi="Times New Roman" w:cs="Times New Roman"/>
                <w:noProof/>
                <w:webHidden/>
                <w:sz w:val="24"/>
                <w:szCs w:val="24"/>
              </w:rPr>
              <w:fldChar w:fldCharType="end"/>
            </w:r>
          </w:hyperlink>
        </w:p>
        <w:p w14:paraId="1D4F8D3A" w14:textId="1A176058"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36" w:history="1">
            <w:r w:rsidRPr="00084AF3">
              <w:rPr>
                <w:rStyle w:val="Hyperlink"/>
                <w:rFonts w:ascii="Times New Roman" w:hAnsi="Times New Roman" w:cs="Times New Roman"/>
                <w:noProof/>
                <w:color w:val="auto"/>
                <w:sz w:val="24"/>
                <w:szCs w:val="24"/>
              </w:rPr>
              <w:t>1.2.1 Climate Change and Greenhouse Gas Emissions</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_Toc234513136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4</w:t>
            </w:r>
            <w:r w:rsidRPr="00084AF3">
              <w:rPr>
                <w:rFonts w:ascii="Times New Roman" w:hAnsi="Times New Roman" w:cs="Times New Roman"/>
                <w:noProof/>
                <w:webHidden/>
                <w:sz w:val="24"/>
                <w:szCs w:val="24"/>
              </w:rPr>
              <w:fldChar w:fldCharType="end"/>
            </w:r>
          </w:hyperlink>
        </w:p>
        <w:p w14:paraId="0FE9ADE2" w14:textId="44544E52"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37" w:history="1">
            <w:r w:rsidRPr="00084AF3">
              <w:rPr>
                <w:rStyle w:val="Hyperlink"/>
                <w:rFonts w:ascii="Times New Roman" w:hAnsi="Times New Roman" w:cs="Times New Roman"/>
                <w:noProof/>
                <w:color w:val="auto"/>
                <w:sz w:val="24"/>
                <w:szCs w:val="24"/>
              </w:rPr>
              <w:t>1.2.2 Renewable Energy Transition</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_Toc234513137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5</w:t>
            </w:r>
            <w:r w:rsidRPr="00084AF3">
              <w:rPr>
                <w:rFonts w:ascii="Times New Roman" w:hAnsi="Times New Roman" w:cs="Times New Roman"/>
                <w:noProof/>
                <w:webHidden/>
                <w:sz w:val="24"/>
                <w:szCs w:val="24"/>
              </w:rPr>
              <w:fldChar w:fldCharType="end"/>
            </w:r>
          </w:hyperlink>
        </w:p>
        <w:p w14:paraId="12C07957" w14:textId="41BD71CA"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38" w:history="1">
            <w:r w:rsidRPr="00084AF3">
              <w:rPr>
                <w:rStyle w:val="Hyperlink"/>
                <w:rFonts w:ascii="Times New Roman" w:hAnsi="Times New Roman" w:cs="Times New Roman"/>
                <w:noProof/>
                <w:color w:val="auto"/>
                <w:sz w:val="24"/>
                <w:szCs w:val="24"/>
              </w:rPr>
              <w:t>1.2.3 Decarbonisation Challenges</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_Toc234513138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6</w:t>
            </w:r>
            <w:r w:rsidRPr="00084AF3">
              <w:rPr>
                <w:rFonts w:ascii="Times New Roman" w:hAnsi="Times New Roman" w:cs="Times New Roman"/>
                <w:noProof/>
                <w:webHidden/>
                <w:sz w:val="24"/>
                <w:szCs w:val="24"/>
              </w:rPr>
              <w:fldChar w:fldCharType="end"/>
            </w:r>
          </w:hyperlink>
        </w:p>
        <w:p w14:paraId="7CFBC7F5" w14:textId="0A9E01A6"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39" w:history="1">
            <w:r w:rsidRPr="00084AF3">
              <w:rPr>
                <w:rStyle w:val="Hyperlink"/>
                <w:rFonts w:ascii="Times New Roman" w:hAnsi="Times New Roman" w:cs="Times New Roman"/>
                <w:noProof/>
                <w:color w:val="auto"/>
                <w:sz w:val="24"/>
                <w:szCs w:val="24"/>
              </w:rPr>
              <w:t>1.2.4 Critical Evaluation of Natural Environmental Influence</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_Toc234513139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7</w:t>
            </w:r>
            <w:r w:rsidRPr="00084AF3">
              <w:rPr>
                <w:rFonts w:ascii="Times New Roman" w:hAnsi="Times New Roman" w:cs="Times New Roman"/>
                <w:noProof/>
                <w:webHidden/>
                <w:sz w:val="24"/>
                <w:szCs w:val="24"/>
              </w:rPr>
              <w:fldChar w:fldCharType="end"/>
            </w:r>
          </w:hyperlink>
        </w:p>
        <w:p w14:paraId="6232FB89" w14:textId="7A006AA8"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0" w:history="1">
            <w:r w:rsidRPr="00084AF3">
              <w:rPr>
                <w:rStyle w:val="Hyperlink"/>
                <w:rFonts w:ascii="Times New Roman" w:hAnsi="Times New Roman" w:cs="Times New Roman"/>
                <w:noProof/>
                <w:color w:val="auto"/>
                <w:sz w:val="24"/>
                <w:szCs w:val="24"/>
              </w:rPr>
              <w:t>1.3 Political and Regulatory Environment: The Secondary External Marketing Actor</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_Toc234513140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8</w:t>
            </w:r>
            <w:r w:rsidRPr="00084AF3">
              <w:rPr>
                <w:rFonts w:ascii="Times New Roman" w:hAnsi="Times New Roman" w:cs="Times New Roman"/>
                <w:noProof/>
                <w:webHidden/>
                <w:sz w:val="24"/>
                <w:szCs w:val="24"/>
              </w:rPr>
              <w:fldChar w:fldCharType="end"/>
            </w:r>
          </w:hyperlink>
        </w:p>
        <w:p w14:paraId="58E8A896" w14:textId="6CC4803B"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1" w:history="1">
            <w:r w:rsidRPr="00084AF3">
              <w:rPr>
                <w:rStyle w:val="Hyperlink"/>
                <w:rFonts w:ascii="Times New Roman" w:hAnsi="Times New Roman" w:cs="Times New Roman"/>
                <w:noProof/>
                <w:color w:val="auto"/>
                <w:sz w:val="24"/>
                <w:szCs w:val="24"/>
              </w:rPr>
              <w:t>1.3.1 Government Climate Policies and Regulations</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_Toc234513141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8</w:t>
            </w:r>
            <w:r w:rsidRPr="00084AF3">
              <w:rPr>
                <w:rFonts w:ascii="Times New Roman" w:hAnsi="Times New Roman" w:cs="Times New Roman"/>
                <w:noProof/>
                <w:webHidden/>
                <w:sz w:val="24"/>
                <w:szCs w:val="24"/>
              </w:rPr>
              <w:fldChar w:fldCharType="end"/>
            </w:r>
          </w:hyperlink>
        </w:p>
        <w:p w14:paraId="709858F5" w14:textId="3C855DD0"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2" w:history="1">
            <w:r w:rsidRPr="00084AF3">
              <w:rPr>
                <w:rStyle w:val="Hyperlink"/>
                <w:rFonts w:ascii="Times New Roman" w:hAnsi="Times New Roman" w:cs="Times New Roman"/>
                <w:noProof/>
                <w:color w:val="auto"/>
                <w:sz w:val="24"/>
                <w:szCs w:val="24"/>
              </w:rPr>
              <w:t>1.3.2 International Carbon Pricing</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_Toc234513142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9</w:t>
            </w:r>
            <w:r w:rsidRPr="00084AF3">
              <w:rPr>
                <w:rFonts w:ascii="Times New Roman" w:hAnsi="Times New Roman" w:cs="Times New Roman"/>
                <w:noProof/>
                <w:webHidden/>
                <w:sz w:val="24"/>
                <w:szCs w:val="24"/>
              </w:rPr>
              <w:fldChar w:fldCharType="end"/>
            </w:r>
          </w:hyperlink>
        </w:p>
        <w:p w14:paraId="1F99A05F" w14:textId="17CB814B"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3" w:history="1">
            <w:r w:rsidRPr="00084AF3">
              <w:rPr>
                <w:rStyle w:val="Hyperlink"/>
                <w:rFonts w:ascii="Times New Roman" w:hAnsi="Times New Roman" w:cs="Times New Roman"/>
                <w:noProof/>
                <w:color w:val="auto"/>
                <w:sz w:val="24"/>
                <w:szCs w:val="24"/>
              </w:rPr>
              <w:t>1.3.3 Government Support and Green Innovation</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_Toc234513143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9</w:t>
            </w:r>
            <w:r w:rsidRPr="00084AF3">
              <w:rPr>
                <w:rFonts w:ascii="Times New Roman" w:hAnsi="Times New Roman" w:cs="Times New Roman"/>
                <w:noProof/>
                <w:webHidden/>
                <w:sz w:val="24"/>
                <w:szCs w:val="24"/>
              </w:rPr>
              <w:fldChar w:fldCharType="end"/>
            </w:r>
          </w:hyperlink>
        </w:p>
        <w:p w14:paraId="63AA2F9B" w14:textId="7DCB8E71" w:rsidR="00AF3987" w:rsidRPr="00084AF3" w:rsidRDefault="00AF3987" w:rsidP="00AF3987">
          <w:pPr>
            <w:pStyle w:val="TOC3"/>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4" w:history="1">
            <w:r w:rsidRPr="00084AF3">
              <w:rPr>
                <w:rStyle w:val="Hyperlink"/>
                <w:rFonts w:ascii="Times New Roman" w:hAnsi="Times New Roman" w:cs="Times New Roman"/>
                <w:noProof/>
                <w:color w:val="auto"/>
                <w:sz w:val="24"/>
                <w:szCs w:val="24"/>
              </w:rPr>
              <w:t>1.3.4 Critical Evaluation of Political Influence</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_Toc234513144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10</w:t>
            </w:r>
            <w:r w:rsidRPr="00084AF3">
              <w:rPr>
                <w:rFonts w:ascii="Times New Roman" w:hAnsi="Times New Roman" w:cs="Times New Roman"/>
                <w:noProof/>
                <w:webHidden/>
                <w:sz w:val="24"/>
                <w:szCs w:val="24"/>
              </w:rPr>
              <w:fldChar w:fldCharType="end"/>
            </w:r>
          </w:hyperlink>
        </w:p>
        <w:p w14:paraId="12F13802" w14:textId="598CB1D3" w:rsidR="00AF3987" w:rsidRPr="00084AF3" w:rsidRDefault="00AF3987" w:rsidP="00AF3987">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5" w:history="1">
            <w:r w:rsidRPr="00084AF3">
              <w:rPr>
                <w:rStyle w:val="Hyperlink"/>
                <w:rFonts w:ascii="Times New Roman" w:hAnsi="Times New Roman" w:cs="Times New Roman"/>
                <w:noProof/>
                <w:color w:val="auto"/>
                <w:sz w:val="24"/>
                <w:szCs w:val="24"/>
              </w:rPr>
              <w:t>Task 2: Strategic Growth and Competitive Positioning using the Ansoff Matrix</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_Toc234513145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11</w:t>
            </w:r>
            <w:r w:rsidRPr="00084AF3">
              <w:rPr>
                <w:rFonts w:ascii="Times New Roman" w:hAnsi="Times New Roman" w:cs="Times New Roman"/>
                <w:noProof/>
                <w:webHidden/>
                <w:sz w:val="24"/>
                <w:szCs w:val="24"/>
              </w:rPr>
              <w:fldChar w:fldCharType="end"/>
            </w:r>
          </w:hyperlink>
        </w:p>
        <w:p w14:paraId="4AFE7161" w14:textId="14A58D8D"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6" w:history="1">
            <w:r w:rsidRPr="00084AF3">
              <w:rPr>
                <w:rStyle w:val="Hyperlink"/>
                <w:rFonts w:ascii="Times New Roman" w:hAnsi="Times New Roman" w:cs="Times New Roman"/>
                <w:noProof/>
                <w:color w:val="auto"/>
                <w:sz w:val="24"/>
                <w:szCs w:val="24"/>
              </w:rPr>
              <w:t>2.1 Market Penetration</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_Toc234513146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11</w:t>
            </w:r>
            <w:r w:rsidRPr="00084AF3">
              <w:rPr>
                <w:rFonts w:ascii="Times New Roman" w:hAnsi="Times New Roman" w:cs="Times New Roman"/>
                <w:noProof/>
                <w:webHidden/>
                <w:sz w:val="24"/>
                <w:szCs w:val="24"/>
              </w:rPr>
              <w:fldChar w:fldCharType="end"/>
            </w:r>
          </w:hyperlink>
        </w:p>
        <w:p w14:paraId="1E50691D" w14:textId="2C8DE048"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7" w:history="1">
            <w:r w:rsidRPr="00084AF3">
              <w:rPr>
                <w:rStyle w:val="Hyperlink"/>
                <w:rFonts w:ascii="Times New Roman" w:hAnsi="Times New Roman" w:cs="Times New Roman"/>
                <w:noProof/>
                <w:color w:val="auto"/>
                <w:sz w:val="24"/>
                <w:szCs w:val="24"/>
              </w:rPr>
              <w:t>2.2 Product Development</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_Toc234513147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13</w:t>
            </w:r>
            <w:r w:rsidRPr="00084AF3">
              <w:rPr>
                <w:rFonts w:ascii="Times New Roman" w:hAnsi="Times New Roman" w:cs="Times New Roman"/>
                <w:noProof/>
                <w:webHidden/>
                <w:sz w:val="24"/>
                <w:szCs w:val="24"/>
              </w:rPr>
              <w:fldChar w:fldCharType="end"/>
            </w:r>
          </w:hyperlink>
        </w:p>
        <w:p w14:paraId="0DDD2CF8" w14:textId="1ABC02B8"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8" w:history="1">
            <w:r w:rsidRPr="00084AF3">
              <w:rPr>
                <w:rStyle w:val="Hyperlink"/>
                <w:rFonts w:ascii="Times New Roman" w:hAnsi="Times New Roman" w:cs="Times New Roman"/>
                <w:noProof/>
                <w:color w:val="auto"/>
                <w:sz w:val="24"/>
                <w:szCs w:val="24"/>
              </w:rPr>
              <w:t>2.3 Market Development</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_Toc234513148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15</w:t>
            </w:r>
            <w:r w:rsidRPr="00084AF3">
              <w:rPr>
                <w:rFonts w:ascii="Times New Roman" w:hAnsi="Times New Roman" w:cs="Times New Roman"/>
                <w:noProof/>
                <w:webHidden/>
                <w:sz w:val="24"/>
                <w:szCs w:val="24"/>
              </w:rPr>
              <w:fldChar w:fldCharType="end"/>
            </w:r>
          </w:hyperlink>
        </w:p>
        <w:p w14:paraId="7912D8BE" w14:textId="45BDFC2B"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49" w:history="1">
            <w:r w:rsidRPr="00084AF3">
              <w:rPr>
                <w:rStyle w:val="Hyperlink"/>
                <w:rFonts w:ascii="Times New Roman" w:hAnsi="Times New Roman" w:cs="Times New Roman"/>
                <w:noProof/>
                <w:color w:val="auto"/>
                <w:sz w:val="24"/>
                <w:szCs w:val="24"/>
              </w:rPr>
              <w:t>2.4 Diversification</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_Toc234513149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17</w:t>
            </w:r>
            <w:r w:rsidRPr="00084AF3">
              <w:rPr>
                <w:rFonts w:ascii="Times New Roman" w:hAnsi="Times New Roman" w:cs="Times New Roman"/>
                <w:noProof/>
                <w:webHidden/>
                <w:sz w:val="24"/>
                <w:szCs w:val="24"/>
              </w:rPr>
              <w:fldChar w:fldCharType="end"/>
            </w:r>
          </w:hyperlink>
        </w:p>
        <w:p w14:paraId="6311E922" w14:textId="4FB9C497" w:rsidR="00AF3987" w:rsidRPr="00084AF3" w:rsidRDefault="00AF3987" w:rsidP="00AF3987">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50" w:history="1">
            <w:r w:rsidRPr="00084AF3">
              <w:rPr>
                <w:rStyle w:val="Hyperlink"/>
                <w:rFonts w:ascii="Times New Roman" w:hAnsi="Times New Roman" w:cs="Times New Roman"/>
                <w:noProof/>
                <w:color w:val="auto"/>
                <w:sz w:val="24"/>
                <w:szCs w:val="24"/>
                <w:lang w:val="en-IN"/>
              </w:rPr>
              <w:t>Task 3: Critical Reflection on AI Usage</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_Toc234513150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19</w:t>
            </w:r>
            <w:r w:rsidRPr="00084AF3">
              <w:rPr>
                <w:rFonts w:ascii="Times New Roman" w:hAnsi="Times New Roman" w:cs="Times New Roman"/>
                <w:noProof/>
                <w:webHidden/>
                <w:sz w:val="24"/>
                <w:szCs w:val="24"/>
              </w:rPr>
              <w:fldChar w:fldCharType="end"/>
            </w:r>
          </w:hyperlink>
        </w:p>
        <w:p w14:paraId="41299DC9" w14:textId="07B1268E"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51" w:history="1">
            <w:r w:rsidRPr="00084AF3">
              <w:rPr>
                <w:rStyle w:val="Hyperlink"/>
                <w:rFonts w:ascii="Times New Roman" w:hAnsi="Times New Roman" w:cs="Times New Roman"/>
                <w:noProof/>
                <w:color w:val="auto"/>
                <w:sz w:val="24"/>
                <w:szCs w:val="24"/>
                <w:lang w:val="en-IN"/>
              </w:rPr>
              <w:t>3.1 Disclosure of tool</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_Toc234513151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19</w:t>
            </w:r>
            <w:r w:rsidRPr="00084AF3">
              <w:rPr>
                <w:rFonts w:ascii="Times New Roman" w:hAnsi="Times New Roman" w:cs="Times New Roman"/>
                <w:noProof/>
                <w:webHidden/>
                <w:sz w:val="24"/>
                <w:szCs w:val="24"/>
              </w:rPr>
              <w:fldChar w:fldCharType="end"/>
            </w:r>
          </w:hyperlink>
        </w:p>
        <w:p w14:paraId="7496F917" w14:textId="71DB413E"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52" w:history="1">
            <w:r w:rsidRPr="00084AF3">
              <w:rPr>
                <w:rStyle w:val="Hyperlink"/>
                <w:rFonts w:ascii="Times New Roman" w:hAnsi="Times New Roman" w:cs="Times New Roman"/>
                <w:noProof/>
                <w:color w:val="auto"/>
                <w:sz w:val="24"/>
                <w:szCs w:val="24"/>
                <w:lang w:val="en-IN"/>
              </w:rPr>
              <w:t>3.2 Critical analysis of AI Output</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_Toc234513152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19</w:t>
            </w:r>
            <w:r w:rsidRPr="00084AF3">
              <w:rPr>
                <w:rFonts w:ascii="Times New Roman" w:hAnsi="Times New Roman" w:cs="Times New Roman"/>
                <w:noProof/>
                <w:webHidden/>
                <w:sz w:val="24"/>
                <w:szCs w:val="24"/>
              </w:rPr>
              <w:fldChar w:fldCharType="end"/>
            </w:r>
          </w:hyperlink>
        </w:p>
        <w:p w14:paraId="5EDED5B9" w14:textId="4A4C1462"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53" w:history="1">
            <w:r w:rsidRPr="00084AF3">
              <w:rPr>
                <w:rStyle w:val="Hyperlink"/>
                <w:rFonts w:ascii="Times New Roman" w:hAnsi="Times New Roman" w:cs="Times New Roman"/>
                <w:noProof/>
                <w:color w:val="auto"/>
                <w:sz w:val="24"/>
                <w:szCs w:val="24"/>
                <w:lang w:val="en-IN"/>
              </w:rPr>
              <w:t>3.3 Contribution Analysis</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_Toc234513153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19</w:t>
            </w:r>
            <w:r w:rsidRPr="00084AF3">
              <w:rPr>
                <w:rFonts w:ascii="Times New Roman" w:hAnsi="Times New Roman" w:cs="Times New Roman"/>
                <w:noProof/>
                <w:webHidden/>
                <w:sz w:val="24"/>
                <w:szCs w:val="24"/>
              </w:rPr>
              <w:fldChar w:fldCharType="end"/>
            </w:r>
          </w:hyperlink>
        </w:p>
        <w:p w14:paraId="25BA097A" w14:textId="45281F37" w:rsidR="00AF3987" w:rsidRPr="00084AF3" w:rsidRDefault="00AF3987" w:rsidP="00AF3987">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54" w:history="1">
            <w:r w:rsidRPr="00084AF3">
              <w:rPr>
                <w:rStyle w:val="Hyperlink"/>
                <w:rFonts w:ascii="Times New Roman" w:hAnsi="Times New Roman" w:cs="Times New Roman"/>
                <w:noProof/>
                <w:color w:val="auto"/>
                <w:sz w:val="24"/>
                <w:szCs w:val="24"/>
                <w:lang w:val="en-IN"/>
              </w:rPr>
              <w:t>3.4 Ethical &amp; Professional Reflection</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_Toc234513154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20</w:t>
            </w:r>
            <w:r w:rsidRPr="00084AF3">
              <w:rPr>
                <w:rFonts w:ascii="Times New Roman" w:hAnsi="Times New Roman" w:cs="Times New Roman"/>
                <w:noProof/>
                <w:webHidden/>
                <w:sz w:val="24"/>
                <w:szCs w:val="24"/>
              </w:rPr>
              <w:fldChar w:fldCharType="end"/>
            </w:r>
          </w:hyperlink>
        </w:p>
        <w:p w14:paraId="6D0A5D0B" w14:textId="78CECCD0" w:rsidR="00AF3987" w:rsidRPr="00084AF3" w:rsidRDefault="00AF3987" w:rsidP="00AF3987">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34513155" w:history="1">
            <w:r w:rsidRPr="00084AF3">
              <w:rPr>
                <w:rStyle w:val="Hyperlink"/>
                <w:rFonts w:ascii="Times New Roman" w:hAnsi="Times New Roman" w:cs="Times New Roman"/>
                <w:noProof/>
                <w:color w:val="auto"/>
                <w:sz w:val="24"/>
                <w:szCs w:val="24"/>
              </w:rPr>
              <w:t>References</w:t>
            </w:r>
            <w:r w:rsidRPr="00084AF3">
              <w:rPr>
                <w:rFonts w:ascii="Times New Roman" w:hAnsi="Times New Roman" w:cs="Times New Roman"/>
                <w:noProof/>
                <w:webHidden/>
                <w:sz w:val="24"/>
                <w:szCs w:val="24"/>
              </w:rPr>
              <w:tab/>
            </w:r>
            <w:r w:rsidRPr="00084AF3">
              <w:rPr>
                <w:rFonts w:ascii="Times New Roman" w:hAnsi="Times New Roman" w:cs="Times New Roman"/>
                <w:noProof/>
                <w:webHidden/>
                <w:sz w:val="24"/>
                <w:szCs w:val="24"/>
              </w:rPr>
              <w:fldChar w:fldCharType="begin"/>
            </w:r>
            <w:r w:rsidRPr="00084AF3">
              <w:rPr>
                <w:rFonts w:ascii="Times New Roman" w:hAnsi="Times New Roman" w:cs="Times New Roman"/>
                <w:noProof/>
                <w:webHidden/>
                <w:sz w:val="24"/>
                <w:szCs w:val="24"/>
              </w:rPr>
              <w:instrText xml:space="preserve"> PAGEREF _Toc234513155 \h </w:instrText>
            </w:r>
            <w:r w:rsidRPr="00084AF3">
              <w:rPr>
                <w:rFonts w:ascii="Times New Roman" w:hAnsi="Times New Roman" w:cs="Times New Roman"/>
                <w:noProof/>
                <w:webHidden/>
                <w:sz w:val="24"/>
                <w:szCs w:val="24"/>
              </w:rPr>
            </w:r>
            <w:r w:rsidRPr="00084AF3">
              <w:rPr>
                <w:rFonts w:ascii="Times New Roman" w:hAnsi="Times New Roman" w:cs="Times New Roman"/>
                <w:noProof/>
                <w:webHidden/>
                <w:sz w:val="24"/>
                <w:szCs w:val="24"/>
              </w:rPr>
              <w:fldChar w:fldCharType="separate"/>
            </w:r>
            <w:r w:rsidR="000378AD">
              <w:rPr>
                <w:rFonts w:ascii="Times New Roman" w:hAnsi="Times New Roman" w:cs="Times New Roman"/>
                <w:noProof/>
                <w:webHidden/>
                <w:sz w:val="24"/>
                <w:szCs w:val="24"/>
              </w:rPr>
              <w:t>21</w:t>
            </w:r>
            <w:r w:rsidRPr="00084AF3">
              <w:rPr>
                <w:rFonts w:ascii="Times New Roman" w:hAnsi="Times New Roman" w:cs="Times New Roman"/>
                <w:noProof/>
                <w:webHidden/>
                <w:sz w:val="24"/>
                <w:szCs w:val="24"/>
              </w:rPr>
              <w:fldChar w:fldCharType="end"/>
            </w:r>
          </w:hyperlink>
        </w:p>
        <w:p w14:paraId="086E20EC" w14:textId="41A05307" w:rsidR="00E7127D" w:rsidRPr="00084AF3" w:rsidRDefault="00E7127D">
          <w:r w:rsidRPr="00084AF3">
            <w:rPr>
              <w:b/>
              <w:bCs/>
              <w:noProof/>
            </w:rPr>
            <w:fldChar w:fldCharType="end"/>
          </w:r>
        </w:p>
      </w:sdtContent>
    </w:sdt>
    <w:p w14:paraId="7FFA4C4D" w14:textId="7085531A" w:rsidR="005E3179" w:rsidRPr="005B0CF2" w:rsidRDefault="00E7127D" w:rsidP="005B0CF2">
      <w:pPr>
        <w:pStyle w:val="Heading1"/>
      </w:pPr>
      <w:r w:rsidRPr="00084AF3">
        <w:br w:type="page"/>
      </w:r>
      <w:bookmarkStart w:id="0" w:name="_Toc234513132"/>
      <w:r w:rsidR="00000000" w:rsidRPr="00084AF3">
        <w:lastRenderedPageBreak/>
        <w:t>Task 1: Marketing Environment Analysis</w:t>
      </w:r>
      <w:bookmarkEnd w:id="0"/>
    </w:p>
    <w:p w14:paraId="404E2739" w14:textId="77777777" w:rsidR="005E3179" w:rsidRPr="00084AF3" w:rsidRDefault="00000000" w:rsidP="00E7127D">
      <w:pPr>
        <w:pStyle w:val="Heading1"/>
        <w:rPr>
          <w:color w:val="auto"/>
        </w:rPr>
      </w:pPr>
      <w:bookmarkStart w:id="1" w:name="_Toc234513133"/>
      <w:r w:rsidRPr="00084AF3">
        <w:rPr>
          <w:color w:val="auto"/>
        </w:rPr>
        <w:t>BHP’s Transition Towards Lower-Carbon Products</w:t>
      </w:r>
      <w:bookmarkEnd w:id="1"/>
    </w:p>
    <w:p w14:paraId="11439C49" w14:textId="5AEC7902" w:rsidR="005E3179" w:rsidRPr="00084AF3" w:rsidRDefault="00000000" w:rsidP="00E7127D">
      <w:pPr>
        <w:pStyle w:val="Heading2"/>
        <w:rPr>
          <w:color w:val="auto"/>
          <w:szCs w:val="26"/>
        </w:rPr>
      </w:pPr>
      <w:bookmarkStart w:id="2" w:name="_Toc234513134"/>
      <w:r w:rsidRPr="00084AF3">
        <w:rPr>
          <w:color w:val="auto"/>
        </w:rPr>
        <w:t>1.1 Introduction</w:t>
      </w:r>
      <w:bookmarkEnd w:id="2"/>
      <w:r w:rsidRPr="00084AF3">
        <w:rPr>
          <w:color w:val="auto"/>
        </w:rPr>
        <w:t xml:space="preserve"> </w:t>
      </w:r>
    </w:p>
    <w:p w14:paraId="69CF698B" w14:textId="5DC7DE79"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b/>
          <w:bCs/>
          <w:i/>
          <w:iCs/>
          <w:sz w:val="24"/>
          <w:szCs w:val="24"/>
        </w:rPr>
        <w:t>11%</w:t>
      </w:r>
      <w:r w:rsidRPr="00084AF3">
        <w:rPr>
          <w:rFonts w:ascii="Times New Roman" w:eastAsia="Times New Roman" w:hAnsi="Times New Roman" w:cs="Times New Roman"/>
          <w:sz w:val="24"/>
          <w:szCs w:val="24"/>
        </w:rPr>
        <w:t xml:space="preserve"> of global scope and scope of greenhouse emissions was accounted for mining and metal sector with a large maturity originated from Asia highlighting the role of the </w:t>
      </w:r>
      <w:r w:rsidR="0093421F" w:rsidRPr="00084AF3">
        <w:rPr>
          <w:rFonts w:ascii="Times New Roman" w:eastAsia="Times New Roman" w:hAnsi="Times New Roman" w:cs="Times New Roman"/>
          <w:sz w:val="24"/>
          <w:szCs w:val="24"/>
        </w:rPr>
        <w:t>sectors</w:t>
      </w:r>
      <w:r w:rsidRPr="00084AF3">
        <w:rPr>
          <w:rFonts w:ascii="Times New Roman" w:eastAsia="Times New Roman" w:hAnsi="Times New Roman" w:cs="Times New Roman"/>
          <w:sz w:val="24"/>
          <w:szCs w:val="24"/>
        </w:rPr>
        <w:t xml:space="preserve">, both major a meter and </w:t>
      </w:r>
      <w:r w:rsidR="0093421F" w:rsidRPr="00084AF3">
        <w:rPr>
          <w:rFonts w:ascii="Times New Roman" w:eastAsia="Times New Roman" w:hAnsi="Times New Roman" w:cs="Times New Roman"/>
          <w:sz w:val="24"/>
          <w:szCs w:val="24"/>
        </w:rPr>
        <w:t>an</w:t>
      </w:r>
      <w:r w:rsidRPr="00084AF3">
        <w:rPr>
          <w:rFonts w:ascii="Times New Roman" w:eastAsia="Times New Roman" w:hAnsi="Times New Roman" w:cs="Times New Roman"/>
          <w:sz w:val="24"/>
          <w:szCs w:val="24"/>
        </w:rPr>
        <w:t xml:space="preserve"> essential of transition to clean energy (Bracken, 2026). </w:t>
      </w:r>
      <w:r w:rsidR="0093421F" w:rsidRPr="00084AF3">
        <w:rPr>
          <w:rFonts w:ascii="Times New Roman" w:eastAsia="Times New Roman" w:hAnsi="Times New Roman" w:cs="Times New Roman"/>
          <w:sz w:val="24"/>
          <w:szCs w:val="24"/>
        </w:rPr>
        <w:t xml:space="preserve">The memo indicated the company’s plans on decarbonisation which includes </w:t>
      </w:r>
      <w:r w:rsidR="004D73AB" w:rsidRPr="00084AF3">
        <w:rPr>
          <w:rFonts w:ascii="Times New Roman" w:eastAsia="Times New Roman" w:hAnsi="Times New Roman" w:cs="Times New Roman"/>
          <w:sz w:val="24"/>
          <w:szCs w:val="24"/>
        </w:rPr>
        <w:t xml:space="preserve">Pilbara mines, power plants, trains and diesel truck for western Australian iron ore division </w:t>
      </w:r>
      <w:r w:rsidR="0093421F" w:rsidRPr="00084AF3">
        <w:rPr>
          <w:rFonts w:ascii="Times New Roman" w:eastAsia="Times New Roman" w:hAnsi="Times New Roman" w:cs="Times New Roman"/>
          <w:sz w:val="24"/>
          <w:szCs w:val="24"/>
        </w:rPr>
        <w:t>a major contribution on global emission</w:t>
      </w:r>
      <w:r w:rsidR="004D73AB" w:rsidRPr="00084AF3">
        <w:rPr>
          <w:rFonts w:ascii="Times New Roman" w:eastAsia="Times New Roman" w:hAnsi="Times New Roman" w:cs="Times New Roman"/>
          <w:sz w:val="24"/>
          <w:szCs w:val="24"/>
        </w:rPr>
        <w:t>.</w:t>
      </w:r>
    </w:p>
    <w:p w14:paraId="5510EF35"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drawing>
          <wp:inline distT="114300" distB="114300" distL="114300" distR="114300" wp14:anchorId="48982E7F" wp14:editId="61778E4C">
            <wp:extent cx="5731200" cy="3873500"/>
            <wp:effectExtent l="76200" t="76200" r="136525" b="1270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31200" cy="3873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B5ABCF" w14:textId="777777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1: Global Mining and Metal Sector Emissions vs Other Sector Emissions</w:t>
      </w:r>
    </w:p>
    <w:p w14:paraId="258CD8BA"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Bracken, 2026)</w:t>
      </w:r>
    </w:p>
    <w:p w14:paraId="276317B6"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BHP is on track to meet the mid-term goal, which was supported by a </w:t>
      </w:r>
      <w:r w:rsidRPr="00084AF3">
        <w:rPr>
          <w:rFonts w:ascii="Times New Roman" w:eastAsia="Times New Roman" w:hAnsi="Times New Roman" w:cs="Times New Roman"/>
          <w:b/>
          <w:bCs/>
          <w:i/>
          <w:iCs/>
          <w:sz w:val="24"/>
          <w:szCs w:val="24"/>
        </w:rPr>
        <w:t xml:space="preserve">40% </w:t>
      </w:r>
      <w:r w:rsidRPr="00084AF3">
        <w:rPr>
          <w:rFonts w:ascii="Times New Roman" w:eastAsia="Times New Roman" w:hAnsi="Times New Roman" w:cs="Times New Roman"/>
          <w:sz w:val="24"/>
          <w:szCs w:val="24"/>
        </w:rPr>
        <w:t xml:space="preserve">greenhouse gas emission intensity reduction from the shipping of BHP products by 2030 (BHP, 2026a). However, a leaked memo revealed that BHP has slowed down the decarbonisation program due to current technologies, particularly battery-electric mining equipment and large-scale renewable infrastructure, which are not sufficient to fully commercialise the deployment </w:t>
      </w:r>
      <w:r w:rsidRPr="00084AF3">
        <w:rPr>
          <w:rFonts w:ascii="Times New Roman" w:eastAsia="Times New Roman" w:hAnsi="Times New Roman" w:cs="Times New Roman"/>
          <w:sz w:val="24"/>
          <w:szCs w:val="24"/>
        </w:rPr>
        <w:lastRenderedPageBreak/>
        <w:t>(Knaus and Morton, 2026). This created significant challenges, such as balancing operational efficiency and meeting the expectations of stakeholders for reducing greenhouse gas emissions.</w:t>
      </w:r>
    </w:p>
    <w:p w14:paraId="1F91672D"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drawing>
          <wp:inline distT="114300" distB="114300" distL="114300" distR="114300" wp14:anchorId="5DB31713" wp14:editId="3A8927AB">
            <wp:extent cx="5731200" cy="5016500"/>
            <wp:effectExtent l="12700" t="12700" r="12700" b="12700"/>
            <wp:docPr id="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5731200" cy="5016500"/>
                    </a:xfrm>
                    <a:prstGeom prst="rect">
                      <a:avLst/>
                    </a:prstGeom>
                    <a:ln w="12700">
                      <a:solidFill>
                        <a:srgbClr val="000000"/>
                      </a:solidFill>
                      <a:prstDash val="solid"/>
                    </a:ln>
                  </pic:spPr>
                </pic:pic>
              </a:graphicData>
            </a:graphic>
          </wp:inline>
        </w:drawing>
      </w:r>
    </w:p>
    <w:p w14:paraId="282FFCD2" w14:textId="777777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2: Revealed: the internal BHP memo that slammed the brakes on the world’s biggest miner’s climate push</w:t>
      </w:r>
    </w:p>
    <w:p w14:paraId="5402C51A"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Knaus and Morton, 2026)</w:t>
      </w:r>
    </w:p>
    <w:p w14:paraId="095054DC" w14:textId="007938D1" w:rsidR="005E3179" w:rsidRPr="00084AF3" w:rsidRDefault="00000000" w:rsidP="00E7127D">
      <w:pPr>
        <w:pStyle w:val="Heading2"/>
        <w:rPr>
          <w:color w:val="auto"/>
        </w:rPr>
      </w:pPr>
      <w:bookmarkStart w:id="3" w:name="_Toc234513135"/>
      <w:r w:rsidRPr="00084AF3">
        <w:rPr>
          <w:color w:val="auto"/>
        </w:rPr>
        <w:t>1.2 Natural Environment: The Primary External Marketing Actor</w:t>
      </w:r>
      <w:bookmarkEnd w:id="3"/>
    </w:p>
    <w:p w14:paraId="69D42A4D" w14:textId="25A56964" w:rsidR="005E3179" w:rsidRPr="00084AF3" w:rsidRDefault="00000000" w:rsidP="00E7127D">
      <w:pPr>
        <w:pStyle w:val="Heading3"/>
        <w:rPr>
          <w:color w:val="auto"/>
        </w:rPr>
      </w:pPr>
      <w:bookmarkStart w:id="4" w:name="_Toc234513136"/>
      <w:r w:rsidRPr="00084AF3">
        <w:rPr>
          <w:color w:val="auto"/>
        </w:rPr>
        <w:t>1.2.1 Climate Change and Greenhouse Gas Emissions</w:t>
      </w:r>
      <w:bookmarkEnd w:id="4"/>
    </w:p>
    <w:p w14:paraId="0B67B686"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The emissions are more than double those from Australian mined was reported by the International Energy Agency. The government report indicated that the emission of </w:t>
      </w:r>
      <w:r w:rsidRPr="00084AF3">
        <w:rPr>
          <w:rFonts w:ascii="Times New Roman" w:eastAsia="Times New Roman" w:hAnsi="Times New Roman" w:cs="Times New Roman"/>
          <w:b/>
          <w:bCs/>
          <w:i/>
          <w:iCs/>
          <w:sz w:val="24"/>
          <w:szCs w:val="24"/>
        </w:rPr>
        <w:t>0.82Mt</w:t>
      </w:r>
      <w:r w:rsidRPr="00084AF3">
        <w:rPr>
          <w:rFonts w:ascii="Times New Roman" w:eastAsia="Times New Roman" w:hAnsi="Times New Roman" w:cs="Times New Roman"/>
          <w:sz w:val="24"/>
          <w:szCs w:val="24"/>
        </w:rPr>
        <w:t xml:space="preserve"> of methane from coal mines was equivalent to </w:t>
      </w:r>
      <w:r w:rsidRPr="00084AF3">
        <w:rPr>
          <w:rFonts w:ascii="Times New Roman" w:eastAsia="Times New Roman" w:hAnsi="Times New Roman" w:cs="Times New Roman"/>
          <w:b/>
          <w:bCs/>
          <w:i/>
          <w:iCs/>
          <w:sz w:val="24"/>
          <w:szCs w:val="24"/>
        </w:rPr>
        <w:t>25Mt</w:t>
      </w:r>
      <w:r w:rsidRPr="00084AF3">
        <w:rPr>
          <w:rFonts w:ascii="Times New Roman" w:eastAsia="Times New Roman" w:hAnsi="Times New Roman" w:cs="Times New Roman"/>
          <w:sz w:val="24"/>
          <w:szCs w:val="24"/>
        </w:rPr>
        <w:t xml:space="preserve"> of carbon dioxide, which was a major factor in climate change (</w:t>
      </w:r>
      <w:proofErr w:type="spellStart"/>
      <w:r w:rsidRPr="00084AF3">
        <w:rPr>
          <w:rFonts w:ascii="Times New Roman" w:eastAsia="Times New Roman" w:hAnsi="Times New Roman" w:cs="Times New Roman"/>
          <w:sz w:val="24"/>
          <w:szCs w:val="24"/>
        </w:rPr>
        <w:t>Readfearn</w:t>
      </w:r>
      <w:proofErr w:type="spellEnd"/>
      <w:r w:rsidRPr="00084AF3">
        <w:rPr>
          <w:rFonts w:ascii="Times New Roman" w:eastAsia="Times New Roman" w:hAnsi="Times New Roman" w:cs="Times New Roman"/>
          <w:sz w:val="24"/>
          <w:szCs w:val="24"/>
        </w:rPr>
        <w:t xml:space="preserve">, 2026). In the previous report, IEA have investigated and stated that there could be </w:t>
      </w:r>
      <w:r w:rsidRPr="00084AF3">
        <w:rPr>
          <w:rFonts w:ascii="Times New Roman" w:eastAsia="Times New Roman" w:hAnsi="Times New Roman" w:cs="Times New Roman"/>
          <w:b/>
          <w:bCs/>
          <w:i/>
          <w:iCs/>
          <w:sz w:val="24"/>
          <w:szCs w:val="24"/>
        </w:rPr>
        <w:t>60%</w:t>
      </w:r>
      <w:r w:rsidRPr="00084AF3">
        <w:rPr>
          <w:rFonts w:ascii="Times New Roman" w:eastAsia="Times New Roman" w:hAnsi="Times New Roman" w:cs="Times New Roman"/>
          <w:sz w:val="24"/>
          <w:szCs w:val="24"/>
        </w:rPr>
        <w:t xml:space="preserve"> more methane emissions from the Australian coal and gas sector. </w:t>
      </w:r>
    </w:p>
    <w:p w14:paraId="24D1F166"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3AC396F3" wp14:editId="7C82BB38">
            <wp:extent cx="5731200" cy="3479800"/>
            <wp:effectExtent l="12700" t="12700" r="12700" b="1270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731200" cy="3479800"/>
                    </a:xfrm>
                    <a:prstGeom prst="rect">
                      <a:avLst/>
                    </a:prstGeom>
                    <a:ln w="12700">
                      <a:solidFill>
                        <a:srgbClr val="000000"/>
                      </a:solidFill>
                      <a:prstDash val="solid"/>
                    </a:ln>
                  </pic:spPr>
                </pic:pic>
              </a:graphicData>
            </a:graphic>
          </wp:inline>
        </w:drawing>
      </w:r>
    </w:p>
    <w:p w14:paraId="25268ACE" w14:textId="777777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3: ‘Wake-up call’: methane emissions from Australian coalmines more than double official estimates</w:t>
      </w:r>
    </w:p>
    <w:p w14:paraId="52A7D5E1"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(Source: </w:t>
      </w:r>
      <w:proofErr w:type="spellStart"/>
      <w:r w:rsidRPr="00084AF3">
        <w:rPr>
          <w:rFonts w:ascii="Times New Roman" w:eastAsia="Times New Roman" w:hAnsi="Times New Roman" w:cs="Times New Roman"/>
          <w:sz w:val="24"/>
          <w:szCs w:val="24"/>
        </w:rPr>
        <w:t>Readfearn</w:t>
      </w:r>
      <w:proofErr w:type="spellEnd"/>
      <w:r w:rsidRPr="00084AF3">
        <w:rPr>
          <w:rFonts w:ascii="Times New Roman" w:eastAsia="Times New Roman" w:hAnsi="Times New Roman" w:cs="Times New Roman"/>
          <w:sz w:val="24"/>
          <w:szCs w:val="24"/>
        </w:rPr>
        <w:t>, 2026)</w:t>
      </w:r>
    </w:p>
    <w:p w14:paraId="0BC4F8CD" w14:textId="7DC83BC8"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This doubt can create indirectly pressure also on BHP on </w:t>
      </w:r>
      <w:r w:rsidR="00E7127D" w:rsidRPr="00084AF3">
        <w:rPr>
          <w:rFonts w:ascii="Times New Roman" w:eastAsia="Times New Roman" w:hAnsi="Times New Roman" w:cs="Times New Roman"/>
          <w:sz w:val="24"/>
          <w:szCs w:val="24"/>
        </w:rPr>
        <w:t>greenhouse</w:t>
      </w:r>
      <w:r w:rsidRPr="00084AF3">
        <w:rPr>
          <w:rFonts w:ascii="Times New Roman" w:eastAsia="Times New Roman" w:hAnsi="Times New Roman" w:cs="Times New Roman"/>
          <w:sz w:val="24"/>
          <w:szCs w:val="24"/>
        </w:rPr>
        <w:t xml:space="preserve"> gas emission where the company has slowed its decarbonization due to a lack of modern technology and infrastructure. This impacted the company’s </w:t>
      </w:r>
      <w:proofErr w:type="gramStart"/>
      <w:r w:rsidRPr="00084AF3">
        <w:rPr>
          <w:rFonts w:ascii="Times New Roman" w:eastAsia="Times New Roman" w:hAnsi="Times New Roman" w:cs="Times New Roman"/>
          <w:sz w:val="24"/>
          <w:szCs w:val="24"/>
        </w:rPr>
        <w:t>long term</w:t>
      </w:r>
      <w:proofErr w:type="gramEnd"/>
      <w:r w:rsidRPr="00084AF3">
        <w:rPr>
          <w:rFonts w:ascii="Times New Roman" w:eastAsia="Times New Roman" w:hAnsi="Times New Roman" w:cs="Times New Roman"/>
          <w:sz w:val="24"/>
          <w:szCs w:val="24"/>
        </w:rPr>
        <w:t xml:space="preserve"> </w:t>
      </w:r>
      <w:r w:rsidR="00E7127D" w:rsidRPr="00084AF3">
        <w:rPr>
          <w:rFonts w:ascii="Times New Roman" w:eastAsia="Times New Roman" w:hAnsi="Times New Roman" w:cs="Times New Roman"/>
          <w:sz w:val="24"/>
          <w:szCs w:val="24"/>
        </w:rPr>
        <w:t>sustainability</w:t>
      </w:r>
      <w:r w:rsidRPr="00084AF3">
        <w:rPr>
          <w:rFonts w:ascii="Times New Roman" w:eastAsia="Times New Roman" w:hAnsi="Times New Roman" w:cs="Times New Roman"/>
          <w:sz w:val="24"/>
          <w:szCs w:val="24"/>
        </w:rPr>
        <w:t xml:space="preserve"> on toward a green transition.</w:t>
      </w:r>
    </w:p>
    <w:p w14:paraId="1E897EB5" w14:textId="22957458" w:rsidR="005E3179" w:rsidRPr="00084AF3" w:rsidRDefault="00000000" w:rsidP="00E7127D">
      <w:pPr>
        <w:pStyle w:val="Heading3"/>
        <w:rPr>
          <w:color w:val="auto"/>
        </w:rPr>
      </w:pPr>
      <w:bookmarkStart w:id="5" w:name="_Toc234513137"/>
      <w:r w:rsidRPr="00084AF3">
        <w:rPr>
          <w:color w:val="auto"/>
        </w:rPr>
        <w:t>1.2.2 Renewable Energy Transition</w:t>
      </w:r>
      <w:bookmarkEnd w:id="5"/>
    </w:p>
    <w:p w14:paraId="1BCE9C01"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For example, in the </w:t>
      </w:r>
      <w:r w:rsidRPr="00084AF3">
        <w:rPr>
          <w:rFonts w:ascii="Times New Roman" w:eastAsia="Times New Roman" w:hAnsi="Times New Roman" w:cs="Times New Roman"/>
          <w:b/>
          <w:bCs/>
          <w:i/>
          <w:iCs/>
          <w:sz w:val="24"/>
          <w:szCs w:val="24"/>
        </w:rPr>
        <w:t>construction industry</w:t>
      </w:r>
      <w:r w:rsidRPr="00084AF3">
        <w:rPr>
          <w:rFonts w:ascii="Times New Roman" w:eastAsia="Times New Roman" w:hAnsi="Times New Roman" w:cs="Times New Roman"/>
          <w:sz w:val="24"/>
          <w:szCs w:val="24"/>
        </w:rPr>
        <w:t xml:space="preserve"> across Australia, projected large-scale renewable energy projects which are. There are currently </w:t>
      </w:r>
      <w:r w:rsidRPr="00084AF3">
        <w:rPr>
          <w:rFonts w:ascii="Times New Roman" w:eastAsia="Times New Roman" w:hAnsi="Times New Roman" w:cs="Times New Roman"/>
          <w:b/>
          <w:bCs/>
          <w:i/>
          <w:iCs/>
          <w:sz w:val="24"/>
          <w:szCs w:val="24"/>
        </w:rPr>
        <w:t>133</w:t>
      </w:r>
      <w:r w:rsidRPr="00084AF3">
        <w:rPr>
          <w:rFonts w:ascii="Times New Roman" w:eastAsia="Times New Roman" w:hAnsi="Times New Roman" w:cs="Times New Roman"/>
          <w:sz w:val="24"/>
          <w:szCs w:val="24"/>
        </w:rPr>
        <w:t xml:space="preserve"> renewable energy projects under construction across Australia (Clean Energy Council, 2026). Another example, the </w:t>
      </w:r>
      <w:r w:rsidRPr="00084AF3">
        <w:rPr>
          <w:rFonts w:ascii="Times New Roman" w:eastAsia="Times New Roman" w:hAnsi="Times New Roman" w:cs="Times New Roman"/>
          <w:b/>
          <w:bCs/>
          <w:i/>
          <w:iCs/>
          <w:sz w:val="24"/>
          <w:szCs w:val="24"/>
        </w:rPr>
        <w:t>electricity sector</w:t>
      </w:r>
      <w:r w:rsidRPr="00084AF3">
        <w:rPr>
          <w:rFonts w:ascii="Times New Roman" w:eastAsia="Times New Roman" w:hAnsi="Times New Roman" w:cs="Times New Roman"/>
          <w:sz w:val="24"/>
          <w:szCs w:val="24"/>
        </w:rPr>
        <w:t xml:space="preserve"> is the primary driver of reduction, and emissions from electricity generation dropped by </w:t>
      </w:r>
      <w:r w:rsidRPr="00084AF3">
        <w:rPr>
          <w:rFonts w:ascii="Times New Roman" w:eastAsia="Times New Roman" w:hAnsi="Times New Roman" w:cs="Times New Roman"/>
          <w:b/>
          <w:bCs/>
          <w:i/>
          <w:iCs/>
          <w:sz w:val="24"/>
          <w:szCs w:val="24"/>
        </w:rPr>
        <w:t xml:space="preserve">3.3% </w:t>
      </w:r>
      <w:r w:rsidRPr="00084AF3">
        <w:rPr>
          <w:rFonts w:ascii="Times New Roman" w:eastAsia="Times New Roman" w:hAnsi="Times New Roman" w:cs="Times New Roman"/>
          <w:sz w:val="24"/>
          <w:szCs w:val="24"/>
        </w:rPr>
        <w:t>in the month of June 2025, reflecting rapid expansion in renewable energy across the grid (Gregory, 2026).</w:t>
      </w:r>
    </w:p>
    <w:p w14:paraId="60439952"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3E555678" wp14:editId="6AE30EA3">
            <wp:extent cx="5731200" cy="3098800"/>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3098800"/>
                    </a:xfrm>
                    <a:prstGeom prst="rect">
                      <a:avLst/>
                    </a:prstGeom>
                    <a:ln w="12700">
                      <a:solidFill>
                        <a:srgbClr val="000000"/>
                      </a:solidFill>
                      <a:prstDash val="solid"/>
                    </a:ln>
                  </pic:spPr>
                </pic:pic>
              </a:graphicData>
            </a:graphic>
          </wp:inline>
        </w:drawing>
      </w:r>
    </w:p>
    <w:p w14:paraId="1C5DB928" w14:textId="777777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4: Accelerating the clean energy transition</w:t>
      </w:r>
    </w:p>
    <w:p w14:paraId="5294E941"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Clean Energy Council, 2026)</w:t>
      </w:r>
    </w:p>
    <w:p w14:paraId="35C54585"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Different sector examples indicated that Australian companies are moving toward a green energy transition to support the green economy in the country, which will boost investments in BHP to create large-scale technology and renewable energy infrastructure to boost decarbonisation programs.  </w:t>
      </w:r>
    </w:p>
    <w:p w14:paraId="6C08D029" w14:textId="3DD5FAA6" w:rsidR="005E3179" w:rsidRPr="00084AF3" w:rsidRDefault="00000000" w:rsidP="00E7127D">
      <w:pPr>
        <w:pStyle w:val="Heading3"/>
        <w:rPr>
          <w:color w:val="auto"/>
        </w:rPr>
      </w:pPr>
      <w:bookmarkStart w:id="6" w:name="_Toc234513138"/>
      <w:r w:rsidRPr="00084AF3">
        <w:rPr>
          <w:color w:val="auto"/>
        </w:rPr>
        <w:t>1.2.3 Decarbonisation Challenges</w:t>
      </w:r>
      <w:bookmarkEnd w:id="6"/>
    </w:p>
    <w:p w14:paraId="2926B4B9"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Australia's mining and metals sector faced major decarbonisation challenges. The industry was still mainly relying on diesel-powered machinery, and the cost of the fuel tax credit scheme was predicted to be </w:t>
      </w:r>
      <w:r w:rsidRPr="00084AF3">
        <w:rPr>
          <w:rFonts w:ascii="Times New Roman" w:eastAsia="Times New Roman" w:hAnsi="Times New Roman" w:cs="Times New Roman"/>
          <w:b/>
          <w:bCs/>
          <w:i/>
          <w:iCs/>
          <w:sz w:val="24"/>
          <w:szCs w:val="24"/>
        </w:rPr>
        <w:t>A$47 billion</w:t>
      </w:r>
      <w:r w:rsidRPr="00084AF3">
        <w:rPr>
          <w:rFonts w:ascii="Times New Roman" w:eastAsia="Times New Roman" w:hAnsi="Times New Roman" w:cs="Times New Roman"/>
          <w:sz w:val="24"/>
          <w:szCs w:val="24"/>
        </w:rPr>
        <w:t xml:space="preserve"> over four years, with over </w:t>
      </w:r>
      <w:r w:rsidRPr="00084AF3">
        <w:rPr>
          <w:rFonts w:ascii="Times New Roman" w:eastAsia="Times New Roman" w:hAnsi="Times New Roman" w:cs="Times New Roman"/>
          <w:b/>
          <w:bCs/>
          <w:i/>
          <w:iCs/>
          <w:sz w:val="24"/>
          <w:szCs w:val="24"/>
        </w:rPr>
        <w:t>A$1 billion</w:t>
      </w:r>
      <w:r w:rsidRPr="00084AF3">
        <w:rPr>
          <w:rFonts w:ascii="Times New Roman" w:eastAsia="Times New Roman" w:hAnsi="Times New Roman" w:cs="Times New Roman"/>
          <w:sz w:val="24"/>
          <w:szCs w:val="24"/>
        </w:rPr>
        <w:t xml:space="preserve"> spent annually by coal mine operators (Morton and Jervis-Bardy, 2026). Proposed coal developments would get an extra </w:t>
      </w:r>
      <w:r w:rsidRPr="00084AF3">
        <w:rPr>
          <w:rFonts w:ascii="Times New Roman" w:eastAsia="Times New Roman" w:hAnsi="Times New Roman" w:cs="Times New Roman"/>
          <w:b/>
          <w:bCs/>
          <w:i/>
          <w:iCs/>
          <w:sz w:val="24"/>
          <w:szCs w:val="24"/>
        </w:rPr>
        <w:t>AUD6.2 billion</w:t>
      </w:r>
      <w:r w:rsidRPr="00084AF3">
        <w:rPr>
          <w:rFonts w:ascii="Times New Roman" w:eastAsia="Times New Roman" w:hAnsi="Times New Roman" w:cs="Times New Roman"/>
          <w:sz w:val="24"/>
          <w:szCs w:val="24"/>
        </w:rPr>
        <w:t xml:space="preserve"> in diesel rebates for </w:t>
      </w:r>
      <w:r w:rsidRPr="00084AF3">
        <w:rPr>
          <w:rFonts w:ascii="Times New Roman" w:eastAsia="Times New Roman" w:hAnsi="Times New Roman" w:cs="Times New Roman"/>
          <w:b/>
          <w:bCs/>
          <w:i/>
          <w:iCs/>
          <w:sz w:val="24"/>
          <w:szCs w:val="24"/>
        </w:rPr>
        <w:t>11.6 billion</w:t>
      </w:r>
      <w:r w:rsidRPr="00084AF3">
        <w:rPr>
          <w:rFonts w:ascii="Times New Roman" w:eastAsia="Times New Roman" w:hAnsi="Times New Roman" w:cs="Times New Roman"/>
          <w:sz w:val="24"/>
          <w:szCs w:val="24"/>
        </w:rPr>
        <w:t xml:space="preserve"> litres of diesel fuel.  </w:t>
      </w:r>
    </w:p>
    <w:p w14:paraId="4CEFF28D"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23B56346" wp14:editId="00AE492E">
            <wp:extent cx="5731200" cy="3759200"/>
            <wp:effectExtent l="12700" t="12700" r="12700" b="127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5731200" cy="3759200"/>
                    </a:xfrm>
                    <a:prstGeom prst="rect">
                      <a:avLst/>
                    </a:prstGeom>
                    <a:ln w="12700">
                      <a:solidFill>
                        <a:srgbClr val="000000"/>
                      </a:solidFill>
                      <a:prstDash val="solid"/>
                    </a:ln>
                  </pic:spPr>
                </pic:pic>
              </a:graphicData>
            </a:graphic>
          </wp:inline>
        </w:drawing>
      </w:r>
    </w:p>
    <w:p w14:paraId="2C38E0CB" w14:textId="777777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6: Coal companies to reap billions more in taxpayer diesel subsidies as Labour approves new mining</w:t>
      </w:r>
    </w:p>
    <w:p w14:paraId="1D148FDC"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(Source: Morton and Jervis-Bardy, 2026) </w:t>
      </w:r>
    </w:p>
    <w:p w14:paraId="38DFA2AB" w14:textId="48100725" w:rsidR="005E3179" w:rsidRPr="00084AF3" w:rsidRDefault="00000000" w:rsidP="00E7127D">
      <w:pPr>
        <w:pStyle w:val="Heading3"/>
        <w:rPr>
          <w:color w:val="auto"/>
        </w:rPr>
      </w:pPr>
      <w:bookmarkStart w:id="7" w:name="_Toc234513139"/>
      <w:r w:rsidRPr="00084AF3">
        <w:rPr>
          <w:color w:val="auto"/>
        </w:rPr>
        <w:t>1.2.4 Critical Evaluation of Natural Environmental Influence</w:t>
      </w:r>
      <w:bookmarkEnd w:id="7"/>
    </w:p>
    <w:p w14:paraId="7670595A"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b/>
          <w:bCs/>
          <w:sz w:val="24"/>
          <w:szCs w:val="24"/>
        </w:rPr>
        <w:t>Opportunities</w:t>
      </w:r>
      <w:r w:rsidRPr="00084AF3">
        <w:rPr>
          <w:rFonts w:ascii="Times New Roman" w:eastAsia="Times New Roman" w:hAnsi="Times New Roman" w:cs="Times New Roman"/>
          <w:sz w:val="24"/>
          <w:szCs w:val="24"/>
        </w:rPr>
        <w:t xml:space="preserve"> </w:t>
      </w:r>
    </w:p>
    <w:p w14:paraId="4F20CCBA" w14:textId="77777777" w:rsidR="005E3179" w:rsidRPr="00084AF3" w:rsidRDefault="00000000">
      <w:pPr>
        <w:numPr>
          <w:ilvl w:val="0"/>
          <w:numId w:val="4"/>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In 2025, the Australian government announced </w:t>
      </w:r>
      <w:r w:rsidRPr="00084AF3">
        <w:rPr>
          <w:rFonts w:ascii="Times New Roman" w:eastAsia="Times New Roman" w:hAnsi="Times New Roman" w:cs="Times New Roman"/>
          <w:b/>
          <w:bCs/>
          <w:i/>
          <w:iCs/>
          <w:sz w:val="24"/>
          <w:szCs w:val="24"/>
        </w:rPr>
        <w:t>$5 billion</w:t>
      </w:r>
      <w:r w:rsidRPr="00084AF3">
        <w:rPr>
          <w:rFonts w:ascii="Times New Roman" w:eastAsia="Times New Roman" w:hAnsi="Times New Roman" w:cs="Times New Roman"/>
          <w:sz w:val="24"/>
          <w:szCs w:val="24"/>
        </w:rPr>
        <w:t xml:space="preserve"> to support the Net Zero target of heavy industry for decarbonisation (Minister.Industry.GOV.AU, 2025).</w:t>
      </w:r>
    </w:p>
    <w:p w14:paraId="385ADF4D" w14:textId="1C892C14" w:rsidR="005E3179" w:rsidRPr="00084AF3" w:rsidRDefault="00000000">
      <w:pPr>
        <w:numPr>
          <w:ilvl w:val="0"/>
          <w:numId w:val="4"/>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In 2025, BHP had a market capitalisation of </w:t>
      </w:r>
      <w:r w:rsidR="00E7127D" w:rsidRPr="00084AF3">
        <w:rPr>
          <w:rFonts w:ascii="Times New Roman" w:eastAsia="Times New Roman" w:hAnsi="Times New Roman" w:cs="Times New Roman"/>
          <w:sz w:val="24"/>
          <w:szCs w:val="24"/>
        </w:rPr>
        <w:t xml:space="preserve">over </w:t>
      </w:r>
      <w:r w:rsidR="00E7127D" w:rsidRPr="00084AF3">
        <w:rPr>
          <w:rFonts w:ascii="Times New Roman" w:eastAsia="Times New Roman" w:hAnsi="Times New Roman" w:cs="Times New Roman"/>
          <w:b/>
          <w:bCs/>
          <w:i/>
          <w:iCs/>
          <w:sz w:val="24"/>
          <w:szCs w:val="24"/>
        </w:rPr>
        <w:t>216</w:t>
      </w:r>
      <w:r w:rsidRPr="00084AF3">
        <w:rPr>
          <w:rFonts w:ascii="Times New Roman" w:eastAsia="Times New Roman" w:hAnsi="Times New Roman" w:cs="Times New Roman"/>
          <w:b/>
          <w:bCs/>
          <w:i/>
          <w:iCs/>
          <w:sz w:val="24"/>
          <w:szCs w:val="24"/>
        </w:rPr>
        <w:t xml:space="preserve"> billion</w:t>
      </w:r>
      <w:r w:rsidRPr="00084AF3">
        <w:rPr>
          <w:rFonts w:ascii="Times New Roman" w:eastAsia="Times New Roman" w:hAnsi="Times New Roman" w:cs="Times New Roman"/>
          <w:sz w:val="24"/>
          <w:szCs w:val="24"/>
        </w:rPr>
        <w:t xml:space="preserve"> Australian dollars (Sasu, 2025). </w:t>
      </w:r>
    </w:p>
    <w:p w14:paraId="11355DC0"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393A0788" wp14:editId="023FD17D">
            <wp:extent cx="5731200" cy="4610100"/>
            <wp:effectExtent l="12700" t="12700" r="12700" b="12700"/>
            <wp:docPr id="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4"/>
                    <a:srcRect/>
                    <a:stretch>
                      <a:fillRect/>
                    </a:stretch>
                  </pic:blipFill>
                  <pic:spPr>
                    <a:xfrm>
                      <a:off x="0" y="0"/>
                      <a:ext cx="5731200" cy="4610100"/>
                    </a:xfrm>
                    <a:prstGeom prst="rect">
                      <a:avLst/>
                    </a:prstGeom>
                    <a:ln w="12700">
                      <a:solidFill>
                        <a:srgbClr val="000000"/>
                      </a:solidFill>
                      <a:prstDash val="solid"/>
                    </a:ln>
                  </pic:spPr>
                </pic:pic>
              </a:graphicData>
            </a:graphic>
          </wp:inline>
        </w:drawing>
      </w:r>
    </w:p>
    <w:p w14:paraId="475A3AE2" w14:textId="777777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 xml:space="preserve">Figure 7: Leading metals and mining companies in Australia, 2025, by market capitalisation </w:t>
      </w:r>
    </w:p>
    <w:p w14:paraId="6B91C96A"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Sasu, 2025)</w:t>
      </w:r>
    </w:p>
    <w:p w14:paraId="52E8D521"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b/>
          <w:bCs/>
          <w:sz w:val="24"/>
          <w:szCs w:val="24"/>
        </w:rPr>
        <w:t>Challenges</w:t>
      </w:r>
      <w:r w:rsidRPr="00084AF3">
        <w:rPr>
          <w:rFonts w:ascii="Times New Roman" w:eastAsia="Times New Roman" w:hAnsi="Times New Roman" w:cs="Times New Roman"/>
          <w:sz w:val="24"/>
          <w:szCs w:val="24"/>
        </w:rPr>
        <w:t xml:space="preserve"> </w:t>
      </w:r>
    </w:p>
    <w:p w14:paraId="494522F0" w14:textId="77777777" w:rsidR="005E3179" w:rsidRPr="00084AF3" w:rsidRDefault="00000000">
      <w:pPr>
        <w:numPr>
          <w:ilvl w:val="0"/>
          <w:numId w:val="3"/>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Need for modern, high technological and renewable energy production infrastructure.</w:t>
      </w:r>
    </w:p>
    <w:p w14:paraId="7C5A23C1" w14:textId="77777777" w:rsidR="005E3179" w:rsidRPr="00084AF3" w:rsidRDefault="00000000">
      <w:pPr>
        <w:numPr>
          <w:ilvl w:val="0"/>
          <w:numId w:val="3"/>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The transition period is slow due to the limited availability of electric battery trucks.</w:t>
      </w:r>
    </w:p>
    <w:p w14:paraId="291AA9C3" w14:textId="77777777" w:rsidR="005E3179" w:rsidRPr="00084AF3" w:rsidRDefault="00000000">
      <w:pPr>
        <w:numPr>
          <w:ilvl w:val="0"/>
          <w:numId w:val="3"/>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Diesel use conflicts with the net-zero emission target of BHP.</w:t>
      </w:r>
    </w:p>
    <w:p w14:paraId="7EEF610C" w14:textId="77777777" w:rsidR="005E3179" w:rsidRPr="00084AF3" w:rsidRDefault="00000000" w:rsidP="00E7127D">
      <w:pPr>
        <w:pStyle w:val="Heading2"/>
        <w:rPr>
          <w:color w:val="auto"/>
        </w:rPr>
      </w:pPr>
      <w:bookmarkStart w:id="8" w:name="_Toc234513140"/>
      <w:r w:rsidRPr="00084AF3">
        <w:rPr>
          <w:color w:val="auto"/>
        </w:rPr>
        <w:t>1.3 Political and Regulatory Environment: The Secondary External Marketing Actor</w:t>
      </w:r>
      <w:bookmarkEnd w:id="8"/>
      <w:r w:rsidRPr="00084AF3">
        <w:rPr>
          <w:color w:val="auto"/>
        </w:rPr>
        <w:t xml:space="preserve"> </w:t>
      </w:r>
    </w:p>
    <w:p w14:paraId="406B06F1" w14:textId="77777777" w:rsidR="005E3179" w:rsidRPr="00084AF3" w:rsidRDefault="00000000" w:rsidP="00E7127D">
      <w:pPr>
        <w:pStyle w:val="Heading3"/>
        <w:rPr>
          <w:color w:val="auto"/>
        </w:rPr>
      </w:pPr>
      <w:bookmarkStart w:id="9" w:name="_Toc234513141"/>
      <w:r w:rsidRPr="00084AF3">
        <w:rPr>
          <w:color w:val="auto"/>
        </w:rPr>
        <w:t>1.3.1 Government Climate Policies and Regulations</w:t>
      </w:r>
      <w:bookmarkEnd w:id="9"/>
      <w:r w:rsidRPr="00084AF3">
        <w:rPr>
          <w:color w:val="auto"/>
        </w:rPr>
        <w:t xml:space="preserve"> </w:t>
      </w:r>
    </w:p>
    <w:p w14:paraId="64F60F82" w14:textId="77777777" w:rsidR="005E3179" w:rsidRPr="00084AF3" w:rsidRDefault="00000000">
      <w:pPr>
        <w:spacing w:line="360" w:lineRule="auto"/>
        <w:jc w:val="both"/>
        <w:rPr>
          <w:rFonts w:ascii="Times New Roman" w:eastAsia="Times New Roman" w:hAnsi="Times New Roman" w:cs="Times New Roman"/>
          <w:b/>
          <w:bCs/>
          <w:i/>
          <w:iCs/>
          <w:sz w:val="24"/>
          <w:szCs w:val="24"/>
        </w:rPr>
      </w:pPr>
      <w:r w:rsidRPr="00084AF3">
        <w:rPr>
          <w:rFonts w:ascii="Times New Roman" w:eastAsia="Times New Roman" w:hAnsi="Times New Roman" w:cs="Times New Roman"/>
          <w:sz w:val="24"/>
          <w:szCs w:val="24"/>
        </w:rPr>
        <w:t xml:space="preserve">Australian government aimed to reduce greenhouse gas emissions to keep the economy secure. Australian government legislated to reduce emissions below </w:t>
      </w:r>
      <w:r w:rsidRPr="00084AF3">
        <w:rPr>
          <w:rFonts w:ascii="Times New Roman" w:eastAsia="Times New Roman" w:hAnsi="Times New Roman" w:cs="Times New Roman"/>
          <w:b/>
          <w:bCs/>
          <w:i/>
          <w:iCs/>
          <w:sz w:val="24"/>
          <w:szCs w:val="24"/>
        </w:rPr>
        <w:t>43%</w:t>
      </w:r>
      <w:r w:rsidRPr="00084AF3">
        <w:rPr>
          <w:rFonts w:ascii="Times New Roman" w:eastAsia="Times New Roman" w:hAnsi="Times New Roman" w:cs="Times New Roman"/>
          <w:sz w:val="24"/>
          <w:szCs w:val="24"/>
        </w:rPr>
        <w:t xml:space="preserve"> by 2030 and achieve net zero emission by 2050 (DCCEEW, 2026). BHP has collaborated with DNV to use the cloud technology named </w:t>
      </w:r>
      <w:r w:rsidRPr="00084AF3">
        <w:rPr>
          <w:rFonts w:ascii="Times New Roman" w:eastAsia="Times New Roman" w:hAnsi="Times New Roman" w:cs="Times New Roman"/>
          <w:b/>
          <w:bCs/>
          <w:i/>
          <w:iCs/>
          <w:sz w:val="24"/>
          <w:szCs w:val="24"/>
        </w:rPr>
        <w:t>Veracity</w:t>
      </w:r>
      <w:r w:rsidRPr="00084AF3">
        <w:rPr>
          <w:rFonts w:ascii="Times New Roman" w:eastAsia="Times New Roman" w:hAnsi="Times New Roman" w:cs="Times New Roman"/>
          <w:sz w:val="24"/>
          <w:szCs w:val="24"/>
        </w:rPr>
        <w:t xml:space="preserve"> monitor and report the greenhouse gas emission and management (DNV, 2026). Australian government committed </w:t>
      </w:r>
      <w:r w:rsidRPr="00084AF3">
        <w:rPr>
          <w:rFonts w:ascii="Times New Roman" w:eastAsia="Times New Roman" w:hAnsi="Times New Roman" w:cs="Times New Roman"/>
          <w:b/>
          <w:bCs/>
          <w:i/>
          <w:iCs/>
          <w:sz w:val="24"/>
          <w:szCs w:val="24"/>
        </w:rPr>
        <w:t>$1.1 billion</w:t>
      </w:r>
      <w:r w:rsidRPr="00084AF3">
        <w:rPr>
          <w:rFonts w:ascii="Times New Roman" w:eastAsia="Times New Roman" w:hAnsi="Times New Roman" w:cs="Times New Roman"/>
          <w:sz w:val="24"/>
          <w:szCs w:val="24"/>
        </w:rPr>
        <w:t xml:space="preserve"> to the </w:t>
      </w:r>
      <w:r w:rsidRPr="00084AF3">
        <w:rPr>
          <w:rFonts w:ascii="Times New Roman" w:eastAsia="Times New Roman" w:hAnsi="Times New Roman" w:cs="Times New Roman"/>
          <w:b/>
          <w:bCs/>
          <w:i/>
          <w:iCs/>
          <w:sz w:val="24"/>
          <w:szCs w:val="24"/>
        </w:rPr>
        <w:t>Cleaner Fuels Program</w:t>
      </w:r>
      <w:r w:rsidRPr="00084AF3">
        <w:rPr>
          <w:rFonts w:ascii="Times New Roman" w:eastAsia="Times New Roman" w:hAnsi="Times New Roman" w:cs="Times New Roman"/>
          <w:sz w:val="24"/>
          <w:szCs w:val="24"/>
        </w:rPr>
        <w:t xml:space="preserve"> </w:t>
      </w:r>
      <w:r w:rsidRPr="00084AF3">
        <w:rPr>
          <w:rFonts w:ascii="Times New Roman" w:eastAsia="Times New Roman" w:hAnsi="Times New Roman" w:cs="Times New Roman"/>
          <w:sz w:val="24"/>
          <w:szCs w:val="24"/>
        </w:rPr>
        <w:lastRenderedPageBreak/>
        <w:t>to encourage the domestic production of low-carbon liquid fuels to support the green economy (Infrastructure, 2025).</w:t>
      </w:r>
    </w:p>
    <w:p w14:paraId="4EBDE4C3" w14:textId="77777777" w:rsidR="005E3179" w:rsidRPr="00084AF3" w:rsidRDefault="00000000" w:rsidP="00E7127D">
      <w:pPr>
        <w:pStyle w:val="Heading3"/>
        <w:rPr>
          <w:color w:val="auto"/>
        </w:rPr>
      </w:pPr>
      <w:bookmarkStart w:id="10" w:name="_Toc234513142"/>
      <w:r w:rsidRPr="00084AF3">
        <w:rPr>
          <w:color w:val="auto"/>
        </w:rPr>
        <w:t>1.3.2 International Carbon Pricing</w:t>
      </w:r>
      <w:bookmarkEnd w:id="10"/>
      <w:r w:rsidRPr="00084AF3">
        <w:rPr>
          <w:color w:val="auto"/>
        </w:rPr>
        <w:t xml:space="preserve"> </w:t>
      </w:r>
    </w:p>
    <w:p w14:paraId="65FDF450"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In 2025, 85 carbon pricing instruments were in place to cover </w:t>
      </w:r>
      <w:r w:rsidRPr="00084AF3">
        <w:rPr>
          <w:rFonts w:ascii="Times New Roman" w:eastAsia="Times New Roman" w:hAnsi="Times New Roman" w:cs="Times New Roman"/>
          <w:b/>
          <w:bCs/>
          <w:i/>
          <w:iCs/>
          <w:sz w:val="24"/>
          <w:szCs w:val="24"/>
        </w:rPr>
        <w:t>28%</w:t>
      </w:r>
      <w:r w:rsidRPr="00084AF3">
        <w:rPr>
          <w:rFonts w:ascii="Times New Roman" w:eastAsia="Times New Roman" w:hAnsi="Times New Roman" w:cs="Times New Roman"/>
          <w:sz w:val="24"/>
          <w:szCs w:val="24"/>
        </w:rPr>
        <w:t xml:space="preserve"> of global emissions, and this growing usage of instruments is significantly helping in global emission reduction. The </w:t>
      </w:r>
      <w:r w:rsidRPr="00084AF3">
        <w:rPr>
          <w:rFonts w:ascii="Times New Roman" w:eastAsia="Times New Roman" w:hAnsi="Times New Roman" w:cs="Times New Roman"/>
          <w:b/>
          <w:bCs/>
          <w:i/>
          <w:iCs/>
          <w:sz w:val="24"/>
          <w:szCs w:val="24"/>
        </w:rPr>
        <w:t>EU Emissions Trading System</w:t>
      </w:r>
      <w:r w:rsidRPr="00084AF3">
        <w:rPr>
          <w:rFonts w:ascii="Times New Roman" w:eastAsia="Times New Roman" w:hAnsi="Times New Roman" w:cs="Times New Roman"/>
          <w:sz w:val="24"/>
          <w:szCs w:val="24"/>
        </w:rPr>
        <w:t xml:space="preserve"> played an important role in carbon pricing to reduce greenhouse gas emissions, with a </w:t>
      </w:r>
      <w:r w:rsidRPr="00084AF3">
        <w:rPr>
          <w:rFonts w:ascii="Times New Roman" w:eastAsia="Times New Roman" w:hAnsi="Times New Roman" w:cs="Times New Roman"/>
          <w:b/>
          <w:bCs/>
          <w:i/>
          <w:iCs/>
          <w:sz w:val="24"/>
          <w:szCs w:val="24"/>
        </w:rPr>
        <w:t>50%</w:t>
      </w:r>
      <w:r w:rsidRPr="00084AF3">
        <w:rPr>
          <w:rFonts w:ascii="Times New Roman" w:eastAsia="Times New Roman" w:hAnsi="Times New Roman" w:cs="Times New Roman"/>
          <w:sz w:val="24"/>
          <w:szCs w:val="24"/>
        </w:rPr>
        <w:t xml:space="preserve"> reduction in sectors (Europa, 2026). </w:t>
      </w:r>
    </w:p>
    <w:p w14:paraId="5A929B58" w14:textId="77777777" w:rsidR="005E3179" w:rsidRPr="00084AF3" w:rsidRDefault="00000000" w:rsidP="00E7127D">
      <w:pPr>
        <w:pStyle w:val="Heading3"/>
        <w:rPr>
          <w:color w:val="auto"/>
        </w:rPr>
      </w:pPr>
      <w:bookmarkStart w:id="11" w:name="_Toc234513143"/>
      <w:r w:rsidRPr="00084AF3">
        <w:rPr>
          <w:color w:val="auto"/>
        </w:rPr>
        <w:t>1.3.3 Government Support and Green Innovation</w:t>
      </w:r>
      <w:bookmarkEnd w:id="11"/>
      <w:r w:rsidRPr="00084AF3">
        <w:rPr>
          <w:color w:val="auto"/>
        </w:rPr>
        <w:t xml:space="preserve"> </w:t>
      </w:r>
    </w:p>
    <w:p w14:paraId="455E6997" w14:textId="3A6EE863"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b/>
          <w:bCs/>
          <w:i/>
          <w:iCs/>
          <w:sz w:val="24"/>
          <w:szCs w:val="24"/>
        </w:rPr>
        <w:t>Singapore Australia Green Economy Agreement</w:t>
      </w:r>
      <w:r w:rsidRPr="00084AF3">
        <w:rPr>
          <w:rFonts w:ascii="Times New Roman" w:eastAsia="Times New Roman" w:hAnsi="Times New Roman" w:cs="Times New Roman"/>
          <w:sz w:val="24"/>
          <w:szCs w:val="24"/>
        </w:rPr>
        <w:t xml:space="preserve"> set aside </w:t>
      </w:r>
      <w:r w:rsidRPr="00084AF3">
        <w:rPr>
          <w:rFonts w:ascii="Times New Roman" w:eastAsia="Times New Roman" w:hAnsi="Times New Roman" w:cs="Times New Roman"/>
          <w:b/>
          <w:bCs/>
          <w:i/>
          <w:iCs/>
          <w:sz w:val="24"/>
          <w:szCs w:val="24"/>
        </w:rPr>
        <w:t>$20 million</w:t>
      </w:r>
      <w:r w:rsidRPr="00084AF3">
        <w:rPr>
          <w:rFonts w:ascii="Times New Roman" w:eastAsia="Times New Roman" w:hAnsi="Times New Roman" w:cs="Times New Roman"/>
          <w:sz w:val="24"/>
          <w:szCs w:val="24"/>
        </w:rPr>
        <w:t xml:space="preserve"> to support relevant and eligible projects under GGCIP over the period 2023 to 2026 (DFAT.GOV.AU, 2026). A blast furnace can be extended in service through relining, which is much more cost-effective than replacing the furnace, and can be relined for more than 50 years of operation for blast furnaces (BHP, 2026b).  </w:t>
      </w:r>
      <w:r w:rsidR="00603B16" w:rsidRPr="00084AF3">
        <w:rPr>
          <w:rFonts w:ascii="Times New Roman" w:eastAsia="Times New Roman" w:hAnsi="Times New Roman" w:cs="Times New Roman"/>
          <w:sz w:val="24"/>
          <w:szCs w:val="24"/>
        </w:rPr>
        <w:t xml:space="preserve">In </w:t>
      </w:r>
      <w:r w:rsidR="00603B16" w:rsidRPr="00084AF3">
        <w:rPr>
          <w:rFonts w:ascii="Times New Roman" w:eastAsia="Times New Roman" w:hAnsi="Times New Roman" w:cs="Times New Roman"/>
          <w:b/>
          <w:bCs/>
          <w:i/>
          <w:iCs/>
          <w:sz w:val="24"/>
          <w:szCs w:val="24"/>
        </w:rPr>
        <w:t>steel industry</w:t>
      </w:r>
      <w:r w:rsidR="00603B16" w:rsidRPr="00084AF3">
        <w:rPr>
          <w:rFonts w:ascii="Times New Roman" w:eastAsia="Times New Roman" w:hAnsi="Times New Roman" w:cs="Times New Roman"/>
          <w:sz w:val="24"/>
          <w:szCs w:val="24"/>
        </w:rPr>
        <w:t xml:space="preserve"> gas-based steel production emits low emission then coal blast furnace but gas-based production is still emissions-intensive which product </w:t>
      </w:r>
      <w:r w:rsidR="00603B16" w:rsidRPr="00084AF3">
        <w:rPr>
          <w:rFonts w:ascii="Times New Roman" w:eastAsia="Times New Roman" w:hAnsi="Times New Roman" w:cs="Times New Roman"/>
          <w:b/>
          <w:bCs/>
          <w:i/>
          <w:iCs/>
          <w:sz w:val="24"/>
          <w:szCs w:val="24"/>
        </w:rPr>
        <w:t>1.4 tonnes</w:t>
      </w:r>
      <w:r w:rsidR="00603B16" w:rsidRPr="00084AF3">
        <w:rPr>
          <w:rFonts w:ascii="Times New Roman" w:eastAsia="Times New Roman" w:hAnsi="Times New Roman" w:cs="Times New Roman"/>
          <w:sz w:val="24"/>
          <w:szCs w:val="24"/>
        </w:rPr>
        <w:t xml:space="preserve"> of carbon dioxide (CO2) per tonne of crude steel production (IEEFA, 2025).</w:t>
      </w:r>
    </w:p>
    <w:p w14:paraId="5205B1E7"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drawing>
          <wp:inline distT="114300" distB="114300" distL="114300" distR="114300" wp14:anchorId="6554689F" wp14:editId="723E8F27">
            <wp:extent cx="5731200" cy="3771900"/>
            <wp:effectExtent l="12700" t="12700" r="12700" b="127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3771900"/>
                    </a:xfrm>
                    <a:prstGeom prst="rect">
                      <a:avLst/>
                    </a:prstGeom>
                    <a:ln w="12700">
                      <a:solidFill>
                        <a:srgbClr val="000000"/>
                      </a:solidFill>
                      <a:prstDash val="solid"/>
                    </a:ln>
                  </pic:spPr>
                </pic:pic>
              </a:graphicData>
            </a:graphic>
          </wp:inline>
        </w:drawing>
      </w:r>
    </w:p>
    <w:p w14:paraId="3F86C1E9" w14:textId="777777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 xml:space="preserve">Figure 8: The Blast Furnace Transition </w:t>
      </w:r>
    </w:p>
    <w:p w14:paraId="2FC9DD10"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BHP, 2026b)</w:t>
      </w:r>
    </w:p>
    <w:p w14:paraId="6E328B59" w14:textId="77777777" w:rsidR="005E3179" w:rsidRPr="00084AF3" w:rsidRDefault="00000000" w:rsidP="00E7127D">
      <w:pPr>
        <w:pStyle w:val="Heading3"/>
        <w:rPr>
          <w:color w:val="auto"/>
        </w:rPr>
      </w:pPr>
      <w:bookmarkStart w:id="12" w:name="_Toc234513144"/>
      <w:r w:rsidRPr="00084AF3">
        <w:rPr>
          <w:color w:val="auto"/>
        </w:rPr>
        <w:lastRenderedPageBreak/>
        <w:t>1.3.4 Critical Evaluation of Political Influence</w:t>
      </w:r>
      <w:bookmarkEnd w:id="12"/>
      <w:r w:rsidRPr="00084AF3">
        <w:rPr>
          <w:color w:val="auto"/>
        </w:rPr>
        <w:t xml:space="preserve"> </w:t>
      </w:r>
    </w:p>
    <w:p w14:paraId="2418BBB0"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b/>
          <w:bCs/>
          <w:sz w:val="24"/>
          <w:szCs w:val="24"/>
        </w:rPr>
        <w:t>Opportunities</w:t>
      </w:r>
      <w:r w:rsidRPr="00084AF3">
        <w:rPr>
          <w:rFonts w:ascii="Times New Roman" w:eastAsia="Times New Roman" w:hAnsi="Times New Roman" w:cs="Times New Roman"/>
          <w:sz w:val="24"/>
          <w:szCs w:val="24"/>
        </w:rPr>
        <w:t xml:space="preserve"> </w:t>
      </w:r>
    </w:p>
    <w:p w14:paraId="63E50735" w14:textId="77777777" w:rsidR="005E3179" w:rsidRPr="00084AF3" w:rsidRDefault="00000000">
      <w:pPr>
        <w:numPr>
          <w:ilvl w:val="0"/>
          <w:numId w:val="1"/>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Carbon pricing encouraged cleaner technology and emission risk reductions in the future. </w:t>
      </w:r>
    </w:p>
    <w:p w14:paraId="645265E7" w14:textId="77777777" w:rsidR="005E3179" w:rsidRPr="00084AF3" w:rsidRDefault="00000000">
      <w:pPr>
        <w:numPr>
          <w:ilvl w:val="0"/>
          <w:numId w:val="1"/>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Green innovation funding was used for funding infrastructure projects for renewable energy and decarbonisation of industry.</w:t>
      </w:r>
    </w:p>
    <w:p w14:paraId="481C2D1A"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b/>
          <w:bCs/>
          <w:sz w:val="24"/>
          <w:szCs w:val="24"/>
        </w:rPr>
        <w:t>Challenges</w:t>
      </w:r>
      <w:r w:rsidRPr="00084AF3">
        <w:rPr>
          <w:rFonts w:ascii="Times New Roman" w:eastAsia="Times New Roman" w:hAnsi="Times New Roman" w:cs="Times New Roman"/>
          <w:sz w:val="24"/>
          <w:szCs w:val="24"/>
        </w:rPr>
        <w:t xml:space="preserve"> </w:t>
      </w:r>
    </w:p>
    <w:p w14:paraId="7BFB24A5" w14:textId="77777777" w:rsidR="005E3179" w:rsidRPr="00084AF3" w:rsidRDefault="00000000">
      <w:pPr>
        <w:numPr>
          <w:ilvl w:val="0"/>
          <w:numId w:val="2"/>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Compliance costs for mining companies became quite high with the strict emission regulations. </w:t>
      </w:r>
    </w:p>
    <w:p w14:paraId="6CB9C4DA" w14:textId="77777777" w:rsidR="005E3179" w:rsidRPr="00084AF3" w:rsidRDefault="00000000">
      <w:pPr>
        <w:numPr>
          <w:ilvl w:val="0"/>
          <w:numId w:val="2"/>
        </w:num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The cost of carbon has increased operational costs and impacted international competitiveness all over the world. </w:t>
      </w:r>
    </w:p>
    <w:p w14:paraId="2DC1C33A" w14:textId="77777777" w:rsidR="005E3179" w:rsidRPr="00084AF3" w:rsidRDefault="00000000">
      <w:pPr>
        <w:spacing w:line="360" w:lineRule="auto"/>
        <w:jc w:val="both"/>
        <w:rPr>
          <w:rFonts w:ascii="Times New Roman" w:eastAsia="Times New Roman" w:hAnsi="Times New Roman" w:cs="Times New Roman"/>
          <w:b/>
          <w:bCs/>
          <w:sz w:val="24"/>
          <w:szCs w:val="24"/>
        </w:rPr>
      </w:pPr>
      <w:r w:rsidRPr="00084AF3">
        <w:br w:type="page"/>
      </w:r>
    </w:p>
    <w:p w14:paraId="7D6B4E6D" w14:textId="2FAA03F0" w:rsidR="005E3179" w:rsidRPr="00084AF3" w:rsidRDefault="00000000" w:rsidP="00E7127D">
      <w:pPr>
        <w:pStyle w:val="Heading1"/>
        <w:rPr>
          <w:color w:val="auto"/>
        </w:rPr>
      </w:pPr>
      <w:bookmarkStart w:id="13" w:name="_Toc234513145"/>
      <w:r w:rsidRPr="00084AF3">
        <w:rPr>
          <w:color w:val="auto"/>
        </w:rPr>
        <w:lastRenderedPageBreak/>
        <w:t>Task 2: Strategic Growth and Competitive Positioning using the Ansoff Matrix</w:t>
      </w:r>
      <w:bookmarkEnd w:id="13"/>
      <w:r w:rsidRPr="00084AF3">
        <w:rPr>
          <w:color w:val="auto"/>
        </w:rPr>
        <w:t xml:space="preserve"> </w:t>
      </w:r>
    </w:p>
    <w:p w14:paraId="18AC9AF2" w14:textId="54883946" w:rsidR="005E3179" w:rsidRPr="00084AF3" w:rsidRDefault="00000000" w:rsidP="00E7127D">
      <w:pPr>
        <w:pStyle w:val="Heading2"/>
        <w:rPr>
          <w:color w:val="auto"/>
        </w:rPr>
      </w:pPr>
      <w:bookmarkStart w:id="14" w:name="_Toc234513146"/>
      <w:r w:rsidRPr="00084AF3">
        <w:rPr>
          <w:color w:val="auto"/>
        </w:rPr>
        <w:t>2.1 Market Penetration</w:t>
      </w:r>
      <w:bookmarkEnd w:id="14"/>
    </w:p>
    <w:p w14:paraId="428267D3" w14:textId="77777777" w:rsidR="002C6C61" w:rsidRPr="00084AF3" w:rsidRDefault="002C6C61" w:rsidP="002C6C61"/>
    <w:p w14:paraId="6AB52A8D" w14:textId="77777777" w:rsidR="002C6C61" w:rsidRPr="00084AF3" w:rsidRDefault="002C6C61" w:rsidP="002C6C61">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EA1062B" wp14:editId="0276ADD7">
                <wp:simplePos x="0" y="0"/>
                <wp:positionH relativeFrom="column">
                  <wp:posOffset>828675</wp:posOffset>
                </wp:positionH>
                <wp:positionV relativeFrom="paragraph">
                  <wp:posOffset>2143125</wp:posOffset>
                </wp:positionV>
                <wp:extent cx="613410" cy="358140"/>
                <wp:effectExtent l="0" t="5715" r="9525" b="9525"/>
                <wp:wrapNone/>
                <wp:docPr id="1878908182" name="Rectangle 2"/>
                <wp:cNvGraphicFramePr/>
                <a:graphic xmlns:a="http://schemas.openxmlformats.org/drawingml/2006/main">
                  <a:graphicData uri="http://schemas.microsoft.com/office/word/2010/wordprocessingShape">
                    <wps:wsp>
                      <wps:cNvSpPr/>
                      <wps:spPr>
                        <a:xfrm rot="16200000">
                          <a:off x="0" y="0"/>
                          <a:ext cx="613410" cy="358140"/>
                        </a:xfrm>
                        <a:prstGeom prst="rect">
                          <a:avLst/>
                        </a:prstGeom>
                        <a:ln w="6350">
                          <a:noFill/>
                        </a:ln>
                      </wps:spPr>
                      <wps:style>
                        <a:lnRef idx="2">
                          <a:schemeClr val="accent1"/>
                        </a:lnRef>
                        <a:fillRef idx="1">
                          <a:schemeClr val="lt1"/>
                        </a:fillRef>
                        <a:effectRef idx="0">
                          <a:schemeClr val="accent1"/>
                        </a:effectRef>
                        <a:fontRef idx="minor">
                          <a:schemeClr val="dk1"/>
                        </a:fontRef>
                      </wps:style>
                      <wps:txbx>
                        <w:txbxContent>
                          <w:p w14:paraId="48D36B19" w14:textId="77777777" w:rsidR="002C6C61" w:rsidRPr="004D73AB" w:rsidRDefault="002C6C61" w:rsidP="002C6C61">
                            <w:pPr>
                              <w:jc w:val="center"/>
                              <w:rPr>
                                <w:rFonts w:ascii="Times New Roman" w:hAnsi="Times New Roman" w:cs="Times New Roman"/>
                                <w:b/>
                                <w:bCs/>
                                <w:sz w:val="16"/>
                                <w:szCs w:val="16"/>
                                <w:lang w:val="en-IN"/>
                              </w:rPr>
                            </w:pPr>
                            <w:r w:rsidRPr="004D73AB">
                              <w:rPr>
                                <w:rFonts w:ascii="Times New Roman" w:hAnsi="Times New Roman" w:cs="Times New Roman"/>
                                <w:b/>
                                <w:bCs/>
                                <w:sz w:val="16"/>
                                <w:szCs w:val="16"/>
                                <w:lang w:val="en-IN"/>
                              </w:rPr>
                              <w:t>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A1062B" id="Rectangle 2" o:spid="_x0000_s1026" style="position:absolute;left:0;text-align:left;margin-left:65.25pt;margin-top:168.75pt;width:48.3pt;height:28.2pt;rotation:-9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" fillcolor="white [3201]" stroked="f" strokeweight=".5pt">
                <v:textbox>
                  <w:txbxContent>
                    <w:p w14:paraId="48D36B19" w14:textId="77777777" w:rsidR="002C6C61" w:rsidRPr="004D73AB" w:rsidRDefault="002C6C61" w:rsidP="002C6C61">
                      <w:pPr>
                        <w:jc w:val="center"/>
                        <w:rPr>
                          <w:rFonts w:ascii="Times New Roman" w:hAnsi="Times New Roman" w:cs="Times New Roman"/>
                          <w:b/>
                          <w:bCs/>
                          <w:sz w:val="16"/>
                          <w:szCs w:val="16"/>
                          <w:lang w:val="en-IN"/>
                        </w:rPr>
                      </w:pPr>
                      <w:r w:rsidRPr="004D73AB">
                        <w:rPr>
                          <w:rFonts w:ascii="Times New Roman" w:hAnsi="Times New Roman" w:cs="Times New Roman"/>
                          <w:b/>
                          <w:bCs/>
                          <w:sz w:val="16"/>
                          <w:szCs w:val="16"/>
                          <w:lang w:val="en-IN"/>
                        </w:rPr>
                        <w:t>NEW</w:t>
                      </w:r>
                    </w:p>
                  </w:txbxContent>
                </v:textbox>
              </v:rect>
            </w:pict>
          </mc:Fallback>
        </mc:AlternateContent>
      </w:r>
      <w:r w:rsidRPr="00084AF3">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DF7BB4B" wp14:editId="43D8E9D7">
                <wp:simplePos x="0" y="0"/>
                <wp:positionH relativeFrom="column">
                  <wp:posOffset>2415540</wp:posOffset>
                </wp:positionH>
                <wp:positionV relativeFrom="paragraph">
                  <wp:posOffset>-296545</wp:posOffset>
                </wp:positionV>
                <wp:extent cx="662940" cy="358140"/>
                <wp:effectExtent l="0" t="0" r="3810" b="3810"/>
                <wp:wrapNone/>
                <wp:docPr id="1800098954" name="Rectangle 2"/>
                <wp:cNvGraphicFramePr/>
                <a:graphic xmlns:a="http://schemas.openxmlformats.org/drawingml/2006/main">
                  <a:graphicData uri="http://schemas.microsoft.com/office/word/2010/wordprocessingShape">
                    <wps:wsp>
                      <wps:cNvSpPr/>
                      <wps:spPr>
                        <a:xfrm>
                          <a:off x="0" y="0"/>
                          <a:ext cx="662940" cy="358140"/>
                        </a:xfrm>
                        <a:prstGeom prst="rect">
                          <a:avLst/>
                        </a:prstGeom>
                        <a:ln w="6350">
                          <a:noFill/>
                        </a:ln>
                      </wps:spPr>
                      <wps:style>
                        <a:lnRef idx="2">
                          <a:schemeClr val="accent1"/>
                        </a:lnRef>
                        <a:fillRef idx="1">
                          <a:schemeClr val="lt1"/>
                        </a:fillRef>
                        <a:effectRef idx="0">
                          <a:schemeClr val="accent1"/>
                        </a:effectRef>
                        <a:fontRef idx="minor">
                          <a:schemeClr val="dk1"/>
                        </a:fontRef>
                      </wps:style>
                      <wps:txbx>
                        <w:txbxContent>
                          <w:p w14:paraId="71C06B08" w14:textId="77777777" w:rsidR="002C6C61" w:rsidRPr="004D73AB" w:rsidRDefault="002C6C61" w:rsidP="002C6C61">
                            <w:pPr>
                              <w:jc w:val="center"/>
                              <w:rPr>
                                <w:rFonts w:ascii="Times New Roman" w:hAnsi="Times New Roman" w:cs="Times New Roman"/>
                                <w:b/>
                                <w:bCs/>
                                <w:sz w:val="18"/>
                                <w:szCs w:val="18"/>
                                <w:lang w:val="en-IN"/>
                              </w:rPr>
                            </w:pPr>
                            <w:r w:rsidRPr="004D73AB">
                              <w:rPr>
                                <w:rFonts w:ascii="Times New Roman" w:hAnsi="Times New Roman" w:cs="Times New Roman"/>
                                <w:b/>
                                <w:bCs/>
                                <w:sz w:val="18"/>
                                <w:szCs w:val="18"/>
                                <w:lang w:val="en-IN"/>
                              </w:rPr>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F7BB4B" id="_x0000_s1027" style="position:absolute;left:0;text-align:left;margin-left:190.2pt;margin-top:-23.35pt;width:52.2pt;height:28.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" fillcolor="white [3201]" stroked="f" strokeweight=".5pt">
                <v:textbox>
                  <w:txbxContent>
                    <w:p w14:paraId="71C06B08" w14:textId="77777777" w:rsidR="002C6C61" w:rsidRPr="004D73AB" w:rsidRDefault="002C6C61" w:rsidP="002C6C61">
                      <w:pPr>
                        <w:jc w:val="center"/>
                        <w:rPr>
                          <w:rFonts w:ascii="Times New Roman" w:hAnsi="Times New Roman" w:cs="Times New Roman"/>
                          <w:b/>
                          <w:bCs/>
                          <w:sz w:val="18"/>
                          <w:szCs w:val="18"/>
                          <w:lang w:val="en-IN"/>
                        </w:rPr>
                      </w:pPr>
                      <w:r w:rsidRPr="004D73AB">
                        <w:rPr>
                          <w:rFonts w:ascii="Times New Roman" w:hAnsi="Times New Roman" w:cs="Times New Roman"/>
                          <w:b/>
                          <w:bCs/>
                          <w:sz w:val="18"/>
                          <w:szCs w:val="18"/>
                          <w:lang w:val="en-IN"/>
                        </w:rPr>
                        <w:t>Product</w:t>
                      </w:r>
                    </w:p>
                  </w:txbxContent>
                </v:textbox>
              </v:rect>
            </w:pict>
          </mc:Fallback>
        </mc:AlternateContent>
      </w:r>
      <w:r w:rsidRPr="00084AF3">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38FB36C" wp14:editId="6AE319A9">
                <wp:simplePos x="0" y="0"/>
                <wp:positionH relativeFrom="column">
                  <wp:posOffset>3246120</wp:posOffset>
                </wp:positionH>
                <wp:positionV relativeFrom="paragraph">
                  <wp:posOffset>-106680</wp:posOffset>
                </wp:positionV>
                <wp:extent cx="510540" cy="312420"/>
                <wp:effectExtent l="0" t="0" r="3810" b="0"/>
                <wp:wrapNone/>
                <wp:docPr id="371614673" name="Rectangle 2"/>
                <wp:cNvGraphicFramePr/>
                <a:graphic xmlns:a="http://schemas.openxmlformats.org/drawingml/2006/main">
                  <a:graphicData uri="http://schemas.microsoft.com/office/word/2010/wordprocessingShape">
                    <wps:wsp>
                      <wps:cNvSpPr/>
                      <wps:spPr>
                        <a:xfrm>
                          <a:off x="0" y="0"/>
                          <a:ext cx="510540" cy="312420"/>
                        </a:xfrm>
                        <a:prstGeom prst="rect">
                          <a:avLst/>
                        </a:prstGeom>
                        <a:ln w="6350">
                          <a:noFill/>
                        </a:ln>
                      </wps:spPr>
                      <wps:style>
                        <a:lnRef idx="2">
                          <a:schemeClr val="accent1"/>
                        </a:lnRef>
                        <a:fillRef idx="1">
                          <a:schemeClr val="lt1"/>
                        </a:fillRef>
                        <a:effectRef idx="0">
                          <a:schemeClr val="accent1"/>
                        </a:effectRef>
                        <a:fontRef idx="minor">
                          <a:schemeClr val="dk1"/>
                        </a:fontRef>
                      </wps:style>
                      <wps:txbx>
                        <w:txbxContent>
                          <w:p w14:paraId="7DD700A6" w14:textId="77777777" w:rsidR="002C6C61" w:rsidRPr="004D73AB" w:rsidRDefault="002C6C61" w:rsidP="002C6C61">
                            <w:pPr>
                              <w:jc w:val="center"/>
                              <w:rPr>
                                <w:rFonts w:ascii="Times New Roman" w:hAnsi="Times New Roman" w:cs="Times New Roman"/>
                                <w:b/>
                                <w:bCs/>
                                <w:sz w:val="16"/>
                                <w:szCs w:val="16"/>
                                <w:lang w:val="en-IN"/>
                              </w:rPr>
                            </w:pPr>
                            <w:r w:rsidRPr="004D73AB">
                              <w:rPr>
                                <w:rFonts w:ascii="Times New Roman" w:hAnsi="Times New Roman" w:cs="Times New Roman"/>
                                <w:b/>
                                <w:bCs/>
                                <w:sz w:val="16"/>
                                <w:szCs w:val="16"/>
                                <w:lang w:val="en-IN"/>
                              </w:rPr>
                              <w:t>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FB36C" id="_x0000_s1028" style="position:absolute;left:0;text-align:left;margin-left:255.6pt;margin-top:-8.4pt;width:40.2pt;height:2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" fillcolor="white [3201]" stroked="f" strokeweight=".5pt">
                <v:textbox>
                  <w:txbxContent>
                    <w:p w14:paraId="7DD700A6" w14:textId="77777777" w:rsidR="002C6C61" w:rsidRPr="004D73AB" w:rsidRDefault="002C6C61" w:rsidP="002C6C61">
                      <w:pPr>
                        <w:jc w:val="center"/>
                        <w:rPr>
                          <w:rFonts w:ascii="Times New Roman" w:hAnsi="Times New Roman" w:cs="Times New Roman"/>
                          <w:b/>
                          <w:bCs/>
                          <w:sz w:val="16"/>
                          <w:szCs w:val="16"/>
                          <w:lang w:val="en-IN"/>
                        </w:rPr>
                      </w:pPr>
                      <w:r w:rsidRPr="004D73AB">
                        <w:rPr>
                          <w:rFonts w:ascii="Times New Roman" w:hAnsi="Times New Roman" w:cs="Times New Roman"/>
                          <w:b/>
                          <w:bCs/>
                          <w:sz w:val="16"/>
                          <w:szCs w:val="16"/>
                          <w:lang w:val="en-IN"/>
                        </w:rPr>
                        <w:t>NEW</w:t>
                      </w:r>
                    </w:p>
                  </w:txbxContent>
                </v:textbox>
              </v:rect>
            </w:pict>
          </mc:Fallback>
        </mc:AlternateContent>
      </w:r>
      <w:r w:rsidRPr="00084AF3">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55C6A19" wp14:editId="655F04BE">
                <wp:simplePos x="0" y="0"/>
                <wp:positionH relativeFrom="column">
                  <wp:posOffset>1706880</wp:posOffset>
                </wp:positionH>
                <wp:positionV relativeFrom="paragraph">
                  <wp:posOffset>-60960</wp:posOffset>
                </wp:positionV>
                <wp:extent cx="594360" cy="266065"/>
                <wp:effectExtent l="0" t="0" r="0" b="635"/>
                <wp:wrapNone/>
                <wp:docPr id="561352505" name="Rectangle 2"/>
                <wp:cNvGraphicFramePr/>
                <a:graphic xmlns:a="http://schemas.openxmlformats.org/drawingml/2006/main">
                  <a:graphicData uri="http://schemas.microsoft.com/office/word/2010/wordprocessingShape">
                    <wps:wsp>
                      <wps:cNvSpPr/>
                      <wps:spPr>
                        <a:xfrm>
                          <a:off x="0" y="0"/>
                          <a:ext cx="594360" cy="266065"/>
                        </a:xfrm>
                        <a:prstGeom prst="rect">
                          <a:avLst/>
                        </a:prstGeom>
                        <a:ln w="6350">
                          <a:noFill/>
                        </a:ln>
                      </wps:spPr>
                      <wps:style>
                        <a:lnRef idx="2">
                          <a:schemeClr val="accent1"/>
                        </a:lnRef>
                        <a:fillRef idx="1">
                          <a:schemeClr val="lt1"/>
                        </a:fillRef>
                        <a:effectRef idx="0">
                          <a:schemeClr val="accent1"/>
                        </a:effectRef>
                        <a:fontRef idx="minor">
                          <a:schemeClr val="dk1"/>
                        </a:fontRef>
                      </wps:style>
                      <wps:txbx>
                        <w:txbxContent>
                          <w:p w14:paraId="3C40CC21" w14:textId="77777777" w:rsidR="002C6C61" w:rsidRPr="004D73AB" w:rsidRDefault="002C6C61" w:rsidP="002C6C61">
                            <w:pPr>
                              <w:jc w:val="center"/>
                              <w:rPr>
                                <w:rFonts w:ascii="Times New Roman" w:hAnsi="Times New Roman" w:cs="Times New Roman"/>
                                <w:b/>
                                <w:bCs/>
                                <w:sz w:val="18"/>
                                <w:szCs w:val="18"/>
                                <w:lang w:val="en-IN"/>
                              </w:rPr>
                            </w:pPr>
                            <w:r w:rsidRPr="004D73AB">
                              <w:rPr>
                                <w:rFonts w:ascii="Times New Roman" w:hAnsi="Times New Roman" w:cs="Times New Roman"/>
                                <w:b/>
                                <w:bCs/>
                                <w:sz w:val="18"/>
                                <w:szCs w:val="18"/>
                                <w:lang w:val="en-IN"/>
                              </w:rPr>
                              <w:t>Existing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C6A19" id="_x0000_s1029" style="position:absolute;left:0;text-align:left;margin-left:134.4pt;margin-top:-4.8pt;width:46.8pt;height:2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" fillcolor="white [3201]" stroked="f" strokeweight=".5pt">
                <v:textbox>
                  <w:txbxContent>
                    <w:p w14:paraId="3C40CC21" w14:textId="77777777" w:rsidR="002C6C61" w:rsidRPr="004D73AB" w:rsidRDefault="002C6C61" w:rsidP="002C6C61">
                      <w:pPr>
                        <w:jc w:val="center"/>
                        <w:rPr>
                          <w:rFonts w:ascii="Times New Roman" w:hAnsi="Times New Roman" w:cs="Times New Roman"/>
                          <w:b/>
                          <w:bCs/>
                          <w:sz w:val="18"/>
                          <w:szCs w:val="18"/>
                          <w:lang w:val="en-IN"/>
                        </w:rPr>
                      </w:pPr>
                      <w:r w:rsidRPr="004D73AB">
                        <w:rPr>
                          <w:rFonts w:ascii="Times New Roman" w:hAnsi="Times New Roman" w:cs="Times New Roman"/>
                          <w:b/>
                          <w:bCs/>
                          <w:sz w:val="18"/>
                          <w:szCs w:val="18"/>
                          <w:lang w:val="en-IN"/>
                        </w:rPr>
                        <w:t>Existing</w:t>
                      </w:r>
                    </w:p>
                  </w:txbxContent>
                </v:textbox>
              </v:rect>
            </w:pict>
          </mc:Fallback>
        </mc:AlternateContent>
      </w:r>
      <w:r w:rsidRPr="00084AF3">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945C7B1" wp14:editId="550A7C89">
                <wp:simplePos x="0" y="0"/>
                <wp:positionH relativeFrom="column">
                  <wp:posOffset>640080</wp:posOffset>
                </wp:positionH>
                <wp:positionV relativeFrom="paragraph">
                  <wp:posOffset>1394460</wp:posOffset>
                </wp:positionV>
                <wp:extent cx="601980" cy="358140"/>
                <wp:effectExtent l="7620" t="0" r="0" b="0"/>
                <wp:wrapNone/>
                <wp:docPr id="1906008178" name="Rectangle 2"/>
                <wp:cNvGraphicFramePr/>
                <a:graphic xmlns:a="http://schemas.openxmlformats.org/drawingml/2006/main">
                  <a:graphicData uri="http://schemas.microsoft.com/office/word/2010/wordprocessingShape">
                    <wps:wsp>
                      <wps:cNvSpPr/>
                      <wps:spPr>
                        <a:xfrm rot="16200000">
                          <a:off x="0" y="0"/>
                          <a:ext cx="601980" cy="358140"/>
                        </a:xfrm>
                        <a:prstGeom prst="rect">
                          <a:avLst/>
                        </a:prstGeom>
                        <a:ln w="6350">
                          <a:noFill/>
                        </a:ln>
                      </wps:spPr>
                      <wps:style>
                        <a:lnRef idx="2">
                          <a:schemeClr val="accent1"/>
                        </a:lnRef>
                        <a:fillRef idx="1">
                          <a:schemeClr val="lt1"/>
                        </a:fillRef>
                        <a:effectRef idx="0">
                          <a:schemeClr val="accent1"/>
                        </a:effectRef>
                        <a:fontRef idx="minor">
                          <a:schemeClr val="dk1"/>
                        </a:fontRef>
                      </wps:style>
                      <wps:txbx>
                        <w:txbxContent>
                          <w:p w14:paraId="1CE3D027" w14:textId="77777777" w:rsidR="002C6C61" w:rsidRPr="004D73AB" w:rsidRDefault="002C6C61" w:rsidP="002C6C61">
                            <w:pPr>
                              <w:jc w:val="center"/>
                              <w:rPr>
                                <w:rFonts w:ascii="Times New Roman" w:hAnsi="Times New Roman" w:cs="Times New Roman"/>
                                <w:b/>
                                <w:bCs/>
                                <w:sz w:val="18"/>
                                <w:szCs w:val="18"/>
                                <w:lang w:val="en-IN"/>
                              </w:rPr>
                            </w:pPr>
                            <w:r w:rsidRPr="004D73AB">
                              <w:rPr>
                                <w:rFonts w:ascii="Times New Roman" w:hAnsi="Times New Roman" w:cs="Times New Roman"/>
                                <w:b/>
                                <w:bCs/>
                                <w:sz w:val="18"/>
                                <w:szCs w:val="18"/>
                                <w:lang w:val="en-IN"/>
                              </w:rPr>
                              <w:t>Market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45C7B1" id="_x0000_s1030" style="position:absolute;left:0;text-align:left;margin-left:50.4pt;margin-top:109.8pt;width:47.4pt;height:28.2pt;rotation:-9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" fillcolor="white [3201]" stroked="f" strokeweight=".5pt">
                <v:textbox>
                  <w:txbxContent>
                    <w:p w14:paraId="1CE3D027" w14:textId="77777777" w:rsidR="002C6C61" w:rsidRPr="004D73AB" w:rsidRDefault="002C6C61" w:rsidP="002C6C61">
                      <w:pPr>
                        <w:jc w:val="center"/>
                        <w:rPr>
                          <w:rFonts w:ascii="Times New Roman" w:hAnsi="Times New Roman" w:cs="Times New Roman"/>
                          <w:b/>
                          <w:bCs/>
                          <w:sz w:val="18"/>
                          <w:szCs w:val="18"/>
                          <w:lang w:val="en-IN"/>
                        </w:rPr>
                      </w:pPr>
                      <w:r w:rsidRPr="004D73AB">
                        <w:rPr>
                          <w:rFonts w:ascii="Times New Roman" w:hAnsi="Times New Roman" w:cs="Times New Roman"/>
                          <w:b/>
                          <w:bCs/>
                          <w:sz w:val="18"/>
                          <w:szCs w:val="18"/>
                          <w:lang w:val="en-IN"/>
                        </w:rPr>
                        <w:t>Market</w:t>
                      </w:r>
                    </w:p>
                  </w:txbxContent>
                </v:textbox>
              </v:rect>
            </w:pict>
          </mc:Fallback>
        </mc:AlternateContent>
      </w:r>
      <w:r w:rsidRPr="00084AF3">
        <w:rPr>
          <w:rFonts w:ascii="Times New Roman" w:eastAsia="Times New Roman" w:hAnsi="Times New Roman" w:cs="Times New Roman"/>
          <w:noProof/>
          <w:sz w:val="24"/>
          <w:szCs w:val="24"/>
        </w:rPr>
        <w:drawing>
          <wp:inline distT="0" distB="0" distL="0" distR="0" wp14:anchorId="0E586632" wp14:editId="70553825">
            <wp:extent cx="5486400" cy="3200400"/>
            <wp:effectExtent l="0" t="57150" r="0" b="38100"/>
            <wp:docPr id="131294183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32E60E1" w14:textId="37874FB9" w:rsidR="002C6C61" w:rsidRPr="00084AF3" w:rsidRDefault="002C6C61" w:rsidP="002C6C61">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9: Ansoff Matrix</w:t>
      </w:r>
    </w:p>
    <w:p w14:paraId="654762AA" w14:textId="77777777" w:rsidR="002C6C61" w:rsidRPr="00084AF3" w:rsidRDefault="002C6C61" w:rsidP="002C6C61">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Self-made)</w:t>
      </w:r>
    </w:p>
    <w:p w14:paraId="30C0E665" w14:textId="0F268BC7" w:rsidR="005E3179" w:rsidRPr="00084AF3" w:rsidRDefault="002C6C61">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Ansoff Matrix helps businesses to evaluate the growth opportunities by managing the market risks. By using Ansoff Matrix the market growth position can be </w:t>
      </w:r>
      <w:proofErr w:type="gramStart"/>
      <w:r w:rsidRPr="00084AF3">
        <w:rPr>
          <w:rFonts w:ascii="Times New Roman" w:eastAsia="Times New Roman" w:hAnsi="Times New Roman" w:cs="Times New Roman"/>
          <w:sz w:val="24"/>
          <w:szCs w:val="24"/>
        </w:rPr>
        <w:t>evaluate</w:t>
      </w:r>
      <w:proofErr w:type="gramEnd"/>
      <w:r w:rsidRPr="00084AF3">
        <w:rPr>
          <w:rFonts w:ascii="Times New Roman" w:eastAsia="Times New Roman" w:hAnsi="Times New Roman" w:cs="Times New Roman"/>
          <w:sz w:val="24"/>
          <w:szCs w:val="24"/>
        </w:rPr>
        <w:t xml:space="preserve"> by analyse BHP product and market development strategy. BHP is accelerating market penetration of its existing product offerings in these markets with a reduced carbon footprint and sustainable business practices. But Australian mining exports continued to be strong as there was a continuing rise in global demand for critical minerals in key markets recently. The metal mining market in Australia had a value of </w:t>
      </w:r>
      <w:r w:rsidRPr="00084AF3">
        <w:rPr>
          <w:rFonts w:ascii="Times New Roman" w:eastAsia="Times New Roman" w:hAnsi="Times New Roman" w:cs="Times New Roman"/>
          <w:b/>
          <w:bCs/>
          <w:i/>
          <w:iCs/>
          <w:sz w:val="24"/>
          <w:szCs w:val="24"/>
        </w:rPr>
        <w:t>USD 24,274.8 million</w:t>
      </w:r>
      <w:r w:rsidRPr="00084AF3">
        <w:rPr>
          <w:rFonts w:ascii="Times New Roman" w:eastAsia="Times New Roman" w:hAnsi="Times New Roman" w:cs="Times New Roman"/>
          <w:sz w:val="24"/>
          <w:szCs w:val="24"/>
        </w:rPr>
        <w:t xml:space="preserve"> in 2025 and will likely increase to </w:t>
      </w:r>
      <w:r w:rsidRPr="00084AF3">
        <w:rPr>
          <w:rFonts w:ascii="Times New Roman" w:eastAsia="Times New Roman" w:hAnsi="Times New Roman" w:cs="Times New Roman"/>
          <w:b/>
          <w:bCs/>
          <w:i/>
          <w:iCs/>
          <w:sz w:val="24"/>
          <w:szCs w:val="24"/>
        </w:rPr>
        <w:t>USD</w:t>
      </w:r>
      <w:r w:rsidRPr="00084AF3">
        <w:rPr>
          <w:rFonts w:ascii="Times New Roman" w:eastAsia="Times New Roman" w:hAnsi="Times New Roman" w:cs="Times New Roman"/>
          <w:sz w:val="24"/>
          <w:szCs w:val="24"/>
        </w:rPr>
        <w:t xml:space="preserve"> </w:t>
      </w:r>
      <w:r w:rsidRPr="00084AF3">
        <w:rPr>
          <w:rFonts w:ascii="Times New Roman" w:eastAsia="Times New Roman" w:hAnsi="Times New Roman" w:cs="Times New Roman"/>
          <w:b/>
          <w:bCs/>
          <w:i/>
          <w:iCs/>
          <w:sz w:val="24"/>
          <w:szCs w:val="24"/>
        </w:rPr>
        <w:t>33,349.6 million</w:t>
      </w:r>
      <w:r w:rsidRPr="00084AF3">
        <w:rPr>
          <w:rFonts w:ascii="Times New Roman" w:eastAsia="Times New Roman" w:hAnsi="Times New Roman" w:cs="Times New Roman"/>
          <w:sz w:val="24"/>
          <w:szCs w:val="24"/>
        </w:rPr>
        <w:t xml:space="preserve"> by 2033 (Grand View Research, 2026). </w:t>
      </w:r>
    </w:p>
    <w:p w14:paraId="7353782C"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6506B185" wp14:editId="4CD519F3">
            <wp:extent cx="5731200" cy="2895600"/>
            <wp:effectExtent l="12700" t="12700" r="12700" b="127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731200" cy="2895600"/>
                    </a:xfrm>
                    <a:prstGeom prst="rect">
                      <a:avLst/>
                    </a:prstGeom>
                    <a:ln w="12700">
                      <a:solidFill>
                        <a:srgbClr val="000000"/>
                      </a:solidFill>
                      <a:prstDash val="solid"/>
                    </a:ln>
                  </pic:spPr>
                </pic:pic>
              </a:graphicData>
            </a:graphic>
          </wp:inline>
        </w:drawing>
      </w:r>
    </w:p>
    <w:p w14:paraId="643614C3" w14:textId="3CAEF9C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 xml:space="preserve">Figure </w:t>
      </w:r>
      <w:r w:rsidR="002C6C61" w:rsidRPr="00084AF3">
        <w:rPr>
          <w:rFonts w:ascii="Times New Roman" w:eastAsia="Times New Roman" w:hAnsi="Times New Roman" w:cs="Times New Roman"/>
          <w:b/>
          <w:bCs/>
          <w:sz w:val="24"/>
          <w:szCs w:val="24"/>
        </w:rPr>
        <w:t>10</w:t>
      </w:r>
      <w:r w:rsidRPr="00084AF3">
        <w:rPr>
          <w:rFonts w:ascii="Times New Roman" w:eastAsia="Times New Roman" w:hAnsi="Times New Roman" w:cs="Times New Roman"/>
          <w:b/>
          <w:bCs/>
          <w:sz w:val="24"/>
          <w:szCs w:val="24"/>
        </w:rPr>
        <w:t>: Australian Base Metal Mining Market 2021-2033</w:t>
      </w:r>
    </w:p>
    <w:p w14:paraId="09C76285"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Grand View Research, 2026)</w:t>
      </w:r>
    </w:p>
    <w:p w14:paraId="411B4E73"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A </w:t>
      </w:r>
      <w:r w:rsidRPr="00084AF3">
        <w:rPr>
          <w:rFonts w:ascii="Times New Roman" w:eastAsia="Times New Roman" w:hAnsi="Times New Roman" w:cs="Times New Roman"/>
          <w:b/>
          <w:bCs/>
          <w:i/>
          <w:iCs/>
          <w:sz w:val="24"/>
          <w:szCs w:val="24"/>
        </w:rPr>
        <w:t>100%</w:t>
      </w:r>
      <w:r w:rsidRPr="00084AF3">
        <w:rPr>
          <w:rFonts w:ascii="Times New Roman" w:eastAsia="Times New Roman" w:hAnsi="Times New Roman" w:cs="Times New Roman"/>
          <w:sz w:val="24"/>
          <w:szCs w:val="24"/>
        </w:rPr>
        <w:t xml:space="preserve"> renewable energy transition was allowed to BHP by the agreements of renewable electricity self-supply and storage in Chile at the Escondida and Spence copper mining operations (IM-Mining, 2026). Expanding export demand provides opportunities for the mining and metals industry to expand its market share through sustainable mining operations (Hirlekar et al. 2025). BHP needs to build trust among customers by adopting responsible mining and reporting on its environmental issues in all its operations. </w:t>
      </w:r>
    </w:p>
    <w:p w14:paraId="4F9D6C37"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265168EE" wp14:editId="1C332A49">
            <wp:extent cx="5731200" cy="4267200"/>
            <wp:effectExtent l="12700" t="12700" r="12700" b="1270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5731200" cy="4267200"/>
                    </a:xfrm>
                    <a:prstGeom prst="rect">
                      <a:avLst/>
                    </a:prstGeom>
                    <a:ln w="12700">
                      <a:solidFill>
                        <a:srgbClr val="000000"/>
                      </a:solidFill>
                      <a:prstDash val="solid"/>
                    </a:ln>
                  </pic:spPr>
                </pic:pic>
              </a:graphicData>
            </a:graphic>
          </wp:inline>
        </w:drawing>
      </w:r>
    </w:p>
    <w:p w14:paraId="654D5D09" w14:textId="676DFCC0"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7</w:t>
      </w:r>
      <w:r w:rsidR="002C6C61" w:rsidRPr="00084AF3">
        <w:rPr>
          <w:rFonts w:ascii="Times New Roman" w:eastAsia="Times New Roman" w:hAnsi="Times New Roman" w:cs="Times New Roman"/>
          <w:b/>
          <w:bCs/>
          <w:sz w:val="24"/>
          <w:szCs w:val="24"/>
        </w:rPr>
        <w:t>11</w:t>
      </w:r>
      <w:r w:rsidRPr="00084AF3">
        <w:rPr>
          <w:rFonts w:ascii="Times New Roman" w:eastAsia="Times New Roman" w:hAnsi="Times New Roman" w:cs="Times New Roman"/>
          <w:b/>
          <w:bCs/>
          <w:sz w:val="24"/>
          <w:szCs w:val="24"/>
        </w:rPr>
        <w:t xml:space="preserve">: BHP advances renewable power supply and storage at Escondida &amp; Spence </w:t>
      </w:r>
    </w:p>
    <w:p w14:paraId="63F7010D"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IM-Mining, 2026)</w:t>
      </w:r>
    </w:p>
    <w:p w14:paraId="15F04750" w14:textId="09AC0C4A"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The company </w:t>
      </w:r>
      <w:r w:rsidR="00E7127D" w:rsidRPr="00084AF3">
        <w:rPr>
          <w:rFonts w:ascii="Times New Roman" w:eastAsia="Times New Roman" w:hAnsi="Times New Roman" w:cs="Times New Roman"/>
          <w:sz w:val="24"/>
          <w:szCs w:val="24"/>
        </w:rPr>
        <w:t>can</w:t>
      </w:r>
      <w:r w:rsidRPr="00084AF3">
        <w:rPr>
          <w:rFonts w:ascii="Times New Roman" w:eastAsia="Times New Roman" w:hAnsi="Times New Roman" w:cs="Times New Roman"/>
          <w:sz w:val="24"/>
          <w:szCs w:val="24"/>
        </w:rPr>
        <w:t xml:space="preserve"> build a competitive edge by providing responsibly produced iron ore, copper and potash products on a consistent basis worldwide. Digital monitoring, automation and energy management technologies can be applied to existing mining sites to enhance the efficiency of their operations. Operational enhancements improve the profitability of current markets while maintaining or improving the environment and customer satisfaction. This approach is an effective way of driving lower carbon growth of the company, as well as customer satisfaction, market share, profitability and long-term competitive advantage.  </w:t>
      </w:r>
    </w:p>
    <w:p w14:paraId="3DEC77A4" w14:textId="0C1F63ED" w:rsidR="005E3179" w:rsidRPr="00084AF3" w:rsidRDefault="00000000" w:rsidP="00E7127D">
      <w:pPr>
        <w:pStyle w:val="Heading2"/>
        <w:rPr>
          <w:color w:val="auto"/>
        </w:rPr>
      </w:pPr>
      <w:bookmarkStart w:id="15" w:name="_Toc234513147"/>
      <w:r w:rsidRPr="00084AF3">
        <w:rPr>
          <w:color w:val="auto"/>
        </w:rPr>
        <w:t>2.2 Product Development</w:t>
      </w:r>
      <w:bookmarkEnd w:id="15"/>
    </w:p>
    <w:p w14:paraId="33B6B588" w14:textId="3AB09161"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BHP </w:t>
      </w:r>
      <w:r w:rsidR="00E7127D" w:rsidRPr="00084AF3">
        <w:rPr>
          <w:rFonts w:ascii="Times New Roman" w:eastAsia="Times New Roman" w:hAnsi="Times New Roman" w:cs="Times New Roman"/>
          <w:sz w:val="24"/>
          <w:szCs w:val="24"/>
        </w:rPr>
        <w:t>can</w:t>
      </w:r>
      <w:r w:rsidRPr="00084AF3">
        <w:rPr>
          <w:rFonts w:ascii="Times New Roman" w:eastAsia="Times New Roman" w:hAnsi="Times New Roman" w:cs="Times New Roman"/>
          <w:sz w:val="24"/>
          <w:szCs w:val="24"/>
        </w:rPr>
        <w:t xml:space="preserve"> effectively implement annual changes to products to lower their carbon footprint and satisfy evolving customer requirements and worldwide environmental expectations through product development. The demand for copper is increasing due to its extensive use in renewable energy solutions, for electricity transmission, and in electric vehicles (</w:t>
      </w:r>
      <w:proofErr w:type="spellStart"/>
      <w:r w:rsidRPr="00084AF3">
        <w:rPr>
          <w:rFonts w:ascii="Times New Roman" w:eastAsia="Times New Roman" w:hAnsi="Times New Roman" w:cs="Times New Roman"/>
          <w:sz w:val="24"/>
          <w:szCs w:val="24"/>
        </w:rPr>
        <w:t>Podobińska</w:t>
      </w:r>
      <w:proofErr w:type="spellEnd"/>
      <w:r w:rsidRPr="00084AF3">
        <w:rPr>
          <w:rFonts w:ascii="Times New Roman" w:eastAsia="Times New Roman" w:hAnsi="Times New Roman" w:cs="Times New Roman"/>
          <w:sz w:val="24"/>
          <w:szCs w:val="24"/>
        </w:rPr>
        <w:t xml:space="preserve">-Staniec et al. 2025). In the context of clean energy scenarios, the demand for copper can almost double by 2040, according to the International Energy Agency's estimate (IEA, 2026a). This </w:t>
      </w:r>
      <w:r w:rsidRPr="00084AF3">
        <w:rPr>
          <w:rFonts w:ascii="Times New Roman" w:eastAsia="Times New Roman" w:hAnsi="Times New Roman" w:cs="Times New Roman"/>
          <w:sz w:val="24"/>
          <w:szCs w:val="24"/>
        </w:rPr>
        <w:lastRenderedPageBreak/>
        <w:t xml:space="preserve">increasing demand opens the market for BHP's premium copper products to meet global decarbonisation targets successfully. </w:t>
      </w:r>
    </w:p>
    <w:p w14:paraId="035EEBEA"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drawing>
          <wp:inline distT="114300" distB="114300" distL="114300" distR="114300" wp14:anchorId="71E9F25B" wp14:editId="370383F8">
            <wp:extent cx="5731200" cy="5092700"/>
            <wp:effectExtent l="12700" t="12700" r="12700" b="1270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5731200" cy="5092700"/>
                    </a:xfrm>
                    <a:prstGeom prst="rect">
                      <a:avLst/>
                    </a:prstGeom>
                    <a:ln w="12700">
                      <a:solidFill>
                        <a:srgbClr val="000000"/>
                      </a:solidFill>
                      <a:prstDash val="solid"/>
                    </a:ln>
                  </pic:spPr>
                </pic:pic>
              </a:graphicData>
            </a:graphic>
          </wp:inline>
        </w:drawing>
      </w:r>
    </w:p>
    <w:p w14:paraId="6B8D2AC0" w14:textId="4FF7B377"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 xml:space="preserve">Figure </w:t>
      </w:r>
      <w:r w:rsidR="002C6C61" w:rsidRPr="00084AF3">
        <w:rPr>
          <w:rFonts w:ascii="Times New Roman" w:eastAsia="Times New Roman" w:hAnsi="Times New Roman" w:cs="Times New Roman"/>
          <w:b/>
          <w:bCs/>
          <w:sz w:val="24"/>
          <w:szCs w:val="24"/>
        </w:rPr>
        <w:t>12</w:t>
      </w:r>
      <w:r w:rsidRPr="00084AF3">
        <w:rPr>
          <w:rFonts w:ascii="Times New Roman" w:eastAsia="Times New Roman" w:hAnsi="Times New Roman" w:cs="Times New Roman"/>
          <w:b/>
          <w:bCs/>
          <w:sz w:val="24"/>
          <w:szCs w:val="24"/>
        </w:rPr>
        <w:t>: Minerals used in clean energy technologies compared to other power generation sources</w:t>
      </w:r>
    </w:p>
    <w:p w14:paraId="21ADF12D"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IEA, 2026a)</w:t>
      </w:r>
    </w:p>
    <w:p w14:paraId="290A14B4" w14:textId="233E429F"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BHP is also still working on the </w:t>
      </w:r>
      <w:r w:rsidRPr="00084AF3">
        <w:rPr>
          <w:rFonts w:ascii="Times New Roman" w:eastAsia="Times New Roman" w:hAnsi="Times New Roman" w:cs="Times New Roman"/>
          <w:b/>
          <w:bCs/>
          <w:i/>
          <w:iCs/>
          <w:sz w:val="24"/>
          <w:szCs w:val="24"/>
        </w:rPr>
        <w:t>Jansen Potash Project</w:t>
      </w:r>
      <w:r w:rsidRPr="00084AF3">
        <w:rPr>
          <w:rFonts w:ascii="Times New Roman" w:eastAsia="Times New Roman" w:hAnsi="Times New Roman" w:cs="Times New Roman"/>
          <w:sz w:val="24"/>
          <w:szCs w:val="24"/>
        </w:rPr>
        <w:t xml:space="preserve">, which is intended to provide sustainable fertiliser products for the agricultural sector around the world. The Jansen mine in Saskatchewan, which represents BHP's largest investment ever at </w:t>
      </w:r>
      <w:r w:rsidRPr="00084AF3">
        <w:rPr>
          <w:rFonts w:ascii="Times New Roman" w:eastAsia="Times New Roman" w:hAnsi="Times New Roman" w:cs="Times New Roman"/>
          <w:b/>
          <w:bCs/>
          <w:i/>
          <w:iCs/>
          <w:sz w:val="24"/>
          <w:szCs w:val="24"/>
        </w:rPr>
        <w:t>$15.3 billion</w:t>
      </w:r>
      <w:r w:rsidRPr="00084AF3">
        <w:rPr>
          <w:rFonts w:ascii="Times New Roman" w:eastAsia="Times New Roman" w:hAnsi="Times New Roman" w:cs="Times New Roman"/>
          <w:sz w:val="24"/>
          <w:szCs w:val="24"/>
        </w:rPr>
        <w:t xml:space="preserve">, will be one of many when it starts production about a year from now. Global potash prices are expected to be under pressure from </w:t>
      </w:r>
      <w:r w:rsidRPr="00084AF3">
        <w:rPr>
          <w:rFonts w:ascii="Times New Roman" w:eastAsia="Times New Roman" w:hAnsi="Times New Roman" w:cs="Times New Roman"/>
          <w:b/>
          <w:bCs/>
          <w:i/>
          <w:iCs/>
          <w:sz w:val="24"/>
          <w:szCs w:val="24"/>
        </w:rPr>
        <w:t>12.6 million</w:t>
      </w:r>
      <w:r w:rsidRPr="00084AF3">
        <w:rPr>
          <w:rFonts w:ascii="Times New Roman" w:eastAsia="Times New Roman" w:hAnsi="Times New Roman" w:cs="Times New Roman"/>
          <w:sz w:val="24"/>
          <w:szCs w:val="24"/>
        </w:rPr>
        <w:t xml:space="preserve"> tons of output from new potash mines in countries such as Canada, Russia and newcomer Laos expected to start by 2030 (TOMESCO, 2026). New products also generate new business values as customers are expecting </w:t>
      </w:r>
      <w:r w:rsidR="00E7127D" w:rsidRPr="00084AF3">
        <w:rPr>
          <w:rFonts w:ascii="Times New Roman" w:eastAsia="Times New Roman" w:hAnsi="Times New Roman" w:cs="Times New Roman"/>
          <w:sz w:val="24"/>
          <w:szCs w:val="24"/>
        </w:rPr>
        <w:t>more</w:t>
      </w:r>
      <w:r w:rsidRPr="00084AF3">
        <w:rPr>
          <w:rFonts w:ascii="Times New Roman" w:eastAsia="Times New Roman" w:hAnsi="Times New Roman" w:cs="Times New Roman"/>
          <w:sz w:val="24"/>
          <w:szCs w:val="24"/>
        </w:rPr>
        <w:t xml:space="preserve"> products to be eco-friendly now in all aspects of the industries across the globe. This is a policy that can </w:t>
      </w:r>
      <w:r w:rsidRPr="00084AF3">
        <w:rPr>
          <w:rFonts w:ascii="Times New Roman" w:eastAsia="Times New Roman" w:hAnsi="Times New Roman" w:cs="Times New Roman"/>
          <w:sz w:val="24"/>
          <w:szCs w:val="24"/>
        </w:rPr>
        <w:lastRenderedPageBreak/>
        <w:t xml:space="preserve">provide a competitive advantage by innovation, sustainability, product differentiation, and ensure long-term sustainable profitable business growth in the global market.   </w:t>
      </w:r>
    </w:p>
    <w:p w14:paraId="02C91091"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drawing>
          <wp:inline distT="114300" distB="114300" distL="114300" distR="114300" wp14:anchorId="1CEAA520" wp14:editId="70CD82E8">
            <wp:extent cx="5731200" cy="4140200"/>
            <wp:effectExtent l="12700" t="12700" r="12700" b="127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5731200" cy="4140200"/>
                    </a:xfrm>
                    <a:prstGeom prst="rect">
                      <a:avLst/>
                    </a:prstGeom>
                    <a:ln w="12700">
                      <a:solidFill>
                        <a:srgbClr val="000000"/>
                      </a:solidFill>
                      <a:prstDash val="solid"/>
                    </a:ln>
                  </pic:spPr>
                </pic:pic>
              </a:graphicData>
            </a:graphic>
          </wp:inline>
        </w:drawing>
      </w:r>
      <w:r w:rsidRPr="00084AF3">
        <w:rPr>
          <w:rFonts w:ascii="Times New Roman" w:eastAsia="Times New Roman" w:hAnsi="Times New Roman" w:cs="Times New Roman"/>
          <w:sz w:val="24"/>
          <w:szCs w:val="24"/>
        </w:rPr>
        <w:t xml:space="preserve"> </w:t>
      </w:r>
    </w:p>
    <w:p w14:paraId="768D2F9D" w14:textId="39D006BB"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 xml:space="preserve">Figure </w:t>
      </w:r>
      <w:r w:rsidR="002C6C61" w:rsidRPr="00084AF3">
        <w:rPr>
          <w:rFonts w:ascii="Times New Roman" w:eastAsia="Times New Roman" w:hAnsi="Times New Roman" w:cs="Times New Roman"/>
          <w:b/>
          <w:bCs/>
          <w:sz w:val="24"/>
          <w:szCs w:val="24"/>
        </w:rPr>
        <w:t>13</w:t>
      </w:r>
      <w:r w:rsidRPr="00084AF3">
        <w:rPr>
          <w:rFonts w:ascii="Times New Roman" w:eastAsia="Times New Roman" w:hAnsi="Times New Roman" w:cs="Times New Roman"/>
          <w:b/>
          <w:bCs/>
          <w:sz w:val="24"/>
          <w:szCs w:val="24"/>
        </w:rPr>
        <w:t>: BHP’s Jansen mine, a year away, faces a crowded slot</w:t>
      </w:r>
    </w:p>
    <w:p w14:paraId="216888EF"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TOMESCO, 2026)</w:t>
      </w:r>
    </w:p>
    <w:p w14:paraId="4259FCC9" w14:textId="4637195B" w:rsidR="005E3179" w:rsidRPr="00084AF3" w:rsidRDefault="00000000" w:rsidP="00E7127D">
      <w:pPr>
        <w:pStyle w:val="Heading2"/>
        <w:rPr>
          <w:color w:val="auto"/>
        </w:rPr>
      </w:pPr>
      <w:bookmarkStart w:id="16" w:name="_Toc234513148"/>
      <w:r w:rsidRPr="00084AF3">
        <w:rPr>
          <w:color w:val="auto"/>
        </w:rPr>
        <w:t>2.3 Market Development</w:t>
      </w:r>
      <w:bookmarkEnd w:id="16"/>
    </w:p>
    <w:p w14:paraId="11437B32"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BHP should increase its sales to the emerging economies, also investing heavily in the development of modern industrial infrastructure and renewable energies. The </w:t>
      </w:r>
      <w:r w:rsidRPr="00084AF3">
        <w:rPr>
          <w:rFonts w:ascii="Times New Roman" w:eastAsia="Times New Roman" w:hAnsi="Times New Roman" w:cs="Times New Roman"/>
          <w:b/>
          <w:bCs/>
          <w:i/>
          <w:iCs/>
          <w:sz w:val="24"/>
          <w:szCs w:val="24"/>
        </w:rPr>
        <w:t>Australia-Canada-India Technology and Innovation</w:t>
      </w:r>
      <w:r w:rsidRPr="00084AF3">
        <w:rPr>
          <w:rFonts w:ascii="Times New Roman" w:eastAsia="Times New Roman" w:hAnsi="Times New Roman" w:cs="Times New Roman"/>
          <w:sz w:val="24"/>
          <w:szCs w:val="24"/>
        </w:rPr>
        <w:t xml:space="preserve"> (ACITI) Partnership is a new trilateral technology and innovation partnership between Australia, Canada and India that aims to strengthen the partnership between the three countries with a focus on the enhancement of technology and innovation (PM, 2026). Initiatives were leveraging the natural strengths of the three countries and were focused on green energy innovation, building resilient supply chains, including ones for critical minerals. </w:t>
      </w:r>
    </w:p>
    <w:p w14:paraId="64D9EE46"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1723E6A9" wp14:editId="575495EB">
            <wp:extent cx="5731200" cy="1511300"/>
            <wp:effectExtent l="12700" t="12700" r="12700" b="1270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731200" cy="1511300"/>
                    </a:xfrm>
                    <a:prstGeom prst="rect">
                      <a:avLst/>
                    </a:prstGeom>
                    <a:ln w="12700">
                      <a:solidFill>
                        <a:srgbClr val="000000"/>
                      </a:solidFill>
                      <a:prstDash val="solid"/>
                    </a:ln>
                  </pic:spPr>
                </pic:pic>
              </a:graphicData>
            </a:graphic>
          </wp:inline>
        </w:drawing>
      </w:r>
    </w:p>
    <w:p w14:paraId="1796EDB7" w14:textId="795F5EF3"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1</w:t>
      </w:r>
      <w:r w:rsidR="002C6C61" w:rsidRPr="00084AF3">
        <w:rPr>
          <w:rFonts w:ascii="Times New Roman" w:eastAsia="Times New Roman" w:hAnsi="Times New Roman" w:cs="Times New Roman"/>
          <w:b/>
          <w:bCs/>
          <w:sz w:val="24"/>
          <w:szCs w:val="24"/>
        </w:rPr>
        <w:t>4</w:t>
      </w:r>
      <w:r w:rsidRPr="00084AF3">
        <w:rPr>
          <w:rFonts w:ascii="Times New Roman" w:eastAsia="Times New Roman" w:hAnsi="Times New Roman" w:cs="Times New Roman"/>
          <w:b/>
          <w:bCs/>
          <w:sz w:val="24"/>
          <w:szCs w:val="24"/>
        </w:rPr>
        <w:t>: Agreement among the government of Australia, the government of Canada, and the government of India</w:t>
      </w:r>
    </w:p>
    <w:p w14:paraId="142A49BE"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PM, 2026)</w:t>
      </w:r>
    </w:p>
    <w:p w14:paraId="355BC3B5"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These agreements could provide BHP with good chances to expand its iron ore and copper export projects without difficulties in the international market. BHP needs to further forge long-term collaborations between separate international manufacturers of battery products, renewable energy systems, and electric transport equipment. The increasing demand for critical minerals fuels expansion efforts in new markets, and responsible and sustainable mineral suppliers are essential (Zhang, 2026). Copper production improvements of approximately </w:t>
      </w:r>
      <w:r w:rsidRPr="00084AF3">
        <w:rPr>
          <w:rFonts w:ascii="Times New Roman" w:eastAsia="Times New Roman" w:hAnsi="Times New Roman" w:cs="Times New Roman"/>
          <w:b/>
          <w:bCs/>
          <w:i/>
          <w:iCs/>
          <w:sz w:val="24"/>
          <w:szCs w:val="24"/>
        </w:rPr>
        <w:t>30%</w:t>
      </w:r>
      <w:r w:rsidRPr="00084AF3">
        <w:rPr>
          <w:rFonts w:ascii="Times New Roman" w:eastAsia="Times New Roman" w:hAnsi="Times New Roman" w:cs="Times New Roman"/>
          <w:sz w:val="24"/>
          <w:szCs w:val="24"/>
        </w:rPr>
        <w:t xml:space="preserve"> over the last four years since the 2023 acquisition of Oz Minerals and its operational improvements at Escondida and future development upside at Vicuna have resulted in BHP's copper production growth (Sun, 2026). </w:t>
      </w:r>
    </w:p>
    <w:p w14:paraId="1C6FCDC0"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63083EDF" wp14:editId="4E60DD6F">
            <wp:extent cx="5731200" cy="4635500"/>
            <wp:effectExtent l="12700" t="12700" r="12700" b="127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a:srcRect/>
                    <a:stretch>
                      <a:fillRect/>
                    </a:stretch>
                  </pic:blipFill>
                  <pic:spPr>
                    <a:xfrm>
                      <a:off x="0" y="0"/>
                      <a:ext cx="5731200" cy="4635500"/>
                    </a:xfrm>
                    <a:prstGeom prst="rect">
                      <a:avLst/>
                    </a:prstGeom>
                    <a:ln w="12700">
                      <a:solidFill>
                        <a:srgbClr val="000000"/>
                      </a:solidFill>
                      <a:prstDash val="solid"/>
                    </a:ln>
                  </pic:spPr>
                </pic:pic>
              </a:graphicData>
            </a:graphic>
          </wp:inline>
        </w:drawing>
      </w:r>
    </w:p>
    <w:p w14:paraId="0834EDCF" w14:textId="25413106"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1</w:t>
      </w:r>
      <w:r w:rsidR="002C6C61" w:rsidRPr="00084AF3">
        <w:rPr>
          <w:rFonts w:ascii="Times New Roman" w:eastAsia="Times New Roman" w:hAnsi="Times New Roman" w:cs="Times New Roman"/>
          <w:b/>
          <w:bCs/>
          <w:sz w:val="24"/>
          <w:szCs w:val="24"/>
        </w:rPr>
        <w:t>5</w:t>
      </w:r>
      <w:r w:rsidRPr="00084AF3">
        <w:rPr>
          <w:rFonts w:ascii="Times New Roman" w:eastAsia="Times New Roman" w:hAnsi="Times New Roman" w:cs="Times New Roman"/>
          <w:b/>
          <w:bCs/>
          <w:sz w:val="24"/>
          <w:szCs w:val="24"/>
        </w:rPr>
        <w:t>: Increasing Copper Production</w:t>
      </w:r>
    </w:p>
    <w:p w14:paraId="7193D45F"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Sun, 2026)</w:t>
      </w:r>
    </w:p>
    <w:p w14:paraId="4F4726DD"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Effective global partnerships build customer confidence and effectively support responsible sourcing and sustainable business development in industries worldwide. This approach will enhance competitiveness via greater market opportunities, increased exports, improved relationships and global sustainable earnings growth.  </w:t>
      </w:r>
    </w:p>
    <w:p w14:paraId="77AACAEB" w14:textId="5DAD4CFC" w:rsidR="005E3179" w:rsidRPr="00084AF3" w:rsidRDefault="00000000" w:rsidP="00E7127D">
      <w:pPr>
        <w:pStyle w:val="Heading2"/>
        <w:rPr>
          <w:color w:val="auto"/>
        </w:rPr>
      </w:pPr>
      <w:bookmarkStart w:id="17" w:name="_Toc234513149"/>
      <w:r w:rsidRPr="00084AF3">
        <w:rPr>
          <w:color w:val="auto"/>
        </w:rPr>
        <w:t>2.4 Diversification</w:t>
      </w:r>
      <w:bookmarkEnd w:id="17"/>
    </w:p>
    <w:p w14:paraId="6E378304" w14:textId="77777777" w:rsidR="005E3179" w:rsidRPr="00084AF3" w:rsidRDefault="00000000">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Diversification enables BHP to expand into new industry sectors and develop a lower carbon economy in them in the long term, successfully. BHP should put more money into clean energy and advanced mineral processing technologies than just mining for growth. Due to the need for reliable energy storage in international markets today, global battery storage demand remains high. In total lithium-ion battery deployment, over </w:t>
      </w:r>
      <w:r w:rsidRPr="00084AF3">
        <w:rPr>
          <w:rFonts w:ascii="Times New Roman" w:eastAsia="Times New Roman" w:hAnsi="Times New Roman" w:cs="Times New Roman"/>
          <w:b/>
          <w:bCs/>
          <w:i/>
          <w:iCs/>
          <w:sz w:val="24"/>
          <w:szCs w:val="24"/>
        </w:rPr>
        <w:t>70%</w:t>
      </w:r>
      <w:r w:rsidRPr="00084AF3">
        <w:rPr>
          <w:rFonts w:ascii="Times New Roman" w:eastAsia="Times New Roman" w:hAnsi="Times New Roman" w:cs="Times New Roman"/>
          <w:sz w:val="24"/>
          <w:szCs w:val="24"/>
        </w:rPr>
        <w:t xml:space="preserve"> of EV deployments represent a share of the population (IEA, 2026b). </w:t>
      </w:r>
    </w:p>
    <w:p w14:paraId="62AA3526"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noProof/>
          <w:sz w:val="24"/>
          <w:szCs w:val="24"/>
        </w:rPr>
        <w:lastRenderedPageBreak/>
        <w:drawing>
          <wp:inline distT="114300" distB="114300" distL="114300" distR="114300" wp14:anchorId="751BBECB" wp14:editId="447358EC">
            <wp:extent cx="5731200" cy="3060700"/>
            <wp:effectExtent l="12700" t="12700" r="12700" b="1270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a:srcRect/>
                    <a:stretch>
                      <a:fillRect/>
                    </a:stretch>
                  </pic:blipFill>
                  <pic:spPr>
                    <a:xfrm>
                      <a:off x="0" y="0"/>
                      <a:ext cx="5731200" cy="3060700"/>
                    </a:xfrm>
                    <a:prstGeom prst="rect">
                      <a:avLst/>
                    </a:prstGeom>
                    <a:ln w="12700">
                      <a:solidFill>
                        <a:srgbClr val="000000"/>
                      </a:solidFill>
                      <a:prstDash val="solid"/>
                    </a:ln>
                  </pic:spPr>
                </pic:pic>
              </a:graphicData>
            </a:graphic>
          </wp:inline>
        </w:drawing>
      </w:r>
    </w:p>
    <w:p w14:paraId="36C5E705" w14:textId="658A9CCB" w:rsidR="005E3179" w:rsidRPr="00084AF3" w:rsidRDefault="00000000">
      <w:pPr>
        <w:spacing w:line="360" w:lineRule="auto"/>
        <w:jc w:val="center"/>
        <w:rPr>
          <w:rFonts w:ascii="Times New Roman" w:eastAsia="Times New Roman" w:hAnsi="Times New Roman" w:cs="Times New Roman"/>
          <w:b/>
          <w:bCs/>
          <w:sz w:val="24"/>
          <w:szCs w:val="24"/>
        </w:rPr>
      </w:pPr>
      <w:r w:rsidRPr="00084AF3">
        <w:rPr>
          <w:rFonts w:ascii="Times New Roman" w:eastAsia="Times New Roman" w:hAnsi="Times New Roman" w:cs="Times New Roman"/>
          <w:b/>
          <w:bCs/>
          <w:sz w:val="24"/>
          <w:szCs w:val="24"/>
        </w:rPr>
        <w:t>Figure 1</w:t>
      </w:r>
      <w:r w:rsidR="002C6C61" w:rsidRPr="00084AF3">
        <w:rPr>
          <w:rFonts w:ascii="Times New Roman" w:eastAsia="Times New Roman" w:hAnsi="Times New Roman" w:cs="Times New Roman"/>
          <w:b/>
          <w:bCs/>
          <w:sz w:val="24"/>
          <w:szCs w:val="24"/>
        </w:rPr>
        <w:t>6</w:t>
      </w:r>
      <w:r w:rsidRPr="00084AF3">
        <w:rPr>
          <w:rFonts w:ascii="Times New Roman" w:eastAsia="Times New Roman" w:hAnsi="Times New Roman" w:cs="Times New Roman"/>
          <w:b/>
          <w:bCs/>
          <w:sz w:val="24"/>
          <w:szCs w:val="24"/>
        </w:rPr>
        <w:t>: Lithium-ion battery deployment by application, 2015-2025</w:t>
      </w:r>
    </w:p>
    <w:p w14:paraId="613C7A17" w14:textId="77777777" w:rsidR="005E3179" w:rsidRPr="00084AF3" w:rsidRDefault="00000000">
      <w:pPr>
        <w:spacing w:line="360" w:lineRule="auto"/>
        <w:jc w:val="center"/>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(Source: IEA, 2026b)</w:t>
      </w:r>
    </w:p>
    <w:p w14:paraId="6824A4F0" w14:textId="06ECD450" w:rsidR="005E3179" w:rsidRPr="00084AF3" w:rsidRDefault="00000000">
      <w:pPr>
        <w:spacing w:line="360" w:lineRule="auto"/>
        <w:jc w:val="both"/>
      </w:pPr>
      <w:r w:rsidRPr="00084AF3">
        <w:rPr>
          <w:rFonts w:ascii="Times New Roman" w:eastAsia="Times New Roman" w:hAnsi="Times New Roman" w:cs="Times New Roman"/>
          <w:sz w:val="24"/>
          <w:szCs w:val="24"/>
        </w:rPr>
        <w:t xml:space="preserve">This is followed by battery energy storage at over </w:t>
      </w:r>
      <w:r w:rsidRPr="00084AF3">
        <w:rPr>
          <w:rFonts w:ascii="Times New Roman" w:eastAsia="Times New Roman" w:hAnsi="Times New Roman" w:cs="Times New Roman"/>
          <w:b/>
          <w:bCs/>
          <w:i/>
          <w:iCs/>
          <w:sz w:val="24"/>
          <w:szCs w:val="24"/>
        </w:rPr>
        <w:t>15%</w:t>
      </w:r>
      <w:r w:rsidRPr="00084AF3">
        <w:rPr>
          <w:rFonts w:ascii="Times New Roman" w:eastAsia="Times New Roman" w:hAnsi="Times New Roman" w:cs="Times New Roman"/>
          <w:sz w:val="24"/>
          <w:szCs w:val="24"/>
        </w:rPr>
        <w:t xml:space="preserve">, reflecting the growing role of batteries in providing flexibility in power systems. Industry diversification to recycling enhances resource </w:t>
      </w:r>
      <w:r w:rsidR="004C2AE8" w:rsidRPr="00084AF3">
        <w:rPr>
          <w:rFonts w:ascii="Times New Roman" w:eastAsia="Times New Roman" w:hAnsi="Times New Roman" w:cs="Times New Roman"/>
          <w:sz w:val="24"/>
          <w:szCs w:val="24"/>
        </w:rPr>
        <w:t>efficiency but</w:t>
      </w:r>
      <w:r w:rsidRPr="00084AF3">
        <w:rPr>
          <w:rFonts w:ascii="Times New Roman" w:eastAsia="Times New Roman" w:hAnsi="Times New Roman" w:cs="Times New Roman"/>
          <w:sz w:val="24"/>
          <w:szCs w:val="24"/>
        </w:rPr>
        <w:t xml:space="preserve"> does not rely on newly mined mineral resources. BHP may partner with these technology firms to advance sustainable mining and manufacturing practices and to clean up the mining industry. This approach will foster innovation, diversified revenue streams, increased resilience, and growth opportunities for the company in the long term through the application of its business globally. </w:t>
      </w:r>
      <w:r w:rsidRPr="00084AF3">
        <w:br w:type="page"/>
      </w:r>
    </w:p>
    <w:p w14:paraId="3ADDC1B3" w14:textId="77777777" w:rsidR="004C2AE8" w:rsidRPr="00084AF3" w:rsidRDefault="004C2AE8" w:rsidP="004C2AE8">
      <w:pPr>
        <w:pStyle w:val="Heading1"/>
        <w:rPr>
          <w:color w:val="auto"/>
          <w:lang w:val="en-IN"/>
        </w:rPr>
      </w:pPr>
      <w:bookmarkStart w:id="18" w:name="_Toc232511067"/>
      <w:bookmarkStart w:id="19" w:name="_Toc234513150"/>
      <w:r w:rsidRPr="00084AF3">
        <w:rPr>
          <w:color w:val="auto"/>
          <w:lang w:val="en-IN"/>
        </w:rPr>
        <w:lastRenderedPageBreak/>
        <w:t>Task 3: Critical Reflection on AI Usage</w:t>
      </w:r>
      <w:bookmarkEnd w:id="18"/>
      <w:bookmarkEnd w:id="19"/>
    </w:p>
    <w:p w14:paraId="685CCE5C" w14:textId="77777777" w:rsidR="004C2AE8" w:rsidRPr="00084AF3" w:rsidRDefault="004C2AE8" w:rsidP="004C2AE8">
      <w:pPr>
        <w:pStyle w:val="Heading2"/>
        <w:rPr>
          <w:color w:val="auto"/>
          <w:lang w:val="en-IN"/>
        </w:rPr>
      </w:pPr>
      <w:bookmarkStart w:id="20" w:name="_Toc232511068"/>
      <w:bookmarkStart w:id="21" w:name="_Toc234513151"/>
      <w:r w:rsidRPr="00084AF3">
        <w:rPr>
          <w:color w:val="auto"/>
          <w:lang w:val="en-IN"/>
        </w:rPr>
        <w:t>3.1 Disclosure of tool</w:t>
      </w:r>
      <w:bookmarkEnd w:id="20"/>
      <w:bookmarkEnd w:id="21"/>
    </w:p>
    <w:p w14:paraId="479D7F33" w14:textId="124959FB" w:rsidR="004C2AE8" w:rsidRPr="00084AF3" w:rsidRDefault="008B7BCB" w:rsidP="004C2AE8">
      <w:pPr>
        <w:spacing w:line="360" w:lineRule="auto"/>
        <w:jc w:val="both"/>
        <w:rPr>
          <w:rFonts w:ascii="Times New Roman" w:eastAsia="Times New Roman" w:hAnsi="Times New Roman" w:cs="Times New Roman"/>
          <w:sz w:val="24"/>
          <w:szCs w:val="24"/>
          <w:lang w:val="en-IN"/>
        </w:rPr>
      </w:pPr>
      <w:r w:rsidRPr="00084AF3">
        <w:rPr>
          <w:rFonts w:ascii="Times New Roman" w:eastAsia="Times New Roman" w:hAnsi="Times New Roman" w:cs="Times New Roman"/>
          <w:sz w:val="24"/>
          <w:szCs w:val="24"/>
          <w:lang w:val="en-IN"/>
        </w:rPr>
        <w:t xml:space="preserve">This marketing analysis and strategic growth report for BHP has used generative AI technologies - </w:t>
      </w:r>
      <w:r w:rsidR="00C34632" w:rsidRPr="00084AF3">
        <w:rPr>
          <w:rFonts w:ascii="Times New Roman" w:eastAsia="Times New Roman" w:hAnsi="Times New Roman" w:cs="Times New Roman"/>
          <w:sz w:val="24"/>
          <w:szCs w:val="24"/>
          <w:lang w:val="en-IN"/>
        </w:rPr>
        <w:t>particularly</w:t>
      </w:r>
      <w:r w:rsidRPr="00084AF3">
        <w:rPr>
          <w:rFonts w:ascii="Times New Roman" w:eastAsia="Times New Roman" w:hAnsi="Times New Roman" w:cs="Times New Roman"/>
          <w:sz w:val="24"/>
          <w:szCs w:val="24"/>
          <w:lang w:val="en-IN"/>
        </w:rPr>
        <w:t xml:space="preserve"> the application academi.cx Pro in conjunction with </w:t>
      </w:r>
      <w:r w:rsidR="00B8358B" w:rsidRPr="00084AF3">
        <w:rPr>
          <w:rFonts w:ascii="Times New Roman" w:eastAsia="Times New Roman" w:hAnsi="Times New Roman" w:cs="Times New Roman"/>
          <w:sz w:val="24"/>
          <w:szCs w:val="24"/>
          <w:lang w:val="en-IN"/>
        </w:rPr>
        <w:t>high-capacity</w:t>
      </w:r>
      <w:r w:rsidRPr="00084AF3">
        <w:rPr>
          <w:rFonts w:ascii="Times New Roman" w:eastAsia="Times New Roman" w:hAnsi="Times New Roman" w:cs="Times New Roman"/>
          <w:sz w:val="24"/>
          <w:szCs w:val="24"/>
          <w:lang w:val="en-IN"/>
        </w:rPr>
        <w:t xml:space="preserve"> cloud-based generative AI systems - to assist with the preparation of the report. The primary usage of these tools occurred during the initial brainstorming session through which we outlined the most important external marketing players (in reference to both the Natural and Political environments) and generated the initial concepts for the Ansoff Matrix strategies. Additionally, the generative AI tools were employed for proofreading, sentence structure re-development, and enhancement of the overall academic quality in the final draft of the document.</w:t>
      </w:r>
    </w:p>
    <w:p w14:paraId="12DAC39F" w14:textId="77777777" w:rsidR="004C2AE8" w:rsidRPr="00084AF3" w:rsidRDefault="004C2AE8" w:rsidP="004C2AE8">
      <w:pPr>
        <w:pStyle w:val="Heading2"/>
        <w:rPr>
          <w:color w:val="auto"/>
          <w:lang w:val="en-IN"/>
        </w:rPr>
      </w:pPr>
      <w:bookmarkStart w:id="22" w:name="_heading=h.ydpeo2jadfix"/>
      <w:bookmarkStart w:id="23" w:name="_Toc232511069"/>
      <w:bookmarkStart w:id="24" w:name="_Toc234513152"/>
      <w:bookmarkEnd w:id="22"/>
      <w:r w:rsidRPr="00084AF3">
        <w:rPr>
          <w:color w:val="auto"/>
          <w:lang w:val="en-IN"/>
        </w:rPr>
        <w:t>3.2 Critical analysis of AI Output</w:t>
      </w:r>
      <w:bookmarkEnd w:id="23"/>
      <w:bookmarkEnd w:id="24"/>
    </w:p>
    <w:p w14:paraId="6D8F6919" w14:textId="1C5B1C8B" w:rsidR="004C2AE8" w:rsidRPr="00084AF3" w:rsidRDefault="008B7BCB" w:rsidP="004C2AE8">
      <w:pPr>
        <w:spacing w:line="360" w:lineRule="auto"/>
        <w:jc w:val="both"/>
        <w:rPr>
          <w:rFonts w:ascii="Times New Roman" w:eastAsia="Times New Roman" w:hAnsi="Times New Roman" w:cs="Times New Roman"/>
          <w:sz w:val="24"/>
          <w:szCs w:val="24"/>
          <w:lang w:val="en-IN"/>
        </w:rPr>
      </w:pPr>
      <w:r w:rsidRPr="00084AF3">
        <w:rPr>
          <w:rFonts w:ascii="Times New Roman" w:eastAsia="Times New Roman" w:hAnsi="Times New Roman" w:cs="Times New Roman"/>
          <w:sz w:val="24"/>
          <w:szCs w:val="24"/>
          <w:lang w:val="en-IN"/>
        </w:rPr>
        <w:t xml:space="preserve">In its synthesis of general mining industry trends using AI, the information produced was very well structured and cohesive but did not have enough critical depth or contextual specificity required for a level III Marketing module. </w:t>
      </w:r>
      <w:r w:rsidR="00B8358B" w:rsidRPr="00084AF3">
        <w:rPr>
          <w:rFonts w:ascii="Times New Roman" w:eastAsia="Times New Roman" w:hAnsi="Times New Roman" w:cs="Times New Roman"/>
          <w:sz w:val="24"/>
          <w:szCs w:val="24"/>
          <w:lang w:val="en-IN"/>
        </w:rPr>
        <w:t>Process</w:t>
      </w:r>
      <w:r w:rsidR="00B8358B" w:rsidRPr="00084AF3">
        <w:rPr>
          <w:rFonts w:ascii="Times New Roman" w:eastAsia="Times New Roman" w:hAnsi="Times New Roman" w:cs="Times New Roman"/>
          <w:sz w:val="24"/>
          <w:szCs w:val="24"/>
        </w:rPr>
        <w:t xml:space="preserve"> technology investments may help pioneers to sustain their competitive advantages (Covin et al. 2000). </w:t>
      </w:r>
      <w:r w:rsidRPr="00084AF3">
        <w:rPr>
          <w:rFonts w:ascii="Times New Roman" w:eastAsia="Times New Roman" w:hAnsi="Times New Roman" w:cs="Times New Roman"/>
          <w:sz w:val="24"/>
          <w:szCs w:val="24"/>
          <w:lang w:val="en-IN"/>
        </w:rPr>
        <w:t xml:space="preserve">For example, while the AI correctly identified greenhouse gas emissions as a key environmental consideration, it did not automatically incorporate very specific, up-to-date local data </w:t>
      </w:r>
      <w:r w:rsidR="00B8358B" w:rsidRPr="00084AF3">
        <w:rPr>
          <w:rFonts w:ascii="Times New Roman" w:eastAsia="Times New Roman" w:hAnsi="Times New Roman" w:cs="Times New Roman"/>
          <w:sz w:val="24"/>
          <w:szCs w:val="24"/>
          <w:lang w:val="en-IN"/>
        </w:rPr>
        <w:t>that is</w:t>
      </w:r>
      <w:r w:rsidRPr="00084AF3">
        <w:rPr>
          <w:rFonts w:ascii="Times New Roman" w:eastAsia="Times New Roman" w:hAnsi="Times New Roman" w:cs="Times New Roman"/>
          <w:sz w:val="24"/>
          <w:szCs w:val="24"/>
          <w:lang w:val="en-IN"/>
        </w:rPr>
        <w:t xml:space="preserve"> A$47 billion for the Australian fuel tax credit scheme over 4-years, or the specific nature of BHP's decelerated climate push which can be seen from previously leaked insider information. As a result of this, the AI's output had to be significantly edited, cross-checked and then added to from </w:t>
      </w:r>
      <w:r w:rsidR="00D82663" w:rsidRPr="00084AF3">
        <w:rPr>
          <w:rFonts w:ascii="Times New Roman" w:eastAsia="Times New Roman" w:hAnsi="Times New Roman" w:cs="Times New Roman"/>
          <w:sz w:val="24"/>
          <w:szCs w:val="24"/>
          <w:lang w:val="en-IN"/>
        </w:rPr>
        <w:t>many</w:t>
      </w:r>
      <w:r w:rsidRPr="00084AF3">
        <w:rPr>
          <w:rFonts w:ascii="Times New Roman" w:eastAsia="Times New Roman" w:hAnsi="Times New Roman" w:cs="Times New Roman"/>
          <w:sz w:val="24"/>
          <w:szCs w:val="24"/>
          <w:lang w:val="en-IN"/>
        </w:rPr>
        <w:t xml:space="preserve"> credible journalistic/newspaper and government sources to produce a much better quality and more reliable analysis.</w:t>
      </w:r>
    </w:p>
    <w:p w14:paraId="31BFE915" w14:textId="77777777" w:rsidR="004C2AE8" w:rsidRPr="00084AF3" w:rsidRDefault="004C2AE8" w:rsidP="004C2AE8">
      <w:pPr>
        <w:pStyle w:val="Heading2"/>
        <w:rPr>
          <w:color w:val="auto"/>
          <w:lang w:val="en-IN"/>
        </w:rPr>
      </w:pPr>
      <w:bookmarkStart w:id="25" w:name="_Toc232511070"/>
      <w:bookmarkStart w:id="26" w:name="_Toc234513153"/>
      <w:r w:rsidRPr="00084AF3">
        <w:rPr>
          <w:color w:val="auto"/>
          <w:lang w:val="en-IN"/>
        </w:rPr>
        <w:t>3.3 Contribution Analysis</w:t>
      </w:r>
      <w:bookmarkEnd w:id="25"/>
      <w:bookmarkEnd w:id="26"/>
    </w:p>
    <w:p w14:paraId="2A5D8DFE" w14:textId="3E6D1112" w:rsidR="004C2AE8" w:rsidRPr="00084AF3" w:rsidRDefault="00B8358B" w:rsidP="004C2AE8">
      <w:pPr>
        <w:spacing w:line="360" w:lineRule="auto"/>
        <w:jc w:val="both"/>
        <w:rPr>
          <w:rFonts w:ascii="Times New Roman" w:eastAsia="Times New Roman" w:hAnsi="Times New Roman" w:cs="Times New Roman"/>
          <w:sz w:val="24"/>
          <w:szCs w:val="24"/>
          <w:lang w:val="en-IN"/>
        </w:rPr>
      </w:pPr>
      <w:r w:rsidRPr="00084AF3">
        <w:rPr>
          <w:rFonts w:ascii="Times New Roman" w:eastAsia="Times New Roman" w:hAnsi="Times New Roman" w:cs="Times New Roman"/>
          <w:sz w:val="24"/>
          <w:szCs w:val="24"/>
          <w:lang w:val="en-IN"/>
        </w:rPr>
        <w:t xml:space="preserve">This report has been produced jointly through the combined efforts of both human intellect and artificial intelligence (AI). Approximately 30% of the effort on this report was contributed by AI about formatting, generating initial concepts regarding product development and how to penetrate different markets, and basic grammar refinement. All remaining efforts (70%) have solely been performed by humans, including evaluating the natural and political environments, applying the Ansoff Matrix in a strategic manner to BHP's copper and potash projects (i.e. </w:t>
      </w:r>
      <w:r w:rsidRPr="00084AF3">
        <w:rPr>
          <w:rFonts w:ascii="Times New Roman" w:eastAsia="Times New Roman" w:hAnsi="Times New Roman" w:cs="Times New Roman"/>
          <w:sz w:val="24"/>
          <w:szCs w:val="24"/>
          <w:lang w:val="en-IN"/>
        </w:rPr>
        <w:lastRenderedPageBreak/>
        <w:t>Jansen Potash Project), and incorporating evidence from peer-reviewed literature and reliable datasets to support our arguments.</w:t>
      </w:r>
    </w:p>
    <w:p w14:paraId="621D0810" w14:textId="455CC21E" w:rsidR="004C2AE8" w:rsidRPr="00084AF3" w:rsidRDefault="004C2AE8" w:rsidP="004C2AE8">
      <w:pPr>
        <w:pStyle w:val="Heading2"/>
        <w:rPr>
          <w:color w:val="auto"/>
          <w:lang w:val="en-IN"/>
        </w:rPr>
      </w:pPr>
      <w:bookmarkStart w:id="27" w:name="_Toc232511071"/>
      <w:bookmarkStart w:id="28" w:name="_Toc234513154"/>
      <w:r w:rsidRPr="00084AF3">
        <w:rPr>
          <w:color w:val="auto"/>
          <w:lang w:val="en-IN"/>
        </w:rPr>
        <w:t>3.4 Ethical &amp; Professional Reflection</w:t>
      </w:r>
      <w:bookmarkEnd w:id="27"/>
      <w:bookmarkEnd w:id="28"/>
    </w:p>
    <w:p w14:paraId="2ED84362" w14:textId="1A06ADB0" w:rsidR="004C2AE8" w:rsidRPr="00084AF3" w:rsidRDefault="00B8358B" w:rsidP="004C2AE8">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Using AI to accomplish this task illustrates the significance of integrity and transparency in research. Using solely AI could create the risk of presenting "lost" or uncurrent data and would not be acceptable in either a professional or academic context. In addition to these ethical implications, this project has shown that although AI can be an extremely powerful tool for marketing managers in terms of quickly processing large quantities of macro-environmental data, AI will never replace a marketing manager's ability to make good strategic decisions. Especially when making strategic decisions regarding sensitive subjects such as carbon pricing, regulatory compliance, and sustainable diversification, the marketing manager must use a human perspective to develop a comprehensive understanding of any stakeholder's needs and the company's responsibility toward them something that AI cannot currently replicate.</w:t>
      </w:r>
    </w:p>
    <w:p w14:paraId="59E51F49" w14:textId="77777777" w:rsidR="004C2AE8" w:rsidRPr="00084AF3" w:rsidRDefault="004C2AE8">
      <w:pPr>
        <w:rPr>
          <w:rFonts w:ascii="Times New Roman" w:hAnsi="Times New Roman"/>
          <w:b/>
          <w:sz w:val="28"/>
          <w:szCs w:val="40"/>
        </w:rPr>
      </w:pPr>
      <w:r w:rsidRPr="00084AF3">
        <w:br w:type="page"/>
      </w:r>
    </w:p>
    <w:p w14:paraId="60D86A32" w14:textId="75690B58" w:rsidR="005E3179" w:rsidRPr="00084AF3" w:rsidRDefault="00000000" w:rsidP="00E7127D">
      <w:pPr>
        <w:pStyle w:val="Heading1"/>
        <w:rPr>
          <w:color w:val="auto"/>
        </w:rPr>
      </w:pPr>
      <w:bookmarkStart w:id="29" w:name="_Toc234513155"/>
      <w:r w:rsidRPr="00084AF3">
        <w:rPr>
          <w:color w:val="auto"/>
        </w:rPr>
        <w:lastRenderedPageBreak/>
        <w:t>References</w:t>
      </w:r>
      <w:bookmarkEnd w:id="29"/>
    </w:p>
    <w:p w14:paraId="4A057E45" w14:textId="7AF7C2B7"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BHP (2026a). </w:t>
      </w:r>
      <w:r w:rsidRPr="00084AF3">
        <w:rPr>
          <w:rFonts w:ascii="Times New Roman" w:eastAsia="Times New Roman" w:hAnsi="Times New Roman" w:cs="Times New Roman"/>
          <w:i/>
          <w:iCs/>
          <w:sz w:val="24"/>
          <w:szCs w:val="24"/>
        </w:rPr>
        <w:t>Operational GHG emissions (Scopes 1 and 2 emissions from our operated assets)</w:t>
      </w:r>
      <w:r w:rsidRPr="00084AF3">
        <w:rPr>
          <w:rFonts w:ascii="Times New Roman" w:eastAsia="Times New Roman" w:hAnsi="Times New Roman" w:cs="Times New Roman"/>
          <w:sz w:val="24"/>
          <w:szCs w:val="24"/>
        </w:rPr>
        <w:t xml:space="preserve">. [online] Available at: </w:t>
      </w:r>
      <w:hyperlink r:id="rId28">
        <w:r w:rsidRPr="00084AF3">
          <w:rPr>
            <w:rFonts w:ascii="Times New Roman" w:eastAsia="Times New Roman" w:hAnsi="Times New Roman" w:cs="Times New Roman"/>
            <w:sz w:val="24"/>
            <w:szCs w:val="24"/>
            <w:u w:val="single"/>
          </w:rPr>
          <w:t>https://www.bhp.com/sustainability/climate-change/operational-ghg-emissions</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4FC9F1F6" w14:textId="0CE2F407"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BHP (2026b). </w:t>
      </w:r>
      <w:r w:rsidRPr="00084AF3">
        <w:rPr>
          <w:rFonts w:ascii="Times New Roman" w:eastAsia="Times New Roman" w:hAnsi="Times New Roman" w:cs="Times New Roman"/>
          <w:i/>
          <w:iCs/>
          <w:sz w:val="24"/>
          <w:szCs w:val="24"/>
        </w:rPr>
        <w:t>Modifying the blast furnace route for lower carbon intensity steelmaking</w:t>
      </w:r>
      <w:r w:rsidRPr="00084AF3">
        <w:rPr>
          <w:rFonts w:ascii="Times New Roman" w:eastAsia="Times New Roman" w:hAnsi="Times New Roman" w:cs="Times New Roman"/>
          <w:sz w:val="24"/>
          <w:szCs w:val="24"/>
        </w:rPr>
        <w:t xml:space="preserve">. [online] Available at: </w:t>
      </w:r>
      <w:hyperlink r:id="rId29">
        <w:r w:rsidRPr="00084AF3">
          <w:rPr>
            <w:rFonts w:ascii="Times New Roman" w:eastAsia="Times New Roman" w:hAnsi="Times New Roman" w:cs="Times New Roman"/>
            <w:sz w:val="24"/>
            <w:szCs w:val="24"/>
            <w:u w:val="single"/>
          </w:rPr>
          <w:t>https://www.bhp.com/news/bhp-insights/2026/06/modifying-the-blast-furnace-route-for-lower-carbon-intensity-steelmaking</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11543C7E" w14:textId="351520A2"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Bracken, N. (2026). </w:t>
      </w:r>
      <w:r w:rsidRPr="00084AF3">
        <w:rPr>
          <w:rFonts w:ascii="Times New Roman" w:eastAsia="Times New Roman" w:hAnsi="Times New Roman" w:cs="Times New Roman"/>
          <w:i/>
          <w:iCs/>
          <w:sz w:val="24"/>
          <w:szCs w:val="24"/>
        </w:rPr>
        <w:t>Exclusive / Mining, metals sector accounts for 11% of global emissions, report finds</w:t>
      </w:r>
      <w:r w:rsidRPr="00084AF3">
        <w:rPr>
          <w:rFonts w:ascii="Times New Roman" w:eastAsia="Times New Roman" w:hAnsi="Times New Roman" w:cs="Times New Roman"/>
          <w:sz w:val="24"/>
          <w:szCs w:val="24"/>
        </w:rPr>
        <w:t xml:space="preserve">. [online] Available at: </w:t>
      </w:r>
      <w:hyperlink r:id="rId30">
        <w:r w:rsidRPr="00084AF3">
          <w:rPr>
            <w:rFonts w:ascii="Times New Roman" w:eastAsia="Times New Roman" w:hAnsi="Times New Roman" w:cs="Times New Roman"/>
            <w:sz w:val="24"/>
            <w:szCs w:val="24"/>
            <w:u w:val="single"/>
          </w:rPr>
          <w:t>https://www.semafor.com/article/03/10/2026/mining-metals-sector-account-for-11-of-global-emissions-report-finds</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67A1643F" w14:textId="1D02415C"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CLEAN ENERGY COUNCIL (2026). </w:t>
      </w:r>
      <w:r w:rsidRPr="00084AF3">
        <w:rPr>
          <w:rFonts w:ascii="Times New Roman" w:eastAsia="Times New Roman" w:hAnsi="Times New Roman" w:cs="Times New Roman"/>
          <w:i/>
          <w:iCs/>
          <w:sz w:val="24"/>
          <w:szCs w:val="24"/>
        </w:rPr>
        <w:t>Accelerating the clean energy transition</w:t>
      </w:r>
      <w:r w:rsidRPr="00084AF3">
        <w:rPr>
          <w:rFonts w:ascii="Times New Roman" w:eastAsia="Times New Roman" w:hAnsi="Times New Roman" w:cs="Times New Roman"/>
          <w:sz w:val="24"/>
          <w:szCs w:val="24"/>
        </w:rPr>
        <w:t xml:space="preserve">. [online] Available at: </w:t>
      </w:r>
      <w:hyperlink r:id="rId31">
        <w:r w:rsidRPr="00084AF3">
          <w:rPr>
            <w:rFonts w:ascii="Times New Roman" w:eastAsia="Times New Roman" w:hAnsi="Times New Roman" w:cs="Times New Roman"/>
            <w:sz w:val="24"/>
            <w:szCs w:val="24"/>
            <w:u w:val="single"/>
          </w:rPr>
          <w:t>https://cleanenergycouncil.org.au/advocacy/industry-snapshot</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45BDAE9B" w14:textId="18E05B16" w:rsidR="004C2AE8" w:rsidRPr="00084AF3" w:rsidRDefault="004C2AE8"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Covin, J.G., Slevin, D.P. and Heeley, M.B. (2000). Pioneers and followers: Competitive tactics, environment, and firm growth. </w:t>
      </w:r>
      <w:r w:rsidRPr="00084AF3">
        <w:rPr>
          <w:rFonts w:ascii="Times New Roman" w:eastAsia="Times New Roman" w:hAnsi="Times New Roman" w:cs="Times New Roman"/>
          <w:i/>
          <w:iCs/>
          <w:sz w:val="24"/>
          <w:szCs w:val="24"/>
        </w:rPr>
        <w:t>Journal of business venturing</w:t>
      </w:r>
      <w:r w:rsidRPr="00084AF3">
        <w:rPr>
          <w:rFonts w:ascii="Times New Roman" w:eastAsia="Times New Roman" w:hAnsi="Times New Roman" w:cs="Times New Roman"/>
          <w:sz w:val="24"/>
          <w:szCs w:val="24"/>
        </w:rPr>
        <w:t xml:space="preserve">, </w:t>
      </w:r>
      <w:r w:rsidRPr="00084AF3">
        <w:rPr>
          <w:rFonts w:ascii="Times New Roman" w:eastAsia="Times New Roman" w:hAnsi="Times New Roman" w:cs="Times New Roman"/>
          <w:i/>
          <w:iCs/>
          <w:sz w:val="24"/>
          <w:szCs w:val="24"/>
        </w:rPr>
        <w:t>15</w:t>
      </w:r>
      <w:r w:rsidRPr="00084AF3">
        <w:rPr>
          <w:rFonts w:ascii="Times New Roman" w:eastAsia="Times New Roman" w:hAnsi="Times New Roman" w:cs="Times New Roman"/>
          <w:sz w:val="24"/>
          <w:szCs w:val="24"/>
        </w:rPr>
        <w:t xml:space="preserve">(2), pp.175-210. </w:t>
      </w:r>
      <w:hyperlink r:id="rId32" w:history="1">
        <w:r w:rsidRPr="00084AF3">
          <w:rPr>
            <w:rStyle w:val="Hyperlink"/>
            <w:rFonts w:ascii="Times New Roman" w:eastAsia="Times New Roman" w:hAnsi="Times New Roman" w:cs="Times New Roman"/>
            <w:color w:val="auto"/>
            <w:sz w:val="24"/>
            <w:szCs w:val="24"/>
          </w:rPr>
          <w:t>https://www.academia.edu/download/67341664/s0883-9026_2898_2900015-920210516-3730-rx3scc.pdf</w:t>
        </w:r>
      </w:hyperlink>
    </w:p>
    <w:p w14:paraId="358FA0C0" w14:textId="540F062C"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DCCEEW (2026). </w:t>
      </w:r>
      <w:r w:rsidRPr="00084AF3">
        <w:rPr>
          <w:rFonts w:ascii="Times New Roman" w:eastAsia="Times New Roman" w:hAnsi="Times New Roman" w:cs="Times New Roman"/>
          <w:i/>
          <w:iCs/>
          <w:sz w:val="24"/>
          <w:szCs w:val="24"/>
        </w:rPr>
        <w:t>Reducing emissions</w:t>
      </w:r>
      <w:r w:rsidRPr="00084AF3">
        <w:rPr>
          <w:rFonts w:ascii="Times New Roman" w:eastAsia="Times New Roman" w:hAnsi="Times New Roman" w:cs="Times New Roman"/>
          <w:sz w:val="24"/>
          <w:szCs w:val="24"/>
        </w:rPr>
        <w:t xml:space="preserve">. [online] Available at: </w:t>
      </w:r>
      <w:hyperlink r:id="rId33">
        <w:r w:rsidRPr="00084AF3">
          <w:rPr>
            <w:rFonts w:ascii="Times New Roman" w:eastAsia="Times New Roman" w:hAnsi="Times New Roman" w:cs="Times New Roman"/>
            <w:sz w:val="24"/>
            <w:szCs w:val="24"/>
            <w:u w:val="single"/>
          </w:rPr>
          <w:t>https://www.dcceew.gov.au/climate-change/emissions-reduction</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6216B3C0" w14:textId="6547B2CE"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DFAT.GOV.AU (2026). </w:t>
      </w:r>
      <w:r w:rsidRPr="00084AF3">
        <w:rPr>
          <w:rFonts w:ascii="Times New Roman" w:eastAsia="Times New Roman" w:hAnsi="Times New Roman" w:cs="Times New Roman"/>
          <w:i/>
          <w:iCs/>
          <w:sz w:val="24"/>
          <w:szCs w:val="24"/>
        </w:rPr>
        <w:t>Go-Green Co-Innovation Program grant recipients</w:t>
      </w:r>
      <w:r w:rsidRPr="00084AF3">
        <w:rPr>
          <w:rFonts w:ascii="Times New Roman" w:eastAsia="Times New Roman" w:hAnsi="Times New Roman" w:cs="Times New Roman"/>
          <w:sz w:val="24"/>
          <w:szCs w:val="24"/>
        </w:rPr>
        <w:t xml:space="preserve">. [online] Available at: </w:t>
      </w:r>
      <w:hyperlink r:id="rId34">
        <w:r w:rsidRPr="00084AF3">
          <w:rPr>
            <w:rFonts w:ascii="Times New Roman" w:eastAsia="Times New Roman" w:hAnsi="Times New Roman" w:cs="Times New Roman"/>
            <w:sz w:val="24"/>
            <w:szCs w:val="24"/>
            <w:u w:val="single"/>
          </w:rPr>
          <w:t>https://www.dfat.gov.au/geo/singapore/singapore-australia-green-economy-agreement/go-green-co-innovation-program-grant-recipients</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1BFAA9F7" w14:textId="3C437388"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DNV (2026). </w:t>
      </w:r>
      <w:r w:rsidRPr="00084AF3">
        <w:rPr>
          <w:rFonts w:ascii="Times New Roman" w:eastAsia="Times New Roman" w:hAnsi="Times New Roman" w:cs="Times New Roman"/>
          <w:i/>
          <w:iCs/>
          <w:sz w:val="24"/>
          <w:szCs w:val="24"/>
        </w:rPr>
        <w:t>BHP reduces Scope 3 greenhouse gas emissions through the cloud platform Veracity</w:t>
      </w:r>
      <w:r w:rsidRPr="00084AF3">
        <w:rPr>
          <w:rFonts w:ascii="Times New Roman" w:eastAsia="Times New Roman" w:hAnsi="Times New Roman" w:cs="Times New Roman"/>
          <w:sz w:val="24"/>
          <w:szCs w:val="24"/>
        </w:rPr>
        <w:t xml:space="preserve">. [online] Available at: </w:t>
      </w:r>
      <w:hyperlink r:id="rId35">
        <w:r w:rsidRPr="00084AF3">
          <w:rPr>
            <w:rFonts w:ascii="Times New Roman" w:eastAsia="Times New Roman" w:hAnsi="Times New Roman" w:cs="Times New Roman"/>
            <w:sz w:val="24"/>
            <w:szCs w:val="24"/>
            <w:u w:val="single"/>
          </w:rPr>
          <w:t>https://www.dnv.com/sustainable-practices/bhp-scope3-greenhouse-gas-reduction/</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7A571AB4" w14:textId="504DEAF8"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Europa (2026). </w:t>
      </w:r>
      <w:r w:rsidRPr="00084AF3">
        <w:rPr>
          <w:rFonts w:ascii="Times New Roman" w:eastAsia="Times New Roman" w:hAnsi="Times New Roman" w:cs="Times New Roman"/>
          <w:i/>
          <w:iCs/>
          <w:sz w:val="24"/>
          <w:szCs w:val="24"/>
        </w:rPr>
        <w:t>International carbon pricing and markets diplomacy</w:t>
      </w:r>
      <w:r w:rsidRPr="00084AF3">
        <w:rPr>
          <w:rFonts w:ascii="Times New Roman" w:eastAsia="Times New Roman" w:hAnsi="Times New Roman" w:cs="Times New Roman"/>
          <w:sz w:val="24"/>
          <w:szCs w:val="24"/>
        </w:rPr>
        <w:t xml:space="preserve">. [online] Available at: </w:t>
      </w:r>
      <w:hyperlink r:id="rId36">
        <w:r w:rsidRPr="00084AF3">
          <w:rPr>
            <w:rFonts w:ascii="Times New Roman" w:eastAsia="Times New Roman" w:hAnsi="Times New Roman" w:cs="Times New Roman"/>
            <w:sz w:val="24"/>
            <w:szCs w:val="24"/>
            <w:u w:val="single"/>
          </w:rPr>
          <w:t>https://climate.ec.europa.eu/eu-action/carbon-markets/international-carbon-pricing-and-markets-diplomacy_en</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7AA87182" w14:textId="4A3ED50A"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lastRenderedPageBreak/>
        <w:t xml:space="preserve">Grand View Research (2026). </w:t>
      </w:r>
      <w:r w:rsidRPr="00084AF3">
        <w:rPr>
          <w:rFonts w:ascii="Times New Roman" w:eastAsia="Times New Roman" w:hAnsi="Times New Roman" w:cs="Times New Roman"/>
          <w:i/>
          <w:iCs/>
          <w:sz w:val="24"/>
          <w:szCs w:val="24"/>
        </w:rPr>
        <w:t>Australia Base Metal Mining Market Size &amp; Outlook, 2026-2033</w:t>
      </w:r>
      <w:r w:rsidRPr="00084AF3">
        <w:rPr>
          <w:rFonts w:ascii="Times New Roman" w:eastAsia="Times New Roman" w:hAnsi="Times New Roman" w:cs="Times New Roman"/>
          <w:sz w:val="24"/>
          <w:szCs w:val="24"/>
        </w:rPr>
        <w:t xml:space="preserve">. [online] Available at: </w:t>
      </w:r>
      <w:hyperlink r:id="rId37">
        <w:r w:rsidRPr="00084AF3">
          <w:rPr>
            <w:rFonts w:ascii="Times New Roman" w:eastAsia="Times New Roman" w:hAnsi="Times New Roman" w:cs="Times New Roman"/>
            <w:sz w:val="24"/>
            <w:szCs w:val="24"/>
            <w:u w:val="single"/>
          </w:rPr>
          <w:t>https://www.grandviewresearch.com/horizon/outlook/base-metal-mining-market/australia?__cf_chl_f_tk=lzqtNapk7d9gRsG7tElcEWSCeDyU8yEM_rXCPxftdxU-1783166386-1.0.1.1-W2kQhSIzegTqwno7BLpFlG0jlW8peVIBbWNLmH5o1Sw</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2B178DD3" w14:textId="13EA316A"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Gregory, J. (2026). </w:t>
      </w:r>
      <w:r w:rsidRPr="00084AF3">
        <w:rPr>
          <w:rFonts w:ascii="Times New Roman" w:eastAsia="Times New Roman" w:hAnsi="Times New Roman" w:cs="Times New Roman"/>
          <w:i/>
          <w:iCs/>
          <w:sz w:val="24"/>
          <w:szCs w:val="24"/>
        </w:rPr>
        <w:t>Australia: 2026 Emissions Forecast</w:t>
      </w:r>
      <w:r w:rsidRPr="00084AF3">
        <w:rPr>
          <w:rFonts w:ascii="Times New Roman" w:eastAsia="Times New Roman" w:hAnsi="Times New Roman" w:cs="Times New Roman"/>
          <w:sz w:val="24"/>
          <w:szCs w:val="24"/>
        </w:rPr>
        <w:t xml:space="preserve">. [online] Available at: </w:t>
      </w:r>
      <w:hyperlink r:id="rId38">
        <w:r w:rsidRPr="00084AF3">
          <w:rPr>
            <w:rFonts w:ascii="Times New Roman" w:eastAsia="Times New Roman" w:hAnsi="Times New Roman" w:cs="Times New Roman"/>
            <w:sz w:val="24"/>
            <w:szCs w:val="24"/>
            <w:u w:val="single"/>
          </w:rPr>
          <w:t>https://www.climatescorecard.org/2026/03/australia-2026-emissions-forecast/</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41A8AC65" w14:textId="77777777" w:rsidR="00E7127D" w:rsidRPr="00084AF3" w:rsidRDefault="00E7127D" w:rsidP="00E7127D">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Hirlekar, O., Kolte, A. and Vasa, L. (2025). Transition in the mining industry with green energy: Economic dynamics in mining demand. </w:t>
      </w:r>
      <w:r w:rsidRPr="00084AF3">
        <w:rPr>
          <w:rFonts w:ascii="Times New Roman" w:eastAsia="Times New Roman" w:hAnsi="Times New Roman" w:cs="Times New Roman"/>
          <w:i/>
          <w:iCs/>
          <w:sz w:val="24"/>
          <w:szCs w:val="24"/>
        </w:rPr>
        <w:t>Resources Policy</w:t>
      </w:r>
      <w:r w:rsidRPr="00084AF3">
        <w:rPr>
          <w:rFonts w:ascii="Times New Roman" w:eastAsia="Times New Roman" w:hAnsi="Times New Roman" w:cs="Times New Roman"/>
          <w:sz w:val="24"/>
          <w:szCs w:val="24"/>
        </w:rPr>
        <w:t xml:space="preserve">, </w:t>
      </w:r>
      <w:r w:rsidRPr="00084AF3">
        <w:rPr>
          <w:rFonts w:ascii="Times New Roman" w:eastAsia="Times New Roman" w:hAnsi="Times New Roman" w:cs="Times New Roman"/>
          <w:i/>
          <w:iCs/>
          <w:sz w:val="24"/>
          <w:szCs w:val="24"/>
        </w:rPr>
        <w:t>100</w:t>
      </w:r>
      <w:r w:rsidRPr="00084AF3">
        <w:rPr>
          <w:rFonts w:ascii="Times New Roman" w:eastAsia="Times New Roman" w:hAnsi="Times New Roman" w:cs="Times New Roman"/>
          <w:sz w:val="24"/>
          <w:szCs w:val="24"/>
        </w:rPr>
        <w:t xml:space="preserve">, p.105409. </w:t>
      </w:r>
      <w:hyperlink r:id="rId39">
        <w:r w:rsidRPr="00084AF3">
          <w:rPr>
            <w:rFonts w:ascii="Times New Roman" w:eastAsia="Times New Roman" w:hAnsi="Times New Roman" w:cs="Times New Roman"/>
            <w:sz w:val="24"/>
            <w:szCs w:val="24"/>
            <w:u w:val="single"/>
          </w:rPr>
          <w:t>https://www.sciencedirect.com/science/article/pii/S0301420724007761</w:t>
        </w:r>
      </w:hyperlink>
    </w:p>
    <w:p w14:paraId="7EEA893C" w14:textId="291BF166"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IEA (2026a). </w:t>
      </w:r>
      <w:r w:rsidRPr="00084AF3">
        <w:rPr>
          <w:rFonts w:ascii="Times New Roman" w:eastAsia="Times New Roman" w:hAnsi="Times New Roman" w:cs="Times New Roman"/>
          <w:i/>
          <w:iCs/>
          <w:sz w:val="24"/>
          <w:szCs w:val="24"/>
        </w:rPr>
        <w:t>Executive Summary – the Role of Critical Minerals in Clean Energy Transitions – Analysis</w:t>
      </w:r>
      <w:r w:rsidRPr="00084AF3">
        <w:rPr>
          <w:rFonts w:ascii="Times New Roman" w:eastAsia="Times New Roman" w:hAnsi="Times New Roman" w:cs="Times New Roman"/>
          <w:sz w:val="24"/>
          <w:szCs w:val="24"/>
        </w:rPr>
        <w:t xml:space="preserve">. [online] Available at: </w:t>
      </w:r>
      <w:hyperlink r:id="rId40">
        <w:r w:rsidRPr="00084AF3">
          <w:rPr>
            <w:rFonts w:ascii="Times New Roman" w:eastAsia="Times New Roman" w:hAnsi="Times New Roman" w:cs="Times New Roman"/>
            <w:sz w:val="24"/>
            <w:szCs w:val="24"/>
            <w:u w:val="single"/>
          </w:rPr>
          <w:t>https://www.iea.org/reports/the-role-of-critical-minerals-in-clean-energy-transitions/executive-summary</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069FCE3E" w14:textId="56F4E583"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IEA (2026b). </w:t>
      </w:r>
      <w:r w:rsidRPr="00084AF3">
        <w:rPr>
          <w:rFonts w:ascii="Times New Roman" w:eastAsia="Times New Roman" w:hAnsi="Times New Roman" w:cs="Times New Roman"/>
          <w:i/>
          <w:iCs/>
          <w:sz w:val="24"/>
          <w:szCs w:val="24"/>
        </w:rPr>
        <w:t>Global battery markets are growing strongly – and so are the supply risks</w:t>
      </w:r>
      <w:r w:rsidRPr="00084AF3">
        <w:rPr>
          <w:rFonts w:ascii="Times New Roman" w:eastAsia="Times New Roman" w:hAnsi="Times New Roman" w:cs="Times New Roman"/>
          <w:sz w:val="24"/>
          <w:szCs w:val="24"/>
        </w:rPr>
        <w:t xml:space="preserve">. [online] Available at: </w:t>
      </w:r>
      <w:hyperlink r:id="rId41">
        <w:r w:rsidRPr="00084AF3">
          <w:rPr>
            <w:rFonts w:ascii="Times New Roman" w:eastAsia="Times New Roman" w:hAnsi="Times New Roman" w:cs="Times New Roman"/>
            <w:sz w:val="24"/>
            <w:szCs w:val="24"/>
            <w:u w:val="single"/>
          </w:rPr>
          <w:t>https://www.iea.org/commentaries/global-battery-markets-are-growing-strongly-and-so-are-the-supply-risks</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66E475CC" w14:textId="3670AA8A" w:rsidR="00603B16" w:rsidRPr="00084AF3" w:rsidRDefault="00603B16"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IEEFA (2025). </w:t>
      </w:r>
      <w:r w:rsidRPr="00084AF3">
        <w:rPr>
          <w:rFonts w:ascii="Times New Roman" w:eastAsia="Times New Roman" w:hAnsi="Times New Roman" w:cs="Times New Roman"/>
          <w:i/>
          <w:iCs/>
          <w:sz w:val="24"/>
          <w:szCs w:val="24"/>
        </w:rPr>
        <w:t xml:space="preserve">Australia’s steel sector too focused on replacing one fossil fuel with another. </w:t>
      </w:r>
      <w:r w:rsidRPr="00084AF3">
        <w:rPr>
          <w:rFonts w:ascii="Times New Roman" w:eastAsia="Times New Roman" w:hAnsi="Times New Roman" w:cs="Times New Roman"/>
          <w:sz w:val="24"/>
          <w:szCs w:val="24"/>
        </w:rPr>
        <w:t xml:space="preserve">[online] Available at: </w:t>
      </w:r>
      <w:hyperlink r:id="rId42" w:history="1">
        <w:r w:rsidRPr="00084AF3">
          <w:rPr>
            <w:rStyle w:val="Hyperlink"/>
            <w:rFonts w:ascii="Times New Roman" w:eastAsia="Times New Roman" w:hAnsi="Times New Roman" w:cs="Times New Roman"/>
            <w:color w:val="auto"/>
            <w:sz w:val="24"/>
            <w:szCs w:val="24"/>
          </w:rPr>
          <w:t>https://ieefa.org/resources/australias-steel-sector-too-focused-replacing-one-fossil-fuel-another</w:t>
        </w:r>
      </w:hyperlink>
      <w:r w:rsidRPr="00084AF3">
        <w:rPr>
          <w:rFonts w:ascii="Times New Roman" w:eastAsia="Times New Roman" w:hAnsi="Times New Roman" w:cs="Times New Roman"/>
          <w:i/>
          <w:iCs/>
          <w:sz w:val="24"/>
          <w:szCs w:val="24"/>
        </w:rPr>
        <w:t xml:space="preserve"> </w:t>
      </w:r>
      <w:r w:rsidRPr="00084AF3">
        <w:rPr>
          <w:rFonts w:ascii="Times New Roman" w:eastAsia="Times New Roman" w:hAnsi="Times New Roman" w:cs="Times New Roman"/>
          <w:sz w:val="24"/>
          <w:szCs w:val="24"/>
        </w:rPr>
        <w:t xml:space="preserve">[Accessed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3BB7D559" w14:textId="30E35855"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IM-Mining (2026). </w:t>
      </w:r>
      <w:r w:rsidRPr="00084AF3">
        <w:rPr>
          <w:rFonts w:ascii="Times New Roman" w:eastAsia="Times New Roman" w:hAnsi="Times New Roman" w:cs="Times New Roman"/>
          <w:i/>
          <w:iCs/>
          <w:sz w:val="24"/>
          <w:szCs w:val="24"/>
        </w:rPr>
        <w:t>BHP advances renewable power supply and storage at Escondida &amp; Spence</w:t>
      </w:r>
      <w:r w:rsidRPr="00084AF3">
        <w:rPr>
          <w:rFonts w:ascii="Times New Roman" w:eastAsia="Times New Roman" w:hAnsi="Times New Roman" w:cs="Times New Roman"/>
          <w:sz w:val="24"/>
          <w:szCs w:val="24"/>
        </w:rPr>
        <w:t xml:space="preserve">. [online] Available at: </w:t>
      </w:r>
      <w:hyperlink r:id="rId43">
        <w:r w:rsidRPr="00084AF3">
          <w:rPr>
            <w:rFonts w:ascii="Times New Roman" w:eastAsia="Times New Roman" w:hAnsi="Times New Roman" w:cs="Times New Roman"/>
            <w:sz w:val="24"/>
            <w:szCs w:val="24"/>
            <w:u w:val="single"/>
          </w:rPr>
          <w:t>https://im-mining.com/2026/06/01/bhp-advances-renewable-power-supply-and-storage-at-escondida-spence/</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16809359" w14:textId="1E058A7F"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Infrastructure (2025). </w:t>
      </w:r>
      <w:r w:rsidRPr="00084AF3">
        <w:rPr>
          <w:rFonts w:ascii="Times New Roman" w:eastAsia="Times New Roman" w:hAnsi="Times New Roman" w:cs="Times New Roman"/>
          <w:i/>
          <w:iCs/>
          <w:sz w:val="24"/>
          <w:szCs w:val="24"/>
        </w:rPr>
        <w:t>Towards net zero for transport and infrastructure</w:t>
      </w:r>
      <w:r w:rsidRPr="00084AF3">
        <w:rPr>
          <w:rFonts w:ascii="Times New Roman" w:eastAsia="Times New Roman" w:hAnsi="Times New Roman" w:cs="Times New Roman"/>
          <w:sz w:val="24"/>
          <w:szCs w:val="24"/>
        </w:rPr>
        <w:t xml:space="preserve">. [online] Available at: </w:t>
      </w:r>
      <w:hyperlink r:id="rId44">
        <w:r w:rsidRPr="00084AF3">
          <w:rPr>
            <w:rFonts w:ascii="Times New Roman" w:eastAsia="Times New Roman" w:hAnsi="Times New Roman" w:cs="Times New Roman"/>
            <w:sz w:val="24"/>
            <w:szCs w:val="24"/>
            <w:u w:val="single"/>
          </w:rPr>
          <w:t>https://www.infrastructure.gov.au/infrastructure-transport-vehicles/towards-net-zero-transport-and-infrastructure</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5DA172E7" w14:textId="6ADCBD04"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Knaus, C. and Morton, A. (2026). </w:t>
      </w:r>
      <w:r w:rsidRPr="00084AF3">
        <w:rPr>
          <w:rFonts w:ascii="Times New Roman" w:eastAsia="Times New Roman" w:hAnsi="Times New Roman" w:cs="Times New Roman"/>
          <w:i/>
          <w:iCs/>
          <w:sz w:val="24"/>
          <w:szCs w:val="24"/>
        </w:rPr>
        <w:t>Revealed: the internal BHP memo that slammed the brakes on the world’s biggest miner’s climate push</w:t>
      </w:r>
      <w:r w:rsidRPr="00084AF3">
        <w:rPr>
          <w:rFonts w:ascii="Times New Roman" w:eastAsia="Times New Roman" w:hAnsi="Times New Roman" w:cs="Times New Roman"/>
          <w:sz w:val="24"/>
          <w:szCs w:val="24"/>
        </w:rPr>
        <w:t xml:space="preserve">. [online] Available at: </w:t>
      </w:r>
      <w:hyperlink r:id="rId45">
        <w:r w:rsidRPr="00084AF3">
          <w:rPr>
            <w:rFonts w:ascii="Times New Roman" w:eastAsia="Times New Roman" w:hAnsi="Times New Roman" w:cs="Times New Roman"/>
            <w:sz w:val="24"/>
            <w:szCs w:val="24"/>
            <w:u w:val="single"/>
          </w:rPr>
          <w:t>https://www.theguardian.com/world/ng-interactive/2026/may/25/bhp-files-internal-memo-revealed</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 xml:space="preserve">6th </w:t>
      </w:r>
      <w:r w:rsidRPr="00084AF3">
        <w:rPr>
          <w:rFonts w:ascii="Times New Roman" w:eastAsia="Times New Roman" w:hAnsi="Times New Roman" w:cs="Times New Roman"/>
          <w:sz w:val="24"/>
          <w:szCs w:val="24"/>
        </w:rPr>
        <w:t>Jul. 2026].</w:t>
      </w:r>
    </w:p>
    <w:p w14:paraId="15C20341" w14:textId="551BFEFC"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Minister.Industry.GOV.AU (2025). </w:t>
      </w:r>
      <w:r w:rsidRPr="00084AF3">
        <w:rPr>
          <w:rFonts w:ascii="Times New Roman" w:eastAsia="Times New Roman" w:hAnsi="Times New Roman" w:cs="Times New Roman"/>
          <w:i/>
          <w:iCs/>
          <w:sz w:val="24"/>
          <w:szCs w:val="24"/>
        </w:rPr>
        <w:t>New $5 billion Net Zero Fund will accelerate Australia’s industrial decarbonisation</w:t>
      </w:r>
      <w:r w:rsidRPr="00084AF3">
        <w:rPr>
          <w:rFonts w:ascii="Times New Roman" w:eastAsia="Times New Roman" w:hAnsi="Times New Roman" w:cs="Times New Roman"/>
          <w:sz w:val="24"/>
          <w:szCs w:val="24"/>
        </w:rPr>
        <w:t xml:space="preserve">. [online] Available at: </w:t>
      </w:r>
      <w:hyperlink r:id="rId46">
        <w:r w:rsidRPr="00084AF3">
          <w:rPr>
            <w:rFonts w:ascii="Times New Roman" w:eastAsia="Times New Roman" w:hAnsi="Times New Roman" w:cs="Times New Roman"/>
            <w:sz w:val="24"/>
            <w:szCs w:val="24"/>
            <w:u w:val="single"/>
          </w:rPr>
          <w:t>https://www.minister.industry.gov.au/ministers/timayres/media-releases/new-5-billion-net-zero-fund-will-accelerate-australias-industrial-decarbonisation</w:t>
        </w:r>
      </w:hyperlink>
      <w:r w:rsidRPr="00084AF3">
        <w:rPr>
          <w:rFonts w:ascii="Times New Roman" w:eastAsia="Times New Roman" w:hAnsi="Times New Roman" w:cs="Times New Roman"/>
          <w:sz w:val="24"/>
          <w:szCs w:val="24"/>
        </w:rPr>
        <w:t xml:space="preserve"> [Accessed </w:t>
      </w:r>
      <w:r w:rsidR="00AF3987" w:rsidRPr="00084AF3">
        <w:rPr>
          <w:rFonts w:ascii="Times New Roman" w:eastAsia="Times New Roman" w:hAnsi="Times New Roman" w:cs="Times New Roman"/>
          <w:sz w:val="24"/>
          <w:szCs w:val="24"/>
        </w:rPr>
        <w:t>6th</w:t>
      </w:r>
      <w:r w:rsidRPr="00084AF3">
        <w:rPr>
          <w:rFonts w:ascii="Times New Roman" w:eastAsia="Times New Roman" w:hAnsi="Times New Roman" w:cs="Times New Roman"/>
          <w:sz w:val="24"/>
          <w:szCs w:val="24"/>
        </w:rPr>
        <w:t xml:space="preserve"> Jul. 2026].</w:t>
      </w:r>
    </w:p>
    <w:p w14:paraId="4F038757" w14:textId="77777777"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Morton, A. and Jervis-Bardy, D. (2026). </w:t>
      </w:r>
      <w:r w:rsidRPr="00084AF3">
        <w:rPr>
          <w:rFonts w:ascii="Times New Roman" w:eastAsia="Times New Roman" w:hAnsi="Times New Roman" w:cs="Times New Roman"/>
          <w:i/>
          <w:iCs/>
          <w:sz w:val="24"/>
          <w:szCs w:val="24"/>
        </w:rPr>
        <w:t>Coal companies to reap billions more in taxpayer diesel subsidies as Labour approves new mining</w:t>
      </w:r>
      <w:r w:rsidRPr="00084AF3">
        <w:rPr>
          <w:rFonts w:ascii="Times New Roman" w:eastAsia="Times New Roman" w:hAnsi="Times New Roman" w:cs="Times New Roman"/>
          <w:sz w:val="24"/>
          <w:szCs w:val="24"/>
        </w:rPr>
        <w:t xml:space="preserve">. [online] Available at: </w:t>
      </w:r>
      <w:hyperlink r:id="rId47">
        <w:r w:rsidRPr="00084AF3">
          <w:rPr>
            <w:rFonts w:ascii="Times New Roman" w:eastAsia="Times New Roman" w:hAnsi="Times New Roman" w:cs="Times New Roman"/>
            <w:sz w:val="24"/>
            <w:szCs w:val="24"/>
            <w:u w:val="single"/>
          </w:rPr>
          <w:t>https://www.theguardian.com/australia-news/2026/jun/22/mining-tax-credit-scheme-coal-companies-subsidies-taxpayer-refunds-diesel</w:t>
        </w:r>
      </w:hyperlink>
      <w:r w:rsidRPr="00084AF3">
        <w:rPr>
          <w:rFonts w:ascii="Times New Roman" w:eastAsia="Times New Roman" w:hAnsi="Times New Roman" w:cs="Times New Roman"/>
          <w:sz w:val="24"/>
          <w:szCs w:val="24"/>
        </w:rPr>
        <w:t xml:space="preserve"> [Accessed 4 Jul. 2026].</w:t>
      </w:r>
    </w:p>
    <w:p w14:paraId="556BED52" w14:textId="77777777"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PM (2025). </w:t>
      </w:r>
      <w:r w:rsidRPr="00084AF3">
        <w:rPr>
          <w:rFonts w:ascii="Times New Roman" w:eastAsia="Times New Roman" w:hAnsi="Times New Roman" w:cs="Times New Roman"/>
          <w:i/>
          <w:iCs/>
          <w:sz w:val="24"/>
          <w:szCs w:val="24"/>
        </w:rPr>
        <w:t>Agreement among the government of Australia, the government of Canada, and the government of India</w:t>
      </w:r>
      <w:r w:rsidRPr="00084AF3">
        <w:rPr>
          <w:rFonts w:ascii="Times New Roman" w:eastAsia="Times New Roman" w:hAnsi="Times New Roman" w:cs="Times New Roman"/>
          <w:sz w:val="24"/>
          <w:szCs w:val="24"/>
        </w:rPr>
        <w:t xml:space="preserve">. [online] Available at: </w:t>
      </w:r>
      <w:hyperlink r:id="rId48">
        <w:r w:rsidRPr="00084AF3">
          <w:rPr>
            <w:rFonts w:ascii="Times New Roman" w:eastAsia="Times New Roman" w:hAnsi="Times New Roman" w:cs="Times New Roman"/>
            <w:sz w:val="24"/>
            <w:szCs w:val="24"/>
            <w:u w:val="single"/>
          </w:rPr>
          <w:t>https://www.pm.gov.au/media/agreement-among-government-australia-government-canada-and-government-india</w:t>
        </w:r>
      </w:hyperlink>
      <w:r w:rsidRPr="00084AF3">
        <w:rPr>
          <w:rFonts w:ascii="Times New Roman" w:eastAsia="Times New Roman" w:hAnsi="Times New Roman" w:cs="Times New Roman"/>
          <w:sz w:val="24"/>
          <w:szCs w:val="24"/>
        </w:rPr>
        <w:t xml:space="preserve"> [Accessed 4 Jul. 2026].</w:t>
      </w:r>
    </w:p>
    <w:p w14:paraId="287C3F07" w14:textId="77777777" w:rsidR="00E7127D" w:rsidRPr="00084AF3" w:rsidRDefault="00E7127D" w:rsidP="00E7127D">
      <w:pPr>
        <w:spacing w:line="360" w:lineRule="auto"/>
        <w:jc w:val="both"/>
        <w:rPr>
          <w:rFonts w:ascii="Times New Roman" w:eastAsia="Times New Roman" w:hAnsi="Times New Roman" w:cs="Times New Roman"/>
          <w:sz w:val="24"/>
          <w:szCs w:val="24"/>
        </w:rPr>
      </w:pPr>
      <w:proofErr w:type="spellStart"/>
      <w:r w:rsidRPr="00084AF3">
        <w:rPr>
          <w:rFonts w:ascii="Times New Roman" w:eastAsia="Times New Roman" w:hAnsi="Times New Roman" w:cs="Times New Roman"/>
          <w:sz w:val="24"/>
          <w:szCs w:val="24"/>
        </w:rPr>
        <w:t>Podobińska</w:t>
      </w:r>
      <w:proofErr w:type="spellEnd"/>
      <w:r w:rsidRPr="00084AF3">
        <w:rPr>
          <w:rFonts w:ascii="Times New Roman" w:eastAsia="Times New Roman" w:hAnsi="Times New Roman" w:cs="Times New Roman"/>
          <w:sz w:val="24"/>
          <w:szCs w:val="24"/>
        </w:rPr>
        <w:t>-Staniec, M., Wiktor-</w:t>
      </w:r>
      <w:proofErr w:type="spellStart"/>
      <w:r w:rsidRPr="00084AF3">
        <w:rPr>
          <w:rFonts w:ascii="Times New Roman" w:eastAsia="Times New Roman" w:hAnsi="Times New Roman" w:cs="Times New Roman"/>
          <w:sz w:val="24"/>
          <w:szCs w:val="24"/>
        </w:rPr>
        <w:t>Sułkowska</w:t>
      </w:r>
      <w:proofErr w:type="spellEnd"/>
      <w:r w:rsidRPr="00084AF3">
        <w:rPr>
          <w:rFonts w:ascii="Times New Roman" w:eastAsia="Times New Roman" w:hAnsi="Times New Roman" w:cs="Times New Roman"/>
          <w:sz w:val="24"/>
          <w:szCs w:val="24"/>
        </w:rPr>
        <w:t xml:space="preserve">, A., Kustra, A. and Lorenc-Szot, S. (2025). Copper as a critical resource in the energy transition. </w:t>
      </w:r>
      <w:r w:rsidRPr="00084AF3">
        <w:rPr>
          <w:rFonts w:ascii="Times New Roman" w:eastAsia="Times New Roman" w:hAnsi="Times New Roman" w:cs="Times New Roman"/>
          <w:i/>
          <w:iCs/>
          <w:sz w:val="24"/>
          <w:szCs w:val="24"/>
        </w:rPr>
        <w:t>Energies</w:t>
      </w:r>
      <w:r w:rsidRPr="00084AF3">
        <w:rPr>
          <w:rFonts w:ascii="Times New Roman" w:eastAsia="Times New Roman" w:hAnsi="Times New Roman" w:cs="Times New Roman"/>
          <w:sz w:val="24"/>
          <w:szCs w:val="24"/>
        </w:rPr>
        <w:t xml:space="preserve">, </w:t>
      </w:r>
      <w:r w:rsidRPr="00084AF3">
        <w:rPr>
          <w:rFonts w:ascii="Times New Roman" w:eastAsia="Times New Roman" w:hAnsi="Times New Roman" w:cs="Times New Roman"/>
          <w:i/>
          <w:iCs/>
          <w:sz w:val="24"/>
          <w:szCs w:val="24"/>
        </w:rPr>
        <w:t>18</w:t>
      </w:r>
      <w:r w:rsidRPr="00084AF3">
        <w:rPr>
          <w:rFonts w:ascii="Times New Roman" w:eastAsia="Times New Roman" w:hAnsi="Times New Roman" w:cs="Times New Roman"/>
          <w:sz w:val="24"/>
          <w:szCs w:val="24"/>
        </w:rPr>
        <w:t xml:space="preserve">(4), p.969. </w:t>
      </w:r>
      <w:hyperlink r:id="rId49">
        <w:r w:rsidRPr="00084AF3">
          <w:rPr>
            <w:rFonts w:ascii="Times New Roman" w:eastAsia="Times New Roman" w:hAnsi="Times New Roman" w:cs="Times New Roman"/>
            <w:sz w:val="24"/>
            <w:szCs w:val="24"/>
            <w:u w:val="single"/>
          </w:rPr>
          <w:t>https://www.mdpi.com/1996-1073/18/4/969</w:t>
        </w:r>
      </w:hyperlink>
    </w:p>
    <w:p w14:paraId="418ABA06" w14:textId="77777777" w:rsidR="00E7127D" w:rsidRPr="00084AF3" w:rsidRDefault="00E7127D" w:rsidP="00E7127D">
      <w:pPr>
        <w:spacing w:after="240" w:line="360" w:lineRule="auto"/>
        <w:jc w:val="both"/>
        <w:rPr>
          <w:rFonts w:ascii="Times New Roman" w:eastAsia="Times New Roman" w:hAnsi="Times New Roman" w:cs="Times New Roman"/>
          <w:sz w:val="24"/>
          <w:szCs w:val="24"/>
        </w:rPr>
      </w:pPr>
      <w:proofErr w:type="spellStart"/>
      <w:r w:rsidRPr="00084AF3">
        <w:rPr>
          <w:rFonts w:ascii="Times New Roman" w:eastAsia="Times New Roman" w:hAnsi="Times New Roman" w:cs="Times New Roman"/>
          <w:sz w:val="24"/>
          <w:szCs w:val="24"/>
        </w:rPr>
        <w:t>Readfearn</w:t>
      </w:r>
      <w:proofErr w:type="spellEnd"/>
      <w:r w:rsidRPr="00084AF3">
        <w:rPr>
          <w:rFonts w:ascii="Times New Roman" w:eastAsia="Times New Roman" w:hAnsi="Times New Roman" w:cs="Times New Roman"/>
          <w:sz w:val="24"/>
          <w:szCs w:val="24"/>
        </w:rPr>
        <w:t xml:space="preserve">, G. (2026). </w:t>
      </w:r>
      <w:r w:rsidRPr="00084AF3">
        <w:rPr>
          <w:rFonts w:ascii="Times New Roman" w:eastAsia="Times New Roman" w:hAnsi="Times New Roman" w:cs="Times New Roman"/>
          <w:i/>
          <w:iCs/>
          <w:sz w:val="24"/>
          <w:szCs w:val="24"/>
        </w:rPr>
        <w:t>‘Wake-up call’: methane emissions from Australian coalmines more than double official estimates, report finds</w:t>
      </w:r>
      <w:r w:rsidRPr="00084AF3">
        <w:rPr>
          <w:rFonts w:ascii="Times New Roman" w:eastAsia="Times New Roman" w:hAnsi="Times New Roman" w:cs="Times New Roman"/>
          <w:sz w:val="24"/>
          <w:szCs w:val="24"/>
        </w:rPr>
        <w:t xml:space="preserve">. [online] Available at: </w:t>
      </w:r>
      <w:hyperlink r:id="rId50">
        <w:r w:rsidRPr="00084AF3">
          <w:rPr>
            <w:rFonts w:ascii="Times New Roman" w:eastAsia="Times New Roman" w:hAnsi="Times New Roman" w:cs="Times New Roman"/>
            <w:sz w:val="24"/>
            <w:szCs w:val="24"/>
            <w:u w:val="single"/>
          </w:rPr>
          <w:t>https://www.theguardian.com/environment/2026/may/04/methane-emissions-australian-coalmines-more-than-double-official-estimates-report-finds</w:t>
        </w:r>
      </w:hyperlink>
      <w:r w:rsidRPr="00084AF3">
        <w:rPr>
          <w:rFonts w:ascii="Times New Roman" w:eastAsia="Times New Roman" w:hAnsi="Times New Roman" w:cs="Times New Roman"/>
          <w:sz w:val="24"/>
          <w:szCs w:val="24"/>
        </w:rPr>
        <w:t xml:space="preserve"> [Accessed 4 Jul. 2026].</w:t>
      </w:r>
    </w:p>
    <w:p w14:paraId="020F40CA" w14:textId="77777777"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Sasu, D.D. (2025). </w:t>
      </w:r>
      <w:r w:rsidRPr="00084AF3">
        <w:rPr>
          <w:rFonts w:ascii="Times New Roman" w:eastAsia="Times New Roman" w:hAnsi="Times New Roman" w:cs="Times New Roman"/>
          <w:i/>
          <w:iCs/>
          <w:sz w:val="24"/>
          <w:szCs w:val="24"/>
        </w:rPr>
        <w:t xml:space="preserve">Leading metals and mining companies Australia 2025, by market </w:t>
      </w:r>
      <w:proofErr w:type="gramStart"/>
      <w:r w:rsidRPr="00084AF3">
        <w:rPr>
          <w:rFonts w:ascii="Times New Roman" w:eastAsia="Times New Roman" w:hAnsi="Times New Roman" w:cs="Times New Roman"/>
          <w:i/>
          <w:iCs/>
          <w:sz w:val="24"/>
          <w:szCs w:val="24"/>
        </w:rPr>
        <w:t xml:space="preserve">capitalization </w:t>
      </w:r>
      <w:r w:rsidRPr="00084AF3">
        <w:rPr>
          <w:rFonts w:ascii="Times New Roman" w:eastAsia="Times New Roman" w:hAnsi="Times New Roman" w:cs="Times New Roman"/>
          <w:sz w:val="24"/>
          <w:szCs w:val="24"/>
        </w:rPr>
        <w:t>.</w:t>
      </w:r>
      <w:proofErr w:type="gramEnd"/>
      <w:r w:rsidRPr="00084AF3">
        <w:rPr>
          <w:rFonts w:ascii="Times New Roman" w:eastAsia="Times New Roman" w:hAnsi="Times New Roman" w:cs="Times New Roman"/>
          <w:sz w:val="24"/>
          <w:szCs w:val="24"/>
        </w:rPr>
        <w:t xml:space="preserve"> [online] Available at: </w:t>
      </w:r>
      <w:hyperlink r:id="rId51">
        <w:r w:rsidRPr="00084AF3">
          <w:rPr>
            <w:rFonts w:ascii="Times New Roman" w:eastAsia="Times New Roman" w:hAnsi="Times New Roman" w:cs="Times New Roman"/>
            <w:sz w:val="24"/>
            <w:szCs w:val="24"/>
            <w:u w:val="single"/>
          </w:rPr>
          <w:t>https://www.statista.com/statistics/1241687/australia-largest-metal-mining-companies-by-market-capitalization/</w:t>
        </w:r>
      </w:hyperlink>
      <w:r w:rsidRPr="00084AF3">
        <w:rPr>
          <w:rFonts w:ascii="Times New Roman" w:eastAsia="Times New Roman" w:hAnsi="Times New Roman" w:cs="Times New Roman"/>
          <w:sz w:val="24"/>
          <w:szCs w:val="24"/>
        </w:rPr>
        <w:t xml:space="preserve"> [Accessed 4 Jul. 2026].</w:t>
      </w:r>
    </w:p>
    <w:p w14:paraId="1E35393C" w14:textId="77777777"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Sun, K. (2026). </w:t>
      </w:r>
      <w:r w:rsidRPr="00084AF3">
        <w:rPr>
          <w:rFonts w:ascii="Times New Roman" w:eastAsia="Times New Roman" w:hAnsi="Times New Roman" w:cs="Times New Roman"/>
          <w:i/>
          <w:iCs/>
          <w:sz w:val="24"/>
          <w:szCs w:val="24"/>
        </w:rPr>
        <w:t>BHP just hit all-time highs. Here are three reasons it has more to give</w:t>
      </w:r>
      <w:r w:rsidRPr="00084AF3">
        <w:rPr>
          <w:rFonts w:ascii="Times New Roman" w:eastAsia="Times New Roman" w:hAnsi="Times New Roman" w:cs="Times New Roman"/>
          <w:sz w:val="24"/>
          <w:szCs w:val="24"/>
        </w:rPr>
        <w:t xml:space="preserve">. [online] Available at: </w:t>
      </w:r>
      <w:hyperlink r:id="rId52">
        <w:r w:rsidRPr="00084AF3">
          <w:rPr>
            <w:rFonts w:ascii="Times New Roman" w:eastAsia="Times New Roman" w:hAnsi="Times New Roman" w:cs="Times New Roman"/>
            <w:sz w:val="24"/>
            <w:szCs w:val="24"/>
            <w:u w:val="single"/>
          </w:rPr>
          <w:t>https://www.marketindex.com.au/news/bhp-just-hit-all-time-highs-here-are-three-reasons-it-has-more-to-give</w:t>
        </w:r>
      </w:hyperlink>
      <w:r w:rsidRPr="00084AF3">
        <w:rPr>
          <w:rFonts w:ascii="Times New Roman" w:eastAsia="Times New Roman" w:hAnsi="Times New Roman" w:cs="Times New Roman"/>
          <w:sz w:val="24"/>
          <w:szCs w:val="24"/>
        </w:rPr>
        <w:t xml:space="preserve"> [Accessed 4 Jul. 2026].</w:t>
      </w:r>
    </w:p>
    <w:p w14:paraId="7AE180F2" w14:textId="77777777" w:rsidR="00E7127D" w:rsidRPr="00084AF3" w:rsidRDefault="00E7127D" w:rsidP="00E7127D">
      <w:pPr>
        <w:spacing w:after="240"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lastRenderedPageBreak/>
        <w:t xml:space="preserve">TOMESCO, F. (2026). </w:t>
      </w:r>
      <w:r w:rsidRPr="00084AF3">
        <w:rPr>
          <w:rFonts w:ascii="Times New Roman" w:eastAsia="Times New Roman" w:hAnsi="Times New Roman" w:cs="Times New Roman"/>
          <w:i/>
          <w:iCs/>
          <w:sz w:val="24"/>
          <w:szCs w:val="24"/>
        </w:rPr>
        <w:t>BHP’s Jansen mine, a year away, faces crowded slot</w:t>
      </w:r>
      <w:r w:rsidRPr="00084AF3">
        <w:rPr>
          <w:rFonts w:ascii="Times New Roman" w:eastAsia="Times New Roman" w:hAnsi="Times New Roman" w:cs="Times New Roman"/>
          <w:sz w:val="24"/>
          <w:szCs w:val="24"/>
        </w:rPr>
        <w:t xml:space="preserve">. [online] Available at: </w:t>
      </w:r>
      <w:hyperlink r:id="rId53">
        <w:r w:rsidRPr="00084AF3">
          <w:rPr>
            <w:rFonts w:ascii="Times New Roman" w:eastAsia="Times New Roman" w:hAnsi="Times New Roman" w:cs="Times New Roman"/>
            <w:sz w:val="24"/>
            <w:szCs w:val="24"/>
            <w:u w:val="single"/>
          </w:rPr>
          <w:t>https://www.northernminer.com/news/bhps-jansen-mine-a-year-away-faces-crowded-slot/1003892644/</w:t>
        </w:r>
      </w:hyperlink>
      <w:r w:rsidRPr="00084AF3">
        <w:rPr>
          <w:rFonts w:ascii="Times New Roman" w:eastAsia="Times New Roman" w:hAnsi="Times New Roman" w:cs="Times New Roman"/>
          <w:sz w:val="24"/>
          <w:szCs w:val="24"/>
        </w:rPr>
        <w:t xml:space="preserve"> [Accessed 4 Jul. 2026].</w:t>
      </w:r>
    </w:p>
    <w:p w14:paraId="381CC611" w14:textId="77777777" w:rsidR="00E7127D" w:rsidRPr="00084AF3" w:rsidRDefault="00E7127D" w:rsidP="00E7127D">
      <w:pPr>
        <w:spacing w:line="360" w:lineRule="auto"/>
        <w:jc w:val="both"/>
        <w:rPr>
          <w:rFonts w:ascii="Times New Roman" w:eastAsia="Times New Roman" w:hAnsi="Times New Roman" w:cs="Times New Roman"/>
          <w:sz w:val="24"/>
          <w:szCs w:val="24"/>
        </w:rPr>
      </w:pPr>
      <w:r w:rsidRPr="00084AF3">
        <w:rPr>
          <w:rFonts w:ascii="Times New Roman" w:eastAsia="Times New Roman" w:hAnsi="Times New Roman" w:cs="Times New Roman"/>
          <w:sz w:val="24"/>
          <w:szCs w:val="24"/>
        </w:rPr>
        <w:t xml:space="preserve">Zhang, H. (2026). Resilience of critical transition minerals supply chain in the context of strategic rivalry: implications for the national policy and regulatory frameworks. </w:t>
      </w:r>
      <w:r w:rsidRPr="00084AF3">
        <w:rPr>
          <w:rFonts w:ascii="Times New Roman" w:eastAsia="Times New Roman" w:hAnsi="Times New Roman" w:cs="Times New Roman"/>
          <w:i/>
          <w:iCs/>
          <w:sz w:val="24"/>
          <w:szCs w:val="24"/>
        </w:rPr>
        <w:t>Journal of Energy &amp; Natural Resources Law</w:t>
      </w:r>
      <w:r w:rsidRPr="00084AF3">
        <w:rPr>
          <w:rFonts w:ascii="Times New Roman" w:eastAsia="Times New Roman" w:hAnsi="Times New Roman" w:cs="Times New Roman"/>
          <w:sz w:val="24"/>
          <w:szCs w:val="24"/>
        </w:rPr>
        <w:t xml:space="preserve">, </w:t>
      </w:r>
      <w:r w:rsidRPr="00084AF3">
        <w:rPr>
          <w:rFonts w:ascii="Times New Roman" w:eastAsia="Times New Roman" w:hAnsi="Times New Roman" w:cs="Times New Roman"/>
          <w:i/>
          <w:iCs/>
          <w:sz w:val="24"/>
          <w:szCs w:val="24"/>
        </w:rPr>
        <w:t>44</w:t>
      </w:r>
      <w:r w:rsidRPr="00084AF3">
        <w:rPr>
          <w:rFonts w:ascii="Times New Roman" w:eastAsia="Times New Roman" w:hAnsi="Times New Roman" w:cs="Times New Roman"/>
          <w:sz w:val="24"/>
          <w:szCs w:val="24"/>
        </w:rPr>
        <w:t xml:space="preserve">(1), pp.67-93. </w:t>
      </w:r>
      <w:hyperlink r:id="rId54">
        <w:r w:rsidRPr="00084AF3">
          <w:rPr>
            <w:rFonts w:ascii="Times New Roman" w:eastAsia="Times New Roman" w:hAnsi="Times New Roman" w:cs="Times New Roman"/>
            <w:sz w:val="24"/>
            <w:szCs w:val="24"/>
            <w:u w:val="single"/>
          </w:rPr>
          <w:t>https://www.tandfonline.com/doi/pdf/10.1080/02646811.2025.2495920</w:t>
        </w:r>
      </w:hyperlink>
    </w:p>
    <w:p w14:paraId="0437AB15" w14:textId="77777777" w:rsidR="005E3179" w:rsidRPr="00084AF3" w:rsidRDefault="005E3179">
      <w:pPr>
        <w:spacing w:line="360" w:lineRule="auto"/>
        <w:jc w:val="both"/>
        <w:rPr>
          <w:rFonts w:ascii="Times New Roman" w:eastAsia="Times New Roman" w:hAnsi="Times New Roman" w:cs="Times New Roman"/>
          <w:sz w:val="24"/>
          <w:szCs w:val="24"/>
        </w:rPr>
      </w:pPr>
    </w:p>
    <w:p w14:paraId="66AAFC26" w14:textId="77777777" w:rsidR="005E3179" w:rsidRPr="00084AF3" w:rsidRDefault="005E3179">
      <w:pPr>
        <w:spacing w:line="360" w:lineRule="auto"/>
        <w:jc w:val="both"/>
        <w:rPr>
          <w:rFonts w:ascii="Times New Roman" w:eastAsia="Times New Roman" w:hAnsi="Times New Roman" w:cs="Times New Roman"/>
          <w:sz w:val="24"/>
          <w:szCs w:val="24"/>
        </w:rPr>
      </w:pPr>
    </w:p>
    <w:sectPr w:rsidR="005E3179" w:rsidRPr="00084AF3" w:rsidSect="00E7127D">
      <w:headerReference w:type="default" r:id="rId55"/>
      <w:footerReference w:type="default" r:id="rId5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1AA93" w14:textId="77777777" w:rsidR="00AB073F" w:rsidRDefault="00AB073F">
      <w:pPr>
        <w:spacing w:line="240" w:lineRule="auto"/>
      </w:pPr>
      <w:r>
        <w:separator/>
      </w:r>
    </w:p>
  </w:endnote>
  <w:endnote w:type="continuationSeparator" w:id="0">
    <w:p w14:paraId="22505B79" w14:textId="77777777" w:rsidR="00AB073F" w:rsidRDefault="00AB07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12B337C-997A-4627-8265-2B19323E8F3D}"/>
  </w:font>
  <w:font w:name="Shruti">
    <w:panose1 w:val="02000500000000000000"/>
    <w:charset w:val="00"/>
    <w:family w:val="swiss"/>
    <w:pitch w:val="variable"/>
    <w:sig w:usb0="00040003" w:usb1="00000000" w:usb2="00000000" w:usb3="00000000" w:csb0="00000001" w:csb1="00000000"/>
    <w:embedRegular r:id="rId2" w:fontKey="{C77C45FC-0F6A-42BA-B0F1-B8BFB8732C07}"/>
  </w:font>
  <w:font w:name="Cambria">
    <w:panose1 w:val="02040503050406030204"/>
    <w:charset w:val="00"/>
    <w:family w:val="roman"/>
    <w:pitch w:val="variable"/>
    <w:sig w:usb0="E00006FF" w:usb1="420024FF" w:usb2="02000000" w:usb3="00000000" w:csb0="0000019F" w:csb1="00000000"/>
    <w:embedRegular r:id="rId3" w:fontKey="{B1E38BB2-2931-4E50-97E8-DCE2408759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BE808" w14:textId="77777777" w:rsidR="005E3179" w:rsidRDefault="00000000">
    <w:pPr>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E7127D">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DBE90" w14:textId="77777777" w:rsidR="00AB073F" w:rsidRDefault="00AB073F">
      <w:pPr>
        <w:spacing w:line="240" w:lineRule="auto"/>
      </w:pPr>
      <w:r>
        <w:separator/>
      </w:r>
    </w:p>
  </w:footnote>
  <w:footnote w:type="continuationSeparator" w:id="0">
    <w:p w14:paraId="4B5556A2" w14:textId="77777777" w:rsidR="00AB073F" w:rsidRDefault="00AB07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5D00" w14:textId="77777777" w:rsidR="005E3179" w:rsidRDefault="00000000">
    <w:pPr>
      <w:spacing w:after="160" w:line="360" w:lineRule="auto"/>
      <w:jc w:val="center"/>
    </w:pPr>
    <w:r>
      <w:rPr>
        <w:noProof/>
      </w:rPr>
      <w:drawing>
        <wp:anchor distT="114300" distB="114300" distL="114300" distR="114300" simplePos="0" relativeHeight="251658240" behindDoc="0" locked="0" layoutInCell="1" hidden="0" allowOverlap="1" wp14:anchorId="041A6DB5" wp14:editId="1BC91772">
          <wp:simplePos x="0" y="0"/>
          <wp:positionH relativeFrom="column">
            <wp:posOffset>4914900</wp:posOffset>
          </wp:positionH>
          <wp:positionV relativeFrom="paragraph">
            <wp:posOffset>-142240</wp:posOffset>
          </wp:positionV>
          <wp:extent cx="1409815" cy="557213"/>
          <wp:effectExtent l="0" t="0" r="0" b="0"/>
          <wp:wrapNone/>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409815" cy="55721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711F"/>
    <w:multiLevelType w:val="multilevel"/>
    <w:tmpl w:val="E8EE8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8C4F14"/>
    <w:multiLevelType w:val="multilevel"/>
    <w:tmpl w:val="8E245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6E5F0F"/>
    <w:multiLevelType w:val="multilevel"/>
    <w:tmpl w:val="221A9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87E334D"/>
    <w:multiLevelType w:val="hybridMultilevel"/>
    <w:tmpl w:val="ACBE65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6163895"/>
    <w:multiLevelType w:val="multilevel"/>
    <w:tmpl w:val="F9FA9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9220611">
    <w:abstractNumId w:val="1"/>
  </w:num>
  <w:num w:numId="2" w16cid:durableId="184949480">
    <w:abstractNumId w:val="0"/>
  </w:num>
  <w:num w:numId="3" w16cid:durableId="305932741">
    <w:abstractNumId w:val="4"/>
  </w:num>
  <w:num w:numId="4" w16cid:durableId="1305507568">
    <w:abstractNumId w:val="2"/>
  </w:num>
  <w:num w:numId="5" w16cid:durableId="387264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179"/>
    <w:rsid w:val="000378AD"/>
    <w:rsid w:val="00084AF3"/>
    <w:rsid w:val="000E1351"/>
    <w:rsid w:val="000F6A3C"/>
    <w:rsid w:val="002C6C61"/>
    <w:rsid w:val="003B5715"/>
    <w:rsid w:val="003E1012"/>
    <w:rsid w:val="004B73E8"/>
    <w:rsid w:val="004C2AE8"/>
    <w:rsid w:val="004D6923"/>
    <w:rsid w:val="004D73AB"/>
    <w:rsid w:val="004F03C9"/>
    <w:rsid w:val="00561C34"/>
    <w:rsid w:val="005B0CF2"/>
    <w:rsid w:val="005E3179"/>
    <w:rsid w:val="00603B16"/>
    <w:rsid w:val="007B5AA2"/>
    <w:rsid w:val="008B7BCB"/>
    <w:rsid w:val="008C4A0E"/>
    <w:rsid w:val="0093421F"/>
    <w:rsid w:val="009468AC"/>
    <w:rsid w:val="00A76D05"/>
    <w:rsid w:val="00AB073F"/>
    <w:rsid w:val="00AB6D4D"/>
    <w:rsid w:val="00AF3987"/>
    <w:rsid w:val="00B57FD2"/>
    <w:rsid w:val="00B8358B"/>
    <w:rsid w:val="00B8401C"/>
    <w:rsid w:val="00C34632"/>
    <w:rsid w:val="00C7350F"/>
    <w:rsid w:val="00C7542F"/>
    <w:rsid w:val="00D82663"/>
    <w:rsid w:val="00DE2DB8"/>
    <w:rsid w:val="00E7127D"/>
    <w:rsid w:val="00EA4E83"/>
    <w:rsid w:val="00EB1BD0"/>
    <w:rsid w:val="00EC38D8"/>
    <w:rsid w:val="00FC2DAE"/>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FF484"/>
  <w15:docId w15:val="{5D1E861E-ECCE-4B9A-B30B-6E460CB7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7127D"/>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E7127D"/>
    <w:pPr>
      <w:keepNext/>
      <w:keepLines/>
      <w:spacing w:before="360" w:after="120" w:line="24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unhideWhenUsed/>
    <w:qFormat/>
    <w:rsid w:val="00E7127D"/>
    <w:pPr>
      <w:keepNext/>
      <w:keepLines/>
      <w:spacing w:before="320" w:after="80" w:line="24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7127D"/>
    <w:pPr>
      <w:tabs>
        <w:tab w:val="center" w:pos="4513"/>
        <w:tab w:val="right" w:pos="9026"/>
      </w:tabs>
      <w:spacing w:line="240" w:lineRule="auto"/>
    </w:pPr>
  </w:style>
  <w:style w:type="character" w:customStyle="1" w:styleId="HeaderChar">
    <w:name w:val="Header Char"/>
    <w:basedOn w:val="DefaultParagraphFont"/>
    <w:link w:val="Header"/>
    <w:uiPriority w:val="99"/>
    <w:rsid w:val="00E7127D"/>
  </w:style>
  <w:style w:type="paragraph" w:styleId="Footer">
    <w:name w:val="footer"/>
    <w:basedOn w:val="Normal"/>
    <w:link w:val="FooterChar"/>
    <w:uiPriority w:val="99"/>
    <w:unhideWhenUsed/>
    <w:rsid w:val="00E7127D"/>
    <w:pPr>
      <w:tabs>
        <w:tab w:val="center" w:pos="4513"/>
        <w:tab w:val="right" w:pos="9026"/>
      </w:tabs>
      <w:spacing w:line="240" w:lineRule="auto"/>
    </w:pPr>
  </w:style>
  <w:style w:type="character" w:customStyle="1" w:styleId="FooterChar">
    <w:name w:val="Footer Char"/>
    <w:basedOn w:val="DefaultParagraphFont"/>
    <w:link w:val="Footer"/>
    <w:uiPriority w:val="99"/>
    <w:rsid w:val="00E7127D"/>
  </w:style>
  <w:style w:type="paragraph" w:styleId="ListParagraph">
    <w:name w:val="List Paragraph"/>
    <w:basedOn w:val="Normal"/>
    <w:uiPriority w:val="34"/>
    <w:qFormat/>
    <w:rsid w:val="00E7127D"/>
    <w:pPr>
      <w:ind w:left="720"/>
      <w:contextualSpacing/>
    </w:pPr>
  </w:style>
  <w:style w:type="paragraph" w:styleId="TOCHeading">
    <w:name w:val="TOC Heading"/>
    <w:basedOn w:val="Heading1"/>
    <w:next w:val="Normal"/>
    <w:uiPriority w:val="39"/>
    <w:unhideWhenUsed/>
    <w:qFormat/>
    <w:rsid w:val="00E7127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7127D"/>
    <w:pPr>
      <w:spacing w:after="100"/>
    </w:pPr>
  </w:style>
  <w:style w:type="paragraph" w:styleId="TOC2">
    <w:name w:val="toc 2"/>
    <w:basedOn w:val="Normal"/>
    <w:next w:val="Normal"/>
    <w:autoRedefine/>
    <w:uiPriority w:val="39"/>
    <w:unhideWhenUsed/>
    <w:rsid w:val="00E7127D"/>
    <w:pPr>
      <w:spacing w:after="100"/>
      <w:ind w:left="220"/>
    </w:pPr>
  </w:style>
  <w:style w:type="paragraph" w:styleId="TOC3">
    <w:name w:val="toc 3"/>
    <w:basedOn w:val="Normal"/>
    <w:next w:val="Normal"/>
    <w:autoRedefine/>
    <w:uiPriority w:val="39"/>
    <w:unhideWhenUsed/>
    <w:rsid w:val="00E7127D"/>
    <w:pPr>
      <w:spacing w:after="100"/>
      <w:ind w:left="440"/>
    </w:pPr>
  </w:style>
  <w:style w:type="character" w:styleId="Hyperlink">
    <w:name w:val="Hyperlink"/>
    <w:basedOn w:val="DefaultParagraphFont"/>
    <w:uiPriority w:val="99"/>
    <w:unhideWhenUsed/>
    <w:rsid w:val="00E7127D"/>
    <w:rPr>
      <w:color w:val="0000FF" w:themeColor="hyperlink"/>
      <w:u w:val="single"/>
    </w:rPr>
  </w:style>
  <w:style w:type="character" w:styleId="UnresolvedMention">
    <w:name w:val="Unresolved Mention"/>
    <w:basedOn w:val="DefaultParagraphFont"/>
    <w:uiPriority w:val="99"/>
    <w:semiHidden/>
    <w:unhideWhenUsed/>
    <w:rsid w:val="004C2A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QuickStyle" Target="diagrams/quickStyle1.xml"/><Relationship Id="rId26" Type="http://schemas.openxmlformats.org/officeDocument/2006/relationships/image" Target="media/image14.png"/><Relationship Id="rId39" Type="http://schemas.openxmlformats.org/officeDocument/2006/relationships/hyperlink" Target="https://www.sciencedirect.com/science/article/pii/S0301420724007761" TargetMode="External"/><Relationship Id="rId21" Type="http://schemas.openxmlformats.org/officeDocument/2006/relationships/image" Target="media/image9.png"/><Relationship Id="rId34" Type="http://schemas.openxmlformats.org/officeDocument/2006/relationships/hyperlink" Target="https://www.dfat.gov.au/geo/singapore/singapore-australia-green-economy-agreement/go-green-co-innovation-program-grant-recipients" TargetMode="External"/><Relationship Id="rId42" Type="http://schemas.openxmlformats.org/officeDocument/2006/relationships/hyperlink" Target="https://ieefa.org/resources/australias-steel-sector-too-focused-replacing-one-fossil-fuel-another" TargetMode="External"/><Relationship Id="rId47" Type="http://schemas.openxmlformats.org/officeDocument/2006/relationships/hyperlink" Target="https://www.theguardian.com/australia-news/2026/jun/22/mining-tax-credit-scheme-coal-companies-subsidies-taxpayer-refunds-diesel" TargetMode="External"/><Relationship Id="rId50" Type="http://schemas.openxmlformats.org/officeDocument/2006/relationships/hyperlink" Target="https://www.theguardian.com/environment/2026/may/04/methane-emissions-australian-coalmines-more-than-double-official-estimates-report-finds"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9" Type="http://schemas.openxmlformats.org/officeDocument/2006/relationships/hyperlink" Target="https://www.bhp.com/news/bhp-insights/2026/06/modifying-the-blast-furnace-route-for-lower-carbon-intensity-steelmaking" TargetMode="Externa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hyperlink" Target="https://www.academia.edu/download/67341664/s0883-9026_2898_2900015-920210516-3730-rx3scc.pdf" TargetMode="External"/><Relationship Id="rId37" Type="http://schemas.openxmlformats.org/officeDocument/2006/relationships/hyperlink" Target="https://www.grandviewresearch.com/horizon/outlook/base-metal-mining-market/australia?__cf_chl_f_tk=lzqtNapk7d9gRsG7tElcEWSCeDyU8yEM_rXCPxftdxU-1783166386-1.0.1.1-W2kQhSIzegTqwno7BLpFlG0jlW8peVIBbWNLmH5o1Sw" TargetMode="External"/><Relationship Id="rId40" Type="http://schemas.openxmlformats.org/officeDocument/2006/relationships/hyperlink" Target="https://www.iea.org/reports/the-role-of-critical-minerals-in-clean-energy-transitions/executive-summary" TargetMode="External"/><Relationship Id="rId45" Type="http://schemas.openxmlformats.org/officeDocument/2006/relationships/hyperlink" Target="https://www.theguardian.com/world/ng-interactive/2026/may/25/bhp-files-internal-memo-revealed" TargetMode="External"/><Relationship Id="rId53" Type="http://schemas.openxmlformats.org/officeDocument/2006/relationships/hyperlink" Target="https://www.northernminer.com/news/bhps-jansen-mine-a-year-away-faces-crowded-slot/1003892644/"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semafor.com/article/03/10/2026/mining-metals-sector-account-for-11-of-global-emissions-report-finds" TargetMode="External"/><Relationship Id="rId35" Type="http://schemas.openxmlformats.org/officeDocument/2006/relationships/hyperlink" Target="https://www.dnv.com/sustainable-practices/bhp-scope3-greenhouse-gas-reduction/" TargetMode="External"/><Relationship Id="rId43" Type="http://schemas.openxmlformats.org/officeDocument/2006/relationships/hyperlink" Target="https://im-mining.com/2026/06/01/bhp-advances-renewable-power-supply-and-storage-at-escondida-spence/" TargetMode="External"/><Relationship Id="rId48" Type="http://schemas.openxmlformats.org/officeDocument/2006/relationships/hyperlink" Target="https://www.pm.gov.au/media/agreement-among-government-australia-government-canada-and-government-india"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tatista.com/statistics/1241687/australia-largest-metal-mining-companies-by-market-capitalization/"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Layout" Target="diagrams/layout1.xml"/><Relationship Id="rId25" Type="http://schemas.openxmlformats.org/officeDocument/2006/relationships/image" Target="media/image13.png"/><Relationship Id="rId33" Type="http://schemas.openxmlformats.org/officeDocument/2006/relationships/hyperlink" Target="https://www.dcceew.gov.au/climate-change/emissions-reduction" TargetMode="External"/><Relationship Id="rId38" Type="http://schemas.openxmlformats.org/officeDocument/2006/relationships/hyperlink" Target="https://www.climatescorecard.org/2026/03/australia-2026-emissions-forecast/" TargetMode="External"/><Relationship Id="rId46" Type="http://schemas.openxmlformats.org/officeDocument/2006/relationships/hyperlink" Target="https://www.minister.industry.gov.au/ministers/timayres/media-releases/new-5-billion-net-zero-fund-will-accelerate-australias-industrial-decarbonisation" TargetMode="External"/><Relationship Id="rId20" Type="http://schemas.microsoft.com/office/2007/relationships/diagramDrawing" Target="diagrams/drawing1.xml"/><Relationship Id="rId41" Type="http://schemas.openxmlformats.org/officeDocument/2006/relationships/hyperlink" Target="https://www.iea.org/commentaries/global-battery-markets-are-growing-strongly-and-so-are-the-supply-risks" TargetMode="External"/><Relationship Id="rId54" Type="http://schemas.openxmlformats.org/officeDocument/2006/relationships/hyperlink" Target="https://www.tandfonline.com/doi/pdf/10.1080/02646811.2025.24959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1.png"/><Relationship Id="rId28" Type="http://schemas.openxmlformats.org/officeDocument/2006/relationships/hyperlink" Target="https://www.bhp.com/sustainability/climate-change/operational-ghg-emissions" TargetMode="External"/><Relationship Id="rId36" Type="http://schemas.openxmlformats.org/officeDocument/2006/relationships/hyperlink" Target="https://climate.ec.europa.eu/eu-action/carbon-markets/international-carbon-pricing-and-markets-diplomacy_en" TargetMode="External"/><Relationship Id="rId49" Type="http://schemas.openxmlformats.org/officeDocument/2006/relationships/hyperlink" Target="https://www.mdpi.com/1996-1073/18/4/969"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cleanenergycouncil.org.au/advocacy/industry-snapshot" TargetMode="External"/><Relationship Id="rId44" Type="http://schemas.openxmlformats.org/officeDocument/2006/relationships/hyperlink" Target="https://www.infrastructure.gov.au/infrastructure-transport-vehicles/towards-net-zero-transport-and-infrastructure" TargetMode="External"/><Relationship Id="rId52" Type="http://schemas.openxmlformats.org/officeDocument/2006/relationships/hyperlink" Target="https://www.marketindex.com.au/news/bhp-just-hit-all-time-highs-here-are-three-reasons-it-has-more-to-giv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5DF2F3-8925-4172-AEE2-FE770CD89BC2}" type="doc">
      <dgm:prSet loTypeId="urn:microsoft.com/office/officeart/2005/8/layout/matrix2" loCatId="matrix" qsTypeId="urn:microsoft.com/office/officeart/2005/8/quickstyle/3d2" qsCatId="3D" csTypeId="urn:microsoft.com/office/officeart/2005/8/colors/colorful2" csCatId="colorful" phldr="1"/>
      <dgm:spPr/>
      <dgm:t>
        <a:bodyPr/>
        <a:lstStyle/>
        <a:p>
          <a:endParaRPr lang="en-IN"/>
        </a:p>
      </dgm:t>
    </dgm:pt>
    <dgm:pt modelId="{4F79D9C2-4EDD-49B7-AB92-426750146E3C}">
      <dgm:prSet phldrT="[Text]" custT="1"/>
      <dgm:spPr/>
      <dgm:t>
        <a:bodyPr/>
        <a:lstStyle/>
        <a:p>
          <a:r>
            <a:rPr lang="en-IN" sz="1200" b="1">
              <a:solidFill>
                <a:schemeClr val="tx1">
                  <a:lumMod val="95000"/>
                  <a:lumOff val="5000"/>
                </a:schemeClr>
              </a:solidFill>
              <a:latin typeface="Times New Roman" panose="02020603050405020304" pitchFamily="18" charset="0"/>
              <a:ea typeface="Tahoma" panose="020B0604030504040204" pitchFamily="34" charset="0"/>
              <a:cs typeface="Times New Roman" panose="02020603050405020304" pitchFamily="18" charset="0"/>
            </a:rPr>
            <a:t>Market Strategy</a:t>
          </a:r>
        </a:p>
      </dgm:t>
    </dgm:pt>
    <dgm:pt modelId="{473DFB5E-3E65-471A-9480-6D5510C391E6}" type="parTrans" cxnId="{B8B3CFF8-2608-4FC2-A477-9D80393E1CF3}">
      <dgm:prSet/>
      <dgm:spPr/>
      <dgm:t>
        <a:bodyPr/>
        <a:lstStyle/>
        <a:p>
          <a:endParaRPr lang="en-IN"/>
        </a:p>
      </dgm:t>
    </dgm:pt>
    <dgm:pt modelId="{1ECA4996-5788-4E9D-8F35-11C5CB59D6A1}" type="sibTrans" cxnId="{B8B3CFF8-2608-4FC2-A477-9D80393E1CF3}">
      <dgm:prSet/>
      <dgm:spPr/>
      <dgm:t>
        <a:bodyPr/>
        <a:lstStyle/>
        <a:p>
          <a:endParaRPr lang="en-IN"/>
        </a:p>
      </dgm:t>
    </dgm:pt>
    <dgm:pt modelId="{56D82A7A-03F2-4443-8AC4-F9A49F7BF1EC}">
      <dgm:prSet phldrT="[Text]" custT="1"/>
      <dgm:spPr/>
      <dgm:t>
        <a:bodyPr/>
        <a:lstStyle/>
        <a:p>
          <a:r>
            <a:rPr lang="en-IN" sz="1200" b="1">
              <a:solidFill>
                <a:srgbClr val="0070C0"/>
              </a:solidFill>
              <a:latin typeface="Times New Roman" panose="02020603050405020304" pitchFamily="18" charset="0"/>
              <a:cs typeface="Times New Roman" panose="02020603050405020304" pitchFamily="18" charset="0"/>
            </a:rPr>
            <a:t>Product Strategy</a:t>
          </a:r>
        </a:p>
      </dgm:t>
    </dgm:pt>
    <dgm:pt modelId="{97A52DC7-3717-4DC0-9571-99FB3505B802}" type="parTrans" cxnId="{6ADEB5AD-7418-4FC0-A40F-DC3B21B30E99}">
      <dgm:prSet/>
      <dgm:spPr/>
      <dgm:t>
        <a:bodyPr/>
        <a:lstStyle/>
        <a:p>
          <a:endParaRPr lang="en-IN"/>
        </a:p>
      </dgm:t>
    </dgm:pt>
    <dgm:pt modelId="{C63D540D-7191-42D1-B92B-ED9526D31BDB}" type="sibTrans" cxnId="{6ADEB5AD-7418-4FC0-A40F-DC3B21B30E99}">
      <dgm:prSet/>
      <dgm:spPr/>
      <dgm:t>
        <a:bodyPr/>
        <a:lstStyle/>
        <a:p>
          <a:endParaRPr lang="en-IN"/>
        </a:p>
      </dgm:t>
    </dgm:pt>
    <dgm:pt modelId="{6F4A2535-2CF4-4743-AAE2-7C97142EFBF8}">
      <dgm:prSet phldrT="[Text]" custT="1"/>
      <dgm:spPr/>
      <dgm:t>
        <a:bodyPr/>
        <a:lstStyle/>
        <a:p>
          <a:r>
            <a:rPr lang="en-IN" sz="1200" b="1">
              <a:solidFill>
                <a:schemeClr val="accent2">
                  <a:lumMod val="75000"/>
                </a:schemeClr>
              </a:solidFill>
              <a:latin typeface="Times New Roman" panose="02020603050405020304" pitchFamily="18" charset="0"/>
              <a:cs typeface="Times New Roman" panose="02020603050405020304" pitchFamily="18" charset="0"/>
            </a:rPr>
            <a:t>Market Development</a:t>
          </a:r>
        </a:p>
      </dgm:t>
    </dgm:pt>
    <dgm:pt modelId="{01477813-0331-49D6-AF6C-A53FA2F98FEE}" type="parTrans" cxnId="{B73AF81E-C0DB-455C-A4BA-9902F18E46B9}">
      <dgm:prSet/>
      <dgm:spPr/>
      <dgm:t>
        <a:bodyPr/>
        <a:lstStyle/>
        <a:p>
          <a:endParaRPr lang="en-IN"/>
        </a:p>
      </dgm:t>
    </dgm:pt>
    <dgm:pt modelId="{6BA1427E-8EFE-4634-991D-7B47F3D9904C}" type="sibTrans" cxnId="{B73AF81E-C0DB-455C-A4BA-9902F18E46B9}">
      <dgm:prSet/>
      <dgm:spPr/>
      <dgm:t>
        <a:bodyPr/>
        <a:lstStyle/>
        <a:p>
          <a:endParaRPr lang="en-IN"/>
        </a:p>
      </dgm:t>
    </dgm:pt>
    <dgm:pt modelId="{A49325DA-782D-4051-ACCB-78A88E32159D}">
      <dgm:prSet phldrT="[Text]" custT="1"/>
      <dgm:spPr/>
      <dgm:t>
        <a:bodyPr/>
        <a:lstStyle/>
        <a:p>
          <a:r>
            <a:rPr lang="en-IN" sz="1200" b="1">
              <a:solidFill>
                <a:schemeClr val="accent3">
                  <a:lumMod val="50000"/>
                </a:schemeClr>
              </a:solidFill>
              <a:latin typeface="Times New Roman" panose="02020603050405020304" pitchFamily="18" charset="0"/>
              <a:cs typeface="Times New Roman" panose="02020603050405020304" pitchFamily="18" charset="0"/>
            </a:rPr>
            <a:t>Market Diversification</a:t>
          </a:r>
        </a:p>
      </dgm:t>
    </dgm:pt>
    <dgm:pt modelId="{E624704F-23CC-4721-AC08-D2E8F9BADEB8}" type="parTrans" cxnId="{789EECA6-5EB2-4970-97BA-0335052D4081}">
      <dgm:prSet/>
      <dgm:spPr/>
      <dgm:t>
        <a:bodyPr/>
        <a:lstStyle/>
        <a:p>
          <a:endParaRPr lang="en-IN"/>
        </a:p>
      </dgm:t>
    </dgm:pt>
    <dgm:pt modelId="{CD579643-B843-4962-9092-B0F3B1A5EC73}" type="sibTrans" cxnId="{789EECA6-5EB2-4970-97BA-0335052D4081}">
      <dgm:prSet/>
      <dgm:spPr/>
      <dgm:t>
        <a:bodyPr/>
        <a:lstStyle/>
        <a:p>
          <a:endParaRPr lang="en-IN"/>
        </a:p>
      </dgm:t>
    </dgm:pt>
    <dgm:pt modelId="{A96152BC-E8E4-4241-8A70-A644C813ED70}" type="pres">
      <dgm:prSet presAssocID="{005DF2F3-8925-4172-AEE2-FE770CD89BC2}" presName="matrix" presStyleCnt="0">
        <dgm:presLayoutVars>
          <dgm:chMax val="1"/>
          <dgm:dir/>
          <dgm:resizeHandles val="exact"/>
        </dgm:presLayoutVars>
      </dgm:prSet>
      <dgm:spPr/>
    </dgm:pt>
    <dgm:pt modelId="{411FDE98-CDE7-4ADA-A57D-00327E3BCF2F}" type="pres">
      <dgm:prSet presAssocID="{005DF2F3-8925-4172-AEE2-FE770CD89BC2}" presName="axisShape" presStyleLbl="bgShp" presStyleIdx="0" presStyleCnt="1"/>
      <dgm:spPr/>
    </dgm:pt>
    <dgm:pt modelId="{13EF284B-5EE0-4C8B-AB39-818CFDE9EF2D}" type="pres">
      <dgm:prSet presAssocID="{005DF2F3-8925-4172-AEE2-FE770CD89BC2}" presName="rect1" presStyleLbl="node1" presStyleIdx="0" presStyleCnt="4">
        <dgm:presLayoutVars>
          <dgm:chMax val="0"/>
          <dgm:chPref val="0"/>
          <dgm:bulletEnabled val="1"/>
        </dgm:presLayoutVars>
      </dgm:prSet>
      <dgm:spPr/>
    </dgm:pt>
    <dgm:pt modelId="{C4553E93-1D96-43A0-91C5-502B257EF2BF}" type="pres">
      <dgm:prSet presAssocID="{005DF2F3-8925-4172-AEE2-FE770CD89BC2}" presName="rect2" presStyleLbl="node1" presStyleIdx="1" presStyleCnt="4">
        <dgm:presLayoutVars>
          <dgm:chMax val="0"/>
          <dgm:chPref val="0"/>
          <dgm:bulletEnabled val="1"/>
        </dgm:presLayoutVars>
      </dgm:prSet>
      <dgm:spPr/>
    </dgm:pt>
    <dgm:pt modelId="{7383D246-0FAE-4358-9B27-2940030612C8}" type="pres">
      <dgm:prSet presAssocID="{005DF2F3-8925-4172-AEE2-FE770CD89BC2}" presName="rect3" presStyleLbl="node1" presStyleIdx="2" presStyleCnt="4">
        <dgm:presLayoutVars>
          <dgm:chMax val="0"/>
          <dgm:chPref val="0"/>
          <dgm:bulletEnabled val="1"/>
        </dgm:presLayoutVars>
      </dgm:prSet>
      <dgm:spPr/>
    </dgm:pt>
    <dgm:pt modelId="{7133DDC0-B35B-4869-BFF6-3C84032692A2}" type="pres">
      <dgm:prSet presAssocID="{005DF2F3-8925-4172-AEE2-FE770CD89BC2}" presName="rect4" presStyleLbl="node1" presStyleIdx="3" presStyleCnt="4">
        <dgm:presLayoutVars>
          <dgm:chMax val="0"/>
          <dgm:chPref val="0"/>
          <dgm:bulletEnabled val="1"/>
        </dgm:presLayoutVars>
      </dgm:prSet>
      <dgm:spPr/>
    </dgm:pt>
  </dgm:ptLst>
  <dgm:cxnLst>
    <dgm:cxn modelId="{5588510C-7409-473C-A6F1-26605D409208}" type="presOf" srcId="{A49325DA-782D-4051-ACCB-78A88E32159D}" destId="{7133DDC0-B35B-4869-BFF6-3C84032692A2}" srcOrd="0" destOrd="0" presId="urn:microsoft.com/office/officeart/2005/8/layout/matrix2"/>
    <dgm:cxn modelId="{B73AF81E-C0DB-455C-A4BA-9902F18E46B9}" srcId="{005DF2F3-8925-4172-AEE2-FE770CD89BC2}" destId="{6F4A2535-2CF4-4743-AAE2-7C97142EFBF8}" srcOrd="2" destOrd="0" parTransId="{01477813-0331-49D6-AF6C-A53FA2F98FEE}" sibTransId="{6BA1427E-8EFE-4634-991D-7B47F3D9904C}"/>
    <dgm:cxn modelId="{01104B2B-1531-4654-944C-61560A618C7D}" type="presOf" srcId="{6F4A2535-2CF4-4743-AAE2-7C97142EFBF8}" destId="{7383D246-0FAE-4358-9B27-2940030612C8}" srcOrd="0" destOrd="0" presId="urn:microsoft.com/office/officeart/2005/8/layout/matrix2"/>
    <dgm:cxn modelId="{3687564C-7410-4F92-89B3-6119DB512387}" type="presOf" srcId="{56D82A7A-03F2-4443-8AC4-F9A49F7BF1EC}" destId="{C4553E93-1D96-43A0-91C5-502B257EF2BF}" srcOrd="0" destOrd="0" presId="urn:microsoft.com/office/officeart/2005/8/layout/matrix2"/>
    <dgm:cxn modelId="{9800A08B-2239-4AE1-A268-92BDF2639D19}" type="presOf" srcId="{005DF2F3-8925-4172-AEE2-FE770CD89BC2}" destId="{A96152BC-E8E4-4241-8A70-A644C813ED70}" srcOrd="0" destOrd="0" presId="urn:microsoft.com/office/officeart/2005/8/layout/matrix2"/>
    <dgm:cxn modelId="{789EECA6-5EB2-4970-97BA-0335052D4081}" srcId="{005DF2F3-8925-4172-AEE2-FE770CD89BC2}" destId="{A49325DA-782D-4051-ACCB-78A88E32159D}" srcOrd="3" destOrd="0" parTransId="{E624704F-23CC-4721-AC08-D2E8F9BADEB8}" sibTransId="{CD579643-B843-4962-9092-B0F3B1A5EC73}"/>
    <dgm:cxn modelId="{6ADEB5AD-7418-4FC0-A40F-DC3B21B30E99}" srcId="{005DF2F3-8925-4172-AEE2-FE770CD89BC2}" destId="{56D82A7A-03F2-4443-8AC4-F9A49F7BF1EC}" srcOrd="1" destOrd="0" parTransId="{97A52DC7-3717-4DC0-9571-99FB3505B802}" sibTransId="{C63D540D-7191-42D1-B92B-ED9526D31BDB}"/>
    <dgm:cxn modelId="{40EC6FB7-0872-4BA1-84FD-B7304612AB1E}" type="presOf" srcId="{4F79D9C2-4EDD-49B7-AB92-426750146E3C}" destId="{13EF284B-5EE0-4C8B-AB39-818CFDE9EF2D}" srcOrd="0" destOrd="0" presId="urn:microsoft.com/office/officeart/2005/8/layout/matrix2"/>
    <dgm:cxn modelId="{B8B3CFF8-2608-4FC2-A477-9D80393E1CF3}" srcId="{005DF2F3-8925-4172-AEE2-FE770CD89BC2}" destId="{4F79D9C2-4EDD-49B7-AB92-426750146E3C}" srcOrd="0" destOrd="0" parTransId="{473DFB5E-3E65-471A-9480-6D5510C391E6}" sibTransId="{1ECA4996-5788-4E9D-8F35-11C5CB59D6A1}"/>
    <dgm:cxn modelId="{E88F21C5-9B53-4ED8-B729-C27B32CF4D3C}" type="presParOf" srcId="{A96152BC-E8E4-4241-8A70-A644C813ED70}" destId="{411FDE98-CDE7-4ADA-A57D-00327E3BCF2F}" srcOrd="0" destOrd="0" presId="urn:microsoft.com/office/officeart/2005/8/layout/matrix2"/>
    <dgm:cxn modelId="{90BCAA31-9413-4888-AC17-3422F1A10F2E}" type="presParOf" srcId="{A96152BC-E8E4-4241-8A70-A644C813ED70}" destId="{13EF284B-5EE0-4C8B-AB39-818CFDE9EF2D}" srcOrd="1" destOrd="0" presId="urn:microsoft.com/office/officeart/2005/8/layout/matrix2"/>
    <dgm:cxn modelId="{CEC56BE1-7F9D-486A-9B23-BD46906CB7FD}" type="presParOf" srcId="{A96152BC-E8E4-4241-8A70-A644C813ED70}" destId="{C4553E93-1D96-43A0-91C5-502B257EF2BF}" srcOrd="2" destOrd="0" presId="urn:microsoft.com/office/officeart/2005/8/layout/matrix2"/>
    <dgm:cxn modelId="{E316443B-DA12-4791-81F6-992215CCC58E}" type="presParOf" srcId="{A96152BC-E8E4-4241-8A70-A644C813ED70}" destId="{7383D246-0FAE-4358-9B27-2940030612C8}" srcOrd="3" destOrd="0" presId="urn:microsoft.com/office/officeart/2005/8/layout/matrix2"/>
    <dgm:cxn modelId="{0850DEAA-9634-4A69-B2C8-1CB1E9BED8D5}" type="presParOf" srcId="{A96152BC-E8E4-4241-8A70-A644C813ED70}" destId="{7133DDC0-B35B-4869-BFF6-3C84032692A2}" srcOrd="4" destOrd="0" presId="urn:microsoft.com/office/officeart/2005/8/layout/matrix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1FDE98-CDE7-4ADA-A57D-00327E3BCF2F}">
      <dsp:nvSpPr>
        <dsp:cNvPr id="0" name=""/>
        <dsp:cNvSpPr/>
      </dsp:nvSpPr>
      <dsp:spPr>
        <a:xfrm>
          <a:off x="1143000" y="0"/>
          <a:ext cx="3200400" cy="3200400"/>
        </a:xfrm>
        <a:prstGeom prst="quadArrow">
          <a:avLst>
            <a:gd name="adj1" fmla="val 2000"/>
            <a:gd name="adj2" fmla="val 4000"/>
            <a:gd name="adj3" fmla="val 5000"/>
          </a:avLst>
        </a:prstGeom>
        <a:gradFill rotWithShape="0">
          <a:gsLst>
            <a:gs pos="0">
              <a:schemeClr val="accent2">
                <a:tint val="40000"/>
                <a:hueOff val="0"/>
                <a:satOff val="0"/>
                <a:lumOff val="0"/>
                <a:alphaOff val="0"/>
                <a:tint val="100000"/>
                <a:shade val="100000"/>
                <a:satMod val="130000"/>
              </a:schemeClr>
            </a:gs>
            <a:gs pos="100000">
              <a:schemeClr val="accent2">
                <a:tint val="40000"/>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13EF284B-5EE0-4C8B-AB39-818CFDE9EF2D}">
      <dsp:nvSpPr>
        <dsp:cNvPr id="0" name=""/>
        <dsp:cNvSpPr/>
      </dsp:nvSpPr>
      <dsp:spPr>
        <a:xfrm>
          <a:off x="1351026" y="208026"/>
          <a:ext cx="1280160" cy="1280160"/>
        </a:xfrm>
        <a:prstGeom prst="round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tx1">
                  <a:lumMod val="95000"/>
                  <a:lumOff val="5000"/>
                </a:schemeClr>
              </a:solidFill>
              <a:latin typeface="Times New Roman" panose="02020603050405020304" pitchFamily="18" charset="0"/>
              <a:ea typeface="Tahoma" panose="020B0604030504040204" pitchFamily="34" charset="0"/>
              <a:cs typeface="Times New Roman" panose="02020603050405020304" pitchFamily="18" charset="0"/>
            </a:rPr>
            <a:t>Market Strategy</a:t>
          </a:r>
        </a:p>
      </dsp:txBody>
      <dsp:txXfrm>
        <a:off x="1413518" y="270518"/>
        <a:ext cx="1155176" cy="1155176"/>
      </dsp:txXfrm>
    </dsp:sp>
    <dsp:sp modelId="{C4553E93-1D96-43A0-91C5-502B257EF2BF}">
      <dsp:nvSpPr>
        <dsp:cNvPr id="0" name=""/>
        <dsp:cNvSpPr/>
      </dsp:nvSpPr>
      <dsp:spPr>
        <a:xfrm>
          <a:off x="2855214" y="208026"/>
          <a:ext cx="1280160" cy="1280160"/>
        </a:xfrm>
        <a:prstGeom prst="roundRect">
          <a:avLst/>
        </a:prstGeom>
        <a:gradFill rotWithShape="0">
          <a:gsLst>
            <a:gs pos="0">
              <a:schemeClr val="accent2">
                <a:hueOff val="1560506"/>
                <a:satOff val="-1946"/>
                <a:lumOff val="458"/>
                <a:alphaOff val="0"/>
                <a:tint val="100000"/>
                <a:shade val="100000"/>
                <a:satMod val="130000"/>
              </a:schemeClr>
            </a:gs>
            <a:gs pos="100000">
              <a:schemeClr val="accent2">
                <a:hueOff val="1560506"/>
                <a:satOff val="-1946"/>
                <a:lumOff val="45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solidFill>
                <a:srgbClr val="0070C0"/>
              </a:solidFill>
              <a:latin typeface="Times New Roman" panose="02020603050405020304" pitchFamily="18" charset="0"/>
              <a:cs typeface="Times New Roman" panose="02020603050405020304" pitchFamily="18" charset="0"/>
            </a:rPr>
            <a:t>Product Strategy</a:t>
          </a:r>
        </a:p>
      </dsp:txBody>
      <dsp:txXfrm>
        <a:off x="2917706" y="270518"/>
        <a:ext cx="1155176" cy="1155176"/>
      </dsp:txXfrm>
    </dsp:sp>
    <dsp:sp modelId="{7383D246-0FAE-4358-9B27-2940030612C8}">
      <dsp:nvSpPr>
        <dsp:cNvPr id="0" name=""/>
        <dsp:cNvSpPr/>
      </dsp:nvSpPr>
      <dsp:spPr>
        <a:xfrm>
          <a:off x="1351026" y="1712214"/>
          <a:ext cx="1280160" cy="1280160"/>
        </a:xfrm>
        <a:prstGeom prst="roundRect">
          <a:avLst/>
        </a:prstGeom>
        <a:gradFill rotWithShape="0">
          <a:gsLst>
            <a:gs pos="0">
              <a:schemeClr val="accent2">
                <a:hueOff val="3121013"/>
                <a:satOff val="-3893"/>
                <a:lumOff val="915"/>
                <a:alphaOff val="0"/>
                <a:tint val="100000"/>
                <a:shade val="100000"/>
                <a:satMod val="130000"/>
              </a:schemeClr>
            </a:gs>
            <a:gs pos="100000">
              <a:schemeClr val="accent2">
                <a:hueOff val="3121013"/>
                <a:satOff val="-3893"/>
                <a:lumOff val="91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accent2">
                  <a:lumMod val="75000"/>
                </a:schemeClr>
              </a:solidFill>
              <a:latin typeface="Times New Roman" panose="02020603050405020304" pitchFamily="18" charset="0"/>
              <a:cs typeface="Times New Roman" panose="02020603050405020304" pitchFamily="18" charset="0"/>
            </a:rPr>
            <a:t>Market Development</a:t>
          </a:r>
        </a:p>
      </dsp:txBody>
      <dsp:txXfrm>
        <a:off x="1413518" y="1774706"/>
        <a:ext cx="1155176" cy="1155176"/>
      </dsp:txXfrm>
    </dsp:sp>
    <dsp:sp modelId="{7133DDC0-B35B-4869-BFF6-3C84032692A2}">
      <dsp:nvSpPr>
        <dsp:cNvPr id="0" name=""/>
        <dsp:cNvSpPr/>
      </dsp:nvSpPr>
      <dsp:spPr>
        <a:xfrm>
          <a:off x="2855214" y="1712214"/>
          <a:ext cx="1280160" cy="1280160"/>
        </a:xfrm>
        <a:prstGeom prst="roundRect">
          <a:avLst/>
        </a:prstGeom>
        <a:gradFill rotWithShape="0">
          <a:gsLst>
            <a:gs pos="0">
              <a:schemeClr val="accent2">
                <a:hueOff val="4681519"/>
                <a:satOff val="-5839"/>
                <a:lumOff val="1373"/>
                <a:alphaOff val="0"/>
                <a:tint val="100000"/>
                <a:shade val="100000"/>
                <a:satMod val="130000"/>
              </a:schemeClr>
            </a:gs>
            <a:gs pos="100000">
              <a:schemeClr val="accent2">
                <a:hueOff val="4681519"/>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solidFill>
                <a:schemeClr val="accent3">
                  <a:lumMod val="50000"/>
                </a:schemeClr>
              </a:solidFill>
              <a:latin typeface="Times New Roman" panose="02020603050405020304" pitchFamily="18" charset="0"/>
              <a:cs typeface="Times New Roman" panose="02020603050405020304" pitchFamily="18" charset="0"/>
            </a:rPr>
            <a:t>Market Diversification</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E1A60-DFDC-472F-8828-74AC921F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24</Pages>
  <Words>4527</Words>
  <Characters>25804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20</cp:revision>
  <dcterms:created xsi:type="dcterms:W3CDTF">2026-07-04T12:07:00Z</dcterms:created>
  <dcterms:modified xsi:type="dcterms:W3CDTF">2026-07-22T17:09:00Z</dcterms:modified>
</cp:coreProperties>
</file>