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C3A1B" w:rsidP="5DACC5B2" w:rsidRDefault="1AEF066A" w14:paraId="5E5787A5" w14:textId="1F37528D">
      <w:pPr>
        <w:pStyle w:val="Heading1"/>
        <w:rPr>
          <w:rFonts w:ascii="Calibri Light" w:hAnsi="Calibri Light"/>
        </w:rPr>
      </w:pPr>
      <w:r w:rsidRPr="5DACC5B2">
        <w:rPr>
          <w:rFonts w:ascii="Calibri Light" w:hAnsi="Calibri Light"/>
        </w:rPr>
        <w:t>Peer Review Feedback</w:t>
      </w:r>
    </w:p>
    <w:p w:rsidR="5DACC5B2" w:rsidP="5DACC5B2" w:rsidRDefault="5DACC5B2" w14:paraId="55587BFF" w14:textId="588018B7"/>
    <w:p w:rsidR="1AEF066A" w:rsidP="5DACC5B2" w:rsidRDefault="1AEF066A" w14:paraId="2436A029" w14:textId="1FF7CA57">
      <w:pPr>
        <w:pStyle w:val="Heading2"/>
        <w:rPr>
          <w:rFonts w:ascii="Calibri Light" w:hAnsi="Calibri Light"/>
        </w:rPr>
      </w:pPr>
      <w:r w:rsidRPr="58FC8C56" w:rsidR="59ABFC3D">
        <w:rPr>
          <w:rFonts w:ascii="Calibri Light" w:hAnsi="Calibri Light"/>
        </w:rPr>
        <w:t xml:space="preserve">Curriculum number: </w:t>
      </w:r>
      <w:r w:rsidRPr="58FC8C56" w:rsidR="750E15EB">
        <w:rPr>
          <w:rFonts w:ascii="Calibri Light" w:hAnsi="Calibri Light"/>
        </w:rPr>
        <w:t>1</w:t>
      </w:r>
    </w:p>
    <w:p w:rsidR="5DACC5B2" w:rsidP="5DACC5B2" w:rsidRDefault="5DACC5B2" w14:paraId="0D6801AE" w14:textId="2E60E8A7"/>
    <w:p w:rsidR="1AEF066A" w:rsidP="5DACC5B2" w:rsidRDefault="1AEF066A" w14:paraId="3C0A6D46" w14:textId="6FAF504B">
      <w: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5DACC5B2" w:rsidTr="58FC8C56" w14:paraId="249B7FC3" w14:textId="77777777">
        <w:tc>
          <w:tcPr>
            <w:tcW w:w="9015" w:type="dxa"/>
            <w:tcMar/>
          </w:tcPr>
          <w:p w:rsidR="1AEF066A" w:rsidP="5DACC5B2" w:rsidRDefault="1AEF066A" w14:paraId="2EE8EA67" w14:textId="36D14159">
            <w:r w:rsidR="59ABFC3D">
              <w:rPr/>
              <w:t xml:space="preserve"> </w:t>
            </w:r>
          </w:p>
          <w:p w:rsidR="5DACC5B2" w:rsidP="58FC8C56" w:rsidRDefault="5DACC5B2" w14:paraId="2ACF9723" w14:textId="31E313D7">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58FC8C56" w:rsidR="32A7B22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curriculum provides a clear, well evidenced justification for its development.  The target audience of adult migrants and refugees in Wales at entry 3 level 1 is clearly defined and links strongly within the Welsh migration policy. The rationale demonstrates an identified gap in existing ESOL provision such as the limited integration of employability, digital literacy and communication. </w:t>
            </w:r>
          </w:p>
          <w:p w:rsidR="5DACC5B2" w:rsidP="58FC8C56" w:rsidRDefault="5DACC5B2" w14:paraId="5CB175E9" w14:textId="6CE053AB">
            <w:pPr>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CC5B2" w:rsidP="58FC8C56" w:rsidRDefault="5DACC5B2" w14:paraId="07A19831" w14:textId="4397D2C4">
            <w:pPr>
              <w:pStyle w:val="Normal"/>
            </w:pPr>
            <w:r w:rsidRPr="58FC8C56" w:rsidR="32A7B225">
              <w:rPr>
                <w:rFonts w:ascii="Calibri" w:hAnsi="Calibri" w:eastAsia="Calibri" w:cs="Calibri"/>
                <w:b w:val="0"/>
                <w:bCs w:val="0"/>
                <w:i w:val="0"/>
                <w:iCs w:val="0"/>
                <w:caps w:val="0"/>
                <w:smallCaps w:val="0"/>
                <w:noProof w:val="0"/>
                <w:color w:val="000000" w:themeColor="text1" w:themeTint="FF" w:themeShade="FF"/>
                <w:sz w:val="22"/>
                <w:szCs w:val="22"/>
                <w:lang w:val="en-GB"/>
              </w:rPr>
              <w:t>The discussion of underemployment, skills, and digital exclusion concludes the proposal in real world learner needs and its relevance to FE and community EDOL context.</w:t>
            </w:r>
          </w:p>
          <w:p w:rsidR="5DACC5B2" w:rsidP="5DACC5B2" w:rsidRDefault="5DACC5B2" w14:paraId="04C75EDF" w14:textId="74CC05F2"/>
        </w:tc>
      </w:tr>
    </w:tbl>
    <w:p w:rsidR="5DACC5B2" w:rsidP="5DACC5B2" w:rsidRDefault="5DACC5B2" w14:paraId="0A1BA2CD" w14:textId="4F0C99E6"/>
    <w:p w:rsidR="1AEF066A" w:rsidP="5DACC5B2" w:rsidRDefault="1AEF066A" w14:paraId="7F9156C5" w14:textId="21F5C1AE">
      <w: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5DACC5B2" w:rsidTr="58FC8C56" w14:paraId="54A263A5" w14:textId="77777777">
        <w:tc>
          <w:tcPr>
            <w:tcW w:w="9015" w:type="dxa"/>
            <w:tcMar/>
          </w:tcPr>
          <w:p w:rsidR="5DACC5B2" w:rsidP="5DACC5B2" w:rsidRDefault="5DACC5B2" w14:paraId="7817DB62" w14:textId="10DDD170"/>
          <w:p w:rsidR="5DACC5B2" w:rsidP="58FC8C56" w:rsidRDefault="5DACC5B2" w14:paraId="102DE43B" w14:textId="3F4873EC">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58FC8C56" w:rsidR="6B5785AA">
              <w:rPr>
                <w:rFonts w:ascii="Calibri" w:hAnsi="Calibri" w:eastAsia="Calibri" w:cs="Calibri"/>
                <w:b w:val="0"/>
                <w:bCs w:val="0"/>
                <w:i w:val="0"/>
                <w:iCs w:val="0"/>
                <w:caps w:val="0"/>
                <w:smallCaps w:val="0"/>
                <w:noProof w:val="0"/>
                <w:color w:val="000000" w:themeColor="text1" w:themeTint="FF" w:themeShade="FF"/>
                <w:sz w:val="22"/>
                <w:szCs w:val="22"/>
                <w:lang w:val="en-GB"/>
              </w:rPr>
              <w:t>The curriculum aims are appropriate, inclusive and aligned well within the identified learning group. The focus on employability, digital literacy, intercultural competence and learner autonomy promotes survival ESOL and reflects its expectations of adult learning.</w:t>
            </w:r>
          </w:p>
          <w:p w:rsidR="5DACC5B2" w:rsidP="58FC8C56" w:rsidRDefault="5DACC5B2" w14:paraId="27D2EED6" w14:textId="7204E8D7">
            <w:pPr>
              <w:rPr>
                <w:rFonts w:ascii="Calibri" w:hAnsi="Calibri" w:eastAsia="Calibri" w:cs="Calibri"/>
                <w:b w:val="0"/>
                <w:bCs w:val="0"/>
                <w:i w:val="0"/>
                <w:iCs w:val="0"/>
                <w:caps w:val="0"/>
                <w:smallCaps w:val="0"/>
                <w:noProof w:val="0"/>
                <w:color w:val="000000" w:themeColor="text1" w:themeTint="FF" w:themeShade="FF"/>
                <w:sz w:val="22"/>
                <w:szCs w:val="22"/>
                <w:lang w:val="en-US"/>
              </w:rPr>
            </w:pPr>
          </w:p>
          <w:p w:rsidR="5DACC5B2" w:rsidP="58FC8C56" w:rsidRDefault="5DACC5B2" w14:paraId="45039070" w14:textId="34E472E3">
            <w:pPr>
              <w:rPr>
                <w:rFonts w:ascii="Calibri" w:hAnsi="Calibri" w:eastAsia="Calibri" w:cs="Calibri"/>
                <w:b w:val="0"/>
                <w:bCs w:val="0"/>
                <w:i w:val="0"/>
                <w:iCs w:val="0"/>
                <w:caps w:val="0"/>
                <w:smallCaps w:val="0"/>
                <w:noProof w:val="0"/>
                <w:color w:val="000000" w:themeColor="text1" w:themeTint="FF" w:themeShade="FF"/>
                <w:sz w:val="22"/>
                <w:szCs w:val="22"/>
                <w:lang w:val="en-US"/>
              </w:rPr>
            </w:pPr>
            <w:r w:rsidRPr="58FC8C56" w:rsidR="6B5785AA">
              <w:rPr>
                <w:rFonts w:ascii="Calibri" w:hAnsi="Calibri" w:eastAsia="Calibri" w:cs="Calibri"/>
                <w:b w:val="0"/>
                <w:bCs w:val="0"/>
                <w:i w:val="0"/>
                <w:iCs w:val="0"/>
                <w:caps w:val="0"/>
                <w:smallCaps w:val="0"/>
                <w:noProof w:val="0"/>
                <w:color w:val="000000" w:themeColor="text1" w:themeTint="FF" w:themeShade="FF"/>
                <w:sz w:val="22"/>
                <w:szCs w:val="22"/>
                <w:lang w:val="en-GB"/>
              </w:rPr>
              <w:t>Learning outcomes are clearly made measurable making references to SMART targets and mapped out effectively. There is also a clear balance between linguistic outcomes and transferable skills where you discuss workplace communication, reading, writing, digital competence and intercultural awareness, this is particularly effective.</w:t>
            </w:r>
          </w:p>
          <w:p w:rsidR="5DACC5B2" w:rsidP="58FC8C56" w:rsidRDefault="5DACC5B2" w14:paraId="2FBB61F5" w14:textId="03EE3A5E">
            <w:pPr>
              <w:pStyle w:val="Normal"/>
            </w:pPr>
          </w:p>
        </w:tc>
      </w:tr>
    </w:tbl>
    <w:p w:rsidR="5DACC5B2" w:rsidP="5DACC5B2" w:rsidRDefault="5DACC5B2" w14:paraId="487A7D68" w14:textId="03C42E37"/>
    <w:p w:rsidR="1AEF066A" w:rsidP="5DACC5B2" w:rsidRDefault="1AEF066A" w14:paraId="1EB13478" w14:textId="29F32384">
      <w: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5DACC5B2" w:rsidTr="58FC8C56" w14:paraId="4A80542D" w14:textId="77777777">
        <w:tc>
          <w:tcPr>
            <w:tcW w:w="9015" w:type="dxa"/>
            <w:tcMar/>
          </w:tcPr>
          <w:p w:rsidR="5DACC5B2" w:rsidP="58FC8C56" w:rsidRDefault="5DACC5B2" w14:paraId="4F863351" w14:textId="34B14B2C">
            <w:pPr>
              <w:pStyle w:val="Normal"/>
            </w:pPr>
          </w:p>
          <w:p w:rsidR="5DACC5B2" w:rsidP="58FC8C56" w:rsidRDefault="5DACC5B2" w14:paraId="6559B41D" w14:textId="4CBD9248">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58FC8C56" w:rsidR="34A3D2E1">
              <w:rPr>
                <w:rFonts w:ascii="Calibri" w:hAnsi="Calibri" w:eastAsia="Calibri" w:cs="Calibri"/>
                <w:b w:val="0"/>
                <w:bCs w:val="0"/>
                <w:i w:val="0"/>
                <w:iCs w:val="0"/>
                <w:caps w:val="0"/>
                <w:smallCaps w:val="0"/>
                <w:noProof w:val="0"/>
                <w:color w:val="000000" w:themeColor="text1" w:themeTint="FF" w:themeShade="FF"/>
                <w:sz w:val="22"/>
                <w:szCs w:val="22"/>
                <w:lang w:val="en-GB"/>
              </w:rPr>
              <w:t>The 12-week model supports reinforcement and progression by focussing on organisation around employment, community health and digital participation appropriate for the learner group. The timetable clearly demonstrates scaffolded progression with the use of C. V’s, job adverts, interviews, group discussion and project work suitable for employability. The balance of face- to- face delivery with guided digital tasks is well thought out particularly given the curriculums emphasis on employability and online engagement.</w:t>
            </w:r>
          </w:p>
          <w:p w:rsidR="5DACC5B2" w:rsidP="58FC8C56" w:rsidRDefault="5DACC5B2" w14:paraId="5A68FEE7" w14:textId="3FC76046">
            <w:pPr>
              <w:rPr>
                <w:rFonts w:ascii="Calibri" w:hAnsi="Calibri" w:eastAsia="Calibri" w:cs="Calibri"/>
                <w:b w:val="0"/>
                <w:bCs w:val="0"/>
                <w:i w:val="0"/>
                <w:iCs w:val="0"/>
                <w:caps w:val="0"/>
                <w:smallCaps w:val="0"/>
                <w:noProof w:val="0"/>
                <w:color w:val="000000" w:themeColor="text1" w:themeTint="FF" w:themeShade="FF"/>
                <w:sz w:val="22"/>
                <w:szCs w:val="22"/>
                <w:lang w:val="en-US"/>
              </w:rPr>
            </w:pPr>
          </w:p>
          <w:p w:rsidR="5DACC5B2" w:rsidP="58FC8C56" w:rsidRDefault="5DACC5B2" w14:paraId="00B43B44" w14:textId="597FE461">
            <w:pPr>
              <w:rPr>
                <w:rFonts w:ascii="Calibri" w:hAnsi="Calibri" w:eastAsia="Calibri" w:cs="Calibri"/>
                <w:b w:val="0"/>
                <w:bCs w:val="0"/>
                <w:i w:val="0"/>
                <w:iCs w:val="0"/>
                <w:caps w:val="0"/>
                <w:smallCaps w:val="0"/>
                <w:noProof w:val="0"/>
                <w:color w:val="000000" w:themeColor="text1" w:themeTint="FF" w:themeShade="FF"/>
                <w:sz w:val="22"/>
                <w:szCs w:val="22"/>
                <w:lang w:val="en-US"/>
              </w:rPr>
            </w:pPr>
            <w:r w:rsidRPr="58FC8C56" w:rsidR="34A3D2E1">
              <w:rPr>
                <w:rFonts w:ascii="Calibri" w:hAnsi="Calibri" w:eastAsia="Calibri" w:cs="Calibri"/>
                <w:b w:val="0"/>
                <w:bCs w:val="0"/>
                <w:i w:val="0"/>
                <w:iCs w:val="0"/>
                <w:caps w:val="0"/>
                <w:smallCaps w:val="0"/>
                <w:noProof w:val="0"/>
                <w:color w:val="000000" w:themeColor="text1" w:themeTint="FF" w:themeShade="FF"/>
                <w:sz w:val="22"/>
                <w:szCs w:val="22"/>
                <w:lang w:val="en-GB"/>
              </w:rPr>
              <w:t>You may want to consider flexibility when it comes to potential attendance disruptions, could there be a potential way in which a learner would be able to catch up at home.</w:t>
            </w:r>
          </w:p>
          <w:p w:rsidR="5DACC5B2" w:rsidP="5DACC5B2" w:rsidRDefault="5DACC5B2" w14:paraId="64CAE4CA" w14:textId="5A603938"/>
        </w:tc>
      </w:tr>
    </w:tbl>
    <w:p w:rsidR="5DACC5B2" w:rsidP="5DACC5B2" w:rsidRDefault="5DACC5B2" w14:paraId="155A63B3" w14:textId="7F7EB2A7"/>
    <w:p w:rsidR="58FC8C56" w:rsidRDefault="58FC8C56" w14:paraId="54581807" w14:textId="36F814D3"/>
    <w:p w:rsidR="1AEF066A" w:rsidP="5DACC5B2" w:rsidRDefault="1AEF066A" w14:paraId="49FFB450" w14:textId="5B171152">
      <w: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5DACC5B2" w:rsidTr="58FC8C56" w14:paraId="395BCF91" w14:textId="77777777">
        <w:tc>
          <w:tcPr>
            <w:tcW w:w="9015" w:type="dxa"/>
            <w:tcMar/>
          </w:tcPr>
          <w:p w:rsidR="5DACC5B2" w:rsidP="5DACC5B2" w:rsidRDefault="5DACC5B2" w14:paraId="5CFEDF19" w14:textId="53E1C812"/>
          <w:p w:rsidR="5DACC5B2" w:rsidP="58FC8C56" w:rsidRDefault="5DACC5B2" w14:paraId="0FC2370E" w14:textId="16CB6A71">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58FC8C56" w:rsidR="05A26D8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curriculum not only references the standards but also </w:t>
            </w:r>
            <w:r w:rsidRPr="58FC8C56" w:rsidR="05A26D8E">
              <w:rPr>
                <w:rFonts w:ascii="Calibri" w:hAnsi="Calibri" w:eastAsia="Calibri" w:cs="Calibri"/>
                <w:b w:val="0"/>
                <w:bCs w:val="0"/>
                <w:i w:val="0"/>
                <w:iCs w:val="0"/>
                <w:caps w:val="0"/>
                <w:smallCaps w:val="0"/>
                <w:noProof w:val="0"/>
                <w:color w:val="000000" w:themeColor="text1" w:themeTint="FF" w:themeShade="FF"/>
                <w:sz w:val="22"/>
                <w:szCs w:val="22"/>
                <w:lang w:val="en-GB"/>
              </w:rPr>
              <w:t>demonstrates</w:t>
            </w:r>
            <w:r w:rsidRPr="58FC8C56" w:rsidR="05A26D8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how they are used through assessment, pedagogy and inclusivity showing a strong engagement with professional practice.</w:t>
            </w:r>
          </w:p>
          <w:p w:rsidR="5DACC5B2" w:rsidP="58FC8C56" w:rsidRDefault="5DACC5B2" w14:paraId="79B0D694" w14:textId="3F958AE1">
            <w:pPr>
              <w:pStyle w:val="Normal"/>
            </w:pPr>
          </w:p>
        </w:tc>
      </w:tr>
    </w:tbl>
    <w:p w:rsidR="5DACC5B2" w:rsidP="58FC8C56" w:rsidRDefault="5DACC5B2" w14:paraId="19E81AA5" w14:textId="484F44FD">
      <w:pPr>
        <w:pStyle w:val="Normal"/>
      </w:pPr>
    </w:p>
    <w:p w:rsidR="1AEF066A" w:rsidP="5DACC5B2" w:rsidRDefault="1AEF066A" w14:paraId="71EDC6F2" w14:textId="6970207E">
      <w:r>
        <w:t>Comments on the scheme of work that was designed.</w:t>
      </w:r>
    </w:p>
    <w:tbl>
      <w:tblPr>
        <w:tblStyle w:val="TableGrid"/>
        <w:tblW w:w="0" w:type="auto"/>
        <w:tblLayout w:type="fixed"/>
        <w:tblLook w:val="06A0" w:firstRow="1" w:lastRow="0" w:firstColumn="1" w:lastColumn="0" w:noHBand="1" w:noVBand="1"/>
      </w:tblPr>
      <w:tblGrid>
        <w:gridCol w:w="9015"/>
      </w:tblGrid>
      <w:tr w:rsidR="5DACC5B2" w:rsidTr="58FC8C56" w14:paraId="36FBFCAC" w14:textId="77777777">
        <w:tc>
          <w:tcPr>
            <w:tcW w:w="9015" w:type="dxa"/>
            <w:tcMar/>
          </w:tcPr>
          <w:p w:rsidR="5DACC5B2" w:rsidP="5DACC5B2" w:rsidRDefault="5DACC5B2" w14:paraId="7835CFC4" w14:textId="542FAD69"/>
          <w:p w:rsidR="5DACC5B2" w:rsidP="58FC8C56" w:rsidRDefault="5DACC5B2" w14:paraId="7FD88E0A" w14:textId="50BE0F59">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58FC8C56" w:rsidR="539C7A5C">
              <w:rPr>
                <w:rFonts w:ascii="Calibri" w:hAnsi="Calibri" w:eastAsia="Calibri" w:cs="Calibri"/>
                <w:b w:val="0"/>
                <w:bCs w:val="0"/>
                <w:i w:val="0"/>
                <w:iCs w:val="0"/>
                <w:caps w:val="0"/>
                <w:smallCaps w:val="0"/>
                <w:noProof w:val="0"/>
                <w:color w:val="000000" w:themeColor="text1" w:themeTint="FF" w:themeShade="FF"/>
                <w:sz w:val="22"/>
                <w:szCs w:val="22"/>
                <w:lang w:val="en-GB"/>
              </w:rPr>
              <w:t>The appendices included lesson plans for week 6 and 8 of the curriculum that demonstrate effective scaffolding, clear assessment strategies, strong integration of employability and language development, and appropriate use of assessment and reflection making these lesson plans realistic and detailed well with a clear link to the curriculum aims and objectives.</w:t>
            </w:r>
          </w:p>
          <w:p w:rsidR="5DACC5B2" w:rsidP="58FC8C56" w:rsidRDefault="5DACC5B2" w14:paraId="1C2ECDFC" w14:textId="35C16ACD">
            <w:pPr>
              <w:rPr>
                <w:rFonts w:ascii="Calibri" w:hAnsi="Calibri" w:eastAsia="Calibri" w:cs="Calibri"/>
                <w:b w:val="0"/>
                <w:bCs w:val="0"/>
                <w:i w:val="0"/>
                <w:iCs w:val="0"/>
                <w:caps w:val="0"/>
                <w:smallCaps w:val="0"/>
                <w:noProof w:val="0"/>
                <w:color w:val="000000" w:themeColor="text1" w:themeTint="FF" w:themeShade="FF"/>
                <w:sz w:val="22"/>
                <w:szCs w:val="22"/>
                <w:lang w:val="en-US"/>
              </w:rPr>
            </w:pPr>
          </w:p>
          <w:p w:rsidR="5DACC5B2" w:rsidP="58FC8C56" w:rsidRDefault="5DACC5B2" w14:paraId="78D46F46" w14:textId="07C54841">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58FC8C56" w:rsidR="539C7A5C">
              <w:rPr>
                <w:rFonts w:ascii="Calibri" w:hAnsi="Calibri" w:eastAsia="Calibri" w:cs="Calibri"/>
                <w:b w:val="0"/>
                <w:bCs w:val="0"/>
                <w:i w:val="0"/>
                <w:iCs w:val="0"/>
                <w:caps w:val="0"/>
                <w:smallCaps w:val="0"/>
                <w:noProof w:val="0"/>
                <w:color w:val="000000" w:themeColor="text1" w:themeTint="FF" w:themeShade="FF"/>
                <w:sz w:val="22"/>
                <w:szCs w:val="22"/>
                <w:lang w:val="en-GB"/>
              </w:rPr>
              <w:t>Professional standards are shown within lesson activities showing good planning and classroom practice and preparation. There is also the awareness of anticipated learner difficulty where you have shown strong awareness and out tools in place such as peer reviews and checklists to support differentiation and engagement.</w:t>
            </w:r>
          </w:p>
          <w:p w:rsidR="5DACC5B2" w:rsidP="58FC8C56" w:rsidRDefault="5DACC5B2" w14:paraId="750A91FB" w14:textId="59814FBD">
            <w:pPr>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CC5B2" w:rsidP="58FC8C56" w:rsidRDefault="5DACC5B2" w14:paraId="03C299D9" w14:textId="6486817A">
            <w:pPr>
              <w:pStyle w:val="Normal"/>
            </w:pPr>
            <w:r w:rsidRPr="58FC8C56" w:rsidR="539C7A5C">
              <w:rPr>
                <w:rFonts w:ascii="Calibri" w:hAnsi="Calibri" w:eastAsia="Calibri" w:cs="Calibri"/>
                <w:b w:val="0"/>
                <w:bCs w:val="0"/>
                <w:i w:val="0"/>
                <w:iCs w:val="0"/>
                <w:caps w:val="0"/>
                <w:smallCaps w:val="0"/>
                <w:noProof w:val="0"/>
                <w:color w:val="000000" w:themeColor="text1" w:themeTint="FF" w:themeShade="FF"/>
                <w:sz w:val="22"/>
                <w:szCs w:val="22"/>
                <w:lang w:val="en-GB"/>
              </w:rPr>
              <w:t>You may consider adding a brief note on accessibility adaptations within the lesson plans even though these are addressed well within the curriculum.</w:t>
            </w:r>
          </w:p>
          <w:p w:rsidR="5DACC5B2" w:rsidP="58FC8C56" w:rsidRDefault="5DACC5B2" w14:paraId="0D42C3B5" w14:textId="242EBE28">
            <w:pPr>
              <w:pStyle w:val="Normal"/>
            </w:pPr>
          </w:p>
        </w:tc>
      </w:tr>
    </w:tbl>
    <w:p w:rsidR="5DACC5B2" w:rsidP="5DACC5B2" w:rsidRDefault="5DACC5B2" w14:paraId="3A6C444C" w14:textId="6442C590"/>
    <w:p w:rsidR="5DACC5B2" w:rsidP="5DACC5B2" w:rsidRDefault="5DACC5B2" w14:paraId="381BF35F" w14:textId="4F2F3B80"/>
    <w:p w:rsidR="1AEF066A" w:rsidP="5DACC5B2" w:rsidRDefault="1AEF066A" w14:paraId="281D345F" w14:textId="4A2E9441">
      <w:r>
        <w:t>Anything else that you would like to comment on?</w:t>
      </w:r>
    </w:p>
    <w:tbl>
      <w:tblPr>
        <w:tblStyle w:val="TableGrid"/>
        <w:tblW w:w="0" w:type="auto"/>
        <w:tblLayout w:type="fixed"/>
        <w:tblLook w:val="06A0" w:firstRow="1" w:lastRow="0" w:firstColumn="1" w:lastColumn="0" w:noHBand="1" w:noVBand="1"/>
      </w:tblPr>
      <w:tblGrid>
        <w:gridCol w:w="9015"/>
      </w:tblGrid>
      <w:tr w:rsidR="5DACC5B2" w:rsidTr="58FC8C56" w14:paraId="59F82B23" w14:textId="77777777">
        <w:tc>
          <w:tcPr>
            <w:tcW w:w="9015" w:type="dxa"/>
            <w:tcMar/>
          </w:tcPr>
          <w:p w:rsidR="5DACC5B2" w:rsidP="5DACC5B2" w:rsidRDefault="5DACC5B2" w14:paraId="1699798A" w14:textId="0FA1B6C0"/>
          <w:p w:rsidR="5DACC5B2" w:rsidP="58FC8C56" w:rsidRDefault="5DACC5B2" w14:paraId="0F387A65" w14:textId="0979D728">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58FC8C56" w:rsidR="4B7926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Overall, this is a highly researched and well-integrated curriculum proposal. It </w:t>
            </w:r>
            <w:r w:rsidRPr="58FC8C56" w:rsidR="4B792665">
              <w:rPr>
                <w:rFonts w:ascii="Calibri" w:hAnsi="Calibri" w:eastAsia="Calibri" w:cs="Calibri"/>
                <w:b w:val="0"/>
                <w:bCs w:val="0"/>
                <w:i w:val="0"/>
                <w:iCs w:val="0"/>
                <w:caps w:val="0"/>
                <w:smallCaps w:val="0"/>
                <w:noProof w:val="0"/>
                <w:color w:val="000000" w:themeColor="text1" w:themeTint="FF" w:themeShade="FF"/>
                <w:sz w:val="22"/>
                <w:szCs w:val="22"/>
                <w:lang w:val="en-GB"/>
              </w:rPr>
              <w:t>demonstrates</w:t>
            </w:r>
            <w:r w:rsidRPr="58FC8C56" w:rsidR="4B7926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professional awareness and a clear commitment to inclusion, learner </w:t>
            </w:r>
            <w:r w:rsidRPr="58FC8C56" w:rsidR="4B792665">
              <w:rPr>
                <w:rFonts w:ascii="Calibri" w:hAnsi="Calibri" w:eastAsia="Calibri" w:cs="Calibri"/>
                <w:b w:val="0"/>
                <w:bCs w:val="0"/>
                <w:i w:val="0"/>
                <w:iCs w:val="0"/>
                <w:caps w:val="0"/>
                <w:smallCaps w:val="0"/>
                <w:noProof w:val="0"/>
                <w:color w:val="000000" w:themeColor="text1" w:themeTint="FF" w:themeShade="FF"/>
                <w:sz w:val="22"/>
                <w:szCs w:val="22"/>
                <w:lang w:val="en-GB"/>
              </w:rPr>
              <w:t>progression</w:t>
            </w:r>
            <w:r w:rsidRPr="58FC8C56" w:rsidR="4B7926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social justice. Key strengthens include clear alignment between theory and practice, strong policy and context in Wales, effective integration of employability and digital skills and thoughtful assessment strategy supporting learners.</w:t>
            </w:r>
          </w:p>
          <w:p w:rsidR="5DACC5B2" w:rsidP="58FC8C56" w:rsidRDefault="5DACC5B2" w14:paraId="6FE4132C" w14:textId="3D81C0D7">
            <w:pPr>
              <w:pStyle w:val="Normal"/>
            </w:pPr>
          </w:p>
        </w:tc>
      </w:tr>
    </w:tbl>
    <w:p w:rsidR="5DACC5B2" w:rsidP="5DACC5B2" w:rsidRDefault="5DACC5B2" w14:paraId="5C959326" w14:textId="11080818"/>
    <w:p w:rsidR="5DACC5B2" w:rsidP="5DACC5B2" w:rsidRDefault="5DACC5B2" w14:paraId="37BAD061" w14:textId="4C7CDA1B"/>
    <w:sectPr w:rsidR="5DACC5B2">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AC3AB90"/>
    <w:rsid w:val="00523B1D"/>
    <w:rsid w:val="00961AD3"/>
    <w:rsid w:val="00EC3A1B"/>
    <w:rsid w:val="052AD6E7"/>
    <w:rsid w:val="05A26D8E"/>
    <w:rsid w:val="1AC3AB90"/>
    <w:rsid w:val="1AEF066A"/>
    <w:rsid w:val="2EE02769"/>
    <w:rsid w:val="32A7B225"/>
    <w:rsid w:val="3484AFDF"/>
    <w:rsid w:val="34A3D2E1"/>
    <w:rsid w:val="417954AB"/>
    <w:rsid w:val="46DED438"/>
    <w:rsid w:val="4B792665"/>
    <w:rsid w:val="4C70EA40"/>
    <w:rsid w:val="519765FB"/>
    <w:rsid w:val="539C7A5C"/>
    <w:rsid w:val="54CF06BD"/>
    <w:rsid w:val="58FC8C56"/>
    <w:rsid w:val="59ABFC3D"/>
    <w:rsid w:val="5DACC5B2"/>
    <w:rsid w:val="5DDDB178"/>
    <w:rsid w:val="6ACF390F"/>
    <w:rsid w:val="6B5785AA"/>
    <w:rsid w:val="6EB411B9"/>
    <w:rsid w:val="713D1F0D"/>
    <w:rsid w:val="750E15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3AB90"/>
  <w15:chartTrackingRefBased/>
  <w15:docId w15:val="{806D6C68-6748-4E67-ACFA-62A0DD510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Caroline Lewis</dc:creator>
  <keywords/>
  <dc:description/>
  <lastModifiedBy>aimee jenkins</lastModifiedBy>
  <revision>3</revision>
  <dcterms:created xsi:type="dcterms:W3CDTF">2026-01-29T11:38:00.0000000Z</dcterms:created>
  <dcterms:modified xsi:type="dcterms:W3CDTF">2026-02-09T13:10:16.3259473Z</dcterms:modified>
</coreProperties>
</file>