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0AA96" w14:textId="0EF2E9EC" w:rsidR="003A2A43" w:rsidRPr="00765003" w:rsidRDefault="003A2A43">
      <w:pPr>
        <w:pStyle w:val="p1"/>
        <w:rPr>
          <w:rFonts w:ascii="Arial" w:hAnsi="Arial" w:cs="Arial"/>
          <w:sz w:val="22"/>
          <w:szCs w:val="22"/>
        </w:rPr>
      </w:pPr>
      <w:r w:rsidRPr="00765003">
        <w:rPr>
          <w:rFonts w:ascii="Arial" w:hAnsi="Arial" w:cs="Arial"/>
          <w:sz w:val="22"/>
          <w:szCs w:val="22"/>
        </w:rPr>
        <w:t xml:space="preserve">Component One </w:t>
      </w:r>
      <w:r w:rsidR="00765003" w:rsidRPr="00765003">
        <w:rPr>
          <w:rFonts w:ascii="Arial" w:hAnsi="Arial" w:cs="Arial"/>
          <w:sz w:val="22"/>
          <w:szCs w:val="22"/>
        </w:rPr>
        <w:t>Online Portfolio</w:t>
      </w:r>
    </w:p>
    <w:p w14:paraId="05C99E92" w14:textId="202EC49B" w:rsidR="00765003" w:rsidRPr="00765003" w:rsidRDefault="00765003">
      <w:pPr>
        <w:pStyle w:val="p1"/>
        <w:rPr>
          <w:rFonts w:ascii="Arial" w:hAnsi="Arial" w:cs="Arial"/>
          <w:sz w:val="22"/>
          <w:szCs w:val="22"/>
        </w:rPr>
      </w:pPr>
      <w:r w:rsidRPr="00765003">
        <w:rPr>
          <w:rFonts w:ascii="Arial" w:hAnsi="Arial" w:cs="Arial"/>
          <w:sz w:val="22"/>
          <w:szCs w:val="22"/>
        </w:rPr>
        <w:t>Mona Alexa Costescu</w:t>
      </w:r>
    </w:p>
    <w:p w14:paraId="58A31636" w14:textId="03252DC0" w:rsidR="00765003" w:rsidRPr="00765003" w:rsidRDefault="00765003">
      <w:pPr>
        <w:pStyle w:val="p1"/>
        <w:rPr>
          <w:rFonts w:ascii="Arial" w:hAnsi="Arial" w:cs="Arial"/>
          <w:sz w:val="22"/>
          <w:szCs w:val="22"/>
        </w:rPr>
      </w:pPr>
      <w:r w:rsidRPr="00765003">
        <w:rPr>
          <w:rFonts w:ascii="Arial" w:hAnsi="Arial" w:cs="Arial"/>
          <w:sz w:val="22"/>
          <w:szCs w:val="22"/>
        </w:rPr>
        <w:t>ID: 2412771</w:t>
      </w:r>
    </w:p>
    <w:p w14:paraId="1E5D8E8F" w14:textId="52A16FAA" w:rsidR="00765003" w:rsidRPr="00765003" w:rsidRDefault="00765003">
      <w:pPr>
        <w:pStyle w:val="p1"/>
        <w:rPr>
          <w:rFonts w:ascii="Arial" w:hAnsi="Arial" w:cs="Arial"/>
          <w:sz w:val="22"/>
          <w:szCs w:val="22"/>
        </w:rPr>
      </w:pPr>
      <w:r w:rsidRPr="00765003">
        <w:rPr>
          <w:rFonts w:ascii="Arial" w:hAnsi="Arial" w:cs="Arial"/>
          <w:sz w:val="22"/>
          <w:szCs w:val="22"/>
        </w:rPr>
        <w:t>BMHP5014</w:t>
      </w:r>
    </w:p>
    <w:p w14:paraId="1B8FD1EE" w14:textId="77777777" w:rsidR="003A2A43" w:rsidRDefault="003A2A43">
      <w:pPr>
        <w:pStyle w:val="p1"/>
      </w:pPr>
    </w:p>
    <w:p w14:paraId="69F988A9" w14:textId="77777777" w:rsidR="003A2A43" w:rsidRDefault="003A2A43">
      <w:pPr>
        <w:pStyle w:val="p1"/>
      </w:pPr>
    </w:p>
    <w:p w14:paraId="09E7659C" w14:textId="77777777" w:rsidR="003A2A43" w:rsidRDefault="003A2A43">
      <w:pPr>
        <w:pStyle w:val="p1"/>
      </w:pPr>
    </w:p>
    <w:p w14:paraId="493156CE" w14:textId="77777777" w:rsidR="003A2A43" w:rsidRDefault="003A2A43">
      <w:pPr>
        <w:pStyle w:val="p1"/>
      </w:pPr>
    </w:p>
    <w:p w14:paraId="052021B2" w14:textId="77777777" w:rsidR="003A2A43" w:rsidRDefault="003A2A43">
      <w:pPr>
        <w:pStyle w:val="p1"/>
      </w:pPr>
    </w:p>
    <w:p w14:paraId="2FDAACDF" w14:textId="77777777" w:rsidR="003A2A43" w:rsidRDefault="003A2A43">
      <w:pPr>
        <w:pStyle w:val="p1"/>
      </w:pPr>
    </w:p>
    <w:p w14:paraId="2CC1EAE9" w14:textId="77777777" w:rsidR="003A2A43" w:rsidRDefault="003A2A43">
      <w:pPr>
        <w:pStyle w:val="p1"/>
      </w:pPr>
    </w:p>
    <w:p w14:paraId="722D8769" w14:textId="77777777" w:rsidR="003A2A43" w:rsidRDefault="003A2A43">
      <w:pPr>
        <w:pStyle w:val="p1"/>
      </w:pPr>
    </w:p>
    <w:p w14:paraId="346C2C9D" w14:textId="77777777" w:rsidR="003A2A43" w:rsidRDefault="003A2A43">
      <w:pPr>
        <w:pStyle w:val="p1"/>
      </w:pPr>
    </w:p>
    <w:p w14:paraId="35E7BC5E" w14:textId="77777777" w:rsidR="003A2A43" w:rsidRDefault="003A2A43">
      <w:pPr>
        <w:pStyle w:val="p1"/>
      </w:pPr>
    </w:p>
    <w:p w14:paraId="2081C718" w14:textId="77777777" w:rsidR="003A2A43" w:rsidRDefault="003A2A43">
      <w:pPr>
        <w:pStyle w:val="p1"/>
      </w:pPr>
    </w:p>
    <w:p w14:paraId="2A998505" w14:textId="77777777" w:rsidR="003A2A43" w:rsidRDefault="003A2A43">
      <w:pPr>
        <w:pStyle w:val="p1"/>
      </w:pPr>
    </w:p>
    <w:p w14:paraId="70984E41" w14:textId="2DBF9A91" w:rsidR="00136018" w:rsidRDefault="003A2A43">
      <w:pPr>
        <w:pStyle w:val="p1"/>
      </w:pPr>
      <w:r>
        <w:rPr>
          <w:noProof/>
          <w14:ligatures w14:val="standardContextual"/>
        </w:rPr>
        <w:lastRenderedPageBreak/>
        <w:drawing>
          <wp:anchor distT="0" distB="0" distL="114300" distR="114300" simplePos="0" relativeHeight="251659264" behindDoc="0" locked="0" layoutInCell="1" allowOverlap="1" wp14:anchorId="3F4B5D90" wp14:editId="4BFDC722">
            <wp:simplePos x="0" y="0"/>
            <wp:positionH relativeFrom="page">
              <wp:align>left</wp:align>
            </wp:positionH>
            <wp:positionV relativeFrom="paragraph">
              <wp:posOffset>329879</wp:posOffset>
            </wp:positionV>
            <wp:extent cx="8046085" cy="4643120"/>
            <wp:effectExtent l="0" t="0" r="0" b="5080"/>
            <wp:wrapTopAndBottom/>
            <wp:docPr id="8837598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759832" name="Picture 883759832"/>
                    <pic:cNvPicPr/>
                  </pic:nvPicPr>
                  <pic:blipFill>
                    <a:blip r:embed="rId6">
                      <a:extLst>
                        <a:ext uri="{28A0092B-C50C-407E-A947-70E740481C1C}">
                          <a14:useLocalDpi xmlns:a14="http://schemas.microsoft.com/office/drawing/2010/main" val="0"/>
                        </a:ext>
                      </a:extLst>
                    </a:blip>
                    <a:stretch>
                      <a:fillRect/>
                    </a:stretch>
                  </pic:blipFill>
                  <pic:spPr>
                    <a:xfrm>
                      <a:off x="0" y="0"/>
                      <a:ext cx="8046085" cy="4643120"/>
                    </a:xfrm>
                    <a:prstGeom prst="rect">
                      <a:avLst/>
                    </a:prstGeom>
                  </pic:spPr>
                </pic:pic>
              </a:graphicData>
            </a:graphic>
            <wp14:sizeRelH relativeFrom="margin">
              <wp14:pctWidth>0</wp14:pctWidth>
            </wp14:sizeRelH>
            <wp14:sizeRelV relativeFrom="margin">
              <wp14:pctHeight>0</wp14:pctHeight>
            </wp14:sizeRelV>
          </wp:anchor>
        </w:drawing>
      </w:r>
    </w:p>
    <w:p w14:paraId="0A266631" w14:textId="5BE64DBA" w:rsidR="00A8442D" w:rsidRPr="000C7468" w:rsidRDefault="00A8442D">
      <w:pPr>
        <w:pStyle w:val="p1"/>
        <w:rPr>
          <w:rFonts w:ascii="Arial" w:hAnsi="Arial" w:cs="Arial"/>
          <w:sz w:val="22"/>
          <w:szCs w:val="22"/>
        </w:rPr>
      </w:pPr>
      <w:r w:rsidRPr="000C7468">
        <w:rPr>
          <w:rFonts w:ascii="Arial" w:hAnsi="Arial" w:cs="Arial"/>
          <w:sz w:val="22"/>
          <w:szCs w:val="22"/>
        </w:rPr>
        <w:t>Creativity, value creation, and health and social care improvement are closely linked and collectively contribute to delivering high-quality, person-centred care. Creativity refers to the ability to generate innovative ideas and practical solutions that address challenges within health and social care services. In an environment facing increasing demand, workforce shortages, and complex patient needs, creativity supports the development of new approaches to care delivery, collaboration, and the use of technology (Department of Health and Social Care (DHSC), 2021). Creativity is therefore the starting point for innovation and service development.</w:t>
      </w:r>
    </w:p>
    <w:p w14:paraId="7E2B123B" w14:textId="77777777" w:rsidR="00A8442D" w:rsidRPr="000C7468" w:rsidRDefault="00A8442D">
      <w:pPr>
        <w:pStyle w:val="p1"/>
        <w:rPr>
          <w:rStyle w:val="s1"/>
          <w:rFonts w:ascii="Arial" w:hAnsi="Arial" w:cs="Arial"/>
          <w:sz w:val="22"/>
          <w:szCs w:val="22"/>
        </w:rPr>
      </w:pPr>
      <w:r w:rsidRPr="000C7468">
        <w:rPr>
          <w:rFonts w:ascii="Arial" w:hAnsi="Arial" w:cs="Arial"/>
          <w:sz w:val="22"/>
          <w:szCs w:val="22"/>
        </w:rPr>
        <w:t xml:space="preserve">Creative ideas contribute to </w:t>
      </w:r>
      <w:r w:rsidRPr="000C7468">
        <w:rPr>
          <w:rStyle w:val="s2"/>
          <w:rFonts w:ascii="Arial" w:hAnsi="Arial" w:cs="Arial"/>
          <w:sz w:val="22"/>
          <w:szCs w:val="22"/>
        </w:rPr>
        <w:t>value creation</w:t>
      </w:r>
      <w:r w:rsidRPr="000C7468">
        <w:rPr>
          <w:rStyle w:val="s1"/>
          <w:rFonts w:ascii="Arial" w:hAnsi="Arial" w:cs="Arial"/>
          <w:sz w:val="22"/>
          <w:szCs w:val="22"/>
        </w:rPr>
        <w:t xml:space="preserve"> when they produce positive outcomes for patients, staff, organisations, and communities. Value in health and social care is achieved through improving patient experiences, enhancing quality of care, increasing efficiency, reducing waste, and making effective use of available resources (NHS England, 2022). Co-production with patients and carers further strengthens value creation by ensuring services are designed around the needs of those who use them (NHS England, 2022).</w:t>
      </w:r>
    </w:p>
    <w:p w14:paraId="5567569F" w14:textId="77777777" w:rsidR="00A8442D" w:rsidRPr="000C7468" w:rsidRDefault="00A8442D">
      <w:pPr>
        <w:pStyle w:val="p1"/>
        <w:rPr>
          <w:rStyle w:val="s1"/>
          <w:rFonts w:ascii="Arial" w:hAnsi="Arial" w:cs="Arial"/>
          <w:sz w:val="22"/>
          <w:szCs w:val="22"/>
        </w:rPr>
      </w:pPr>
      <w:r w:rsidRPr="000C7468">
        <w:rPr>
          <w:rFonts w:ascii="Arial" w:hAnsi="Arial" w:cs="Arial"/>
          <w:sz w:val="22"/>
          <w:szCs w:val="22"/>
        </w:rPr>
        <w:t xml:space="preserve">Value creation leads to </w:t>
      </w:r>
      <w:r w:rsidRPr="000C7468">
        <w:rPr>
          <w:rStyle w:val="s2"/>
          <w:rFonts w:ascii="Arial" w:hAnsi="Arial" w:cs="Arial"/>
          <w:sz w:val="22"/>
          <w:szCs w:val="22"/>
        </w:rPr>
        <w:t>health and social care improvement</w:t>
      </w:r>
      <w:r w:rsidRPr="000C7468">
        <w:rPr>
          <w:rStyle w:val="s1"/>
          <w:rFonts w:ascii="Arial" w:hAnsi="Arial" w:cs="Arial"/>
          <w:sz w:val="22"/>
          <w:szCs w:val="22"/>
        </w:rPr>
        <w:t xml:space="preserve"> through continuous quality improvement, evidence-based practice, and organisational learning. Improved services result in safer care, better health outcomes, greater patient satisfaction, and more integrated ways of working across health and social care systems (The Health Foundation, 2021). Evaluation of these improvements enables organisations to identify further opportunities for innovation, creating an ongoing cycle of creativity and improvement. Consequently, creativity generates innovative ideas, value creation transforms these ideas into measurable benefits, </w:t>
      </w:r>
      <w:r w:rsidRPr="000C7468">
        <w:rPr>
          <w:rStyle w:val="s1"/>
          <w:rFonts w:ascii="Arial" w:hAnsi="Arial" w:cs="Arial"/>
          <w:sz w:val="22"/>
          <w:szCs w:val="22"/>
        </w:rPr>
        <w:lastRenderedPageBreak/>
        <w:t>and continuous improvement ensures that health and social care services remain effective, sustainable, and responsive to the changing needs of individuals and communities (DHSC, 2021; The Health Foundation, 2021).</w:t>
      </w:r>
    </w:p>
    <w:p w14:paraId="52FB30D5" w14:textId="1BD6B87F" w:rsidR="00D9614D" w:rsidRPr="000C7468" w:rsidRDefault="00D9614D">
      <w:pPr>
        <w:pStyle w:val="p1"/>
        <w:rPr>
          <w:rStyle w:val="s1"/>
          <w:rFonts w:ascii="Arial" w:hAnsi="Arial" w:cs="Arial"/>
          <w:sz w:val="22"/>
          <w:szCs w:val="22"/>
        </w:rPr>
      </w:pPr>
      <w:r w:rsidRPr="000C7468">
        <w:rPr>
          <w:rFonts w:ascii="Arial" w:hAnsi="Arial" w:cs="Arial"/>
          <w:sz w:val="22"/>
          <w:szCs w:val="22"/>
        </w:rPr>
        <w:t xml:space="preserve">Gibbs’ (1988) Reflective Cycle provides a structured approach to reflecting on experiences by considering what happened, personal feelings, evaluation, analysis, conclusion, and an action plan. During the paperclip activity, my group </w:t>
      </w:r>
      <w:bookmarkStart w:id="0" w:name="_Int_n7bfzWr4"/>
      <w:r w:rsidRPr="000C7468">
        <w:rPr>
          <w:rFonts w:ascii="Arial" w:hAnsi="Arial" w:cs="Arial"/>
          <w:sz w:val="22"/>
          <w:szCs w:val="22"/>
        </w:rPr>
        <w:t>was challenged</w:t>
      </w:r>
      <w:bookmarkEnd w:id="0"/>
      <w:r w:rsidRPr="000C7468">
        <w:rPr>
          <w:rFonts w:ascii="Arial" w:hAnsi="Arial" w:cs="Arial"/>
          <w:sz w:val="22"/>
          <w:szCs w:val="22"/>
        </w:rPr>
        <w:t xml:space="preserve"> to generate as many different uses for a paperclip as possible before selecting the most practical ideas. We produced </w:t>
      </w:r>
      <w:r w:rsidR="00466C28" w:rsidRPr="000C7468">
        <w:rPr>
          <w:rFonts w:ascii="Arial" w:hAnsi="Arial" w:cs="Arial"/>
          <w:sz w:val="22"/>
          <w:szCs w:val="22"/>
        </w:rPr>
        <w:t>a wide range of ideas</w:t>
      </w:r>
      <w:r w:rsidRPr="000C7468">
        <w:rPr>
          <w:rStyle w:val="s1"/>
          <w:rFonts w:ascii="Arial" w:hAnsi="Arial" w:cs="Arial"/>
          <w:sz w:val="22"/>
          <w:szCs w:val="22"/>
        </w:rPr>
        <w:t xml:space="preserve"> within the allocated time. Initially, I found it difficult to think beyond the paperclip’s intended purpose; however, as other group members shared ideas, I became more confident in suggesting creative alternatives. During the second stage, I contributed more to evaluating which ideas were realistic and selecting those that were most achievable.</w:t>
      </w:r>
    </w:p>
    <w:p w14:paraId="098D3034" w14:textId="77777777" w:rsidR="00D9614D" w:rsidRPr="000C7468" w:rsidRDefault="00D9614D">
      <w:pPr>
        <w:pStyle w:val="p1"/>
        <w:rPr>
          <w:rFonts w:ascii="Arial" w:hAnsi="Arial" w:cs="Arial"/>
          <w:sz w:val="22"/>
          <w:szCs w:val="22"/>
        </w:rPr>
      </w:pPr>
      <w:r w:rsidRPr="000C7468">
        <w:rPr>
          <w:rFonts w:ascii="Arial" w:hAnsi="Arial" w:cs="Arial"/>
          <w:sz w:val="22"/>
          <w:szCs w:val="22"/>
        </w:rPr>
        <w:t xml:space="preserve">This activity helped me understand the difference between divergent and convergent thinking. Divergent thinking involves generating a wide range of creative ideas without immediately judging them, whereas convergent thinking focuses on analysing and selecting the most appropriate solution. These concepts were clearly demonstrated during the activity, where brainstorming encouraged creativity before critical evaluation was applied. </w:t>
      </w:r>
      <w:r w:rsidRPr="000C7468">
        <w:rPr>
          <w:rStyle w:val="apple-converted-space"/>
          <w:rFonts w:ascii="Arial" w:hAnsi="Arial" w:cs="Arial"/>
          <w:sz w:val="22"/>
          <w:szCs w:val="22"/>
        </w:rPr>
        <w:t> </w:t>
      </w:r>
    </w:p>
    <w:p w14:paraId="087EDFAF" w14:textId="77777777" w:rsidR="00D9614D" w:rsidRDefault="00D9614D">
      <w:pPr>
        <w:pStyle w:val="p1"/>
        <w:rPr>
          <w:rFonts w:ascii="Arial" w:hAnsi="Arial" w:cs="Arial"/>
          <w:sz w:val="22"/>
          <w:szCs w:val="22"/>
        </w:rPr>
      </w:pPr>
      <w:r w:rsidRPr="000C7468">
        <w:rPr>
          <w:rFonts w:ascii="Arial" w:hAnsi="Arial" w:cs="Arial"/>
          <w:sz w:val="22"/>
          <w:szCs w:val="22"/>
        </w:rPr>
        <w:t>Reflecting on the activity, I recognised that I naturally favour convergent thinking because I tend to evaluate ideas before exploring multiple possibilities. In future group activities, I will challenge myself to contribute more creative ideas before assessing their feasibility. Developing both thinking styles is important within health and social care, as professionals must generate innovative solutions while also making safe, evidence-based decisions that improve patient care (Gibbs, 1988).</w:t>
      </w:r>
    </w:p>
    <w:p w14:paraId="63F1F8F0" w14:textId="77777777" w:rsidR="000C7468" w:rsidRPr="000C7468" w:rsidRDefault="000C7468">
      <w:pPr>
        <w:pStyle w:val="p1"/>
        <w:rPr>
          <w:rFonts w:ascii="Arial" w:hAnsi="Arial" w:cs="Arial"/>
          <w:sz w:val="22"/>
          <w:szCs w:val="22"/>
        </w:rPr>
      </w:pPr>
    </w:p>
    <w:p w14:paraId="72E1A6C9" w14:textId="77777777" w:rsidR="00746C7A" w:rsidRPr="000C7468" w:rsidRDefault="00746C7A" w:rsidP="00746C7A">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The NHS at Home initiative is an innovative model of care that enables patients with long-term conditions to receive monitoring and support within their own homes through digital technology. Instead of relying on traditional hospital-based care, healthcare professionals use remote monitoring devices and virtual communication to assess patients’ health, allowing early intervention when problems arise. This innovative approach reflects the NHS’s shift towards community-based care and demonstrates how creativity can be used to redesign healthcare delivery (Care Quality Commission et al., 2021).</w:t>
      </w:r>
    </w:p>
    <w:p w14:paraId="55C84F8D" w14:textId="77777777" w:rsidR="00746C7A" w:rsidRPr="000C7468" w:rsidRDefault="00746C7A" w:rsidP="00746C7A">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Creativity played a central role in the development of NHS at Home by challenging the traditional assumption that patients must attend hospital to receive effective care. Rather than creating entirely new technology, the initiative creatively applied existing digital monitoring devices and communication systems to support patients remotely. This approach encouraged individuals to take a more active role in managing their own health while allowing clinicians to respond more quickly when health concerns were identified. The initiative therefore demonstrates that innovation is not only about inventing new technology but also about applying existing resources in new and effective ways to improve healthcare delivery.</w:t>
      </w:r>
    </w:p>
    <w:p w14:paraId="00A0A8AC" w14:textId="77777777" w:rsidR="00746C7A" w:rsidRPr="000C7468" w:rsidRDefault="00746C7A" w:rsidP="00746C7A">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 xml:space="preserve">The innovation created significant value for both patients and healthcare providers. Patients benefited from fewer hospital visits, greater independence, increased comfort and an improved quality of life because they could receive care within their own homes. Early monitoring also allowed clinicians to identify deterioration sooner, reducing the risk of emergency admissions. For healthcare providers, NHS at Home reduced pressure on hospital beds, improved service efficiency and enabled resources to be used more effectively. According to the lecture materials, remote monitoring has been associated with </w:t>
      </w:r>
      <w:r w:rsidRPr="000C7468">
        <w:rPr>
          <w:rFonts w:ascii="Arial" w:hAnsi="Arial" w:cs="Arial"/>
          <w:kern w:val="0"/>
          <w:sz w:val="22"/>
          <w:szCs w:val="22"/>
          <w14:ligatures w14:val="none"/>
        </w:rPr>
        <w:lastRenderedPageBreak/>
        <w:t>reduced hospital admissions for patients with chronic conditions while supporting proactive, preventative care.</w:t>
      </w:r>
    </w:p>
    <w:p w14:paraId="2E7376CC" w14:textId="77777777" w:rsidR="00746C7A" w:rsidRPr="000C7468" w:rsidRDefault="00746C7A" w:rsidP="00746C7A">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Furthermore, the initiative promotes a more proactive model of healthcare by identifying changes in a patient’s condition before they become serious. Earlier intervention helps reduce complications and prevents avoidable hospital admissions. NHS at Home also strengthens communication between patients and multidisciplinary healthcare teams, ensuring care is coordinated and tailored to individual needs. By encouraging self-management, patients become more confident and actively involved in decisions about their own health. The flexibility of receiving care at home enables many patients to remain in familiar surroundings, which can improve emotional wellbeing, reduce anxiety associated with hospital stays and support recovery while maintaining regular contact with healthcare professionals. These benefits demonstrate how creative service redesign can improve both patient experiences and the overall efficiency of NHS services.</w:t>
      </w:r>
    </w:p>
    <w:p w14:paraId="1EA13F50" w14:textId="77777777" w:rsidR="00746C7A" w:rsidRPr="000C7468" w:rsidRDefault="00746C7A" w:rsidP="00746C7A">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Overall, NHS at Home demonstrates how redesigning healthcare services around patient needs can improve accessibility, support earlier intervention and deliver greater value for both patients and the NHS. The initiative contributes to improved quality of care, greater efficiency and more sustainable use of healthcare resources while showing that creative thinking can be successfully transformed into practical solutions that enhance healthcare delivery and patient experiences (Care Quality Commission et al., 2021).</w:t>
      </w:r>
    </w:p>
    <w:p w14:paraId="425C2A10" w14:textId="77777777" w:rsidR="00C84C57" w:rsidRPr="000C7468" w:rsidRDefault="00C84C57">
      <w:pPr>
        <w:pStyle w:val="p1"/>
        <w:rPr>
          <w:rFonts w:ascii="Arial" w:hAnsi="Arial" w:cs="Arial"/>
          <w:sz w:val="22"/>
          <w:szCs w:val="22"/>
        </w:rPr>
      </w:pPr>
    </w:p>
    <w:p w14:paraId="4A00CEA8" w14:textId="51E740F2" w:rsidR="00685A28" w:rsidRPr="000C7468" w:rsidRDefault="00685A28" w:rsidP="00685A28">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One current issue in</w:t>
      </w:r>
      <w:r w:rsidR="00B6180C" w:rsidRPr="000C7468">
        <w:rPr>
          <w:rFonts w:ascii="Arial" w:hAnsi="Arial" w:cs="Arial"/>
          <w:kern w:val="0"/>
          <w:sz w:val="22"/>
          <w:szCs w:val="22"/>
          <w14:ligatures w14:val="none"/>
        </w:rPr>
        <w:t xml:space="preserve"> the</w:t>
      </w:r>
      <w:r w:rsidRPr="000C7468">
        <w:rPr>
          <w:rFonts w:ascii="Arial" w:hAnsi="Arial" w:cs="Arial"/>
          <w:kern w:val="0"/>
          <w:sz w:val="22"/>
          <w:szCs w:val="22"/>
          <w14:ligatures w14:val="none"/>
        </w:rPr>
        <w:t xml:space="preserve"> UK health and social care is the unequal access to healthcare experienced by vulnerable populations. Groups such as older adults, people living in deprived communities, ethnic minority groups and individuals with limited digital skills often experience barriers that make it more difficult to access healthcare services. These barriers can delay diagnosis and treatment, reduce engagement with healthcare and contribute to poorer health outcomes (Farre et al., 2023; Aminu et al., 2025).</w:t>
      </w:r>
    </w:p>
    <w:p w14:paraId="1C04EEEE" w14:textId="77777777" w:rsidR="00685A28" w:rsidRPr="000C7468" w:rsidRDefault="00685A28" w:rsidP="00685A28">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Farre et al. (2023) conducted a scoping review to explore how digital healthcare technologies have been implemented across the UK while considering health inequalities. The researchers found that digital healthcare can improve access by reducing travel, increasing convenience and allowing patients to communicate with healthcare professionals remotely. However, the review also identified that many vulnerable groups experienced digital exclusion because they lacked access to reliable internet, suitable devices or the digital skills required to use online healthcare services. The authors concluded that healthcare organisations should ensure digital services are inclusive and provide alternative methods of accessing care to prevent widening existing health inequalities.</w:t>
      </w:r>
    </w:p>
    <w:p w14:paraId="044EE985" w14:textId="77777777" w:rsidR="00685A28" w:rsidRPr="000C7468" w:rsidRDefault="00685A28" w:rsidP="00685A28">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Similarly, Aminu et al. (2025) investigated disparities in the use of remote consultations within general practice in England. The study found that although remote consultations improved accessibility for many patients, they were used less frequently by older adults, people living in deprived areas and individuals with limited confidence in using digital technology. These findings suggest that socioeconomic circumstances and digital literacy continue to influence access to healthcare. The researchers recommended maintaining a combination of face-to-face and remote appointments while providing greater digital support to ensure equitable access for all patients.</w:t>
      </w:r>
    </w:p>
    <w:p w14:paraId="62614A9D" w14:textId="77777777" w:rsidR="00685A28" w:rsidRPr="000C7468" w:rsidRDefault="00685A28" w:rsidP="00685A28">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 xml:space="preserve">Overall, both studies demonstrate that inequalities in healthcare access are influenced by social and digital factors rather than healthcare availability alone. Addressing these barriers through inclusive healthcare services, improved digital support and person-centred care is </w:t>
      </w:r>
      <w:r w:rsidRPr="000C7468">
        <w:rPr>
          <w:rFonts w:ascii="Arial" w:hAnsi="Arial" w:cs="Arial"/>
          <w:kern w:val="0"/>
          <w:sz w:val="22"/>
          <w:szCs w:val="22"/>
          <w14:ligatures w14:val="none"/>
        </w:rPr>
        <w:lastRenderedPageBreak/>
        <w:t>essential to reducing health inequalities and improving health outcomes for vulnerable populations.</w:t>
      </w:r>
    </w:p>
    <w:p w14:paraId="1B487527" w14:textId="77777777" w:rsidR="00685A28" w:rsidRPr="000C7468" w:rsidRDefault="00685A28" w:rsidP="00C84C57">
      <w:pPr>
        <w:spacing w:before="100" w:beforeAutospacing="1" w:after="100" w:afterAutospacing="1" w:line="240" w:lineRule="auto"/>
        <w:rPr>
          <w:rFonts w:ascii="Arial" w:hAnsi="Arial" w:cs="Arial"/>
          <w:kern w:val="0"/>
          <w:sz w:val="22"/>
          <w:szCs w:val="22"/>
          <w14:ligatures w14:val="none"/>
        </w:rPr>
      </w:pPr>
    </w:p>
    <w:p w14:paraId="2D0A051E" w14:textId="77777777" w:rsidR="00C84C57" w:rsidRPr="000C7468" w:rsidRDefault="00C84C57">
      <w:pPr>
        <w:pStyle w:val="p1"/>
        <w:rPr>
          <w:rFonts w:ascii="Arial" w:hAnsi="Arial" w:cs="Arial"/>
          <w:sz w:val="22"/>
          <w:szCs w:val="22"/>
        </w:rPr>
      </w:pPr>
    </w:p>
    <w:p w14:paraId="3C600F6E" w14:textId="011992DA" w:rsidR="00A8442D" w:rsidRPr="000C7468" w:rsidRDefault="00162719">
      <w:pPr>
        <w:rPr>
          <w:rFonts w:ascii="Arial" w:hAnsi="Arial" w:cs="Arial"/>
          <w:sz w:val="22"/>
          <w:szCs w:val="22"/>
        </w:rPr>
      </w:pPr>
      <w:r w:rsidRPr="000C7468">
        <w:rPr>
          <w:rFonts w:ascii="Arial" w:hAnsi="Arial" w:cs="Arial"/>
          <w:sz w:val="22"/>
          <w:szCs w:val="22"/>
        </w:rPr>
        <w:t xml:space="preserve">Task 5 </w:t>
      </w:r>
      <w:r w:rsidR="000C7468">
        <w:rPr>
          <w:rFonts w:ascii="Arial" w:hAnsi="Arial" w:cs="Arial"/>
          <w:sz w:val="22"/>
          <w:szCs w:val="22"/>
        </w:rPr>
        <w:t>- Podcast</w:t>
      </w:r>
    </w:p>
    <w:p w14:paraId="3763DE1D" w14:textId="444D130C" w:rsidR="00162719" w:rsidRPr="000C7468" w:rsidRDefault="000C7468">
      <w:pPr>
        <w:rPr>
          <w:rFonts w:ascii="Arial" w:hAnsi="Arial" w:cs="Arial"/>
          <w:sz w:val="22"/>
          <w:szCs w:val="22"/>
        </w:rPr>
      </w:pPr>
      <w:r>
        <w:rPr>
          <w:rFonts w:ascii="Arial" w:hAnsi="Arial" w:cs="Arial"/>
          <w:sz w:val="22"/>
          <w:szCs w:val="22"/>
        </w:rPr>
        <w:object w:dxaOrig="2031" w:dyaOrig="831" w14:anchorId="5BE07A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01.6pt;height:41.45pt" o:ole="">
            <v:imagedata r:id="rId7" o:title=""/>
          </v:shape>
          <o:OLEObject Type="Embed" ProgID="Package" ShapeID="_x0000_i1031" DrawAspect="Content" ObjectID="_1844847828" r:id="rId8"/>
        </w:object>
      </w:r>
    </w:p>
    <w:p w14:paraId="57C2504C" w14:textId="77777777" w:rsidR="00162719" w:rsidRPr="000C7468" w:rsidRDefault="00162719">
      <w:pPr>
        <w:rPr>
          <w:rFonts w:ascii="Arial" w:hAnsi="Arial" w:cs="Arial"/>
          <w:sz w:val="22"/>
          <w:szCs w:val="22"/>
        </w:rPr>
      </w:pPr>
    </w:p>
    <w:p w14:paraId="236C2021" w14:textId="1865CED3" w:rsidR="00162719" w:rsidRPr="000C7468" w:rsidRDefault="00162719" w:rsidP="00162719">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The NHS Leadership Framework provides a shared approach to leadership development for all staff working across health and social care, regardless of their role or profession. It is based on the principle that leadership is everyone’s responsibility and that effective leadership contributes to delivering safe, high-quality, patient-centred care. The framework is underpinned by NHS values such as compassion, respect, integrity and teamwork,</w:t>
      </w:r>
      <w:r w:rsidR="00995720" w:rsidRPr="000C7468">
        <w:rPr>
          <w:rFonts w:ascii="Arial" w:hAnsi="Arial" w:cs="Arial"/>
          <w:kern w:val="0"/>
          <w:sz w:val="22"/>
          <w:szCs w:val="22"/>
          <w14:ligatures w14:val="none"/>
        </w:rPr>
        <w:t xml:space="preserve"> and</w:t>
      </w:r>
      <w:r w:rsidRPr="000C7468">
        <w:rPr>
          <w:rFonts w:ascii="Arial" w:hAnsi="Arial" w:cs="Arial"/>
          <w:kern w:val="0"/>
          <w:sz w:val="22"/>
          <w:szCs w:val="22"/>
          <w14:ligatures w14:val="none"/>
        </w:rPr>
        <w:t xml:space="preserve"> aims to develop leadership behaviours that improve services and patient outcomes</w:t>
      </w:r>
      <w:r w:rsidR="0028343A" w:rsidRPr="000C7468">
        <w:rPr>
          <w:rFonts w:ascii="Arial" w:hAnsi="Arial" w:cs="Arial"/>
          <w:kern w:val="0"/>
          <w:sz w:val="22"/>
          <w:szCs w:val="22"/>
          <w14:ligatures w14:val="none"/>
        </w:rPr>
        <w:t xml:space="preserve">. </w:t>
      </w:r>
    </w:p>
    <w:p w14:paraId="061969F5" w14:textId="77777777" w:rsidR="00162719" w:rsidRPr="000C7468" w:rsidRDefault="00162719" w:rsidP="00162719">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The framework consists of seven domains. The five core domains are demonstrating personal qualities, working with others, managing services, improving services, and setting direction. These domains apply to all NHS staff and focus on developing self-awareness, teamwork, service management, quality improvement and evidence-based decision-making. Two additional domains, creating the vision and delivering the strategy, are primarily aimed at those in senior leadership roles and focus on establishing a clear organisational vision and implementing strategic change. Each domain is divided into elements and behaviours that support leadership development at different career stages. Overall, the framework promotes collaborative leadership, continuous learning and innovation to improve patient care while ensuring services remain effective, safe and responsive to changing healthcare needs (NHS Leadership Academy, 2011).  </w:t>
      </w:r>
    </w:p>
    <w:p w14:paraId="180298EC" w14:textId="77777777" w:rsidR="00162719" w:rsidRPr="000C7468" w:rsidRDefault="00162719" w:rsidP="00162719">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Using one component to encourage creativity and improve care (150 words)</w:t>
      </w:r>
    </w:p>
    <w:p w14:paraId="36B16310" w14:textId="77777777" w:rsidR="00162719" w:rsidRDefault="00162719" w:rsidP="00162719">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One important component of the NHS Leadership Framework is Improving Services. This domain encourages leaders to ensure patient safety, critically evaluate current practice, promote innovation and facilitate transformation. A leader can encourage creativity by creating an environment where staff feel confident to suggest new ideas and reflect on existing practices without fear of criticism. For example, a ward manager could invite nurses and healthcare assistants to contribute ideas during regular improvement meetings, trial new approaches to patient care and evaluate outcomes using evidence. This collaborative approach increases staff engagement while identifying innovative solutions that improve efficiency and patient experience. Encouraging continuous learning and reflection also helps teams adapt to changing healthcare needs and implement evidence-based improvements. By supporting innovation while maintaining patient safety, leaders can develop a positive workplace culture that delivers higher-quality, person-centred care and contributes to continuous service improvement (NHS Leadership Academy, 2011; West et al., 2022).</w:t>
      </w:r>
    </w:p>
    <w:p w14:paraId="0908A437" w14:textId="77777777" w:rsidR="000C7468" w:rsidRPr="000C7468" w:rsidRDefault="000C7468" w:rsidP="00162719">
      <w:pPr>
        <w:spacing w:before="100" w:beforeAutospacing="1" w:after="100" w:afterAutospacing="1" w:line="240" w:lineRule="auto"/>
        <w:rPr>
          <w:rFonts w:ascii="Arial" w:hAnsi="Arial" w:cs="Arial"/>
          <w:kern w:val="0"/>
          <w:sz w:val="22"/>
          <w:szCs w:val="22"/>
          <w14:ligatures w14:val="none"/>
        </w:rPr>
      </w:pPr>
    </w:p>
    <w:p w14:paraId="437A58D7" w14:textId="77777777" w:rsidR="007C17FB" w:rsidRPr="000C7468" w:rsidRDefault="007C17FB" w:rsidP="007C17FB">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 xml:space="preserve">Throughout this module, my understanding of creativity and value creation within health and social care has developed significantly. At the beginning of the module, I associated </w:t>
      </w:r>
      <w:r w:rsidRPr="000C7468">
        <w:rPr>
          <w:rFonts w:ascii="Arial" w:hAnsi="Arial" w:cs="Arial"/>
          <w:kern w:val="0"/>
          <w:sz w:val="22"/>
          <w:szCs w:val="22"/>
          <w14:ligatures w14:val="none"/>
        </w:rPr>
        <w:lastRenderedPageBreak/>
        <w:t>creativity with artistic ability or simply generating original ideas. However, I now understand that creativity is much broader and involves identifying practical, innovative solutions to improve the quality of care, address challenges and enhance the experiences of patients, service users and healthcare professionals. I have also learned that creativity and innovation are closely connected, with creativity generating new ideas and innovation turning those ideas into meaningful improvements that create value within health and social care.  </w:t>
      </w:r>
    </w:p>
    <w:p w14:paraId="47AF02FA" w14:textId="77777777" w:rsidR="007C17FB" w:rsidRPr="000C7468" w:rsidRDefault="007C17FB" w:rsidP="007C17FB">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The module has helped me appreciate the importance of using both divergent and convergent thinking when solving problems. The paperclip activity demonstrated that generating a wide range of ideas before evaluating the most appropriate solution can lead to more creative and effective outcomes. This experience encouraged me to think beyond obvious solutions and consider different perspectives when approaching challenges. I also gained a greater understanding of how leadership plays a vital role in supporting creativity by encouraging collaboration, empowering staff and creating an environment where new ideas are welcomed. In addition, learning about emerging technologies such as artificial intelligence, telemedicine and wearable health technology highlighted how innovation can improve communication, increase efficiency and provide more accessible, person-centred care.  </w:t>
      </w:r>
    </w:p>
    <w:p w14:paraId="2012069E" w14:textId="77777777" w:rsidR="007C17FB" w:rsidRDefault="007C17FB" w:rsidP="007C17FB">
      <w:pPr>
        <w:spacing w:before="100" w:beforeAutospacing="1" w:after="100" w:afterAutospacing="1" w:line="240" w:lineRule="auto"/>
        <w:rPr>
          <w:rFonts w:ascii="Arial" w:hAnsi="Arial" w:cs="Arial"/>
          <w:kern w:val="0"/>
          <w:sz w:val="22"/>
          <w:szCs w:val="22"/>
          <w14:ligatures w14:val="none"/>
        </w:rPr>
      </w:pPr>
      <w:r w:rsidRPr="000C7468">
        <w:rPr>
          <w:rFonts w:ascii="Arial" w:hAnsi="Arial" w:cs="Arial"/>
          <w:kern w:val="0"/>
          <w:sz w:val="22"/>
          <w:szCs w:val="22"/>
          <w14:ligatures w14:val="none"/>
        </w:rPr>
        <w:t>Reflecting on this module, I believe it has changed the way I approach professional practice. I now recognise the importance of continuously evaluating existing services, remaining open to change and using evidence to support improvements in care. Rather than relying solely on traditional methods, I will be more confident in suggesting creative ideas that could improve patient experiences and service delivery. I have also developed a greater appreciation of the value of teamwork, leadership and effective communication in implementing successful innovations. Overall, this module has strengthened my confidence in applying creativity, innovation and value creation to support continuous improvement within health and social care and has provided me with skills that I will carry forward into my future career.</w:t>
      </w:r>
    </w:p>
    <w:p w14:paraId="0433CF9E" w14:textId="77777777" w:rsidR="00765003" w:rsidRDefault="00765003" w:rsidP="007C17FB">
      <w:pPr>
        <w:spacing w:before="100" w:beforeAutospacing="1" w:after="100" w:afterAutospacing="1" w:line="240" w:lineRule="auto"/>
        <w:rPr>
          <w:rFonts w:ascii="Arial" w:hAnsi="Arial" w:cs="Arial"/>
          <w:kern w:val="0"/>
          <w:sz w:val="22"/>
          <w:szCs w:val="22"/>
          <w14:ligatures w14:val="none"/>
        </w:rPr>
      </w:pPr>
    </w:p>
    <w:p w14:paraId="59489F84" w14:textId="77777777" w:rsidR="00765003" w:rsidRDefault="00765003" w:rsidP="007C17FB">
      <w:pPr>
        <w:spacing w:before="100" w:beforeAutospacing="1" w:after="100" w:afterAutospacing="1" w:line="240" w:lineRule="auto"/>
        <w:rPr>
          <w:rFonts w:ascii="Arial" w:hAnsi="Arial" w:cs="Arial"/>
          <w:kern w:val="0"/>
          <w:sz w:val="22"/>
          <w:szCs w:val="22"/>
          <w14:ligatures w14:val="none"/>
        </w:rPr>
      </w:pPr>
    </w:p>
    <w:p w14:paraId="254B1D51" w14:textId="77777777" w:rsidR="00765003" w:rsidRDefault="00765003" w:rsidP="007C17FB">
      <w:pPr>
        <w:spacing w:before="100" w:beforeAutospacing="1" w:after="100" w:afterAutospacing="1" w:line="240" w:lineRule="auto"/>
        <w:rPr>
          <w:rFonts w:ascii="Arial" w:hAnsi="Arial" w:cs="Arial"/>
          <w:kern w:val="0"/>
          <w:sz w:val="22"/>
          <w:szCs w:val="22"/>
          <w14:ligatures w14:val="none"/>
        </w:rPr>
      </w:pPr>
    </w:p>
    <w:p w14:paraId="075DF8EA" w14:textId="77777777" w:rsidR="00765003" w:rsidRDefault="00765003" w:rsidP="007C17FB">
      <w:pPr>
        <w:spacing w:before="100" w:beforeAutospacing="1" w:after="100" w:afterAutospacing="1" w:line="240" w:lineRule="auto"/>
        <w:rPr>
          <w:rFonts w:ascii="Arial" w:hAnsi="Arial" w:cs="Arial"/>
          <w:kern w:val="0"/>
          <w:sz w:val="22"/>
          <w:szCs w:val="22"/>
          <w14:ligatures w14:val="none"/>
        </w:rPr>
      </w:pPr>
    </w:p>
    <w:p w14:paraId="43E44D8C" w14:textId="77777777" w:rsidR="00765003" w:rsidRDefault="00765003" w:rsidP="007C17FB">
      <w:pPr>
        <w:spacing w:before="100" w:beforeAutospacing="1" w:after="100" w:afterAutospacing="1" w:line="240" w:lineRule="auto"/>
        <w:rPr>
          <w:rFonts w:ascii="Arial" w:hAnsi="Arial" w:cs="Arial"/>
          <w:kern w:val="0"/>
          <w:sz w:val="22"/>
          <w:szCs w:val="22"/>
          <w14:ligatures w14:val="none"/>
        </w:rPr>
      </w:pPr>
    </w:p>
    <w:p w14:paraId="483CF222" w14:textId="77777777" w:rsidR="00765003" w:rsidRDefault="00765003" w:rsidP="007C17FB">
      <w:pPr>
        <w:spacing w:before="100" w:beforeAutospacing="1" w:after="100" w:afterAutospacing="1" w:line="240" w:lineRule="auto"/>
        <w:rPr>
          <w:rFonts w:ascii="Arial" w:hAnsi="Arial" w:cs="Arial"/>
          <w:kern w:val="0"/>
          <w:sz w:val="22"/>
          <w:szCs w:val="22"/>
          <w14:ligatures w14:val="none"/>
        </w:rPr>
      </w:pPr>
    </w:p>
    <w:p w14:paraId="5ECF980F" w14:textId="77777777" w:rsidR="00765003" w:rsidRDefault="00765003" w:rsidP="007C17FB">
      <w:pPr>
        <w:spacing w:before="100" w:beforeAutospacing="1" w:after="100" w:afterAutospacing="1" w:line="240" w:lineRule="auto"/>
        <w:rPr>
          <w:rFonts w:ascii="Arial" w:hAnsi="Arial" w:cs="Arial"/>
          <w:kern w:val="0"/>
          <w:sz w:val="22"/>
          <w:szCs w:val="22"/>
          <w14:ligatures w14:val="none"/>
        </w:rPr>
      </w:pPr>
    </w:p>
    <w:p w14:paraId="4A498C80" w14:textId="77777777" w:rsidR="00765003" w:rsidRDefault="00765003" w:rsidP="007C17FB">
      <w:pPr>
        <w:spacing w:before="100" w:beforeAutospacing="1" w:after="100" w:afterAutospacing="1" w:line="240" w:lineRule="auto"/>
        <w:rPr>
          <w:rFonts w:ascii="Arial" w:hAnsi="Arial" w:cs="Arial"/>
          <w:kern w:val="0"/>
          <w:sz w:val="22"/>
          <w:szCs w:val="22"/>
          <w14:ligatures w14:val="none"/>
        </w:rPr>
      </w:pPr>
    </w:p>
    <w:p w14:paraId="4DB9903D" w14:textId="77777777" w:rsidR="00765003" w:rsidRPr="000C7468" w:rsidRDefault="00765003" w:rsidP="007C17FB">
      <w:pPr>
        <w:spacing w:before="100" w:beforeAutospacing="1" w:after="100" w:afterAutospacing="1" w:line="240" w:lineRule="auto"/>
        <w:rPr>
          <w:rFonts w:ascii="Arial" w:hAnsi="Arial" w:cs="Arial"/>
          <w:kern w:val="0"/>
          <w:sz w:val="22"/>
          <w:szCs w:val="22"/>
          <w14:ligatures w14:val="none"/>
        </w:rPr>
      </w:pPr>
    </w:p>
    <w:p w14:paraId="2CF0F0F8" w14:textId="77777777" w:rsidR="00765003" w:rsidRDefault="00765003" w:rsidP="00765003">
      <w:pPr>
        <w:rPr>
          <w:rFonts w:ascii="Arial" w:hAnsi="Arial" w:cs="Arial"/>
          <w:sz w:val="22"/>
          <w:szCs w:val="22"/>
        </w:rPr>
      </w:pPr>
    </w:p>
    <w:p w14:paraId="1F83F387" w14:textId="77777777" w:rsidR="00765003" w:rsidRDefault="00765003" w:rsidP="00765003">
      <w:pPr>
        <w:rPr>
          <w:rFonts w:ascii="Arial" w:hAnsi="Arial" w:cs="Arial"/>
          <w:sz w:val="22"/>
          <w:szCs w:val="22"/>
        </w:rPr>
      </w:pPr>
    </w:p>
    <w:p w14:paraId="75E1A900" w14:textId="77777777" w:rsidR="00765003" w:rsidRDefault="00765003" w:rsidP="00765003">
      <w:pPr>
        <w:rPr>
          <w:rFonts w:ascii="Arial" w:hAnsi="Arial" w:cs="Arial"/>
          <w:sz w:val="22"/>
          <w:szCs w:val="22"/>
        </w:rPr>
      </w:pPr>
    </w:p>
    <w:p w14:paraId="59E36995" w14:textId="3E8E5863" w:rsidR="00765003" w:rsidRPr="00765003" w:rsidRDefault="00765003" w:rsidP="00765003">
      <w:pPr>
        <w:rPr>
          <w:rFonts w:ascii="Arial" w:hAnsi="Arial" w:cs="Arial"/>
          <w:sz w:val="22"/>
          <w:szCs w:val="22"/>
        </w:rPr>
      </w:pPr>
      <w:r w:rsidRPr="00765003">
        <w:rPr>
          <w:rFonts w:ascii="Arial" w:hAnsi="Arial" w:cs="Arial"/>
          <w:sz w:val="22"/>
          <w:szCs w:val="22"/>
        </w:rPr>
        <w:lastRenderedPageBreak/>
        <w:t>Reference List</w:t>
      </w:r>
    </w:p>
    <w:p w14:paraId="04566A80" w14:textId="77777777" w:rsidR="00765003" w:rsidRPr="00765003" w:rsidRDefault="00765003" w:rsidP="00765003">
      <w:pPr>
        <w:rPr>
          <w:rFonts w:ascii="Arial" w:hAnsi="Arial" w:cs="Arial"/>
          <w:sz w:val="22"/>
          <w:szCs w:val="22"/>
        </w:rPr>
      </w:pPr>
    </w:p>
    <w:p w14:paraId="02405D29" w14:textId="77777777" w:rsidR="00765003" w:rsidRPr="00765003" w:rsidRDefault="00765003" w:rsidP="00765003">
      <w:pPr>
        <w:rPr>
          <w:rFonts w:ascii="Arial" w:hAnsi="Arial" w:cs="Arial"/>
          <w:sz w:val="22"/>
          <w:szCs w:val="22"/>
        </w:rPr>
      </w:pPr>
      <w:r w:rsidRPr="00765003">
        <w:rPr>
          <w:rFonts w:ascii="Arial" w:hAnsi="Arial" w:cs="Arial"/>
          <w:sz w:val="22"/>
          <w:szCs w:val="22"/>
        </w:rPr>
        <w:t xml:space="preserve">Aminu, A.Q., Sinclair, D.R., Davies, K., Hall, A., Wiedemann, M., O’Neill, T.W., Clegg, A. and Todd, C. (2025) ‘Disparities in the use of remote general practice consultations: learning from the COVID-19 pandemic, an analysis of 19 million electronic health records using </w:t>
      </w:r>
      <w:proofErr w:type="spellStart"/>
      <w:r w:rsidRPr="00765003">
        <w:rPr>
          <w:rFonts w:ascii="Arial" w:hAnsi="Arial" w:cs="Arial"/>
          <w:sz w:val="22"/>
          <w:szCs w:val="22"/>
        </w:rPr>
        <w:t>OpenSAFELY</w:t>
      </w:r>
      <w:proofErr w:type="spellEnd"/>
      <w:r w:rsidRPr="00765003">
        <w:rPr>
          <w:rFonts w:ascii="Arial" w:hAnsi="Arial" w:cs="Arial"/>
          <w:sz w:val="22"/>
          <w:szCs w:val="22"/>
        </w:rPr>
        <w:t>’, BMC Medicine, 23.</w:t>
      </w:r>
    </w:p>
    <w:p w14:paraId="7A42AB42" w14:textId="77777777" w:rsidR="00765003" w:rsidRPr="00765003" w:rsidRDefault="00765003" w:rsidP="00765003">
      <w:pPr>
        <w:rPr>
          <w:rFonts w:ascii="Arial" w:hAnsi="Arial" w:cs="Arial"/>
          <w:sz w:val="22"/>
          <w:szCs w:val="22"/>
        </w:rPr>
      </w:pPr>
    </w:p>
    <w:p w14:paraId="6AB0FA1D" w14:textId="77777777" w:rsidR="00765003" w:rsidRPr="00765003" w:rsidRDefault="00765003" w:rsidP="00765003">
      <w:pPr>
        <w:rPr>
          <w:rFonts w:ascii="Arial" w:hAnsi="Arial" w:cs="Arial"/>
          <w:sz w:val="22"/>
          <w:szCs w:val="22"/>
        </w:rPr>
      </w:pPr>
      <w:r w:rsidRPr="00765003">
        <w:rPr>
          <w:rFonts w:ascii="Arial" w:hAnsi="Arial" w:cs="Arial"/>
          <w:sz w:val="22"/>
          <w:szCs w:val="22"/>
        </w:rPr>
        <w:t>Care Quality Commission, Accelerated Access Collaborative, National Institute for Health and Care Excellence, National Association of Primary Care, National Care Forum and Social Care Institute for Excellence (2021) Enabling innovation and adoption in health and social care: Developing a shared view. London: Care Quality Commission.</w:t>
      </w:r>
    </w:p>
    <w:p w14:paraId="2278141C" w14:textId="77777777" w:rsidR="00765003" w:rsidRPr="00765003" w:rsidRDefault="00765003" w:rsidP="00765003">
      <w:pPr>
        <w:rPr>
          <w:rFonts w:ascii="Arial" w:hAnsi="Arial" w:cs="Arial"/>
          <w:sz w:val="22"/>
          <w:szCs w:val="22"/>
        </w:rPr>
      </w:pPr>
    </w:p>
    <w:p w14:paraId="73A84D63" w14:textId="77777777" w:rsidR="00765003" w:rsidRPr="00765003" w:rsidRDefault="00765003" w:rsidP="00765003">
      <w:pPr>
        <w:rPr>
          <w:rFonts w:ascii="Arial" w:hAnsi="Arial" w:cs="Arial"/>
          <w:sz w:val="22"/>
          <w:szCs w:val="22"/>
        </w:rPr>
      </w:pPr>
      <w:r w:rsidRPr="00765003">
        <w:rPr>
          <w:rFonts w:ascii="Arial" w:hAnsi="Arial" w:cs="Arial"/>
          <w:sz w:val="22"/>
          <w:szCs w:val="22"/>
        </w:rPr>
        <w:t>Department of Health and Social Care (2021) Integration and Innovation: Working Together to Improve Health and Social Care for All. London: Department of Health and Social Care.</w:t>
      </w:r>
    </w:p>
    <w:p w14:paraId="1AADB94A" w14:textId="77777777" w:rsidR="00765003" w:rsidRPr="00765003" w:rsidRDefault="00765003" w:rsidP="00765003">
      <w:pPr>
        <w:rPr>
          <w:rFonts w:ascii="Arial" w:hAnsi="Arial" w:cs="Arial"/>
          <w:sz w:val="22"/>
          <w:szCs w:val="22"/>
        </w:rPr>
      </w:pPr>
    </w:p>
    <w:p w14:paraId="15AA1C22" w14:textId="77777777" w:rsidR="00765003" w:rsidRPr="00765003" w:rsidRDefault="00765003" w:rsidP="00765003">
      <w:pPr>
        <w:rPr>
          <w:rFonts w:ascii="Arial" w:hAnsi="Arial" w:cs="Arial"/>
          <w:sz w:val="22"/>
          <w:szCs w:val="22"/>
        </w:rPr>
      </w:pPr>
      <w:r w:rsidRPr="00765003">
        <w:rPr>
          <w:rFonts w:ascii="Arial" w:hAnsi="Arial" w:cs="Arial"/>
          <w:sz w:val="22"/>
          <w:szCs w:val="22"/>
        </w:rPr>
        <w:t>Farre, A., Fang, M.L., Hannah, B., Makita, M., McFadden, A., Menezes, D., Rodriguez, A., Sixsmith, J. and Gray, N.M. (2023) ‘Exploring the use of digital technology to deliver healthcare services with explicit consideration of health inequalities in UK settings: A scoping review’, Digital Health, 9.</w:t>
      </w:r>
    </w:p>
    <w:p w14:paraId="3A060C6F" w14:textId="77777777" w:rsidR="00765003" w:rsidRPr="00765003" w:rsidRDefault="00765003" w:rsidP="00765003">
      <w:pPr>
        <w:rPr>
          <w:rFonts w:ascii="Arial" w:hAnsi="Arial" w:cs="Arial"/>
          <w:sz w:val="22"/>
          <w:szCs w:val="22"/>
        </w:rPr>
      </w:pPr>
    </w:p>
    <w:p w14:paraId="1517CE20" w14:textId="77777777" w:rsidR="00765003" w:rsidRPr="00765003" w:rsidRDefault="00765003" w:rsidP="00765003">
      <w:pPr>
        <w:rPr>
          <w:rFonts w:ascii="Arial" w:hAnsi="Arial" w:cs="Arial"/>
          <w:sz w:val="22"/>
          <w:szCs w:val="22"/>
        </w:rPr>
      </w:pPr>
      <w:r w:rsidRPr="00765003">
        <w:rPr>
          <w:rFonts w:ascii="Arial" w:hAnsi="Arial" w:cs="Arial"/>
          <w:sz w:val="22"/>
          <w:szCs w:val="22"/>
        </w:rPr>
        <w:t>Gibbs, G. (1988) Learning by Doing: A Guide to Teaching and Learning Methods. Oxford: Oxford Polytechnic.</w:t>
      </w:r>
    </w:p>
    <w:p w14:paraId="4D4B6642" w14:textId="77777777" w:rsidR="00765003" w:rsidRPr="00765003" w:rsidRDefault="00765003" w:rsidP="00765003">
      <w:pPr>
        <w:rPr>
          <w:rFonts w:ascii="Arial" w:hAnsi="Arial" w:cs="Arial"/>
          <w:sz w:val="22"/>
          <w:szCs w:val="22"/>
        </w:rPr>
      </w:pPr>
    </w:p>
    <w:p w14:paraId="609EDA80" w14:textId="77777777" w:rsidR="00765003" w:rsidRPr="00765003" w:rsidRDefault="00765003" w:rsidP="00765003">
      <w:pPr>
        <w:rPr>
          <w:rFonts w:ascii="Arial" w:hAnsi="Arial" w:cs="Arial"/>
          <w:sz w:val="22"/>
          <w:szCs w:val="22"/>
        </w:rPr>
      </w:pPr>
      <w:r w:rsidRPr="00765003">
        <w:rPr>
          <w:rFonts w:ascii="Arial" w:hAnsi="Arial" w:cs="Arial"/>
          <w:sz w:val="22"/>
          <w:szCs w:val="22"/>
        </w:rPr>
        <w:t>Imperial College Healthcare NHS Trust (2024) Virtual Wards and Remote Monitoring.</w:t>
      </w:r>
    </w:p>
    <w:p w14:paraId="49314940" w14:textId="77777777" w:rsidR="00765003" w:rsidRPr="00765003" w:rsidRDefault="00765003" w:rsidP="00765003">
      <w:pPr>
        <w:rPr>
          <w:rFonts w:ascii="Arial" w:hAnsi="Arial" w:cs="Arial"/>
          <w:sz w:val="22"/>
          <w:szCs w:val="22"/>
        </w:rPr>
      </w:pPr>
    </w:p>
    <w:p w14:paraId="02D3F38C" w14:textId="77777777" w:rsidR="00765003" w:rsidRPr="00765003" w:rsidRDefault="00765003" w:rsidP="00765003">
      <w:pPr>
        <w:rPr>
          <w:rFonts w:ascii="Arial" w:hAnsi="Arial" w:cs="Arial"/>
          <w:sz w:val="22"/>
          <w:szCs w:val="22"/>
        </w:rPr>
      </w:pPr>
      <w:r w:rsidRPr="00765003">
        <w:rPr>
          <w:rFonts w:ascii="Arial" w:hAnsi="Arial" w:cs="Arial"/>
          <w:sz w:val="22"/>
          <w:szCs w:val="22"/>
        </w:rPr>
        <w:t>NHS England (2022) Making a Difference Through Co-production: A Guide for Health and Care Staff. London: NHS England.</w:t>
      </w:r>
    </w:p>
    <w:p w14:paraId="1832E66D" w14:textId="77777777" w:rsidR="00765003" w:rsidRPr="00765003" w:rsidRDefault="00765003" w:rsidP="00765003">
      <w:pPr>
        <w:rPr>
          <w:rFonts w:ascii="Arial" w:hAnsi="Arial" w:cs="Arial"/>
          <w:sz w:val="22"/>
          <w:szCs w:val="22"/>
        </w:rPr>
      </w:pPr>
    </w:p>
    <w:p w14:paraId="73BEAFA6" w14:textId="77777777" w:rsidR="00765003" w:rsidRPr="00765003" w:rsidRDefault="00765003" w:rsidP="00765003">
      <w:pPr>
        <w:rPr>
          <w:rFonts w:ascii="Arial" w:hAnsi="Arial" w:cs="Arial"/>
          <w:sz w:val="22"/>
          <w:szCs w:val="22"/>
        </w:rPr>
      </w:pPr>
      <w:r w:rsidRPr="00765003">
        <w:rPr>
          <w:rFonts w:ascii="Arial" w:hAnsi="Arial" w:cs="Arial"/>
          <w:sz w:val="22"/>
          <w:szCs w:val="22"/>
        </w:rPr>
        <w:t>NHS Leadership Academy (2011) Leadership Framework. Coventry: NHS Institute for Innovation and Improvement.</w:t>
      </w:r>
    </w:p>
    <w:p w14:paraId="75657228" w14:textId="77777777" w:rsidR="00765003" w:rsidRPr="00765003" w:rsidRDefault="00765003" w:rsidP="00765003">
      <w:pPr>
        <w:rPr>
          <w:rFonts w:ascii="Arial" w:hAnsi="Arial" w:cs="Arial"/>
          <w:sz w:val="22"/>
          <w:szCs w:val="22"/>
        </w:rPr>
      </w:pPr>
    </w:p>
    <w:p w14:paraId="4FD9564D" w14:textId="77777777" w:rsidR="00765003" w:rsidRPr="00765003" w:rsidRDefault="00765003" w:rsidP="00765003">
      <w:pPr>
        <w:rPr>
          <w:rFonts w:ascii="Arial" w:hAnsi="Arial" w:cs="Arial"/>
          <w:sz w:val="22"/>
          <w:szCs w:val="22"/>
        </w:rPr>
      </w:pPr>
      <w:r w:rsidRPr="00765003">
        <w:rPr>
          <w:rFonts w:ascii="Arial" w:hAnsi="Arial" w:cs="Arial"/>
          <w:sz w:val="22"/>
          <w:szCs w:val="22"/>
        </w:rPr>
        <w:t>The Health Foundation (2021) Quality Improvement Made Simple: What Everyone Should Know About Health Care Quality Improvement. London: The Health Foundation.</w:t>
      </w:r>
    </w:p>
    <w:p w14:paraId="5FD0A5DB" w14:textId="77777777" w:rsidR="00765003" w:rsidRPr="00765003" w:rsidRDefault="00765003" w:rsidP="00765003">
      <w:pPr>
        <w:rPr>
          <w:rFonts w:ascii="Arial" w:hAnsi="Arial" w:cs="Arial"/>
          <w:sz w:val="22"/>
          <w:szCs w:val="22"/>
        </w:rPr>
      </w:pPr>
    </w:p>
    <w:p w14:paraId="19335F99" w14:textId="6277B340" w:rsidR="00162719" w:rsidRPr="000C7468" w:rsidRDefault="00765003" w:rsidP="00765003">
      <w:pPr>
        <w:rPr>
          <w:rFonts w:ascii="Arial" w:hAnsi="Arial" w:cs="Arial"/>
          <w:sz w:val="22"/>
          <w:szCs w:val="22"/>
        </w:rPr>
      </w:pPr>
      <w:r w:rsidRPr="00765003">
        <w:rPr>
          <w:rFonts w:ascii="Arial" w:hAnsi="Arial" w:cs="Arial"/>
          <w:sz w:val="22"/>
          <w:szCs w:val="22"/>
        </w:rPr>
        <w:t>West, M., Bailey, S. and Williams, E. (2022) Leadership and Culture for Quality Improvement. London: The King’s Fund.</w:t>
      </w:r>
    </w:p>
    <w:sectPr w:rsidR="00162719" w:rsidRPr="000C74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6688C" w14:textId="77777777" w:rsidR="007B2594" w:rsidRDefault="007B2594" w:rsidP="003A2A43">
      <w:pPr>
        <w:spacing w:after="0" w:line="240" w:lineRule="auto"/>
      </w:pPr>
      <w:r>
        <w:separator/>
      </w:r>
    </w:p>
  </w:endnote>
  <w:endnote w:type="continuationSeparator" w:id="0">
    <w:p w14:paraId="22E6666E" w14:textId="77777777" w:rsidR="007B2594" w:rsidRDefault="007B2594" w:rsidP="003A2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D3032" w14:textId="77777777" w:rsidR="007B2594" w:rsidRDefault="007B2594" w:rsidP="003A2A43">
      <w:pPr>
        <w:spacing w:after="0" w:line="240" w:lineRule="auto"/>
      </w:pPr>
      <w:r>
        <w:separator/>
      </w:r>
    </w:p>
  </w:footnote>
  <w:footnote w:type="continuationSeparator" w:id="0">
    <w:p w14:paraId="428D354B" w14:textId="77777777" w:rsidR="007B2594" w:rsidRDefault="007B2594" w:rsidP="003A2A4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n7bfzWr4" int2:invalidationBookmarkName="" int2:hashCode="uOncApvoNnvcfG" int2:id="PSnjTQ1a">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2D"/>
    <w:rsid w:val="00053FD2"/>
    <w:rsid w:val="00060E6C"/>
    <w:rsid w:val="000A2B0D"/>
    <w:rsid w:val="000C7468"/>
    <w:rsid w:val="000D204C"/>
    <w:rsid w:val="00112264"/>
    <w:rsid w:val="0011585A"/>
    <w:rsid w:val="00136018"/>
    <w:rsid w:val="00162719"/>
    <w:rsid w:val="001E1A94"/>
    <w:rsid w:val="00211816"/>
    <w:rsid w:val="00216B56"/>
    <w:rsid w:val="00275FBE"/>
    <w:rsid w:val="0028343A"/>
    <w:rsid w:val="002D30B1"/>
    <w:rsid w:val="002E100B"/>
    <w:rsid w:val="00357EEE"/>
    <w:rsid w:val="003A2A43"/>
    <w:rsid w:val="003A2F66"/>
    <w:rsid w:val="003C1C33"/>
    <w:rsid w:val="003C6B0C"/>
    <w:rsid w:val="00432CA6"/>
    <w:rsid w:val="004624DE"/>
    <w:rsid w:val="00466C28"/>
    <w:rsid w:val="00530C71"/>
    <w:rsid w:val="00594C8B"/>
    <w:rsid w:val="005B35C4"/>
    <w:rsid w:val="005C6204"/>
    <w:rsid w:val="00685A28"/>
    <w:rsid w:val="00685C63"/>
    <w:rsid w:val="00695B8C"/>
    <w:rsid w:val="00746C7A"/>
    <w:rsid w:val="00765003"/>
    <w:rsid w:val="00765991"/>
    <w:rsid w:val="007945FD"/>
    <w:rsid w:val="007B2594"/>
    <w:rsid w:val="007B508C"/>
    <w:rsid w:val="007C17FB"/>
    <w:rsid w:val="007E7395"/>
    <w:rsid w:val="00873CA9"/>
    <w:rsid w:val="008E302F"/>
    <w:rsid w:val="00901863"/>
    <w:rsid w:val="00995720"/>
    <w:rsid w:val="00A05F54"/>
    <w:rsid w:val="00A20E28"/>
    <w:rsid w:val="00A82338"/>
    <w:rsid w:val="00A8442D"/>
    <w:rsid w:val="00B1192A"/>
    <w:rsid w:val="00B6180C"/>
    <w:rsid w:val="00B92116"/>
    <w:rsid w:val="00BA2A16"/>
    <w:rsid w:val="00BA4494"/>
    <w:rsid w:val="00BE0EEE"/>
    <w:rsid w:val="00C01642"/>
    <w:rsid w:val="00C84C57"/>
    <w:rsid w:val="00CB7B1A"/>
    <w:rsid w:val="00D30E76"/>
    <w:rsid w:val="00D9614D"/>
    <w:rsid w:val="00DA79FB"/>
    <w:rsid w:val="00E05650"/>
    <w:rsid w:val="00EB1F88"/>
    <w:rsid w:val="00EB3F5E"/>
    <w:rsid w:val="00F04C8A"/>
    <w:rsid w:val="00F10FB6"/>
    <w:rsid w:val="00F214A9"/>
    <w:rsid w:val="00F4708C"/>
    <w:rsid w:val="00F47473"/>
    <w:rsid w:val="00F47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C4449"/>
  <w15:chartTrackingRefBased/>
  <w15:docId w15:val="{4EA014CD-928B-D14E-8C89-BAF4138ED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4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4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4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4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4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4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42D"/>
    <w:rPr>
      <w:rFonts w:eastAsiaTheme="majorEastAsia" w:cstheme="majorBidi"/>
      <w:color w:val="272727" w:themeColor="text1" w:themeTint="D8"/>
    </w:rPr>
  </w:style>
  <w:style w:type="paragraph" w:styleId="Title">
    <w:name w:val="Title"/>
    <w:basedOn w:val="Normal"/>
    <w:next w:val="Normal"/>
    <w:link w:val="TitleChar"/>
    <w:uiPriority w:val="10"/>
    <w:qFormat/>
    <w:rsid w:val="00A84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42D"/>
    <w:pPr>
      <w:spacing w:before="160"/>
      <w:jc w:val="center"/>
    </w:pPr>
    <w:rPr>
      <w:i/>
      <w:iCs/>
      <w:color w:val="404040" w:themeColor="text1" w:themeTint="BF"/>
    </w:rPr>
  </w:style>
  <w:style w:type="character" w:customStyle="1" w:styleId="QuoteChar">
    <w:name w:val="Quote Char"/>
    <w:basedOn w:val="DefaultParagraphFont"/>
    <w:link w:val="Quote"/>
    <w:uiPriority w:val="29"/>
    <w:rsid w:val="00A8442D"/>
    <w:rPr>
      <w:i/>
      <w:iCs/>
      <w:color w:val="404040" w:themeColor="text1" w:themeTint="BF"/>
    </w:rPr>
  </w:style>
  <w:style w:type="paragraph" w:styleId="ListParagraph">
    <w:name w:val="List Paragraph"/>
    <w:basedOn w:val="Normal"/>
    <w:uiPriority w:val="34"/>
    <w:qFormat/>
    <w:rsid w:val="00A8442D"/>
    <w:pPr>
      <w:ind w:left="720"/>
      <w:contextualSpacing/>
    </w:pPr>
  </w:style>
  <w:style w:type="character" w:styleId="IntenseEmphasis">
    <w:name w:val="Intense Emphasis"/>
    <w:basedOn w:val="DefaultParagraphFont"/>
    <w:uiPriority w:val="21"/>
    <w:qFormat/>
    <w:rsid w:val="00A8442D"/>
    <w:rPr>
      <w:i/>
      <w:iCs/>
      <w:color w:val="0F4761" w:themeColor="accent1" w:themeShade="BF"/>
    </w:rPr>
  </w:style>
  <w:style w:type="paragraph" w:styleId="IntenseQuote">
    <w:name w:val="Intense Quote"/>
    <w:basedOn w:val="Normal"/>
    <w:next w:val="Normal"/>
    <w:link w:val="IntenseQuoteChar"/>
    <w:uiPriority w:val="30"/>
    <w:qFormat/>
    <w:rsid w:val="00A84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42D"/>
    <w:rPr>
      <w:i/>
      <w:iCs/>
      <w:color w:val="0F4761" w:themeColor="accent1" w:themeShade="BF"/>
    </w:rPr>
  </w:style>
  <w:style w:type="character" w:styleId="IntenseReference">
    <w:name w:val="Intense Reference"/>
    <w:basedOn w:val="DefaultParagraphFont"/>
    <w:uiPriority w:val="32"/>
    <w:qFormat/>
    <w:rsid w:val="00A8442D"/>
    <w:rPr>
      <w:b/>
      <w:bCs/>
      <w:smallCaps/>
      <w:color w:val="0F4761" w:themeColor="accent1" w:themeShade="BF"/>
      <w:spacing w:val="5"/>
    </w:rPr>
  </w:style>
  <w:style w:type="paragraph" w:customStyle="1" w:styleId="p1">
    <w:name w:val="p1"/>
    <w:basedOn w:val="Normal"/>
    <w:rsid w:val="00A8442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8442D"/>
  </w:style>
  <w:style w:type="character" w:customStyle="1" w:styleId="s1">
    <w:name w:val="s1"/>
    <w:basedOn w:val="DefaultParagraphFont"/>
    <w:rsid w:val="00A8442D"/>
  </w:style>
  <w:style w:type="character" w:customStyle="1" w:styleId="apple-converted-space">
    <w:name w:val="apple-converted-space"/>
    <w:basedOn w:val="DefaultParagraphFont"/>
    <w:rsid w:val="00D9614D"/>
  </w:style>
  <w:style w:type="paragraph" w:customStyle="1" w:styleId="p2">
    <w:name w:val="p2"/>
    <w:basedOn w:val="Normal"/>
    <w:rsid w:val="00C84C57"/>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162719"/>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3A2A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A43"/>
  </w:style>
  <w:style w:type="paragraph" w:styleId="Footer">
    <w:name w:val="footer"/>
    <w:basedOn w:val="Normal"/>
    <w:link w:val="FooterChar"/>
    <w:uiPriority w:val="99"/>
    <w:unhideWhenUsed/>
    <w:rsid w:val="003A2A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A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2476</Words>
  <Characters>14115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Lissa</dc:creator>
  <cp:keywords/>
  <dc:description/>
  <cp:lastModifiedBy>Alexa Lissa</cp:lastModifiedBy>
  <cp:revision>2</cp:revision>
  <dcterms:created xsi:type="dcterms:W3CDTF">2026-07-06T11:57:00Z</dcterms:created>
  <dcterms:modified xsi:type="dcterms:W3CDTF">2026-07-06T11:57:00Z</dcterms:modified>
</cp:coreProperties>
</file>