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0" w:line="276" w:lineRule="auto"/>
        <w:jc w:val="center"/>
        <w:rPr>
          <w:rFonts w:ascii="Arial" w:cs="Arial" w:eastAsia="Arial" w:hAnsi="Arial"/>
          <w:u w:val="single"/>
        </w:rPr>
      </w:pPr>
      <w:r w:rsidDel="00000000" w:rsidR="00000000" w:rsidRPr="00000000">
        <w:rPr>
          <w:rFonts w:ascii="Arial" w:cs="Arial" w:eastAsia="Arial" w:hAnsi="Arial"/>
          <w:u w:val="single"/>
          <w:rtl w:val="0"/>
        </w:rPr>
        <w:t xml:space="preserve">Reference List</w:t>
      </w:r>
    </w:p>
    <w:p w:rsidR="00000000" w:rsidDel="00000000" w:rsidP="00000000" w:rsidRDefault="00000000" w:rsidRPr="00000000" w14:paraId="00000002">
      <w:pPr>
        <w:spacing w:after="0" w:line="276" w:lineRule="auto"/>
        <w:rPr>
          <w:rFonts w:ascii="Arial" w:cs="Arial" w:eastAsia="Arial" w:hAnsi="Arial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0" w:line="276" w:lineRule="auto"/>
        <w:rPr>
          <w:rFonts w:ascii="Arial" w:cs="Arial" w:eastAsia="Arial" w:hAnsi="Arial"/>
          <w:color w:val="0c234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c2340"/>
          <w:sz w:val="24"/>
          <w:szCs w:val="24"/>
          <w:rtl w:val="0"/>
        </w:rPr>
        <w:t xml:space="preserve">“For people with cystic fibrosis, cross-infection can be very harmful and poses a particular threat. This is why people with cystic fibrosis should not meet face to face”.</w:t>
      </w:r>
    </w:p>
    <w:p w:rsidR="00000000" w:rsidDel="00000000" w:rsidP="00000000" w:rsidRDefault="00000000" w:rsidRPr="00000000" w14:paraId="00000004">
      <w:pPr>
        <w:spacing w:after="0" w:line="276" w:lineRule="auto"/>
        <w:rPr>
          <w:rFonts w:ascii="Arial" w:cs="Arial" w:eastAsia="Arial" w:hAnsi="Arial"/>
          <w:color w:val="0c23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0" w:line="276" w:lineRule="auto"/>
        <w:rPr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color w:val="0c2340"/>
          <w:sz w:val="24"/>
          <w:szCs w:val="24"/>
          <w:rtl w:val="0"/>
        </w:rPr>
        <w:t xml:space="preserve">Cystic Fibrosis Trust, (2023), </w:t>
      </w:r>
      <w:r w:rsidDel="00000000" w:rsidR="00000000" w:rsidRPr="00000000">
        <w:rPr>
          <w:rFonts w:ascii="Arial" w:cs="Arial" w:eastAsia="Arial" w:hAnsi="Arial"/>
          <w:i w:val="1"/>
          <w:color w:val="0c2340"/>
          <w:sz w:val="24"/>
          <w:szCs w:val="24"/>
          <w:rtl w:val="0"/>
        </w:rPr>
        <w:t xml:space="preserve">Cross Infection, </w:t>
      </w:r>
      <w:r w:rsidDel="00000000" w:rsidR="00000000" w:rsidRPr="00000000">
        <w:rPr>
          <w:rFonts w:ascii="Arial" w:cs="Arial" w:eastAsia="Arial" w:hAnsi="Arial"/>
          <w:color w:val="0c2340"/>
          <w:sz w:val="24"/>
          <w:szCs w:val="24"/>
          <w:rtl w:val="0"/>
        </w:rPr>
        <w:t xml:space="preserve">Available @ </w:t>
      </w:r>
      <w:hyperlink r:id="rId7">
        <w:r w:rsidDel="00000000" w:rsidR="00000000" w:rsidRPr="00000000">
          <w:rPr>
            <w:rFonts w:ascii="Arial" w:cs="Arial" w:eastAsia="Arial" w:hAnsi="Arial"/>
            <w:color w:val="1155cc"/>
            <w:sz w:val="24"/>
            <w:szCs w:val="24"/>
            <w:u w:val="single"/>
            <w:rtl w:val="0"/>
          </w:rPr>
          <w:t xml:space="preserve">https://www.cysticfibrosis.org.uk/life-with-cystic-fibrosis/health-and-wellbeing/cross-infection#:~:text=Cross%2Dinfection%20can%20be%20significantly,the%20risk%20of%20cross%2Dinfection</w:t>
        </w:r>
      </w:hyperlink>
      <w:r w:rsidDel="00000000" w:rsidR="00000000" w:rsidRPr="00000000">
        <w:rPr>
          <w:rFonts w:ascii="Arial" w:cs="Arial" w:eastAsia="Arial" w:hAnsi="Arial"/>
          <w:color w:val="0c2340"/>
          <w:sz w:val="24"/>
          <w:szCs w:val="24"/>
          <w:rtl w:val="0"/>
        </w:rPr>
        <w:t xml:space="preserve">. (Accessed: 30/10/2025)</w:t>
      </w:r>
      <w:r w:rsidDel="00000000" w:rsidR="00000000" w:rsidRPr="00000000">
        <w:rPr>
          <w:rtl w:val="0"/>
        </w:rPr>
      </w:r>
    </w:p>
    <w:sectPr>
      <w:headerReference r:id="rId8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06">
    <w:pPr>
      <w:rPr>
        <w:sz w:val="40"/>
        <w:szCs w:val="40"/>
      </w:rPr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07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08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uiPriority w:val="39"/>
    <w:rsid w:val="005F184F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table" w:styleId="GridTable4-Accent5">
    <w:name w:val="Grid Table 4 Accent 5"/>
    <w:basedOn w:val="TableNormal"/>
    <w:uiPriority w:val="49"/>
    <w:rsid w:val="005C5458"/>
    <w:pPr>
      <w:spacing w:after="0" w:line="240" w:lineRule="auto"/>
    </w:pPr>
    <w:tblPr>
      <w:tblStyleRowBandSize w:val="1"/>
      <w:tblStyleColBandSize w:val="1"/>
      <w:tblBorders>
        <w:top w:color="9cc2e5" w:space="0" w:sz="4" w:themeColor="accent5" w:themeTint="000099" w:val="single"/>
        <w:left w:color="9cc2e5" w:space="0" w:sz="4" w:themeColor="accent5" w:themeTint="000099" w:val="single"/>
        <w:bottom w:color="9cc2e5" w:space="0" w:sz="4" w:themeColor="accent5" w:themeTint="000099" w:val="single"/>
        <w:right w:color="9cc2e5" w:space="0" w:sz="4" w:themeColor="accent5" w:themeTint="000099" w:val="single"/>
        <w:insideH w:color="9cc2e5" w:space="0" w:sz="4" w:themeColor="accent5" w:themeTint="000099" w:val="single"/>
        <w:insideV w:color="9cc2e5" w:space="0" w:sz="4" w:themeColor="accent5" w:themeTint="000099" w:val="single"/>
      </w:tblBorders>
    </w:tblPr>
    <w:tblStylePr w:type="firstRow">
      <w:rPr>
        <w:b w:val="1"/>
        <w:bCs w:val="1"/>
        <w:color w:val="ffffff" w:themeColor="background1"/>
      </w:rPr>
      <w:tblPr/>
      <w:tcPr>
        <w:tcBorders>
          <w:top w:color="5b9bd5" w:space="0" w:sz="4" w:themeColor="accent5" w:val="single"/>
          <w:left w:color="5b9bd5" w:space="0" w:sz="4" w:themeColor="accent5" w:val="single"/>
          <w:bottom w:color="5b9bd5" w:space="0" w:sz="4" w:themeColor="accent5" w:val="single"/>
          <w:right w:color="5b9bd5" w:space="0" w:sz="4" w:themeColor="accent5" w:val="single"/>
          <w:insideH w:space="0" w:sz="0" w:val="nil"/>
          <w:insideV w:space="0" w:sz="0" w:val="nil"/>
        </w:tcBorders>
        <w:shd w:color="auto" w:fill="5b9bd5" w:themeFill="accent5" w:val="clear"/>
      </w:tcPr>
    </w:tblStylePr>
    <w:tblStylePr w:type="lastRow">
      <w:rPr>
        <w:b w:val="1"/>
        <w:bCs w:val="1"/>
      </w:rPr>
      <w:tblPr/>
      <w:tcPr>
        <w:tcBorders>
          <w:top w:color="5b9bd5" w:space="0" w:sz="4" w:themeColor="accent5" w:val="doub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deeaf6" w:themeFill="accent5" w:themeFillTint="000033" w:val="clear"/>
      </w:tcPr>
    </w:tblStylePr>
    <w:tblStylePr w:type="band1Horz">
      <w:tblPr/>
      <w:tcPr>
        <w:shd w:color="auto" w:fill="deeaf6" w:themeFill="accent5" w:themeFillTint="000033" w:val="clear"/>
      </w:tcPr>
    </w:tblStylePr>
  </w:style>
  <w:style w:type="paragraph" w:styleId="Header">
    <w:name w:val="header"/>
    <w:basedOn w:val="Normal"/>
    <w:link w:val="HeaderChar"/>
    <w:uiPriority w:val="99"/>
    <w:unhideWhenUsed w:val="1"/>
    <w:rsid w:val="0063115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3115B"/>
  </w:style>
  <w:style w:type="paragraph" w:styleId="Footer">
    <w:name w:val="footer"/>
    <w:basedOn w:val="Normal"/>
    <w:link w:val="FooterChar"/>
    <w:uiPriority w:val="99"/>
    <w:unhideWhenUsed w:val="1"/>
    <w:rsid w:val="0063115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3115B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www.cysticfibrosis.org.uk/life-with-cystic-fibrosis/health-and-wellbeing/cross-infection#:~:text=Cross%2Dinfection%20can%20be%20significantly,the%20risk%20of%20cross%2Dinfection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SNVrsn4yaz3hDkUMC4sAWJwKh1Q==">CgMxLjA4AHIhMTJxRzM3SHgzcmNybkZrVmQzazN2YWFwZFpxWW9jVXll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2023-10-04T10:29:00Z</dcterms:created>
  <dc:creator>Donna Morgan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</Properties>
</file>