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BE8B18" w14:textId="77777777" w:rsidR="00CB712A" w:rsidRDefault="009516F7" w:rsidP="00CB712A">
      <w:pPr>
        <w:spacing w:line="360" w:lineRule="auto"/>
        <w:rPr>
          <w:rFonts w:ascii="Calibri" w:hAnsi="Calibri" w:cs="Calibri"/>
          <w:sz w:val="24"/>
          <w:szCs w:val="24"/>
        </w:rPr>
      </w:pPr>
      <w:r w:rsidRPr="00CB712A">
        <w:rPr>
          <w:rFonts w:ascii="Calibri" w:hAnsi="Calibri" w:cs="Calibri"/>
          <w:sz w:val="24"/>
          <w:szCs w:val="24"/>
        </w:rPr>
        <w:tab/>
      </w:r>
    </w:p>
    <w:p w14:paraId="2A1C42CB" w14:textId="77777777" w:rsidR="00CB712A" w:rsidRDefault="00CB712A" w:rsidP="00CB712A">
      <w:pPr>
        <w:spacing w:line="360" w:lineRule="auto"/>
        <w:rPr>
          <w:rFonts w:ascii="Calibri" w:hAnsi="Calibri" w:cs="Calibri"/>
          <w:sz w:val="24"/>
          <w:szCs w:val="24"/>
        </w:rPr>
      </w:pPr>
    </w:p>
    <w:p w14:paraId="10007ACE" w14:textId="77777777" w:rsidR="00CB712A" w:rsidRDefault="00CB712A" w:rsidP="00CB712A">
      <w:pPr>
        <w:spacing w:line="360" w:lineRule="auto"/>
        <w:rPr>
          <w:rFonts w:ascii="Calibri" w:hAnsi="Calibri" w:cs="Calibri"/>
          <w:sz w:val="24"/>
          <w:szCs w:val="24"/>
        </w:rPr>
      </w:pPr>
    </w:p>
    <w:p w14:paraId="65D07747" w14:textId="77777777" w:rsidR="00CB712A" w:rsidRDefault="00CB712A" w:rsidP="00CB712A">
      <w:pPr>
        <w:spacing w:line="360" w:lineRule="auto"/>
        <w:rPr>
          <w:rFonts w:ascii="Calibri" w:hAnsi="Calibri" w:cs="Calibri"/>
          <w:sz w:val="24"/>
          <w:szCs w:val="24"/>
        </w:rPr>
      </w:pPr>
    </w:p>
    <w:p w14:paraId="74AC85A6" w14:textId="77777777" w:rsidR="00CB712A" w:rsidRDefault="00CB712A" w:rsidP="00CB712A">
      <w:pPr>
        <w:pStyle w:val="Title"/>
        <w:jc w:val="center"/>
        <w:rPr>
          <w:b/>
          <w:bCs/>
        </w:rPr>
      </w:pPr>
    </w:p>
    <w:p w14:paraId="47A369C5" w14:textId="77777777" w:rsidR="00CB712A" w:rsidRDefault="00CB712A" w:rsidP="00CB712A">
      <w:pPr>
        <w:pStyle w:val="Title"/>
        <w:jc w:val="center"/>
        <w:rPr>
          <w:b/>
          <w:bCs/>
        </w:rPr>
      </w:pPr>
    </w:p>
    <w:p w14:paraId="7E5EFC19" w14:textId="77777777" w:rsidR="00CB712A" w:rsidRDefault="00CB712A" w:rsidP="00CB712A">
      <w:pPr>
        <w:pStyle w:val="Title"/>
        <w:jc w:val="center"/>
        <w:rPr>
          <w:b/>
          <w:bCs/>
        </w:rPr>
      </w:pPr>
    </w:p>
    <w:p w14:paraId="466C809E" w14:textId="77777777" w:rsidR="00CB712A" w:rsidRDefault="00CB712A" w:rsidP="00CB712A">
      <w:pPr>
        <w:pStyle w:val="Title"/>
        <w:jc w:val="center"/>
        <w:rPr>
          <w:b/>
          <w:bCs/>
        </w:rPr>
      </w:pPr>
    </w:p>
    <w:p w14:paraId="15EE3509" w14:textId="1CFA3914" w:rsidR="00CB712A" w:rsidRPr="00CB712A" w:rsidRDefault="00CB712A" w:rsidP="00CB712A">
      <w:pPr>
        <w:pStyle w:val="Title"/>
        <w:jc w:val="center"/>
        <w:rPr>
          <w:b/>
          <w:bCs/>
        </w:rPr>
      </w:pPr>
      <w:r>
        <w:rPr>
          <w:b/>
          <w:bCs/>
        </w:rPr>
        <w:t>Evaluation of the sustainability and circular economy within the hospitality industry</w:t>
      </w:r>
    </w:p>
    <w:p w14:paraId="2881840A" w14:textId="77777777" w:rsidR="00CB712A" w:rsidRDefault="00CB712A" w:rsidP="00CB712A">
      <w:pPr>
        <w:spacing w:line="360" w:lineRule="auto"/>
        <w:rPr>
          <w:rFonts w:ascii="Calibri" w:hAnsi="Calibri" w:cs="Calibri"/>
          <w:sz w:val="24"/>
          <w:szCs w:val="24"/>
        </w:rPr>
      </w:pPr>
    </w:p>
    <w:p w14:paraId="754613F1" w14:textId="77777777" w:rsidR="00CB712A" w:rsidRDefault="00CB712A" w:rsidP="00CB712A">
      <w:pPr>
        <w:spacing w:line="360" w:lineRule="auto"/>
        <w:rPr>
          <w:rFonts w:ascii="Calibri" w:hAnsi="Calibri" w:cs="Calibri"/>
          <w:sz w:val="24"/>
          <w:szCs w:val="24"/>
        </w:rPr>
      </w:pPr>
    </w:p>
    <w:p w14:paraId="41500966" w14:textId="77777777" w:rsidR="00CB712A" w:rsidRDefault="00CB712A" w:rsidP="00CB712A">
      <w:pPr>
        <w:spacing w:line="360" w:lineRule="auto"/>
        <w:rPr>
          <w:rFonts w:ascii="Calibri" w:hAnsi="Calibri" w:cs="Calibri"/>
          <w:sz w:val="24"/>
          <w:szCs w:val="24"/>
        </w:rPr>
      </w:pPr>
    </w:p>
    <w:p w14:paraId="3554805C" w14:textId="77777777" w:rsidR="00CB712A" w:rsidRDefault="00CB712A" w:rsidP="00CB712A">
      <w:pPr>
        <w:spacing w:line="360" w:lineRule="auto"/>
        <w:rPr>
          <w:rFonts w:ascii="Calibri" w:hAnsi="Calibri" w:cs="Calibri"/>
          <w:sz w:val="24"/>
          <w:szCs w:val="24"/>
        </w:rPr>
      </w:pPr>
    </w:p>
    <w:p w14:paraId="26115E14" w14:textId="77777777" w:rsidR="00CB712A" w:rsidRDefault="00CB712A" w:rsidP="00CB712A">
      <w:pPr>
        <w:spacing w:line="360" w:lineRule="auto"/>
        <w:rPr>
          <w:rFonts w:ascii="Calibri" w:hAnsi="Calibri" w:cs="Calibri"/>
          <w:sz w:val="24"/>
          <w:szCs w:val="24"/>
        </w:rPr>
      </w:pPr>
    </w:p>
    <w:p w14:paraId="20AFF064" w14:textId="77777777" w:rsidR="00CB712A" w:rsidRDefault="00CB712A" w:rsidP="00CB712A">
      <w:pPr>
        <w:spacing w:line="360" w:lineRule="auto"/>
        <w:rPr>
          <w:rFonts w:ascii="Calibri" w:hAnsi="Calibri" w:cs="Calibri"/>
          <w:sz w:val="24"/>
          <w:szCs w:val="24"/>
        </w:rPr>
      </w:pPr>
    </w:p>
    <w:p w14:paraId="2FAFDD31" w14:textId="77777777" w:rsidR="00CB712A" w:rsidRDefault="00CB712A" w:rsidP="00CB712A">
      <w:pPr>
        <w:spacing w:line="360" w:lineRule="auto"/>
        <w:rPr>
          <w:rFonts w:ascii="Calibri" w:hAnsi="Calibri" w:cs="Calibri"/>
          <w:sz w:val="24"/>
          <w:szCs w:val="24"/>
        </w:rPr>
      </w:pPr>
    </w:p>
    <w:p w14:paraId="1932CBF2" w14:textId="77777777" w:rsidR="00CB712A" w:rsidRDefault="00CB712A" w:rsidP="00CB712A">
      <w:pPr>
        <w:spacing w:line="360" w:lineRule="auto"/>
        <w:rPr>
          <w:rFonts w:ascii="Calibri" w:hAnsi="Calibri" w:cs="Calibri"/>
          <w:sz w:val="24"/>
          <w:szCs w:val="24"/>
        </w:rPr>
      </w:pPr>
    </w:p>
    <w:p w14:paraId="1C869B11" w14:textId="77777777" w:rsidR="00CB712A" w:rsidRDefault="00CB712A" w:rsidP="00CB712A">
      <w:pPr>
        <w:spacing w:line="360" w:lineRule="auto"/>
        <w:rPr>
          <w:rFonts w:ascii="Calibri" w:hAnsi="Calibri" w:cs="Calibri"/>
          <w:sz w:val="24"/>
          <w:szCs w:val="24"/>
        </w:rPr>
      </w:pPr>
    </w:p>
    <w:p w14:paraId="1DC0F2FF" w14:textId="77777777" w:rsidR="00CB712A" w:rsidRDefault="00CB712A" w:rsidP="00CB712A">
      <w:pPr>
        <w:spacing w:line="360" w:lineRule="auto"/>
        <w:rPr>
          <w:rFonts w:ascii="Calibri" w:hAnsi="Calibri" w:cs="Calibri"/>
          <w:sz w:val="24"/>
          <w:szCs w:val="24"/>
        </w:rPr>
      </w:pPr>
    </w:p>
    <w:p w14:paraId="51AA4CD7" w14:textId="37D52B94" w:rsidR="00CB712A" w:rsidRDefault="00CB712A" w:rsidP="00CB712A">
      <w:pPr>
        <w:spacing w:line="360" w:lineRule="auto"/>
        <w:jc w:val="right"/>
        <w:rPr>
          <w:rFonts w:ascii="Calibri" w:hAnsi="Calibri" w:cs="Calibri"/>
          <w:sz w:val="24"/>
          <w:szCs w:val="24"/>
        </w:rPr>
      </w:pPr>
      <w:r>
        <w:rPr>
          <w:rFonts w:ascii="Calibri" w:hAnsi="Calibri" w:cs="Calibri"/>
          <w:sz w:val="24"/>
          <w:szCs w:val="24"/>
        </w:rPr>
        <w:t>By Dan Andronic</w:t>
      </w:r>
    </w:p>
    <w:p w14:paraId="115FC103" w14:textId="798CE350" w:rsidR="009516F7" w:rsidRPr="00CB712A" w:rsidRDefault="00CB712A" w:rsidP="00CB712A">
      <w:pPr>
        <w:spacing w:line="360" w:lineRule="auto"/>
        <w:rPr>
          <w:rFonts w:ascii="Calibri" w:hAnsi="Calibri" w:cs="Calibri"/>
          <w:sz w:val="24"/>
          <w:szCs w:val="24"/>
        </w:rPr>
      </w:pPr>
      <w:r>
        <w:rPr>
          <w:rFonts w:ascii="Calibri" w:hAnsi="Calibri" w:cs="Calibri"/>
          <w:sz w:val="24"/>
          <w:szCs w:val="24"/>
        </w:rPr>
        <w:lastRenderedPageBreak/>
        <w:tab/>
      </w:r>
      <w:r w:rsidR="005D018C" w:rsidRPr="00CB712A">
        <w:rPr>
          <w:rFonts w:ascii="Calibri" w:hAnsi="Calibri" w:cs="Calibri"/>
          <w:sz w:val="24"/>
          <w:szCs w:val="24"/>
        </w:rPr>
        <w:t>The purpose of this essay is to outline what sustainability and the circular economy mean to the tourism and hospitality industry while illustrating in detail how the industry is adapting to the changing practices to create a ‘greener’ environment for their guests. By exploring the intersection of sustainability and the circular economy, this essay</w:t>
      </w:r>
      <w:r w:rsidR="0014021C" w:rsidRPr="00CB712A">
        <w:rPr>
          <w:rFonts w:ascii="Calibri" w:hAnsi="Calibri" w:cs="Calibri"/>
          <w:sz w:val="24"/>
          <w:szCs w:val="24"/>
        </w:rPr>
        <w:t xml:space="preserve"> also</w:t>
      </w:r>
      <w:r w:rsidR="005D018C" w:rsidRPr="00CB712A">
        <w:rPr>
          <w:rFonts w:ascii="Calibri" w:hAnsi="Calibri" w:cs="Calibri"/>
          <w:sz w:val="24"/>
          <w:szCs w:val="24"/>
        </w:rPr>
        <w:t xml:space="preserve"> aims to shed light on the efforts being made within the industry to mitigate its environmental impact, promote resource efficiency, and prioritize the well-being of both current and future generations.</w:t>
      </w:r>
    </w:p>
    <w:p w14:paraId="5FCF400F" w14:textId="2A7DA4E6" w:rsidR="005D018C" w:rsidRPr="00CB712A" w:rsidRDefault="0004728B" w:rsidP="00CB712A">
      <w:pPr>
        <w:spacing w:line="360" w:lineRule="auto"/>
        <w:rPr>
          <w:rFonts w:ascii="Calibri" w:eastAsia="Times New Roman" w:hAnsi="Calibri" w:cs="Calibri"/>
          <w:kern w:val="0"/>
          <w:sz w:val="24"/>
          <w:szCs w:val="24"/>
          <w:lang w:eastAsia="en-GB"/>
          <w14:ligatures w14:val="none"/>
        </w:rPr>
      </w:pPr>
      <w:r w:rsidRPr="00CB712A">
        <w:rPr>
          <w:rFonts w:ascii="Calibri" w:hAnsi="Calibri" w:cs="Calibri"/>
          <w:sz w:val="24"/>
          <w:szCs w:val="24"/>
        </w:rPr>
        <w:t xml:space="preserve"> </w:t>
      </w:r>
      <w:r w:rsidRPr="00CB712A">
        <w:rPr>
          <w:rFonts w:ascii="Calibri" w:hAnsi="Calibri" w:cs="Calibri"/>
          <w:sz w:val="24"/>
          <w:szCs w:val="24"/>
        </w:rPr>
        <w:tab/>
        <w:t xml:space="preserve">According to the introduction in their findings </w:t>
      </w:r>
      <w:proofErr w:type="spellStart"/>
      <w:r w:rsidR="00465851" w:rsidRPr="00CB712A">
        <w:rPr>
          <w:rFonts w:ascii="Calibri" w:eastAsia="Times New Roman" w:hAnsi="Calibri" w:cs="Calibri"/>
          <w:kern w:val="0"/>
          <w:sz w:val="24"/>
          <w:szCs w:val="24"/>
          <w:lang w:eastAsia="en-GB"/>
          <w14:ligatures w14:val="none"/>
        </w:rPr>
        <w:t>Schöggl</w:t>
      </w:r>
      <w:proofErr w:type="spellEnd"/>
      <w:r w:rsidR="00465851" w:rsidRPr="00CB712A">
        <w:rPr>
          <w:rFonts w:ascii="Calibri" w:eastAsia="Times New Roman" w:hAnsi="Calibri" w:cs="Calibri"/>
          <w:kern w:val="0"/>
          <w:sz w:val="24"/>
          <w:szCs w:val="24"/>
          <w:lang w:eastAsia="en-GB"/>
          <w14:ligatures w14:val="none"/>
        </w:rPr>
        <w:t xml:space="preserve">, </w:t>
      </w:r>
      <w:r w:rsidR="00465851" w:rsidRPr="00CB712A">
        <w:rPr>
          <w:rFonts w:ascii="Calibri" w:eastAsia="Times New Roman" w:hAnsi="Calibri" w:cs="Calibri"/>
          <w:i/>
          <w:iCs/>
          <w:kern w:val="0"/>
          <w:sz w:val="24"/>
          <w:szCs w:val="24"/>
          <w:lang w:eastAsia="en-GB"/>
          <w14:ligatures w14:val="none"/>
        </w:rPr>
        <w:t>et al.</w:t>
      </w:r>
      <w:r w:rsidR="00C801D3">
        <w:rPr>
          <w:rFonts w:ascii="Calibri" w:eastAsia="Times New Roman" w:hAnsi="Calibri" w:cs="Calibri"/>
          <w:i/>
          <w:iCs/>
          <w:kern w:val="0"/>
          <w:sz w:val="24"/>
          <w:szCs w:val="24"/>
          <w:lang w:eastAsia="en-GB"/>
          <w14:ligatures w14:val="none"/>
        </w:rPr>
        <w:t xml:space="preserve"> </w:t>
      </w:r>
      <w:r w:rsidR="00C801D3">
        <w:rPr>
          <w:rFonts w:ascii="Calibri" w:eastAsia="Times New Roman" w:hAnsi="Calibri" w:cs="Calibri"/>
          <w:kern w:val="0"/>
          <w:sz w:val="24"/>
          <w:szCs w:val="24"/>
          <w:lang w:eastAsia="en-GB"/>
          <w14:ligatures w14:val="none"/>
        </w:rPr>
        <w:t>(</w:t>
      </w:r>
      <w:r w:rsidR="00465851" w:rsidRPr="00CB712A">
        <w:rPr>
          <w:rFonts w:ascii="Calibri" w:eastAsia="Times New Roman" w:hAnsi="Calibri" w:cs="Calibri"/>
          <w:kern w:val="0"/>
          <w:sz w:val="24"/>
          <w:szCs w:val="24"/>
          <w:lang w:eastAsia="en-GB"/>
          <w14:ligatures w14:val="none"/>
        </w:rPr>
        <w:t xml:space="preserve">2020) emphasized that </w:t>
      </w:r>
      <w:r w:rsidR="00465851" w:rsidRPr="00CB712A">
        <w:rPr>
          <w:rFonts w:ascii="Calibri" w:hAnsi="Calibri" w:cs="Calibri"/>
          <w:sz w:val="24"/>
          <w:szCs w:val="24"/>
        </w:rPr>
        <w:t>s</w:t>
      </w:r>
      <w:r w:rsidR="005D018C" w:rsidRPr="00CB712A">
        <w:rPr>
          <w:rFonts w:ascii="Calibri" w:hAnsi="Calibri" w:cs="Calibri"/>
          <w:sz w:val="24"/>
          <w:szCs w:val="24"/>
        </w:rPr>
        <w:t xml:space="preserve">ustainability and the circular economy are buzzwords that have gained significant attention in recent years, particularly in the hospitality industry. These concepts aim to address the growing concerns about environmental degradation and resource depletion. </w:t>
      </w:r>
    </w:p>
    <w:p w14:paraId="2A6B503C" w14:textId="6A702090" w:rsidR="005D018C" w:rsidRPr="00CB712A" w:rsidRDefault="00987DAD" w:rsidP="00CB712A">
      <w:pPr>
        <w:pStyle w:val="pb-2"/>
        <w:spacing w:line="360" w:lineRule="auto"/>
        <w:rPr>
          <w:rFonts w:ascii="Calibri" w:hAnsi="Calibri" w:cs="Calibri"/>
        </w:rPr>
      </w:pPr>
      <w:r w:rsidRPr="00CB712A">
        <w:rPr>
          <w:rFonts w:ascii="Calibri" w:hAnsi="Calibri" w:cs="Calibri"/>
        </w:rPr>
        <w:tab/>
      </w:r>
      <w:r w:rsidR="009516F7" w:rsidRPr="00CB712A">
        <w:rPr>
          <w:rFonts w:ascii="Calibri" w:hAnsi="Calibri" w:cs="Calibri"/>
        </w:rPr>
        <w:t xml:space="preserve">According to London College of Contemporary Arts (2023), </w:t>
      </w:r>
      <w:r w:rsidR="00C801D3">
        <w:rPr>
          <w:rFonts w:ascii="Calibri" w:hAnsi="Calibri" w:cs="Calibri"/>
        </w:rPr>
        <w:t>“</w:t>
      </w:r>
      <w:r w:rsidR="005D018C" w:rsidRPr="00CB712A">
        <w:rPr>
          <w:rFonts w:ascii="Calibri" w:hAnsi="Calibri" w:cs="Calibri"/>
        </w:rPr>
        <w:t>Sustainability refers to the practice of meeting the needs of the present without compromising the ability of future generations to meet their own needs. It is a holistic concept that takes into account the environmental, social, and economic aspects of development</w:t>
      </w:r>
      <w:r w:rsidR="00C801D3">
        <w:rPr>
          <w:rFonts w:ascii="Calibri" w:hAnsi="Calibri" w:cs="Calibri"/>
        </w:rPr>
        <w:t>”</w:t>
      </w:r>
      <w:r w:rsidR="005D018C" w:rsidRPr="00CB712A">
        <w:rPr>
          <w:rFonts w:ascii="Calibri" w:hAnsi="Calibri" w:cs="Calibri"/>
        </w:rPr>
        <w:t>. In the context of hospitality, sustainability focuses on reducing the negative impacts associated with tourism, such as carbon emissions, waste generation, and water consumption.</w:t>
      </w:r>
    </w:p>
    <w:p w14:paraId="71F1E4B6" w14:textId="0D33A51D" w:rsidR="005D018C" w:rsidRPr="00CB712A" w:rsidRDefault="00987DAD" w:rsidP="00CB712A">
      <w:pPr>
        <w:pStyle w:val="pb-2"/>
        <w:spacing w:line="360" w:lineRule="auto"/>
        <w:rPr>
          <w:rFonts w:ascii="Calibri" w:hAnsi="Calibri" w:cs="Calibri"/>
        </w:rPr>
      </w:pPr>
      <w:r w:rsidRPr="00CB712A">
        <w:rPr>
          <w:rFonts w:ascii="Calibri" w:hAnsi="Calibri" w:cs="Calibri"/>
        </w:rPr>
        <w:tab/>
      </w:r>
      <w:r w:rsidR="005D018C" w:rsidRPr="00CB712A">
        <w:rPr>
          <w:rFonts w:ascii="Calibri" w:hAnsi="Calibri" w:cs="Calibri"/>
        </w:rPr>
        <w:t xml:space="preserve">One of the key aspects of sustainability in the hospitality industry is </w:t>
      </w:r>
      <w:r w:rsidR="00F143DC">
        <w:rPr>
          <w:rFonts w:ascii="Calibri" w:hAnsi="Calibri" w:cs="Calibri"/>
        </w:rPr>
        <w:t>“</w:t>
      </w:r>
      <w:r w:rsidR="005D018C" w:rsidRPr="00CB712A">
        <w:rPr>
          <w:rFonts w:ascii="Calibri" w:hAnsi="Calibri" w:cs="Calibri"/>
        </w:rPr>
        <w:t>mitigation of carbon emissions</w:t>
      </w:r>
      <w:r w:rsidR="00F143DC">
        <w:rPr>
          <w:rFonts w:ascii="Calibri" w:hAnsi="Calibri" w:cs="Calibri"/>
        </w:rPr>
        <w:t>”</w:t>
      </w:r>
      <w:r w:rsidR="007622FC" w:rsidRPr="00CB712A">
        <w:rPr>
          <w:rFonts w:ascii="Calibri" w:hAnsi="Calibri" w:cs="Calibri"/>
        </w:rPr>
        <w:t xml:space="preserve"> claims the European Environment Agency (2023)</w:t>
      </w:r>
      <w:r w:rsidR="005D018C" w:rsidRPr="00CB712A">
        <w:rPr>
          <w:rFonts w:ascii="Calibri" w:hAnsi="Calibri" w:cs="Calibri"/>
        </w:rPr>
        <w:t>. Hotels can adopt renewable energy sources, such as solar panels and wind turbines, to reduce their reliance on fossil fuels.</w:t>
      </w:r>
      <w:r w:rsidR="00C801D3">
        <w:rPr>
          <w:rFonts w:ascii="Calibri" w:hAnsi="Calibri" w:cs="Calibri"/>
        </w:rPr>
        <w:t xml:space="preserve"> One such example, holds Swindon hotel </w:t>
      </w:r>
      <w:r w:rsidR="00F143DC">
        <w:rPr>
          <w:rFonts w:ascii="Calibri" w:hAnsi="Calibri" w:cs="Calibri"/>
        </w:rPr>
        <w:t>(</w:t>
      </w:r>
      <w:r w:rsidR="00C801D3" w:rsidRPr="00C801D3">
        <w:rPr>
          <w:rFonts w:ascii="Calibri" w:hAnsi="Calibri" w:cs="Calibri"/>
        </w:rPr>
        <w:t>BBC News</w:t>
      </w:r>
      <w:r w:rsidR="00C801D3">
        <w:rPr>
          <w:rFonts w:ascii="Calibri" w:hAnsi="Calibri" w:cs="Calibri"/>
        </w:rPr>
        <w:t xml:space="preserve"> </w:t>
      </w:r>
      <w:r w:rsidR="00C801D3" w:rsidRPr="00C801D3">
        <w:rPr>
          <w:rFonts w:ascii="Calibri" w:hAnsi="Calibri" w:cs="Calibri"/>
        </w:rPr>
        <w:t>2023)</w:t>
      </w:r>
      <w:r w:rsidR="00C801D3">
        <w:rPr>
          <w:rFonts w:ascii="Calibri" w:hAnsi="Calibri" w:cs="Calibri"/>
        </w:rPr>
        <w:t>.</w:t>
      </w:r>
      <w:r w:rsidR="005D018C" w:rsidRPr="00CB712A">
        <w:rPr>
          <w:rFonts w:ascii="Calibri" w:hAnsi="Calibri" w:cs="Calibri"/>
        </w:rPr>
        <w:t xml:space="preserve"> Additionally, energy efficiency measures, such as LED lighting and occupancy sensors, can be implemented to reduce energy consumption.</w:t>
      </w:r>
    </w:p>
    <w:p w14:paraId="67E00EEE" w14:textId="3A822044" w:rsidR="005D018C" w:rsidRPr="00CB712A" w:rsidRDefault="00987DAD" w:rsidP="00CB712A">
      <w:pPr>
        <w:spacing w:line="360" w:lineRule="auto"/>
        <w:rPr>
          <w:rFonts w:ascii="Calibri" w:eastAsia="Times New Roman" w:hAnsi="Calibri" w:cs="Calibri"/>
          <w:kern w:val="0"/>
          <w:sz w:val="24"/>
          <w:szCs w:val="24"/>
          <w:lang w:eastAsia="en-GB"/>
          <w14:ligatures w14:val="none"/>
        </w:rPr>
      </w:pPr>
      <w:r w:rsidRPr="00CB712A">
        <w:rPr>
          <w:rFonts w:ascii="Calibri" w:hAnsi="Calibri" w:cs="Calibri"/>
          <w:sz w:val="24"/>
          <w:szCs w:val="24"/>
        </w:rPr>
        <w:tab/>
      </w:r>
      <w:r w:rsidR="005D018C" w:rsidRPr="00CB712A">
        <w:rPr>
          <w:rFonts w:ascii="Calibri" w:hAnsi="Calibri" w:cs="Calibri"/>
          <w:sz w:val="24"/>
          <w:szCs w:val="24"/>
        </w:rPr>
        <w:t>Waste management is another important aspect of sustainability in hospitality</w:t>
      </w:r>
      <w:r w:rsidR="007622FC" w:rsidRPr="00CB712A">
        <w:rPr>
          <w:rFonts w:ascii="Calibri" w:hAnsi="Calibri" w:cs="Calibri"/>
          <w:sz w:val="24"/>
          <w:szCs w:val="24"/>
        </w:rPr>
        <w:t xml:space="preserve"> according to </w:t>
      </w:r>
      <w:r w:rsidR="007622FC" w:rsidRPr="00CB712A">
        <w:rPr>
          <w:rFonts w:ascii="Calibri" w:eastAsia="Times New Roman" w:hAnsi="Calibri" w:cs="Calibri"/>
          <w:kern w:val="0"/>
          <w:sz w:val="24"/>
          <w:szCs w:val="24"/>
          <w:lang w:eastAsia="en-GB"/>
          <w14:ligatures w14:val="none"/>
        </w:rPr>
        <w:t>(Mews, 2023)</w:t>
      </w:r>
      <w:r w:rsidR="005D018C" w:rsidRPr="00CB712A">
        <w:rPr>
          <w:rFonts w:ascii="Calibri" w:hAnsi="Calibri" w:cs="Calibri"/>
          <w:sz w:val="24"/>
          <w:szCs w:val="24"/>
        </w:rPr>
        <w:t>. Hotels can implement recycling programs to reduce the quantity of waste sent to landfills. Additionally, composting initiatives can be implemented to convert organic waste into nutrient-rich soil.</w:t>
      </w:r>
    </w:p>
    <w:p w14:paraId="1B99C1C0" w14:textId="45A05519" w:rsidR="005D018C" w:rsidRPr="00CB712A" w:rsidRDefault="00987DAD" w:rsidP="00CB712A">
      <w:pPr>
        <w:pStyle w:val="pb-2"/>
        <w:spacing w:line="360" w:lineRule="auto"/>
        <w:rPr>
          <w:rFonts w:ascii="Calibri" w:hAnsi="Calibri" w:cs="Calibri"/>
        </w:rPr>
      </w:pPr>
      <w:r w:rsidRPr="00CB712A">
        <w:rPr>
          <w:rFonts w:ascii="Calibri" w:hAnsi="Calibri" w:cs="Calibri"/>
        </w:rPr>
        <w:tab/>
      </w:r>
      <w:r w:rsidR="005D018C" w:rsidRPr="00CB712A">
        <w:rPr>
          <w:rFonts w:ascii="Calibri" w:hAnsi="Calibri" w:cs="Calibri"/>
        </w:rPr>
        <w:t>The circular economy</w:t>
      </w:r>
      <w:r w:rsidR="001B38D8" w:rsidRPr="00CB712A">
        <w:rPr>
          <w:rFonts w:ascii="Calibri" w:hAnsi="Calibri" w:cs="Calibri"/>
        </w:rPr>
        <w:t>, according to (European Parliament, 2023)</w:t>
      </w:r>
      <w:r w:rsidR="005D018C" w:rsidRPr="00CB712A">
        <w:rPr>
          <w:rFonts w:ascii="Calibri" w:hAnsi="Calibri" w:cs="Calibri"/>
        </w:rPr>
        <w:t xml:space="preserve"> is a concept that emphasizes the use of resources for as long as possible while reducing waste generation. It </w:t>
      </w:r>
      <w:r w:rsidR="005D018C" w:rsidRPr="00CB712A">
        <w:rPr>
          <w:rFonts w:ascii="Calibri" w:hAnsi="Calibri" w:cs="Calibri"/>
        </w:rPr>
        <w:lastRenderedPageBreak/>
        <w:t>is based on the principles of designing out waste, keeping products and materials in use, and regenerating natural systems. In the context of hospitality, the circular economy can be applied in several ways.</w:t>
      </w:r>
      <w:r w:rsidR="004C5453">
        <w:rPr>
          <w:rFonts w:ascii="Calibri" w:hAnsi="Calibri" w:cs="Calibri"/>
        </w:rPr>
        <w:t xml:space="preserve"> </w:t>
      </w:r>
      <w:r w:rsidR="004C5453" w:rsidRPr="004C5453">
        <w:rPr>
          <w:rFonts w:ascii="Calibri" w:hAnsi="Calibri" w:cs="Calibri"/>
        </w:rPr>
        <w:t>By implementing strategies that focus on reducing waste generation, such as implementing recycling programs and adopting sustainable practices, hotels can contribute to a circular economy. Additionally, hotels can consider repurposing existing materials or designing products that can be disassembled and reused, reducing the demand for virgin resources. Furthermore, hotels can collaborate with local organizations and suppliers that promote sustainable practices, fostering a circular economy within the hospitality industry.</w:t>
      </w:r>
    </w:p>
    <w:p w14:paraId="1535C5AA" w14:textId="77777777" w:rsidR="00F143DC" w:rsidRDefault="00987DAD" w:rsidP="00CB712A">
      <w:pPr>
        <w:pStyle w:val="pb-2"/>
        <w:spacing w:line="360" w:lineRule="auto"/>
        <w:rPr>
          <w:rFonts w:ascii="Calibri" w:hAnsi="Calibri" w:cs="Calibri"/>
        </w:rPr>
      </w:pPr>
      <w:r w:rsidRPr="00CB712A">
        <w:rPr>
          <w:rFonts w:ascii="Calibri" w:hAnsi="Calibri" w:cs="Calibri"/>
        </w:rPr>
        <w:tab/>
      </w:r>
      <w:r w:rsidR="00FD6F85" w:rsidRPr="00CB712A">
        <w:rPr>
          <w:rFonts w:ascii="Calibri" w:hAnsi="Calibri" w:cs="Calibri"/>
        </w:rPr>
        <w:t xml:space="preserve">Fabrice and </w:t>
      </w:r>
      <w:proofErr w:type="spellStart"/>
      <w:r w:rsidR="00FD6F85" w:rsidRPr="00CB712A">
        <w:rPr>
          <w:rFonts w:ascii="Calibri" w:hAnsi="Calibri" w:cs="Calibri"/>
        </w:rPr>
        <w:t>Uthayasankar’s</w:t>
      </w:r>
      <w:proofErr w:type="spellEnd"/>
      <w:r w:rsidR="00FD6F85" w:rsidRPr="00CB712A">
        <w:rPr>
          <w:rFonts w:ascii="Calibri" w:hAnsi="Calibri" w:cs="Calibri"/>
        </w:rPr>
        <w:t xml:space="preserve"> excellent research</w:t>
      </w:r>
      <w:r w:rsidR="00D27D43" w:rsidRPr="00CB712A">
        <w:rPr>
          <w:rFonts w:ascii="Calibri" w:hAnsi="Calibri" w:cs="Calibri"/>
        </w:rPr>
        <w:t xml:space="preserve"> (2021)</w:t>
      </w:r>
      <w:r w:rsidR="00FD6F85" w:rsidRPr="00CB712A">
        <w:rPr>
          <w:rFonts w:ascii="Calibri" w:hAnsi="Calibri" w:cs="Calibri"/>
        </w:rPr>
        <w:t xml:space="preserve"> </w:t>
      </w:r>
      <w:r w:rsidR="00876F5C" w:rsidRPr="00CB712A">
        <w:rPr>
          <w:rFonts w:ascii="Calibri" w:hAnsi="Calibri" w:cs="Calibri"/>
        </w:rPr>
        <w:t xml:space="preserve">stated that </w:t>
      </w:r>
      <w:r w:rsidR="000D356D" w:rsidRPr="00CB712A">
        <w:rPr>
          <w:rFonts w:ascii="Calibri" w:hAnsi="Calibri" w:cs="Calibri"/>
        </w:rPr>
        <w:t xml:space="preserve">study findings confirm and update the proposed conceptual framework enablers for supply chain management innovations. One of the key enablers that emerges from the research is deeper supply chain cooperation. </w:t>
      </w:r>
      <w:r w:rsidR="00F143DC" w:rsidRPr="00F143DC">
        <w:rPr>
          <w:rFonts w:ascii="Calibri" w:hAnsi="Calibri" w:cs="Calibri"/>
        </w:rPr>
        <w:t>As a guarantee of a level playing field, respondents emphasize the regulatory and fiscal environment, particularly as it pertains to waste management. Although no respondents mentioned fiscal challenges associated with the implementation of circular economy business models (PSS - Professional Service Contracts) (NEC, 2022). PSS agreements have no financial impact on tangible property depreciation and valuation, or on the taxation of revenues generated by hotel assets through asset sharing platforms. This demonstrates respondents' ignorance of circular economy business models and their understanding of the circular economy as a tool for waste and resource management.</w:t>
      </w:r>
      <w:r w:rsidRPr="00CB712A">
        <w:rPr>
          <w:rFonts w:ascii="Calibri" w:hAnsi="Calibri" w:cs="Calibri"/>
        </w:rPr>
        <w:tab/>
      </w:r>
    </w:p>
    <w:p w14:paraId="0D3EA03F" w14:textId="76F531C7" w:rsidR="00663AE3" w:rsidRPr="00CB712A" w:rsidRDefault="00F143DC" w:rsidP="00CB712A">
      <w:pPr>
        <w:pStyle w:val="pb-2"/>
        <w:spacing w:line="360" w:lineRule="auto"/>
        <w:rPr>
          <w:rFonts w:ascii="Calibri" w:hAnsi="Calibri" w:cs="Calibri"/>
        </w:rPr>
      </w:pPr>
      <w:r>
        <w:rPr>
          <w:rFonts w:ascii="Calibri" w:hAnsi="Calibri" w:cs="Calibri"/>
        </w:rPr>
        <w:tab/>
      </w:r>
      <w:r w:rsidR="000D356D" w:rsidRPr="00CB712A">
        <w:rPr>
          <w:rFonts w:ascii="Calibri" w:hAnsi="Calibri" w:cs="Calibri"/>
        </w:rPr>
        <w:t xml:space="preserve">Another </w:t>
      </w:r>
      <w:r w:rsidR="005D018C" w:rsidRPr="00CB712A">
        <w:rPr>
          <w:rFonts w:ascii="Calibri" w:hAnsi="Calibri" w:cs="Calibri"/>
        </w:rPr>
        <w:t>aspect of the circular economy in hospitality is reducing waste generation through resource conservation</w:t>
      </w:r>
      <w:r>
        <w:rPr>
          <w:rFonts w:ascii="Calibri" w:hAnsi="Calibri" w:cs="Calibri"/>
        </w:rPr>
        <w:t xml:space="preserve"> </w:t>
      </w:r>
      <w:r w:rsidRPr="00F143DC">
        <w:rPr>
          <w:rFonts w:ascii="Calibri" w:hAnsi="Calibri" w:cs="Calibri"/>
        </w:rPr>
        <w:t>(Systems Change Lab, n.d.)</w:t>
      </w:r>
      <w:r w:rsidR="005D018C" w:rsidRPr="00CB712A">
        <w:rPr>
          <w:rFonts w:ascii="Calibri" w:hAnsi="Calibri" w:cs="Calibri"/>
        </w:rPr>
        <w:t>. Hotels can implement strategies such as reducing portion sizes, optimizing food procurement</w:t>
      </w:r>
      <w:r w:rsidR="00BD4E23">
        <w:rPr>
          <w:rFonts w:ascii="Calibri" w:hAnsi="Calibri" w:cs="Calibri"/>
        </w:rPr>
        <w:t xml:space="preserve"> </w:t>
      </w:r>
      <w:r w:rsidR="00BD4E23" w:rsidRPr="00BD4E23">
        <w:rPr>
          <w:rFonts w:ascii="Calibri" w:hAnsi="Calibri" w:cs="Calibri"/>
        </w:rPr>
        <w:t>(Capgemini, 2024)</w:t>
      </w:r>
      <w:r w:rsidR="005D018C" w:rsidRPr="00CB712A">
        <w:rPr>
          <w:rFonts w:ascii="Calibri" w:hAnsi="Calibri" w:cs="Calibri"/>
        </w:rPr>
        <w:t>, and promoting the use of reusable utensils. By minimizing food waste and resorting to reusable products, hotels can contribute to a cleaner and more sustainable environment</w:t>
      </w:r>
      <w:r w:rsidR="00BD4E23">
        <w:rPr>
          <w:rFonts w:ascii="Calibri" w:hAnsi="Calibri" w:cs="Calibri"/>
        </w:rPr>
        <w:t xml:space="preserve"> </w:t>
      </w:r>
      <w:r w:rsidR="00BD4E23" w:rsidRPr="00BD4E23">
        <w:rPr>
          <w:rFonts w:ascii="Calibri" w:hAnsi="Calibri" w:cs="Calibri"/>
        </w:rPr>
        <w:t>(</w:t>
      </w:r>
      <w:proofErr w:type="spellStart"/>
      <w:r w:rsidR="00BD4E23" w:rsidRPr="00BD4E23">
        <w:rPr>
          <w:rFonts w:ascii="Calibri" w:hAnsi="Calibri" w:cs="Calibri"/>
        </w:rPr>
        <w:t>Chechi</w:t>
      </w:r>
      <w:proofErr w:type="spellEnd"/>
      <w:r w:rsidR="00BD4E23" w:rsidRPr="00BD4E23">
        <w:rPr>
          <w:rFonts w:ascii="Calibri" w:hAnsi="Calibri" w:cs="Calibri"/>
        </w:rPr>
        <w:t>, 2024)</w:t>
      </w:r>
      <w:r w:rsidR="005D018C" w:rsidRPr="00CB712A">
        <w:rPr>
          <w:rFonts w:ascii="Calibri" w:hAnsi="Calibri" w:cs="Calibri"/>
        </w:rPr>
        <w:t>.</w:t>
      </w:r>
      <w:r w:rsidR="00465851" w:rsidRPr="00CB712A">
        <w:rPr>
          <w:rFonts w:ascii="Calibri" w:hAnsi="Calibri" w:cs="Calibri"/>
        </w:rPr>
        <w:t> </w:t>
      </w:r>
    </w:p>
    <w:p w14:paraId="1EC665AF" w14:textId="1D9AA210" w:rsidR="005D018C" w:rsidRPr="00CB712A" w:rsidRDefault="00663AE3" w:rsidP="00CB712A">
      <w:pPr>
        <w:pStyle w:val="pb-2"/>
        <w:spacing w:line="360" w:lineRule="auto"/>
        <w:rPr>
          <w:rFonts w:ascii="Calibri" w:hAnsi="Calibri" w:cs="Calibri"/>
        </w:rPr>
      </w:pPr>
      <w:r w:rsidRPr="00CB712A">
        <w:rPr>
          <w:rFonts w:ascii="Calibri" w:hAnsi="Calibri" w:cs="Calibri"/>
        </w:rPr>
        <w:tab/>
      </w:r>
      <w:r w:rsidR="00465851" w:rsidRPr="00CB712A">
        <w:rPr>
          <w:rFonts w:ascii="Calibri" w:hAnsi="Calibri" w:cs="Calibri"/>
        </w:rPr>
        <w:t>Sustainable procurement is another aspect of circular economy in hospitality</w:t>
      </w:r>
      <w:r w:rsidR="009948AF">
        <w:rPr>
          <w:rFonts w:ascii="Calibri" w:hAnsi="Calibri" w:cs="Calibri"/>
        </w:rPr>
        <w:t xml:space="preserve"> </w:t>
      </w:r>
      <w:r w:rsidR="009948AF" w:rsidRPr="009948AF">
        <w:rPr>
          <w:rFonts w:ascii="Calibri" w:hAnsi="Calibri" w:cs="Calibri"/>
        </w:rPr>
        <w:t>(Toikka, 2023)</w:t>
      </w:r>
      <w:r w:rsidR="00465851" w:rsidRPr="00CB712A">
        <w:rPr>
          <w:rFonts w:ascii="Calibri" w:hAnsi="Calibri" w:cs="Calibri"/>
        </w:rPr>
        <w:t xml:space="preserve">. The hotel industry can prioritize sustainable suppliers while using recycled materials and sourcing local foods can help. Adding to a circular economy is supporting sustainable </w:t>
      </w:r>
      <w:r w:rsidR="00465851" w:rsidRPr="00CB712A">
        <w:rPr>
          <w:rFonts w:ascii="Calibri" w:hAnsi="Calibri" w:cs="Calibri"/>
        </w:rPr>
        <w:lastRenderedPageBreak/>
        <w:t xml:space="preserve">suppliers. </w:t>
      </w:r>
      <w:r w:rsidR="005D018C" w:rsidRPr="00CB712A">
        <w:rPr>
          <w:rFonts w:ascii="Calibri" w:hAnsi="Calibri" w:cs="Calibri"/>
        </w:rPr>
        <w:t>The adoption of sustainability and the circular economy in the hospitality industry is crucial for the long-term viability of the industry</w:t>
      </w:r>
      <w:r w:rsidR="009948AF" w:rsidRPr="009948AF">
        <w:t xml:space="preserve"> </w:t>
      </w:r>
      <w:proofErr w:type="spellStart"/>
      <w:r w:rsidR="009948AF" w:rsidRPr="009948AF">
        <w:rPr>
          <w:rFonts w:ascii="Calibri" w:hAnsi="Calibri" w:cs="Calibri"/>
        </w:rPr>
        <w:t>Bysong</w:t>
      </w:r>
      <w:proofErr w:type="spellEnd"/>
      <w:r w:rsidR="009948AF" w:rsidRPr="009948AF">
        <w:rPr>
          <w:rFonts w:ascii="Calibri" w:hAnsi="Calibri" w:cs="Calibri"/>
        </w:rPr>
        <w:t xml:space="preserve"> et al.</w:t>
      </w:r>
      <w:r w:rsidR="009948AF">
        <w:rPr>
          <w:rFonts w:ascii="Calibri" w:hAnsi="Calibri" w:cs="Calibri"/>
        </w:rPr>
        <w:t xml:space="preserve"> (</w:t>
      </w:r>
      <w:r w:rsidR="009948AF" w:rsidRPr="009948AF">
        <w:rPr>
          <w:rFonts w:ascii="Calibri" w:hAnsi="Calibri" w:cs="Calibri"/>
        </w:rPr>
        <w:t>2023)</w:t>
      </w:r>
      <w:r w:rsidR="005D018C" w:rsidRPr="00CB712A">
        <w:rPr>
          <w:rFonts w:ascii="Calibri" w:hAnsi="Calibri" w:cs="Calibri"/>
        </w:rPr>
        <w:t>.</w:t>
      </w:r>
      <w:r w:rsidR="006D4992">
        <w:rPr>
          <w:rFonts w:ascii="Calibri" w:hAnsi="Calibri" w:cs="Calibri"/>
        </w:rPr>
        <w:t xml:space="preserve">  Energy efficiency (u</w:t>
      </w:r>
      <w:r w:rsidR="006D4992" w:rsidRPr="006D4992">
        <w:rPr>
          <w:rFonts w:ascii="Calibri" w:hAnsi="Calibri" w:cs="Calibri"/>
        </w:rPr>
        <w:t>tilizing renewable energy sources, such as solar panels or wind turbines, to power hotel facilities</w:t>
      </w:r>
      <w:r w:rsidR="006D4992">
        <w:rPr>
          <w:rFonts w:ascii="Calibri" w:hAnsi="Calibri" w:cs="Calibri"/>
        </w:rPr>
        <w:t>, i</w:t>
      </w:r>
      <w:r w:rsidR="006D4992" w:rsidRPr="006D4992">
        <w:rPr>
          <w:rFonts w:ascii="Calibri" w:hAnsi="Calibri" w:cs="Calibri"/>
        </w:rPr>
        <w:t>mplementing smart building management systems to optimize energy consumption</w:t>
      </w:r>
      <w:r w:rsidR="006D4992">
        <w:rPr>
          <w:rFonts w:ascii="Calibri" w:hAnsi="Calibri" w:cs="Calibri"/>
        </w:rPr>
        <w:t>)</w:t>
      </w:r>
      <w:r w:rsidR="008C4AC7">
        <w:rPr>
          <w:rFonts w:ascii="Calibri" w:hAnsi="Calibri" w:cs="Calibri"/>
        </w:rPr>
        <w:t xml:space="preserve"> </w:t>
      </w:r>
      <w:r w:rsidR="008C4AC7" w:rsidRPr="008C4AC7">
        <w:rPr>
          <w:rFonts w:ascii="Calibri" w:hAnsi="Calibri" w:cs="Calibri"/>
        </w:rPr>
        <w:t>(</w:t>
      </w:r>
      <w:proofErr w:type="spellStart"/>
      <w:r w:rsidR="008C4AC7" w:rsidRPr="008C4AC7">
        <w:rPr>
          <w:rFonts w:ascii="Calibri" w:hAnsi="Calibri" w:cs="Calibri"/>
        </w:rPr>
        <w:t>Llanso</w:t>
      </w:r>
      <w:proofErr w:type="spellEnd"/>
      <w:r w:rsidR="008C4AC7" w:rsidRPr="008C4AC7">
        <w:rPr>
          <w:rFonts w:ascii="Calibri" w:hAnsi="Calibri" w:cs="Calibri"/>
        </w:rPr>
        <w:t>, 2024)</w:t>
      </w:r>
      <w:r w:rsidR="006D4992">
        <w:rPr>
          <w:rFonts w:ascii="Calibri" w:hAnsi="Calibri" w:cs="Calibri"/>
        </w:rPr>
        <w:t>, w</w:t>
      </w:r>
      <w:r w:rsidR="006D4992" w:rsidRPr="006D4992">
        <w:rPr>
          <w:rFonts w:ascii="Calibri" w:hAnsi="Calibri" w:cs="Calibri"/>
        </w:rPr>
        <w:t xml:space="preserve">ater </w:t>
      </w:r>
      <w:r w:rsidR="006D4992">
        <w:rPr>
          <w:rFonts w:ascii="Calibri" w:hAnsi="Calibri" w:cs="Calibri"/>
        </w:rPr>
        <w:t>c</w:t>
      </w:r>
      <w:r w:rsidR="006D4992" w:rsidRPr="006D4992">
        <w:rPr>
          <w:rFonts w:ascii="Calibri" w:hAnsi="Calibri" w:cs="Calibri"/>
        </w:rPr>
        <w:t>onservation</w:t>
      </w:r>
      <w:r w:rsidR="006D4992">
        <w:rPr>
          <w:rFonts w:ascii="Calibri" w:hAnsi="Calibri" w:cs="Calibri"/>
        </w:rPr>
        <w:t xml:space="preserve"> (i</w:t>
      </w:r>
      <w:r w:rsidR="006D4992" w:rsidRPr="006D4992">
        <w:rPr>
          <w:rFonts w:ascii="Calibri" w:hAnsi="Calibri" w:cs="Calibri"/>
        </w:rPr>
        <w:t>nstalling water-efficient fixtures, such as low-flow faucets and toilets</w:t>
      </w:r>
      <w:r w:rsidR="006D4992">
        <w:rPr>
          <w:rFonts w:ascii="Calibri" w:hAnsi="Calibri" w:cs="Calibri"/>
        </w:rPr>
        <w:t>, e</w:t>
      </w:r>
      <w:r w:rsidR="006D4992" w:rsidRPr="006D4992">
        <w:rPr>
          <w:rFonts w:ascii="Calibri" w:hAnsi="Calibri" w:cs="Calibri"/>
        </w:rPr>
        <w:t>ncouraging guests to reuse towels and sheets to minimize water usage</w:t>
      </w:r>
      <w:r w:rsidR="006D4992">
        <w:rPr>
          <w:rFonts w:ascii="Calibri" w:hAnsi="Calibri" w:cs="Calibri"/>
        </w:rPr>
        <w:t>)</w:t>
      </w:r>
      <w:r w:rsidR="008C4AC7">
        <w:rPr>
          <w:rFonts w:ascii="Calibri" w:hAnsi="Calibri" w:cs="Calibri"/>
        </w:rPr>
        <w:t xml:space="preserve"> </w:t>
      </w:r>
      <w:r w:rsidR="008C4AC7" w:rsidRPr="008C4AC7">
        <w:rPr>
          <w:rFonts w:ascii="Calibri" w:hAnsi="Calibri" w:cs="Calibri"/>
        </w:rPr>
        <w:t>(World Sustainable Hospitality Alliance, 2021)</w:t>
      </w:r>
      <w:r w:rsidR="006D4992">
        <w:rPr>
          <w:rFonts w:ascii="Calibri" w:hAnsi="Calibri" w:cs="Calibri"/>
        </w:rPr>
        <w:t>, waste management (</w:t>
      </w:r>
      <w:r w:rsidR="006D4992" w:rsidRPr="006D4992">
        <w:rPr>
          <w:rFonts w:ascii="Calibri" w:hAnsi="Calibri" w:cs="Calibri"/>
        </w:rPr>
        <w:t>implementing recycling programs to process recyclable materials</w:t>
      </w:r>
      <w:r w:rsidR="006D4992">
        <w:rPr>
          <w:rFonts w:ascii="Calibri" w:hAnsi="Calibri" w:cs="Calibri"/>
        </w:rPr>
        <w:t>, w</w:t>
      </w:r>
      <w:r w:rsidR="006D4992" w:rsidRPr="006D4992">
        <w:rPr>
          <w:rFonts w:ascii="Calibri" w:hAnsi="Calibri" w:cs="Calibri"/>
        </w:rPr>
        <w:t>orking with local farmers to repurpose food waste as animal feed or compost</w:t>
      </w:r>
      <w:r w:rsidR="006D4992">
        <w:rPr>
          <w:rFonts w:ascii="Calibri" w:hAnsi="Calibri" w:cs="Calibri"/>
        </w:rPr>
        <w:t>)</w:t>
      </w:r>
      <w:r w:rsidR="008C4AC7">
        <w:rPr>
          <w:rFonts w:ascii="Calibri" w:hAnsi="Calibri" w:cs="Calibri"/>
        </w:rPr>
        <w:t xml:space="preserve"> </w:t>
      </w:r>
      <w:r w:rsidR="008C4AC7" w:rsidRPr="008C4AC7">
        <w:rPr>
          <w:rFonts w:ascii="Calibri" w:hAnsi="Calibri" w:cs="Calibri"/>
        </w:rPr>
        <w:t>(Business Waste.co.uk, n.d.)</w:t>
      </w:r>
      <w:r w:rsidR="006D4992">
        <w:rPr>
          <w:rFonts w:ascii="Calibri" w:hAnsi="Calibri" w:cs="Calibri"/>
        </w:rPr>
        <w:t>, c</w:t>
      </w:r>
      <w:r w:rsidR="006D4992" w:rsidRPr="006D4992">
        <w:rPr>
          <w:rFonts w:ascii="Calibri" w:hAnsi="Calibri" w:cs="Calibri"/>
        </w:rPr>
        <w:t xml:space="preserve">ircular </w:t>
      </w:r>
      <w:r w:rsidR="006D4992">
        <w:rPr>
          <w:rFonts w:ascii="Calibri" w:hAnsi="Calibri" w:cs="Calibri"/>
        </w:rPr>
        <w:t>e</w:t>
      </w:r>
      <w:r w:rsidR="006D4992" w:rsidRPr="006D4992">
        <w:rPr>
          <w:rFonts w:ascii="Calibri" w:hAnsi="Calibri" w:cs="Calibri"/>
        </w:rPr>
        <w:t>conomy</w:t>
      </w:r>
      <w:r w:rsidR="006D4992">
        <w:rPr>
          <w:rFonts w:ascii="Calibri" w:hAnsi="Calibri" w:cs="Calibri"/>
        </w:rPr>
        <w:t xml:space="preserve"> (o</w:t>
      </w:r>
      <w:r w:rsidR="006D4992" w:rsidRPr="006D4992">
        <w:rPr>
          <w:rFonts w:ascii="Calibri" w:hAnsi="Calibri" w:cs="Calibri"/>
        </w:rPr>
        <w:t>ffering guests the option to opt-out of daily room cleaning to reduce waste and energy consumption</w:t>
      </w:r>
      <w:r w:rsidR="006D4992">
        <w:rPr>
          <w:rFonts w:ascii="Calibri" w:hAnsi="Calibri" w:cs="Calibri"/>
        </w:rPr>
        <w:t>, s</w:t>
      </w:r>
      <w:r w:rsidR="006D4992" w:rsidRPr="006D4992">
        <w:rPr>
          <w:rFonts w:ascii="Calibri" w:hAnsi="Calibri" w:cs="Calibri"/>
        </w:rPr>
        <w:t>ourcing food from local suppliers to minimize transportation emissions and support the local economy</w:t>
      </w:r>
      <w:r w:rsidR="006D4992">
        <w:rPr>
          <w:rFonts w:ascii="Calibri" w:hAnsi="Calibri" w:cs="Calibri"/>
        </w:rPr>
        <w:t>)</w:t>
      </w:r>
      <w:r w:rsidR="001546A8">
        <w:rPr>
          <w:rFonts w:ascii="Calibri" w:hAnsi="Calibri" w:cs="Calibri"/>
        </w:rPr>
        <w:t xml:space="preserve"> </w:t>
      </w:r>
      <w:r w:rsidR="001546A8" w:rsidRPr="001546A8">
        <w:rPr>
          <w:rFonts w:ascii="Calibri" w:hAnsi="Calibri" w:cs="Calibri"/>
        </w:rPr>
        <w:t>(Bittner, Bakker and Long, 2024)</w:t>
      </w:r>
      <w:r w:rsidR="006D4992">
        <w:rPr>
          <w:rFonts w:ascii="Calibri" w:hAnsi="Calibri" w:cs="Calibri"/>
        </w:rPr>
        <w:t xml:space="preserve"> are just a few examples of how the adoption of sustainability in the hospitality industry can contribute to a more green and sustainable future.</w:t>
      </w:r>
      <w:r w:rsidR="001546A8">
        <w:rPr>
          <w:rFonts w:ascii="Calibri" w:hAnsi="Calibri" w:cs="Calibri"/>
        </w:rPr>
        <w:t xml:space="preserve"> </w:t>
      </w:r>
      <w:r w:rsidR="005D018C" w:rsidRPr="00CB712A">
        <w:rPr>
          <w:rFonts w:ascii="Calibri" w:hAnsi="Calibri" w:cs="Calibri"/>
        </w:rPr>
        <w:t>With increasing consumer awareness and demand for sustainable practices</w:t>
      </w:r>
      <w:r w:rsidR="009948AF">
        <w:rPr>
          <w:rFonts w:ascii="Calibri" w:hAnsi="Calibri" w:cs="Calibri"/>
        </w:rPr>
        <w:t xml:space="preserve"> </w:t>
      </w:r>
      <w:r w:rsidR="009948AF" w:rsidRPr="009948AF">
        <w:rPr>
          <w:rFonts w:ascii="Calibri" w:hAnsi="Calibri" w:cs="Calibri"/>
        </w:rPr>
        <w:t>(Miles, 2023)</w:t>
      </w:r>
      <w:r w:rsidR="005D018C" w:rsidRPr="00CB712A">
        <w:rPr>
          <w:rFonts w:ascii="Calibri" w:hAnsi="Calibri" w:cs="Calibri"/>
        </w:rPr>
        <w:t>, hotels must adapt or face the risk of losing market share.</w:t>
      </w:r>
    </w:p>
    <w:p w14:paraId="3C37B7FA" w14:textId="60D959F7" w:rsidR="005D018C" w:rsidRPr="00CB712A" w:rsidRDefault="00987DAD" w:rsidP="00CB712A">
      <w:pPr>
        <w:spacing w:line="360" w:lineRule="auto"/>
        <w:rPr>
          <w:rFonts w:ascii="Times New Roman" w:eastAsia="Times New Roman" w:hAnsi="Times New Roman" w:cs="Times New Roman"/>
          <w:kern w:val="0"/>
          <w:sz w:val="24"/>
          <w:szCs w:val="24"/>
          <w:lang w:eastAsia="en-GB"/>
          <w14:ligatures w14:val="none"/>
        </w:rPr>
      </w:pPr>
      <w:r w:rsidRPr="00CB712A">
        <w:rPr>
          <w:rFonts w:ascii="Calibri" w:hAnsi="Calibri" w:cs="Calibri"/>
          <w:sz w:val="24"/>
          <w:szCs w:val="24"/>
        </w:rPr>
        <w:tab/>
      </w:r>
      <w:r w:rsidR="005D018C" w:rsidRPr="00CB712A">
        <w:rPr>
          <w:rFonts w:ascii="Calibri" w:hAnsi="Calibri" w:cs="Calibri"/>
          <w:sz w:val="24"/>
          <w:szCs w:val="24"/>
        </w:rPr>
        <w:t>Firstly, sustainability has become a selling point for hotels</w:t>
      </w:r>
      <w:r w:rsidR="00663AE3" w:rsidRPr="00CB712A">
        <w:rPr>
          <w:rFonts w:ascii="Calibri" w:hAnsi="Calibri" w:cs="Calibri"/>
          <w:sz w:val="24"/>
          <w:szCs w:val="24"/>
        </w:rPr>
        <w:t xml:space="preserve"> </w:t>
      </w:r>
      <w:r w:rsidR="00663AE3" w:rsidRPr="00CB712A">
        <w:rPr>
          <w:rFonts w:ascii="Calibri" w:eastAsia="Times New Roman" w:hAnsi="Calibri" w:cs="Calibri"/>
          <w:kern w:val="0"/>
          <w:sz w:val="24"/>
          <w:szCs w:val="24"/>
          <w:lang w:eastAsia="en-GB"/>
          <w14:ligatures w14:val="none"/>
        </w:rPr>
        <w:t>(BEON, 2023)</w:t>
      </w:r>
      <w:r w:rsidR="005D018C" w:rsidRPr="00CB712A">
        <w:rPr>
          <w:rFonts w:ascii="Calibri" w:hAnsi="Calibri" w:cs="Calibri"/>
          <w:sz w:val="24"/>
          <w:szCs w:val="24"/>
        </w:rPr>
        <w:t xml:space="preserve">. Guests are increasingly seeking hotels that demonstrate a commitment to eco-friendly practices. By adopting sustainable practices, hotels can attract environmentally conscious </w:t>
      </w:r>
      <w:r w:rsidR="00F13AFB" w:rsidRPr="00CB712A">
        <w:rPr>
          <w:rFonts w:ascii="Calibri" w:hAnsi="Calibri" w:cs="Calibri"/>
          <w:sz w:val="24"/>
          <w:szCs w:val="24"/>
        </w:rPr>
        <w:t>travellers</w:t>
      </w:r>
      <w:r w:rsidR="005D018C" w:rsidRPr="00CB712A">
        <w:rPr>
          <w:rFonts w:ascii="Calibri" w:hAnsi="Calibri" w:cs="Calibri"/>
          <w:sz w:val="24"/>
          <w:szCs w:val="24"/>
        </w:rPr>
        <w:t xml:space="preserve"> and differentiate themselves from competitors.</w:t>
      </w:r>
    </w:p>
    <w:p w14:paraId="1BE21ECA" w14:textId="186B1ACE" w:rsidR="00663AE3" w:rsidRPr="001546A8" w:rsidRDefault="00987DAD" w:rsidP="001546A8">
      <w:pPr>
        <w:spacing w:line="360" w:lineRule="auto"/>
        <w:rPr>
          <w:rFonts w:ascii="Times New Roman" w:eastAsia="Times New Roman" w:hAnsi="Times New Roman" w:cs="Times New Roman"/>
          <w:kern w:val="0"/>
          <w:sz w:val="24"/>
          <w:szCs w:val="24"/>
          <w:lang w:eastAsia="en-GB"/>
          <w14:ligatures w14:val="none"/>
        </w:rPr>
      </w:pPr>
      <w:r w:rsidRPr="00CB712A">
        <w:rPr>
          <w:rFonts w:ascii="Calibri" w:hAnsi="Calibri" w:cs="Calibri"/>
          <w:sz w:val="24"/>
          <w:szCs w:val="24"/>
        </w:rPr>
        <w:tab/>
      </w:r>
      <w:r w:rsidR="005D018C" w:rsidRPr="00CB712A">
        <w:rPr>
          <w:rFonts w:ascii="Calibri" w:hAnsi="Calibri" w:cs="Calibri"/>
          <w:sz w:val="24"/>
          <w:szCs w:val="24"/>
        </w:rPr>
        <w:t>Secondly, the circular economy offers a framework within which hotels can reduce their environmental impact and save money. By implementing resource-efficient practices, hotels can reduce costs associated with waste generation and increase operational efficiency</w:t>
      </w:r>
      <w:r w:rsidR="00C34D44" w:rsidRPr="00CB712A">
        <w:rPr>
          <w:rFonts w:ascii="Calibri" w:hAnsi="Calibri" w:cs="Calibri"/>
          <w:sz w:val="24"/>
          <w:szCs w:val="24"/>
        </w:rPr>
        <w:t xml:space="preserve"> according to (</w:t>
      </w:r>
      <w:r w:rsidR="00C34D44" w:rsidRPr="00CB712A">
        <w:rPr>
          <w:rFonts w:ascii="Calibri" w:eastAsia="Times New Roman" w:hAnsi="Calibri" w:cs="Calibri"/>
          <w:kern w:val="0"/>
          <w:sz w:val="24"/>
          <w:szCs w:val="24"/>
          <w:lang w:eastAsia="en-GB"/>
          <w14:ligatures w14:val="none"/>
        </w:rPr>
        <w:t>IGI Global, 2022, pp. 220)</w:t>
      </w:r>
    </w:p>
    <w:p w14:paraId="3C164C1B" w14:textId="0D1E58D4" w:rsidR="00987DAD" w:rsidRPr="00CB712A" w:rsidRDefault="00663AE3" w:rsidP="00CB712A">
      <w:pPr>
        <w:pStyle w:val="pb-2"/>
        <w:spacing w:line="360" w:lineRule="auto"/>
        <w:rPr>
          <w:rFonts w:ascii="Calibri" w:hAnsi="Calibri" w:cs="Calibri"/>
        </w:rPr>
      </w:pPr>
      <w:r w:rsidRPr="00CB712A">
        <w:rPr>
          <w:rFonts w:ascii="Calibri" w:hAnsi="Calibri" w:cs="Calibri"/>
        </w:rPr>
        <w:tab/>
      </w:r>
      <w:r w:rsidR="00463111" w:rsidRPr="00CB712A">
        <w:rPr>
          <w:rFonts w:ascii="Calibri" w:hAnsi="Calibri" w:cs="Calibri"/>
        </w:rPr>
        <w:t>In the analysis, Costa and Costa (2022, pp. 2) stated that t</w:t>
      </w:r>
      <w:r w:rsidR="003F73DA" w:rsidRPr="00CB712A">
        <w:rPr>
          <w:rFonts w:ascii="Calibri" w:hAnsi="Calibri" w:cs="Calibri"/>
        </w:rPr>
        <w:t xml:space="preserve">he 21st century has witnessed numerous crises that have significantly impacted world tourism. These crises have ranged from terrorist attacks to pandemics, causing disruptions to travel patterns and impacting both tourists and the local populations in visited destinations. Among the most notable examples over the past 2 decades (2000-2020) are the terrorist attacks of September 11, 2001, the severe acute respiratory syndrome (SARS) outbreak in 2003, the </w:t>
      </w:r>
      <w:r w:rsidR="003F73DA" w:rsidRPr="00CB712A">
        <w:rPr>
          <w:rFonts w:ascii="Calibri" w:hAnsi="Calibri" w:cs="Calibri"/>
        </w:rPr>
        <w:lastRenderedPageBreak/>
        <w:t>economic crisis in 2008 and 2009, and the Middle East respiratory syndrome (MERS) outbreak in 2015.</w:t>
      </w:r>
      <w:r w:rsidR="001546A8">
        <w:rPr>
          <w:rFonts w:ascii="Calibri" w:hAnsi="Calibri" w:cs="Calibri"/>
        </w:rPr>
        <w:t xml:space="preserve"> </w:t>
      </w:r>
      <w:r w:rsidR="001546A8" w:rsidRPr="001546A8">
        <w:rPr>
          <w:rFonts w:ascii="Calibri" w:hAnsi="Calibri" w:cs="Calibri"/>
        </w:rPr>
        <w:t>The relevance of the above statement to the hospitality industry is due to its emphasis on the significant impact of crises on world tourism.</w:t>
      </w:r>
      <w:r w:rsidR="001546A8">
        <w:rPr>
          <w:rFonts w:ascii="Calibri" w:hAnsi="Calibri" w:cs="Calibri"/>
        </w:rPr>
        <w:t xml:space="preserve"> </w:t>
      </w:r>
      <w:r w:rsidR="001546A8" w:rsidRPr="001546A8">
        <w:rPr>
          <w:rFonts w:ascii="Calibri" w:hAnsi="Calibri" w:cs="Calibri"/>
        </w:rPr>
        <w:t>These crises have ranged from terrorist attacks to pandemics, causing significant disruptions to tourism activities</w:t>
      </w:r>
      <w:r w:rsidR="001546A8">
        <w:rPr>
          <w:rFonts w:ascii="Calibri" w:hAnsi="Calibri" w:cs="Calibri"/>
        </w:rPr>
        <w:t xml:space="preserve"> and it </w:t>
      </w:r>
      <w:r w:rsidR="001546A8" w:rsidRPr="001546A8">
        <w:rPr>
          <w:rFonts w:ascii="Calibri" w:hAnsi="Calibri" w:cs="Calibri"/>
        </w:rPr>
        <w:t>highlight how crises can have far-reaching consequences on the hospitality industry. These events not only affected visitor arrivals but also had economic implications for hotels, resorts, and other tourism-related businesses. The tourism industry's ability to adapt and recover from such crises is crucial for its resilience and long-term sustainability.</w:t>
      </w:r>
    </w:p>
    <w:p w14:paraId="43DD7B3A" w14:textId="06326F10" w:rsidR="00CB712A" w:rsidRDefault="00987DAD" w:rsidP="00CB712A">
      <w:pPr>
        <w:spacing w:line="360" w:lineRule="auto"/>
        <w:rPr>
          <w:rFonts w:ascii="Calibri" w:hAnsi="Calibri" w:cs="Calibri"/>
          <w:sz w:val="24"/>
          <w:szCs w:val="24"/>
        </w:rPr>
      </w:pPr>
      <w:r w:rsidRPr="00CB712A">
        <w:rPr>
          <w:rFonts w:ascii="Calibri" w:hAnsi="Calibri" w:cs="Calibri"/>
          <w:sz w:val="24"/>
          <w:szCs w:val="24"/>
        </w:rPr>
        <w:tab/>
      </w:r>
      <w:r w:rsidR="003F73DA" w:rsidRPr="00CB712A">
        <w:rPr>
          <w:rFonts w:ascii="Calibri" w:hAnsi="Calibri" w:cs="Calibri"/>
          <w:sz w:val="24"/>
          <w:szCs w:val="24"/>
        </w:rPr>
        <w:t>The terrorist attacks of September 11, 2001,</w:t>
      </w:r>
      <w:r w:rsidR="00B45F79" w:rsidRPr="00CB712A">
        <w:rPr>
          <w:rFonts w:ascii="Calibri" w:hAnsi="Calibri" w:cs="Calibri"/>
          <w:sz w:val="24"/>
          <w:szCs w:val="24"/>
        </w:rPr>
        <w:t xml:space="preserve"> </w:t>
      </w:r>
      <w:r w:rsidR="00B45F79" w:rsidRPr="00CB712A">
        <w:rPr>
          <w:rFonts w:ascii="Calibri" w:eastAsia="Times New Roman" w:hAnsi="Calibri" w:cs="Calibri"/>
          <w:kern w:val="0"/>
          <w:sz w:val="24"/>
          <w:szCs w:val="24"/>
          <w:lang w:eastAsia="en-GB"/>
          <w14:ligatures w14:val="none"/>
        </w:rPr>
        <w:t>(</w:t>
      </w:r>
      <w:proofErr w:type="spellStart"/>
      <w:r w:rsidR="00B45F79" w:rsidRPr="00CB712A">
        <w:rPr>
          <w:rFonts w:ascii="Calibri" w:eastAsia="Times New Roman" w:hAnsi="Calibri" w:cs="Calibri"/>
          <w:kern w:val="0"/>
          <w:sz w:val="24"/>
          <w:szCs w:val="24"/>
          <w:lang w:eastAsia="en-GB"/>
          <w14:ligatures w14:val="none"/>
        </w:rPr>
        <w:t>Kostanje</w:t>
      </w:r>
      <w:proofErr w:type="spellEnd"/>
      <w:r w:rsidR="00B45F79" w:rsidRPr="00CB712A">
        <w:rPr>
          <w:rFonts w:ascii="Calibri" w:eastAsia="Times New Roman" w:hAnsi="Calibri" w:cs="Calibri"/>
          <w:kern w:val="0"/>
          <w:sz w:val="24"/>
          <w:szCs w:val="24"/>
          <w:lang w:eastAsia="en-GB"/>
          <w14:ligatures w14:val="none"/>
        </w:rPr>
        <w:t xml:space="preserve">, Babu and Nedelea, 2020, pp.9) </w:t>
      </w:r>
      <w:r w:rsidR="003F73DA" w:rsidRPr="00CB712A">
        <w:rPr>
          <w:rFonts w:ascii="Calibri" w:hAnsi="Calibri" w:cs="Calibri"/>
          <w:sz w:val="24"/>
          <w:szCs w:val="24"/>
        </w:rPr>
        <w:t xml:space="preserve">had a profound impact on world tourism. The events in New York City, Washington D.C., and Pennsylvania caused widespread fear and concern among </w:t>
      </w:r>
      <w:r w:rsidR="00323E52" w:rsidRPr="00CB712A">
        <w:rPr>
          <w:rFonts w:ascii="Calibri" w:hAnsi="Calibri" w:cs="Calibri"/>
          <w:sz w:val="24"/>
          <w:szCs w:val="24"/>
        </w:rPr>
        <w:t>travellers</w:t>
      </w:r>
      <w:r w:rsidR="003F73DA" w:rsidRPr="00CB712A">
        <w:rPr>
          <w:rFonts w:ascii="Calibri" w:hAnsi="Calibri" w:cs="Calibri"/>
          <w:sz w:val="24"/>
          <w:szCs w:val="24"/>
        </w:rPr>
        <w:t xml:space="preserve">, leading to a severe decline in tourism for months after the attacks. The tourism industry struggled to recover as </w:t>
      </w:r>
      <w:r w:rsidR="00323E52" w:rsidRPr="00CB712A">
        <w:rPr>
          <w:rFonts w:ascii="Calibri" w:hAnsi="Calibri" w:cs="Calibri"/>
          <w:sz w:val="24"/>
          <w:szCs w:val="24"/>
        </w:rPr>
        <w:t>travellers</w:t>
      </w:r>
      <w:r w:rsidR="003F73DA" w:rsidRPr="00CB712A">
        <w:rPr>
          <w:rFonts w:ascii="Calibri" w:hAnsi="Calibri" w:cs="Calibri"/>
          <w:sz w:val="24"/>
          <w:szCs w:val="24"/>
        </w:rPr>
        <w:t xml:space="preserve"> preferred to stay closer to home and avoid potential security risks.</w:t>
      </w:r>
      <w:r w:rsidR="00D2643E">
        <w:rPr>
          <w:rFonts w:ascii="Calibri" w:hAnsi="Calibri" w:cs="Calibri"/>
          <w:sz w:val="24"/>
          <w:szCs w:val="24"/>
        </w:rPr>
        <w:t xml:space="preserve"> </w:t>
      </w:r>
      <w:r w:rsidR="00D026FE" w:rsidRPr="00D026FE">
        <w:rPr>
          <w:rFonts w:ascii="Calibri" w:hAnsi="Calibri" w:cs="Calibri"/>
          <w:sz w:val="24"/>
          <w:szCs w:val="24"/>
        </w:rPr>
        <w:t>The decline in tourism after the attacks had a significant impact on the sustainability of tourist destinations. Many tourism-related businesses, such as hotels, restaurants, and tour operators, suffered significant financial losses due to reduced demand. This decrease in revenue made it difficult for these businesses to invest in sustainable practices, such as renewable energy sources and waste management systems. As a result, the overall sustainability of tourism destinations was compromised</w:t>
      </w:r>
      <w:r w:rsidR="008E19AC">
        <w:rPr>
          <w:rFonts w:ascii="Calibri" w:hAnsi="Calibri" w:cs="Calibri"/>
          <w:sz w:val="24"/>
          <w:szCs w:val="24"/>
        </w:rPr>
        <w:t xml:space="preserve">. </w:t>
      </w:r>
      <w:r w:rsidR="008E19AC" w:rsidRPr="008E19AC">
        <w:rPr>
          <w:rFonts w:ascii="Calibri" w:hAnsi="Calibri" w:cs="Calibri"/>
          <w:sz w:val="24"/>
          <w:szCs w:val="24"/>
        </w:rPr>
        <w:t>Furthermore, the terrorist attacks had a detrimental impact on the circular economy</w:t>
      </w:r>
      <w:r w:rsidR="00437638">
        <w:rPr>
          <w:rFonts w:ascii="Calibri" w:hAnsi="Calibri" w:cs="Calibri"/>
          <w:sz w:val="24"/>
          <w:szCs w:val="24"/>
        </w:rPr>
        <w:t xml:space="preserve"> </w:t>
      </w:r>
      <w:r w:rsidR="00437638" w:rsidRPr="00437638">
        <w:rPr>
          <w:rFonts w:ascii="Calibri" w:hAnsi="Calibri" w:cs="Calibri"/>
          <w:sz w:val="24"/>
          <w:szCs w:val="24"/>
        </w:rPr>
        <w:t>(Ross, 2022)</w:t>
      </w:r>
      <w:r w:rsidR="008E19AC" w:rsidRPr="008E19AC">
        <w:rPr>
          <w:rFonts w:ascii="Calibri" w:hAnsi="Calibri" w:cs="Calibri"/>
          <w:sz w:val="24"/>
          <w:szCs w:val="24"/>
        </w:rPr>
        <w:t xml:space="preserve"> within the tourism industry. The decline in tourism led to a decrease in consumption, leading to reduced demand for goods and services. This idle capacity in the tourism industry hindered the ability to generate waste and generate opportunities for recycling and upcycling. Additionally, the decrease in tourism revenue made it difficult for businesses to invest in sustainable waste management systems, resulting in increased waste generation and pollution</w:t>
      </w:r>
      <w:r w:rsidR="008E19AC" w:rsidRPr="008E19AC">
        <w:rPr>
          <w:rFonts w:ascii="Times New Roman" w:eastAsia="Times New Roman" w:hAnsi="Times New Roman" w:cs="Times New Roman"/>
          <w:kern w:val="0"/>
          <w:sz w:val="24"/>
          <w:szCs w:val="24"/>
          <w:lang w:eastAsia="en-GB"/>
          <w14:ligatures w14:val="none"/>
        </w:rPr>
        <w:t xml:space="preserve"> </w:t>
      </w:r>
      <w:r w:rsidR="008E19AC" w:rsidRPr="008E19AC">
        <w:rPr>
          <w:rFonts w:ascii="Calibri" w:hAnsi="Calibri" w:cs="Calibri"/>
          <w:sz w:val="24"/>
          <w:szCs w:val="24"/>
        </w:rPr>
        <w:t>(</w:t>
      </w:r>
      <w:proofErr w:type="spellStart"/>
      <w:r w:rsidR="008E19AC" w:rsidRPr="008E19AC">
        <w:rPr>
          <w:rFonts w:ascii="Calibri" w:hAnsi="Calibri" w:cs="Calibri"/>
          <w:sz w:val="24"/>
          <w:szCs w:val="24"/>
        </w:rPr>
        <w:t>Tamanine</w:t>
      </w:r>
      <w:proofErr w:type="spellEnd"/>
      <w:r w:rsidR="008E19AC" w:rsidRPr="008E19AC">
        <w:rPr>
          <w:rFonts w:ascii="Calibri" w:hAnsi="Calibri" w:cs="Calibri"/>
          <w:sz w:val="24"/>
          <w:szCs w:val="24"/>
        </w:rPr>
        <w:t xml:space="preserve"> and </w:t>
      </w:r>
      <w:proofErr w:type="spellStart"/>
      <w:r w:rsidR="008E19AC" w:rsidRPr="008E19AC">
        <w:rPr>
          <w:rFonts w:ascii="Calibri" w:hAnsi="Calibri" w:cs="Calibri"/>
          <w:sz w:val="24"/>
          <w:szCs w:val="24"/>
        </w:rPr>
        <w:t>Houssas</w:t>
      </w:r>
      <w:proofErr w:type="spellEnd"/>
      <w:r w:rsidR="008E19AC" w:rsidRPr="008E19AC">
        <w:rPr>
          <w:rFonts w:ascii="Calibri" w:hAnsi="Calibri" w:cs="Calibri"/>
          <w:sz w:val="24"/>
          <w:szCs w:val="24"/>
        </w:rPr>
        <w:t>, 2023).</w:t>
      </w:r>
    </w:p>
    <w:p w14:paraId="3FDAE849" w14:textId="24F08173" w:rsidR="00CB712A" w:rsidRDefault="00987DAD" w:rsidP="00437638">
      <w:pPr>
        <w:pStyle w:val="pb-2"/>
        <w:spacing w:line="360" w:lineRule="auto"/>
        <w:rPr>
          <w:rFonts w:ascii="Calibri" w:hAnsi="Calibri" w:cs="Calibri"/>
        </w:rPr>
      </w:pPr>
      <w:r w:rsidRPr="00CB712A">
        <w:rPr>
          <w:rFonts w:ascii="Calibri" w:hAnsi="Calibri" w:cs="Calibri"/>
        </w:rPr>
        <w:tab/>
      </w:r>
      <w:r w:rsidR="003F73DA" w:rsidRPr="00CB712A">
        <w:rPr>
          <w:rFonts w:ascii="Calibri" w:hAnsi="Calibri" w:cs="Calibri"/>
        </w:rPr>
        <w:t>The economic crisis in 2008 and 2009 was another significant crisis that affected world tourism</w:t>
      </w:r>
      <w:r w:rsidR="00D2643E">
        <w:rPr>
          <w:rFonts w:ascii="Calibri" w:hAnsi="Calibri" w:cs="Calibri"/>
        </w:rPr>
        <w:t xml:space="preserve"> </w:t>
      </w:r>
      <w:r w:rsidR="00D2643E" w:rsidRPr="00D2643E">
        <w:rPr>
          <w:rFonts w:ascii="Calibri" w:hAnsi="Calibri" w:cs="Calibri"/>
        </w:rPr>
        <w:t>(Reserve Bank of Australia, 2024)</w:t>
      </w:r>
      <w:r w:rsidR="003F73DA" w:rsidRPr="00CB712A">
        <w:rPr>
          <w:rFonts w:ascii="Calibri" w:hAnsi="Calibri" w:cs="Calibri"/>
        </w:rPr>
        <w:t xml:space="preserve">. The financial downturn and subsequent recession led to reduced consumer spending and a decline in travel demand. Many </w:t>
      </w:r>
      <w:r w:rsidR="007622FC" w:rsidRPr="00CB712A">
        <w:rPr>
          <w:rFonts w:ascii="Calibri" w:hAnsi="Calibri" w:cs="Calibri"/>
        </w:rPr>
        <w:t>travellers</w:t>
      </w:r>
      <w:r w:rsidR="003F73DA" w:rsidRPr="00CB712A">
        <w:rPr>
          <w:rFonts w:ascii="Calibri" w:hAnsi="Calibri" w:cs="Calibri"/>
        </w:rPr>
        <w:t xml:space="preserve"> cut back on discretionary expenses, including vacations, resulting in a decline in </w:t>
      </w:r>
      <w:r w:rsidR="003F73DA" w:rsidRPr="00CB712A">
        <w:rPr>
          <w:rFonts w:ascii="Calibri" w:hAnsi="Calibri" w:cs="Calibri"/>
        </w:rPr>
        <w:lastRenderedPageBreak/>
        <w:t>tourism revenue</w:t>
      </w:r>
      <w:r w:rsidR="000A6A72">
        <w:rPr>
          <w:rFonts w:ascii="Calibri" w:hAnsi="Calibri" w:cs="Calibri"/>
        </w:rPr>
        <w:t xml:space="preserve"> thus impacting the mitigation towards sustainability practices such as investments</w:t>
      </w:r>
      <w:r w:rsidR="003F73DA" w:rsidRPr="00CB712A">
        <w:rPr>
          <w:rFonts w:ascii="Calibri" w:hAnsi="Calibri" w:cs="Calibri"/>
        </w:rPr>
        <w:t>. The crisis also affected the tourism sector's ability to bounce back, as it took several years for the global economy to recover fully.</w:t>
      </w:r>
    </w:p>
    <w:p w14:paraId="00A976D4" w14:textId="375FD5D1" w:rsidR="00437638" w:rsidRDefault="00CB712A" w:rsidP="00717CB2">
      <w:pPr>
        <w:spacing w:line="360" w:lineRule="auto"/>
        <w:rPr>
          <w:rFonts w:ascii="Calibri" w:hAnsi="Calibri" w:cs="Calibri"/>
          <w:sz w:val="24"/>
          <w:szCs w:val="24"/>
        </w:rPr>
      </w:pPr>
      <w:r>
        <w:rPr>
          <w:rFonts w:ascii="Calibri" w:hAnsi="Calibri" w:cs="Calibri"/>
          <w:sz w:val="24"/>
          <w:szCs w:val="24"/>
        </w:rPr>
        <w:tab/>
      </w:r>
      <w:r w:rsidR="000A6A72">
        <w:rPr>
          <w:rFonts w:ascii="Calibri" w:hAnsi="Calibri" w:cs="Calibri"/>
          <w:sz w:val="24"/>
          <w:szCs w:val="24"/>
        </w:rPr>
        <w:t>T</w:t>
      </w:r>
      <w:r w:rsidR="00463111" w:rsidRPr="00CB712A">
        <w:rPr>
          <w:rFonts w:ascii="Calibri" w:hAnsi="Calibri" w:cs="Calibri"/>
          <w:sz w:val="24"/>
          <w:szCs w:val="24"/>
        </w:rPr>
        <w:t>ravellers</w:t>
      </w:r>
      <w:r w:rsidR="003F73DA" w:rsidRPr="00CB712A">
        <w:rPr>
          <w:rFonts w:ascii="Calibri" w:hAnsi="Calibri" w:cs="Calibri"/>
          <w:sz w:val="24"/>
          <w:szCs w:val="24"/>
        </w:rPr>
        <w:t xml:space="preserve"> play a vital role in the transmission of pandemics and</w:t>
      </w:r>
      <w:r w:rsidR="0084507B" w:rsidRPr="00CB712A">
        <w:rPr>
          <w:rFonts w:ascii="Calibri" w:hAnsi="Calibri" w:cs="Calibri"/>
          <w:sz w:val="24"/>
          <w:szCs w:val="24"/>
        </w:rPr>
        <w:t xml:space="preserve"> </w:t>
      </w:r>
      <w:r w:rsidR="003F73DA" w:rsidRPr="00CB712A">
        <w:rPr>
          <w:rFonts w:ascii="Calibri" w:hAnsi="Calibri" w:cs="Calibri"/>
          <w:sz w:val="24"/>
          <w:szCs w:val="24"/>
        </w:rPr>
        <w:t xml:space="preserve">or epidemics between destinations. The globalization of travel allows individuals to easily travel long distances and </w:t>
      </w:r>
      <w:r w:rsidR="00323E52" w:rsidRPr="00CB712A">
        <w:rPr>
          <w:rFonts w:ascii="Calibri" w:hAnsi="Calibri" w:cs="Calibri"/>
          <w:sz w:val="24"/>
          <w:szCs w:val="24"/>
        </w:rPr>
        <w:t>encounter</w:t>
      </w:r>
      <w:r w:rsidR="003F73DA" w:rsidRPr="00CB712A">
        <w:rPr>
          <w:rFonts w:ascii="Calibri" w:hAnsi="Calibri" w:cs="Calibri"/>
          <w:sz w:val="24"/>
          <w:szCs w:val="24"/>
        </w:rPr>
        <w:t xml:space="preserve"> diverse populations</w:t>
      </w:r>
      <w:r w:rsidR="0084507B" w:rsidRPr="00CB712A">
        <w:rPr>
          <w:rFonts w:ascii="Calibri" w:hAnsi="Calibri" w:cs="Calibri"/>
          <w:sz w:val="24"/>
          <w:szCs w:val="24"/>
        </w:rPr>
        <w:t xml:space="preserve"> according to </w:t>
      </w:r>
      <w:r w:rsidR="0084507B" w:rsidRPr="00CB712A">
        <w:rPr>
          <w:rFonts w:ascii="Calibri" w:eastAsia="Times New Roman" w:hAnsi="Calibri" w:cs="Calibri"/>
          <w:kern w:val="0"/>
          <w:sz w:val="24"/>
          <w:szCs w:val="24"/>
          <w:lang w:eastAsia="en-GB"/>
          <w14:ligatures w14:val="none"/>
        </w:rPr>
        <w:t>(</w:t>
      </w:r>
      <w:proofErr w:type="spellStart"/>
      <w:r w:rsidR="0084507B" w:rsidRPr="00CB712A">
        <w:rPr>
          <w:rFonts w:ascii="Calibri" w:eastAsia="Times New Roman" w:hAnsi="Calibri" w:cs="Calibri"/>
          <w:kern w:val="0"/>
          <w:sz w:val="24"/>
          <w:szCs w:val="24"/>
          <w:lang w:eastAsia="en-GB"/>
          <w14:ligatures w14:val="none"/>
        </w:rPr>
        <w:t>Batabyal</w:t>
      </w:r>
      <w:proofErr w:type="spellEnd"/>
      <w:r w:rsidR="0084507B" w:rsidRPr="00CB712A">
        <w:rPr>
          <w:rFonts w:ascii="Calibri" w:eastAsia="Times New Roman" w:hAnsi="Calibri" w:cs="Calibri"/>
          <w:kern w:val="0"/>
          <w:sz w:val="24"/>
          <w:szCs w:val="24"/>
          <w:lang w:eastAsia="en-GB"/>
          <w14:ligatures w14:val="none"/>
        </w:rPr>
        <w:t>, 2018).</w:t>
      </w:r>
      <w:r w:rsidR="003F73DA" w:rsidRPr="00CB712A">
        <w:rPr>
          <w:rFonts w:ascii="Calibri" w:hAnsi="Calibri" w:cs="Calibri"/>
          <w:sz w:val="24"/>
          <w:szCs w:val="24"/>
        </w:rPr>
        <w:t xml:space="preserve"> </w:t>
      </w:r>
      <w:r w:rsidR="00437638" w:rsidRPr="00437638">
        <w:rPr>
          <w:rFonts w:ascii="Calibri" w:hAnsi="Calibri" w:cs="Calibri"/>
          <w:sz w:val="24"/>
          <w:szCs w:val="24"/>
        </w:rPr>
        <w:t xml:space="preserve">In response to the evolving challenges posed by pandemics and epidemics, the tourism industry has undergone significant changes. These modifications aim to mitigate the risk of transmission and protect both guests and employees. </w:t>
      </w:r>
    </w:p>
    <w:p w14:paraId="3AC7E102" w14:textId="118A9849" w:rsidR="004E6D19" w:rsidRPr="004E6D19" w:rsidRDefault="004E6D19" w:rsidP="004E6D19">
      <w:pPr>
        <w:spacing w:line="36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ab/>
      </w:r>
      <w:r w:rsidRPr="004E6D19">
        <w:rPr>
          <w:rFonts w:ascii="Calibri" w:eastAsia="Times New Roman" w:hAnsi="Calibri" w:cs="Calibri"/>
          <w:kern w:val="0"/>
          <w:sz w:val="24"/>
          <w:szCs w:val="24"/>
          <w:lang w:eastAsia="en-GB"/>
          <w14:ligatures w14:val="none"/>
        </w:rPr>
        <w:t>While the initial impact of the</w:t>
      </w:r>
      <w:r>
        <w:rPr>
          <w:rFonts w:ascii="Calibri" w:eastAsia="Times New Roman" w:hAnsi="Calibri" w:cs="Calibri"/>
          <w:kern w:val="0"/>
          <w:sz w:val="24"/>
          <w:szCs w:val="24"/>
          <w:lang w:eastAsia="en-GB"/>
          <w14:ligatures w14:val="none"/>
        </w:rPr>
        <w:t xml:space="preserve"> Covid-19</w:t>
      </w:r>
      <w:r w:rsidRPr="004E6D19">
        <w:rPr>
          <w:rFonts w:ascii="Calibri" w:eastAsia="Times New Roman" w:hAnsi="Calibri" w:cs="Calibri"/>
          <w:kern w:val="0"/>
          <w:sz w:val="24"/>
          <w:szCs w:val="24"/>
          <w:lang w:eastAsia="en-GB"/>
          <w14:ligatures w14:val="none"/>
        </w:rPr>
        <w:t xml:space="preserve"> pandemic was negative, it also provided an opportunity for the hospitality industry to prioritize sustainability practices. With reduced operational capacity, businesses had to find innovative ways to reduce resource consumption. Some hotels implemented energy-saving measures, such as adjusting thermostats, turning off lights in unoccupied rooms, and utilizing energy-efficient appliances</w:t>
      </w:r>
      <w:r>
        <w:rPr>
          <w:rFonts w:ascii="Calibri" w:eastAsia="Times New Roman" w:hAnsi="Calibri" w:cs="Calibri"/>
          <w:kern w:val="0"/>
          <w:sz w:val="24"/>
          <w:szCs w:val="24"/>
          <w:lang w:eastAsia="en-GB"/>
          <w14:ligatures w14:val="none"/>
        </w:rPr>
        <w:t xml:space="preserve"> </w:t>
      </w:r>
      <w:r w:rsidRPr="004E6D19">
        <w:rPr>
          <w:rFonts w:ascii="Calibri" w:eastAsia="Times New Roman" w:hAnsi="Calibri" w:cs="Calibri"/>
          <w:kern w:val="0"/>
          <w:sz w:val="24"/>
          <w:szCs w:val="24"/>
          <w:lang w:eastAsia="en-GB"/>
          <w14:ligatures w14:val="none"/>
        </w:rPr>
        <w:t xml:space="preserve">Dibene-Arriola et al., </w:t>
      </w:r>
      <w:r w:rsidR="000A6A72">
        <w:rPr>
          <w:rFonts w:ascii="Calibri" w:eastAsia="Times New Roman" w:hAnsi="Calibri" w:cs="Calibri"/>
          <w:kern w:val="0"/>
          <w:sz w:val="24"/>
          <w:szCs w:val="24"/>
          <w:lang w:eastAsia="en-GB"/>
          <w14:ligatures w14:val="none"/>
        </w:rPr>
        <w:t>(</w:t>
      </w:r>
      <w:r w:rsidRPr="004E6D19">
        <w:rPr>
          <w:rFonts w:ascii="Calibri" w:eastAsia="Times New Roman" w:hAnsi="Calibri" w:cs="Calibri"/>
          <w:kern w:val="0"/>
          <w:sz w:val="24"/>
          <w:szCs w:val="24"/>
          <w:lang w:eastAsia="en-GB"/>
          <w14:ligatures w14:val="none"/>
        </w:rPr>
        <w:t>2021).</w:t>
      </w:r>
    </w:p>
    <w:p w14:paraId="210FD03C" w14:textId="77777777" w:rsidR="004E6D19" w:rsidRPr="004E6D19" w:rsidRDefault="004E6D19" w:rsidP="004E6D19">
      <w:pPr>
        <w:spacing w:line="360" w:lineRule="auto"/>
        <w:rPr>
          <w:rFonts w:ascii="Calibri" w:eastAsia="Times New Roman" w:hAnsi="Calibri" w:cs="Calibri"/>
          <w:kern w:val="0"/>
          <w:sz w:val="24"/>
          <w:szCs w:val="24"/>
          <w:lang w:eastAsia="en-GB"/>
          <w14:ligatures w14:val="none"/>
        </w:rPr>
      </w:pPr>
      <w:r w:rsidRPr="004E6D19">
        <w:rPr>
          <w:rFonts w:ascii="Calibri" w:eastAsia="Times New Roman" w:hAnsi="Calibri" w:cs="Calibri"/>
          <w:kern w:val="0"/>
          <w:sz w:val="24"/>
          <w:szCs w:val="24"/>
          <w:lang w:eastAsia="en-GB"/>
          <w14:ligatures w14:val="none"/>
        </w:rPr>
        <w:t>Increased Focus on Waste Reduction</w:t>
      </w:r>
    </w:p>
    <w:p w14:paraId="76B464B6" w14:textId="3908F5C2" w:rsidR="004E6D19" w:rsidRPr="004E6D19" w:rsidRDefault="004E6D19" w:rsidP="004E6D19">
      <w:pPr>
        <w:spacing w:line="36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ab/>
      </w:r>
      <w:r w:rsidRPr="004E6D19">
        <w:rPr>
          <w:rFonts w:ascii="Calibri" w:eastAsia="Times New Roman" w:hAnsi="Calibri" w:cs="Calibri"/>
          <w:kern w:val="0"/>
          <w:sz w:val="24"/>
          <w:szCs w:val="24"/>
          <w:lang w:eastAsia="en-GB"/>
          <w14:ligatures w14:val="none"/>
        </w:rPr>
        <w:t>The</w:t>
      </w:r>
      <w:r>
        <w:rPr>
          <w:rFonts w:ascii="Calibri" w:eastAsia="Times New Roman" w:hAnsi="Calibri" w:cs="Calibri"/>
          <w:kern w:val="0"/>
          <w:sz w:val="24"/>
          <w:szCs w:val="24"/>
          <w:lang w:eastAsia="en-GB"/>
          <w14:ligatures w14:val="none"/>
        </w:rPr>
        <w:t xml:space="preserve"> covid-19</w:t>
      </w:r>
      <w:r w:rsidRPr="004E6D19">
        <w:rPr>
          <w:rFonts w:ascii="Calibri" w:eastAsia="Times New Roman" w:hAnsi="Calibri" w:cs="Calibri"/>
          <w:kern w:val="0"/>
          <w:sz w:val="24"/>
          <w:szCs w:val="24"/>
          <w:lang w:eastAsia="en-GB"/>
          <w14:ligatures w14:val="none"/>
        </w:rPr>
        <w:t xml:space="preserve"> pandemic highlighted the importance of waste reduction in the hospitality industry. With reduced occupancy rates, hotels and restaurants had to manage excess inventory, perishable food items, and perishable packaging. This encouraged them to implement waste management strategies, such as reducing food waste through composting or donating excess food to local charities</w:t>
      </w:r>
      <w:r w:rsidR="000A6A72">
        <w:rPr>
          <w:rFonts w:ascii="Calibri" w:eastAsia="Times New Roman" w:hAnsi="Calibri" w:cs="Calibri"/>
          <w:kern w:val="0"/>
          <w:sz w:val="24"/>
          <w:szCs w:val="24"/>
          <w:lang w:eastAsia="en-GB"/>
          <w14:ligatures w14:val="none"/>
        </w:rPr>
        <w:t xml:space="preserve"> </w:t>
      </w:r>
      <w:r w:rsidR="000A6A72" w:rsidRPr="000A6A72">
        <w:rPr>
          <w:rFonts w:ascii="Calibri" w:eastAsia="Times New Roman" w:hAnsi="Calibri" w:cs="Calibri"/>
          <w:kern w:val="0"/>
          <w:sz w:val="24"/>
          <w:szCs w:val="24"/>
          <w:lang w:eastAsia="en-GB"/>
          <w14:ligatures w14:val="none"/>
        </w:rPr>
        <w:t>(Business Waste.co.uk, n.d.)</w:t>
      </w:r>
      <w:r w:rsidRPr="004E6D19">
        <w:rPr>
          <w:rFonts w:ascii="Calibri" w:eastAsia="Times New Roman" w:hAnsi="Calibri" w:cs="Calibri"/>
          <w:kern w:val="0"/>
          <w:sz w:val="24"/>
          <w:szCs w:val="24"/>
          <w:lang w:eastAsia="en-GB"/>
          <w14:ligatures w14:val="none"/>
        </w:rPr>
        <w:t>.</w:t>
      </w:r>
    </w:p>
    <w:p w14:paraId="01888EEF" w14:textId="77777777" w:rsidR="004E6D19" w:rsidRPr="004E6D19" w:rsidRDefault="004E6D19" w:rsidP="004E6D19">
      <w:pPr>
        <w:spacing w:line="360" w:lineRule="auto"/>
        <w:rPr>
          <w:rFonts w:ascii="Calibri" w:eastAsia="Times New Roman" w:hAnsi="Calibri" w:cs="Calibri"/>
          <w:kern w:val="0"/>
          <w:sz w:val="24"/>
          <w:szCs w:val="24"/>
          <w:lang w:eastAsia="en-GB"/>
          <w14:ligatures w14:val="none"/>
        </w:rPr>
      </w:pPr>
      <w:r w:rsidRPr="004E6D19">
        <w:rPr>
          <w:rFonts w:ascii="Calibri" w:eastAsia="Times New Roman" w:hAnsi="Calibri" w:cs="Calibri"/>
          <w:kern w:val="0"/>
          <w:sz w:val="24"/>
          <w:szCs w:val="24"/>
          <w:lang w:eastAsia="en-GB"/>
          <w14:ligatures w14:val="none"/>
        </w:rPr>
        <w:t>Increased Use of Digital Technologies</w:t>
      </w:r>
    </w:p>
    <w:p w14:paraId="6EE02131" w14:textId="1544D224" w:rsidR="004E6D19" w:rsidRPr="004E6D19" w:rsidRDefault="004E6D19" w:rsidP="004E6D19">
      <w:pPr>
        <w:spacing w:line="360" w:lineRule="auto"/>
        <w:rPr>
          <w:rFonts w:ascii="Calibri" w:eastAsia="Times New Roman" w:hAnsi="Calibri" w:cs="Calibri"/>
          <w:kern w:val="0"/>
          <w:sz w:val="24"/>
          <w:szCs w:val="24"/>
          <w:lang w:eastAsia="en-GB"/>
          <w14:ligatures w14:val="none"/>
        </w:rPr>
      </w:pPr>
      <w:r w:rsidRPr="004E6D19">
        <w:rPr>
          <w:rFonts w:ascii="Calibri" w:eastAsia="Times New Roman" w:hAnsi="Calibri" w:cs="Calibri"/>
          <w:kern w:val="0"/>
          <w:sz w:val="24"/>
          <w:szCs w:val="24"/>
          <w:lang w:eastAsia="en-GB"/>
          <w14:ligatures w14:val="none"/>
        </w:rPr>
        <w:t>The pandemic accelerated the adoption of digital technologies in the hospitality industry. To adapt to social distancing measures and contactless services, businesses adopted online platforms for booking, check-in, and food delivery. This transition towards digital solutions reduced the need for physical paperwork, reduced emissions associated with transportation, and increased operational efficiency</w:t>
      </w:r>
      <w:r w:rsidR="000A6A72">
        <w:rPr>
          <w:rFonts w:ascii="Calibri" w:eastAsia="Times New Roman" w:hAnsi="Calibri" w:cs="Calibri"/>
          <w:kern w:val="0"/>
          <w:sz w:val="24"/>
          <w:szCs w:val="24"/>
          <w:lang w:eastAsia="en-GB"/>
          <w14:ligatures w14:val="none"/>
        </w:rPr>
        <w:t xml:space="preserve"> </w:t>
      </w:r>
      <w:r w:rsidR="000A6A72" w:rsidRPr="000A6A72">
        <w:rPr>
          <w:rFonts w:ascii="Calibri" w:eastAsia="Times New Roman" w:hAnsi="Calibri" w:cs="Calibri"/>
          <w:kern w:val="0"/>
          <w:sz w:val="24"/>
          <w:szCs w:val="24"/>
          <w:lang w:eastAsia="en-GB"/>
          <w14:ligatures w14:val="none"/>
        </w:rPr>
        <w:t>(Revolution Ordering, 2024)</w:t>
      </w:r>
      <w:r w:rsidRPr="004E6D19">
        <w:rPr>
          <w:rFonts w:ascii="Calibri" w:eastAsia="Times New Roman" w:hAnsi="Calibri" w:cs="Calibri"/>
          <w:kern w:val="0"/>
          <w:sz w:val="24"/>
          <w:szCs w:val="24"/>
          <w:lang w:eastAsia="en-GB"/>
          <w14:ligatures w14:val="none"/>
        </w:rPr>
        <w:t>.</w:t>
      </w:r>
    </w:p>
    <w:p w14:paraId="56931C5B" w14:textId="77777777" w:rsidR="00B57B1B" w:rsidRDefault="00B57B1B" w:rsidP="004E6D19">
      <w:pPr>
        <w:spacing w:line="360" w:lineRule="auto"/>
        <w:rPr>
          <w:rFonts w:ascii="Calibri" w:eastAsia="Times New Roman" w:hAnsi="Calibri" w:cs="Calibri"/>
          <w:kern w:val="0"/>
          <w:sz w:val="24"/>
          <w:szCs w:val="24"/>
          <w:lang w:eastAsia="en-GB"/>
          <w14:ligatures w14:val="none"/>
        </w:rPr>
      </w:pPr>
    </w:p>
    <w:p w14:paraId="276641C0" w14:textId="186E3279" w:rsidR="004E6D19" w:rsidRPr="004E6D19" w:rsidRDefault="004E6D19" w:rsidP="004E6D19">
      <w:pPr>
        <w:spacing w:line="360" w:lineRule="auto"/>
        <w:rPr>
          <w:rFonts w:ascii="Calibri" w:eastAsia="Times New Roman" w:hAnsi="Calibri" w:cs="Calibri"/>
          <w:kern w:val="0"/>
          <w:sz w:val="24"/>
          <w:szCs w:val="24"/>
          <w:lang w:eastAsia="en-GB"/>
          <w14:ligatures w14:val="none"/>
        </w:rPr>
      </w:pPr>
      <w:r w:rsidRPr="004E6D19">
        <w:rPr>
          <w:rFonts w:ascii="Calibri" w:eastAsia="Times New Roman" w:hAnsi="Calibri" w:cs="Calibri"/>
          <w:kern w:val="0"/>
          <w:sz w:val="24"/>
          <w:szCs w:val="24"/>
          <w:lang w:eastAsia="en-GB"/>
          <w14:ligatures w14:val="none"/>
        </w:rPr>
        <w:lastRenderedPageBreak/>
        <w:t>Challenges and Opportunities</w:t>
      </w:r>
    </w:p>
    <w:p w14:paraId="00D2ED3C" w14:textId="73C4C006" w:rsidR="00437638" w:rsidRPr="00CB712A" w:rsidRDefault="004E6D19" w:rsidP="00CB712A">
      <w:pPr>
        <w:spacing w:line="360" w:lineRule="auto"/>
        <w:rPr>
          <w:rFonts w:ascii="Calibri" w:eastAsia="Times New Roman" w:hAnsi="Calibri" w:cs="Calibri"/>
          <w:kern w:val="0"/>
          <w:sz w:val="24"/>
          <w:szCs w:val="24"/>
          <w:lang w:eastAsia="en-GB"/>
          <w14:ligatures w14:val="none"/>
        </w:rPr>
      </w:pPr>
      <w:r w:rsidRPr="004E6D19">
        <w:rPr>
          <w:rFonts w:ascii="Calibri" w:eastAsia="Times New Roman" w:hAnsi="Calibri" w:cs="Calibri"/>
          <w:kern w:val="0"/>
          <w:sz w:val="24"/>
          <w:szCs w:val="24"/>
          <w:lang w:eastAsia="en-GB"/>
          <w14:ligatures w14:val="none"/>
        </w:rPr>
        <w:t>While pandemics present challenges in terms of reduced operational capacity and increased waste generation, they also provide opportunities to enhance sustainability practices within the hospitality industry. The focus on waste management and energy efficiency is likely to continue even after the pandemic, leading to long-term sustainability benefits. Additionally, the accelerated adoption of digital technologies offers opportunities for businesses to streamline their operations and minimize environmental impact.</w:t>
      </w:r>
      <w:r w:rsidR="00B57B1B" w:rsidRPr="00B57B1B">
        <w:rPr>
          <w:rFonts w:ascii="Times New Roman" w:eastAsia="Times New Roman" w:hAnsi="Times New Roman" w:cs="Times New Roman"/>
          <w:kern w:val="0"/>
          <w:sz w:val="24"/>
          <w:szCs w:val="24"/>
          <w:lang w:eastAsia="en-GB"/>
          <w14:ligatures w14:val="none"/>
        </w:rPr>
        <w:t xml:space="preserve"> </w:t>
      </w:r>
      <w:r w:rsidR="00B57B1B" w:rsidRPr="00B57B1B">
        <w:rPr>
          <w:rFonts w:ascii="Calibri" w:eastAsia="Times New Roman" w:hAnsi="Calibri" w:cs="Calibri"/>
          <w:kern w:val="0"/>
          <w:sz w:val="24"/>
          <w:szCs w:val="24"/>
          <w:lang w:eastAsia="en-GB"/>
          <w14:ligatures w14:val="none"/>
        </w:rPr>
        <w:t>(The Insider, 2022)</w:t>
      </w:r>
    </w:p>
    <w:p w14:paraId="3E76BF19" w14:textId="544471E3" w:rsidR="003F73DA" w:rsidRDefault="00987DAD" w:rsidP="00CB712A">
      <w:pPr>
        <w:pStyle w:val="pb-2"/>
        <w:spacing w:line="360" w:lineRule="auto"/>
        <w:rPr>
          <w:rFonts w:ascii="Calibri" w:hAnsi="Calibri" w:cs="Calibri"/>
        </w:rPr>
      </w:pPr>
      <w:r w:rsidRPr="00CB712A">
        <w:rPr>
          <w:rFonts w:ascii="Calibri" w:hAnsi="Calibri" w:cs="Calibri"/>
        </w:rPr>
        <w:tab/>
      </w:r>
      <w:r w:rsidR="003F73DA" w:rsidRPr="00CB712A">
        <w:rPr>
          <w:rFonts w:ascii="Calibri" w:hAnsi="Calibri" w:cs="Calibri"/>
        </w:rPr>
        <w:t>In conclusion, crises such as terrorist attacks, pandemics, and economic crises have greatly affected world tourism over the past 2 decades. These crises have disrupted travel patterns, caused a decline in tourism, and impacted both tourists and the local populations in the visited destinations. The transmission of diseases through travel highlights the vulnerability of tourist destinations and underscores the importance of implementing effective prevention and control measures to mitigate the impact of future health emergencies</w:t>
      </w:r>
      <w:r w:rsidR="00B57B1B">
        <w:rPr>
          <w:rFonts w:ascii="Calibri" w:hAnsi="Calibri" w:cs="Calibri"/>
        </w:rPr>
        <w:t xml:space="preserve"> whilst also providing some benefits to the hospitality industry such as </w:t>
      </w:r>
      <w:r w:rsidR="00901BBA">
        <w:rPr>
          <w:rFonts w:ascii="Calibri" w:hAnsi="Calibri" w:cs="Calibri"/>
        </w:rPr>
        <w:t>reduced energy</w:t>
      </w:r>
      <w:r w:rsidR="00B57B1B">
        <w:rPr>
          <w:rFonts w:ascii="Calibri" w:hAnsi="Calibri" w:cs="Calibri"/>
        </w:rPr>
        <w:t xml:space="preserve"> consumption and lowering that contributes to a more “green” sustainable future.</w:t>
      </w:r>
    </w:p>
    <w:p w14:paraId="6F540B7B" w14:textId="6974226C" w:rsidR="00901BBA" w:rsidRPr="00CB712A" w:rsidRDefault="00901BBA" w:rsidP="00CB712A">
      <w:pPr>
        <w:pStyle w:val="pb-2"/>
        <w:spacing w:line="360" w:lineRule="auto"/>
        <w:rPr>
          <w:rFonts w:ascii="Calibri" w:hAnsi="Calibri" w:cs="Calibri"/>
        </w:rPr>
      </w:pPr>
      <w:r>
        <w:rPr>
          <w:rFonts w:ascii="Calibri" w:hAnsi="Calibri" w:cs="Calibri"/>
        </w:rPr>
        <w:tab/>
      </w:r>
      <w:r w:rsidRPr="00901BBA">
        <w:rPr>
          <w:rFonts w:ascii="Calibri" w:hAnsi="Calibri" w:cs="Calibri"/>
        </w:rPr>
        <w:t>Tourism operators are increasingly recognizing the importance of collaborating with local communities to support conservation efforts and protect fragile ecosystems within the hospitality industry</w:t>
      </w:r>
      <w:r w:rsidR="003715F6">
        <w:rPr>
          <w:rFonts w:ascii="Calibri" w:hAnsi="Calibri" w:cs="Calibri"/>
        </w:rPr>
        <w:t xml:space="preserve"> </w:t>
      </w:r>
      <w:r w:rsidR="003715F6" w:rsidRPr="003715F6">
        <w:rPr>
          <w:rFonts w:ascii="Calibri" w:hAnsi="Calibri" w:cs="Calibri"/>
        </w:rPr>
        <w:t>(Huang, Wu and Shi, 2018)</w:t>
      </w:r>
      <w:r w:rsidRPr="00901BBA">
        <w:rPr>
          <w:rFonts w:ascii="Calibri" w:hAnsi="Calibri" w:cs="Calibri"/>
        </w:rPr>
        <w:t>. This collaboration involves working with community members and organizations to develop sustainable tourism practices that prioritize the environment and minimize negative impacts</w:t>
      </w:r>
      <w:r w:rsidR="003715F6" w:rsidRPr="003715F6">
        <w:t xml:space="preserve"> </w:t>
      </w:r>
      <w:r w:rsidR="003715F6" w:rsidRPr="003715F6">
        <w:rPr>
          <w:rFonts w:ascii="Calibri" w:hAnsi="Calibri" w:cs="Calibri"/>
        </w:rPr>
        <w:t xml:space="preserve">(DeCandia, Dobson and </w:t>
      </w:r>
      <w:proofErr w:type="spellStart"/>
      <w:r w:rsidR="003715F6" w:rsidRPr="003715F6">
        <w:rPr>
          <w:rFonts w:ascii="Calibri" w:hAnsi="Calibri" w:cs="Calibri"/>
        </w:rPr>
        <w:t>vonHoldt</w:t>
      </w:r>
      <w:proofErr w:type="spellEnd"/>
      <w:r w:rsidR="003715F6" w:rsidRPr="003715F6">
        <w:rPr>
          <w:rFonts w:ascii="Calibri" w:hAnsi="Calibri" w:cs="Calibri"/>
        </w:rPr>
        <w:t>, 2018)</w:t>
      </w:r>
      <w:r w:rsidRPr="00901BBA">
        <w:rPr>
          <w:rFonts w:ascii="Calibri" w:hAnsi="Calibri" w:cs="Calibri"/>
        </w:rPr>
        <w:t>. By incorporating local perspectives and knowledge, tourism operators can tailor their offerings to align with conservation efforts and showcase the unique biodiversity of a destination</w:t>
      </w:r>
      <w:r w:rsidR="00574002" w:rsidRPr="00574002">
        <w:t xml:space="preserve"> </w:t>
      </w:r>
      <w:r w:rsidR="00574002" w:rsidRPr="00574002">
        <w:rPr>
          <w:rFonts w:ascii="Calibri" w:hAnsi="Calibri" w:cs="Calibri"/>
        </w:rPr>
        <w:t xml:space="preserve">Buxton et al., </w:t>
      </w:r>
      <w:r w:rsidR="00574002">
        <w:rPr>
          <w:rFonts w:ascii="Calibri" w:hAnsi="Calibri" w:cs="Calibri"/>
        </w:rPr>
        <w:t>(</w:t>
      </w:r>
      <w:r w:rsidR="00574002" w:rsidRPr="00574002">
        <w:rPr>
          <w:rFonts w:ascii="Calibri" w:hAnsi="Calibri" w:cs="Calibri"/>
        </w:rPr>
        <w:t>2018)</w:t>
      </w:r>
      <w:r w:rsidRPr="00901BBA">
        <w:rPr>
          <w:rFonts w:ascii="Calibri" w:hAnsi="Calibri" w:cs="Calibri"/>
        </w:rPr>
        <w:t>. This not only benefits the local communities but also attracts environmentally conscious travellers who value sustainable tourism practices. By prioritizing conservation, tourism operators can contribute to the long-term well-being of both the local communities and the ecosystems they rely on.</w:t>
      </w:r>
    </w:p>
    <w:p w14:paraId="7B49E883" w14:textId="27CB2C02" w:rsidR="005F33BB" w:rsidRPr="00CB712A" w:rsidRDefault="00987DAD" w:rsidP="00CB712A">
      <w:pPr>
        <w:pStyle w:val="pb-2"/>
        <w:spacing w:line="360" w:lineRule="auto"/>
        <w:rPr>
          <w:rFonts w:ascii="Calibri" w:hAnsi="Calibri" w:cs="Calibri"/>
        </w:rPr>
      </w:pPr>
      <w:r w:rsidRPr="00CB712A">
        <w:rPr>
          <w:rFonts w:ascii="Calibri" w:hAnsi="Calibri" w:cs="Calibri"/>
        </w:rPr>
        <w:tab/>
        <w:t>When it comes to great development potential and strong links with economic growth and development, IGI Global (2019, pp. 98) stated that</w:t>
      </w:r>
      <w:r w:rsidR="00005F4A" w:rsidRPr="00CB712A">
        <w:rPr>
          <w:rFonts w:ascii="Calibri" w:hAnsi="Calibri" w:cs="Calibri"/>
        </w:rPr>
        <w:t xml:space="preserve"> </w:t>
      </w:r>
      <w:r w:rsidR="00B57B1B">
        <w:rPr>
          <w:rFonts w:ascii="Calibri" w:hAnsi="Calibri" w:cs="Calibri"/>
        </w:rPr>
        <w:t>“</w:t>
      </w:r>
      <w:r w:rsidRPr="00CB712A">
        <w:rPr>
          <w:rFonts w:ascii="Calibri" w:hAnsi="Calibri" w:cs="Calibri"/>
        </w:rPr>
        <w:t>t</w:t>
      </w:r>
      <w:r w:rsidR="00A510E9" w:rsidRPr="00CB712A">
        <w:rPr>
          <w:rFonts w:ascii="Calibri" w:hAnsi="Calibri" w:cs="Calibri"/>
        </w:rPr>
        <w:t>ourism is an industry where goods and services are consumed at the site of production</w:t>
      </w:r>
      <w:r w:rsidR="00B57B1B">
        <w:rPr>
          <w:rFonts w:ascii="Calibri" w:hAnsi="Calibri" w:cs="Calibri"/>
        </w:rPr>
        <w:t>”</w:t>
      </w:r>
      <w:r w:rsidR="00A510E9" w:rsidRPr="00CB712A">
        <w:rPr>
          <w:rFonts w:ascii="Calibri" w:hAnsi="Calibri" w:cs="Calibri"/>
        </w:rPr>
        <w:t xml:space="preserve">. Local people are both </w:t>
      </w:r>
      <w:r w:rsidR="00A510E9" w:rsidRPr="00CB712A">
        <w:rPr>
          <w:rFonts w:ascii="Calibri" w:hAnsi="Calibri" w:cs="Calibri"/>
        </w:rPr>
        <w:lastRenderedPageBreak/>
        <w:t>advantaged and at risk, depending on the impact of tourism on their community. Governments must implement a strategic approach to attract investments and ensure long-term benefits. Well planned, regulated, and responsible tourism can be an excellent mechanism for channelling resources from rich to poor, even in large-scale projects. Local people can benefit from direct employment, supply chain involvement, and interactions with tourists, such as through crafts, excursions, food, and beverage services.</w:t>
      </w:r>
    </w:p>
    <w:p w14:paraId="28DE6A2F" w14:textId="77777777" w:rsidR="00826787" w:rsidRDefault="0004728B" w:rsidP="00CB712A">
      <w:pPr>
        <w:pStyle w:val="pb-2"/>
        <w:spacing w:line="360" w:lineRule="auto"/>
        <w:rPr>
          <w:rFonts w:ascii="Calibri" w:hAnsi="Calibri" w:cs="Calibri"/>
        </w:rPr>
      </w:pPr>
      <w:r w:rsidRPr="00CB712A">
        <w:rPr>
          <w:rFonts w:ascii="Calibri" w:hAnsi="Calibri" w:cs="Calibri"/>
        </w:rPr>
        <w:tab/>
      </w:r>
    </w:p>
    <w:p w14:paraId="4419D3B8" w14:textId="77777777" w:rsidR="00826787" w:rsidRDefault="00826787" w:rsidP="00CB712A">
      <w:pPr>
        <w:pStyle w:val="pb-2"/>
        <w:spacing w:line="360" w:lineRule="auto"/>
        <w:rPr>
          <w:rFonts w:ascii="Calibri" w:hAnsi="Calibri" w:cs="Calibri"/>
        </w:rPr>
      </w:pPr>
    </w:p>
    <w:p w14:paraId="5CE6EF13" w14:textId="10D43BE4" w:rsidR="003F73DA" w:rsidRPr="00CB712A" w:rsidRDefault="00826787" w:rsidP="00CB712A">
      <w:pPr>
        <w:pStyle w:val="pb-2"/>
        <w:spacing w:line="360" w:lineRule="auto"/>
        <w:rPr>
          <w:rFonts w:ascii="Calibri" w:hAnsi="Calibri" w:cs="Calibri"/>
        </w:rPr>
      </w:pPr>
      <w:r>
        <w:rPr>
          <w:rFonts w:ascii="Calibri" w:hAnsi="Calibri" w:cs="Calibri"/>
        </w:rPr>
        <w:tab/>
      </w:r>
      <w:r w:rsidR="0004728B" w:rsidRPr="00CB712A">
        <w:rPr>
          <w:rFonts w:ascii="Calibri" w:hAnsi="Calibri" w:cs="Calibri"/>
        </w:rPr>
        <w:t>To summarize this essay, sustainability and the circular economy are gaining significant attention in the tourism and hospitality industry.</w:t>
      </w:r>
      <w:r w:rsidR="00B869A3" w:rsidRPr="00B869A3">
        <w:rPr>
          <w:rFonts w:ascii="Calibri" w:hAnsi="Calibri" w:cs="Calibri"/>
        </w:rPr>
        <w:t xml:space="preserve"> </w:t>
      </w:r>
      <w:r w:rsidR="0004728B" w:rsidRPr="00CB712A">
        <w:rPr>
          <w:rFonts w:ascii="Calibri" w:hAnsi="Calibri" w:cs="Calibri"/>
        </w:rPr>
        <w:t>This includes implementing measures such as reducing energy consumption, promoting recycling and composting, and sourcing sustainable materials. Additionally, tourism operators are collaborating with local communities to support conservation efforts and protect fragile ecosystems.</w:t>
      </w:r>
      <w:r w:rsidR="00B869A3">
        <w:rPr>
          <w:rFonts w:ascii="Calibri" w:hAnsi="Calibri" w:cs="Calibri"/>
        </w:rPr>
        <w:t xml:space="preserve"> </w:t>
      </w:r>
      <w:r w:rsidR="00B869A3">
        <w:rPr>
          <w:rFonts w:ascii="Calibri" w:hAnsi="Calibri" w:cs="Calibri"/>
        </w:rPr>
        <w:t>S</w:t>
      </w:r>
      <w:r w:rsidR="00B869A3" w:rsidRPr="00B869A3">
        <w:rPr>
          <w:rFonts w:ascii="Calibri" w:hAnsi="Calibri" w:cs="Calibri"/>
        </w:rPr>
        <w:t xml:space="preserve">ustainability and the circular economy are integral aspects of the hospitality industry. By adopting sustainable practices and embracing the circular economy, hotels can contribute to a greener and more sustainable future. It is important for hotels to recognize the value of sustainable practices and incorporate them into their operations </w:t>
      </w:r>
      <w:r w:rsidR="00B869A3" w:rsidRPr="00B869A3">
        <w:rPr>
          <w:rFonts w:ascii="Calibri" w:hAnsi="Calibri" w:cs="Calibri"/>
        </w:rPr>
        <w:t>to</w:t>
      </w:r>
      <w:r w:rsidR="00B869A3" w:rsidRPr="00B869A3">
        <w:rPr>
          <w:rFonts w:ascii="Calibri" w:hAnsi="Calibri" w:cs="Calibri"/>
        </w:rPr>
        <w:t xml:space="preserve"> stay competitive and meet the growing expectations of their guests.</w:t>
      </w:r>
      <w:r w:rsidR="00B869A3" w:rsidRPr="00CB712A">
        <w:rPr>
          <w:rFonts w:ascii="Calibri" w:hAnsi="Calibri" w:cs="Calibri"/>
        </w:rPr>
        <w:t xml:space="preserve"> These concepts involve reducing waste, conserving resources, and adopting eco-friendly practices. The industry is adapting to these changing practices to create a 'greener' environment for their guests. </w:t>
      </w:r>
      <w:r w:rsidR="0004728B" w:rsidRPr="00CB712A">
        <w:rPr>
          <w:rFonts w:ascii="Calibri" w:hAnsi="Calibri" w:cs="Calibri"/>
        </w:rPr>
        <w:t xml:space="preserve"> By embracing sustainability and the circular economy, the tourism and hospitality industry can contribute to </w:t>
      </w:r>
      <w:r w:rsidR="00CB712A" w:rsidRPr="00CB712A">
        <w:rPr>
          <w:rFonts w:ascii="Calibri" w:hAnsi="Calibri" w:cs="Calibri"/>
        </w:rPr>
        <w:t>a</w:t>
      </w:r>
      <w:r w:rsidR="00CB712A">
        <w:rPr>
          <w:rFonts w:ascii="Calibri" w:hAnsi="Calibri" w:cs="Calibri"/>
        </w:rPr>
        <w:t xml:space="preserve"> greener</w:t>
      </w:r>
      <w:r w:rsidR="00C93C33" w:rsidRPr="00CB712A">
        <w:rPr>
          <w:rFonts w:ascii="Calibri" w:hAnsi="Calibri" w:cs="Calibri"/>
        </w:rPr>
        <w:t>,</w:t>
      </w:r>
      <w:r w:rsidR="00CB712A">
        <w:rPr>
          <w:rFonts w:ascii="Calibri" w:hAnsi="Calibri" w:cs="Calibri"/>
        </w:rPr>
        <w:t xml:space="preserve"> more</w:t>
      </w:r>
      <w:r w:rsidR="00C93C33" w:rsidRPr="00CB712A">
        <w:rPr>
          <w:rFonts w:ascii="Calibri" w:hAnsi="Calibri" w:cs="Calibri"/>
        </w:rPr>
        <w:t xml:space="preserve"> </w:t>
      </w:r>
      <w:r w:rsidR="0004728B" w:rsidRPr="00CB712A">
        <w:rPr>
          <w:rFonts w:ascii="Calibri" w:hAnsi="Calibri" w:cs="Calibri"/>
        </w:rPr>
        <w:t>sustainable future.</w:t>
      </w:r>
    </w:p>
    <w:p w14:paraId="245EBBE9" w14:textId="77777777" w:rsidR="00826787" w:rsidRDefault="00826787" w:rsidP="00CB712A">
      <w:pPr>
        <w:pStyle w:val="Title"/>
        <w:jc w:val="center"/>
        <w:rPr>
          <w:rFonts w:eastAsia="Times New Roman"/>
          <w:lang w:eastAsia="en-GB"/>
        </w:rPr>
      </w:pPr>
    </w:p>
    <w:p w14:paraId="14ED7A23" w14:textId="77777777" w:rsidR="00826787" w:rsidRDefault="00826787" w:rsidP="00CB712A">
      <w:pPr>
        <w:pStyle w:val="Title"/>
        <w:jc w:val="center"/>
        <w:rPr>
          <w:rFonts w:eastAsia="Times New Roman"/>
          <w:lang w:eastAsia="en-GB"/>
        </w:rPr>
      </w:pPr>
    </w:p>
    <w:p w14:paraId="63C6898E" w14:textId="77777777" w:rsidR="00826787" w:rsidRDefault="00826787" w:rsidP="00CB712A">
      <w:pPr>
        <w:pStyle w:val="Title"/>
        <w:jc w:val="center"/>
        <w:rPr>
          <w:rFonts w:eastAsia="Times New Roman"/>
          <w:lang w:eastAsia="en-GB"/>
        </w:rPr>
      </w:pPr>
    </w:p>
    <w:p w14:paraId="2AFF17C9" w14:textId="77777777" w:rsidR="00826787" w:rsidRDefault="00826787" w:rsidP="00CB712A">
      <w:pPr>
        <w:pStyle w:val="Title"/>
        <w:jc w:val="center"/>
        <w:rPr>
          <w:rFonts w:eastAsia="Times New Roman"/>
          <w:lang w:eastAsia="en-GB"/>
        </w:rPr>
      </w:pPr>
    </w:p>
    <w:p w14:paraId="16F851F6" w14:textId="77777777" w:rsidR="00826787" w:rsidRDefault="00826787" w:rsidP="00CB712A">
      <w:pPr>
        <w:pStyle w:val="Title"/>
        <w:jc w:val="center"/>
        <w:rPr>
          <w:rFonts w:eastAsia="Times New Roman"/>
          <w:lang w:eastAsia="en-GB"/>
        </w:rPr>
      </w:pPr>
    </w:p>
    <w:p w14:paraId="275DEA96" w14:textId="77777777" w:rsidR="00826787" w:rsidRDefault="00826787" w:rsidP="00CB712A">
      <w:pPr>
        <w:pStyle w:val="Title"/>
        <w:jc w:val="center"/>
        <w:rPr>
          <w:rFonts w:eastAsia="Times New Roman"/>
          <w:lang w:eastAsia="en-GB"/>
        </w:rPr>
      </w:pPr>
    </w:p>
    <w:p w14:paraId="05F7B9D2" w14:textId="77777777" w:rsidR="00826787" w:rsidRDefault="00826787" w:rsidP="00CB712A">
      <w:pPr>
        <w:pStyle w:val="Title"/>
        <w:jc w:val="center"/>
        <w:rPr>
          <w:rFonts w:eastAsia="Times New Roman"/>
          <w:lang w:eastAsia="en-GB"/>
        </w:rPr>
      </w:pPr>
    </w:p>
    <w:p w14:paraId="204BAC4B" w14:textId="77777777" w:rsidR="00826787" w:rsidRDefault="00826787" w:rsidP="00CB712A">
      <w:pPr>
        <w:pStyle w:val="Title"/>
        <w:jc w:val="center"/>
        <w:rPr>
          <w:rFonts w:eastAsia="Times New Roman"/>
          <w:lang w:eastAsia="en-GB"/>
        </w:rPr>
      </w:pPr>
    </w:p>
    <w:p w14:paraId="1241D472" w14:textId="77777777" w:rsidR="00826787" w:rsidRDefault="00826787" w:rsidP="00CB712A">
      <w:pPr>
        <w:pStyle w:val="Title"/>
        <w:jc w:val="center"/>
        <w:rPr>
          <w:rFonts w:eastAsia="Times New Roman"/>
          <w:lang w:eastAsia="en-GB"/>
        </w:rPr>
      </w:pPr>
    </w:p>
    <w:p w14:paraId="7C6E124A" w14:textId="77777777" w:rsidR="00826787" w:rsidRDefault="00826787" w:rsidP="00CB712A">
      <w:pPr>
        <w:pStyle w:val="Title"/>
        <w:jc w:val="center"/>
        <w:rPr>
          <w:rFonts w:eastAsia="Times New Roman"/>
          <w:lang w:eastAsia="en-GB"/>
        </w:rPr>
      </w:pPr>
    </w:p>
    <w:p w14:paraId="68F97CC9" w14:textId="77777777" w:rsidR="00826787" w:rsidRDefault="00826787" w:rsidP="00CB712A">
      <w:pPr>
        <w:pStyle w:val="Title"/>
        <w:jc w:val="center"/>
        <w:rPr>
          <w:rFonts w:eastAsia="Times New Roman"/>
          <w:lang w:eastAsia="en-GB"/>
        </w:rPr>
      </w:pPr>
    </w:p>
    <w:p w14:paraId="00B99C08" w14:textId="77777777" w:rsidR="00826787" w:rsidRDefault="00826787" w:rsidP="00CB712A">
      <w:pPr>
        <w:pStyle w:val="Title"/>
        <w:jc w:val="center"/>
        <w:rPr>
          <w:rFonts w:eastAsia="Times New Roman"/>
          <w:lang w:eastAsia="en-GB"/>
        </w:rPr>
      </w:pPr>
    </w:p>
    <w:p w14:paraId="7A790AB3" w14:textId="77777777" w:rsidR="00826787" w:rsidRDefault="00826787" w:rsidP="00CB712A">
      <w:pPr>
        <w:pStyle w:val="Title"/>
        <w:jc w:val="center"/>
        <w:rPr>
          <w:rFonts w:eastAsia="Times New Roman"/>
          <w:lang w:eastAsia="en-GB"/>
        </w:rPr>
      </w:pPr>
    </w:p>
    <w:p w14:paraId="59CF1245" w14:textId="77777777" w:rsidR="00826787" w:rsidRDefault="00826787" w:rsidP="00CB712A">
      <w:pPr>
        <w:pStyle w:val="Title"/>
        <w:jc w:val="center"/>
        <w:rPr>
          <w:rFonts w:eastAsia="Times New Roman"/>
          <w:lang w:eastAsia="en-GB"/>
        </w:rPr>
      </w:pPr>
    </w:p>
    <w:p w14:paraId="384FE8C9" w14:textId="77777777" w:rsidR="00826787" w:rsidRDefault="00826787" w:rsidP="00CB712A">
      <w:pPr>
        <w:pStyle w:val="Title"/>
        <w:jc w:val="center"/>
        <w:rPr>
          <w:rFonts w:eastAsia="Times New Roman"/>
          <w:lang w:eastAsia="en-GB"/>
        </w:rPr>
      </w:pPr>
    </w:p>
    <w:p w14:paraId="283482DF" w14:textId="77777777" w:rsidR="00826787" w:rsidRDefault="00826787" w:rsidP="00CB712A">
      <w:pPr>
        <w:pStyle w:val="Title"/>
        <w:jc w:val="center"/>
        <w:rPr>
          <w:rFonts w:eastAsia="Times New Roman"/>
          <w:lang w:eastAsia="en-GB"/>
        </w:rPr>
      </w:pPr>
    </w:p>
    <w:p w14:paraId="0EDA0049" w14:textId="6CA244C1" w:rsidR="00CB712A" w:rsidRDefault="00CB712A" w:rsidP="00CB712A">
      <w:pPr>
        <w:pStyle w:val="Title"/>
        <w:jc w:val="center"/>
        <w:rPr>
          <w:rFonts w:eastAsia="Times New Roman"/>
          <w:lang w:eastAsia="en-GB"/>
        </w:rPr>
      </w:pPr>
      <w:r>
        <w:rPr>
          <w:rFonts w:eastAsia="Times New Roman"/>
          <w:lang w:eastAsia="en-GB"/>
        </w:rPr>
        <w:t>Reference list</w:t>
      </w:r>
    </w:p>
    <w:p w14:paraId="1B3EBB52" w14:textId="77777777" w:rsidR="007B7051" w:rsidRPr="00CB712A" w:rsidRDefault="007B7051" w:rsidP="00CB712A">
      <w:pPr>
        <w:rPr>
          <w:lang w:eastAsia="en-GB"/>
        </w:rPr>
      </w:pPr>
    </w:p>
    <w:p w14:paraId="50A4F269" w14:textId="77777777" w:rsidR="007B7051" w:rsidRDefault="007B7051" w:rsidP="00CB712A">
      <w:pPr>
        <w:spacing w:after="240" w:line="360" w:lineRule="auto"/>
        <w:rPr>
          <w:rFonts w:ascii="Calibri" w:eastAsia="Times New Roman" w:hAnsi="Calibri" w:cs="Calibri"/>
          <w:kern w:val="0"/>
          <w:sz w:val="24"/>
          <w:szCs w:val="24"/>
          <w:lang w:eastAsia="en-GB"/>
          <w14:ligatures w14:val="none"/>
        </w:rPr>
      </w:pPr>
    </w:p>
    <w:p w14:paraId="62F473C5" w14:textId="77777777" w:rsidR="007B7051" w:rsidRDefault="007B7051" w:rsidP="003715F6">
      <w:pPr>
        <w:spacing w:after="240" w:line="360" w:lineRule="auto"/>
        <w:rPr>
          <w:rFonts w:ascii="Calibri" w:eastAsia="Times New Roman" w:hAnsi="Calibri" w:cs="Calibri"/>
          <w:kern w:val="0"/>
          <w:sz w:val="24"/>
          <w:szCs w:val="24"/>
          <w:lang w:eastAsia="en-GB"/>
          <w14:ligatures w14:val="none"/>
        </w:rPr>
      </w:pPr>
    </w:p>
    <w:p w14:paraId="570A2D4C"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AON (2023). </w:t>
      </w:r>
      <w:r w:rsidRPr="003715F6">
        <w:rPr>
          <w:rFonts w:ascii="Calibri" w:eastAsia="Times New Roman" w:hAnsi="Calibri" w:cs="Calibri"/>
          <w:i/>
          <w:iCs/>
          <w:kern w:val="0"/>
          <w:sz w:val="24"/>
          <w:szCs w:val="24"/>
          <w:lang w:eastAsia="en-GB"/>
          <w14:ligatures w14:val="none"/>
        </w:rPr>
        <w:t>Top Risks Facing Hospitality, Travel and Leisure Organizations</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Aon. Available at: https://www.aon.com/en/insights/reports/global-risk-management-survey/top-risks-facing-hospitality-travel-and-leisure-organizations.</w:t>
      </w:r>
    </w:p>
    <w:p w14:paraId="3C78A98E" w14:textId="77777777" w:rsidR="007B7051" w:rsidRPr="00CB712A" w:rsidRDefault="007B7051" w:rsidP="00CB712A">
      <w:pPr>
        <w:spacing w:after="240" w:line="360" w:lineRule="auto"/>
        <w:rPr>
          <w:rFonts w:ascii="Calibri" w:eastAsia="Times New Roman" w:hAnsi="Calibri" w:cs="Calibri"/>
          <w:kern w:val="0"/>
          <w:sz w:val="24"/>
          <w:szCs w:val="24"/>
          <w:lang w:eastAsia="en-GB"/>
          <w14:ligatures w14:val="none"/>
        </w:rPr>
      </w:pPr>
      <w:proofErr w:type="spellStart"/>
      <w:r w:rsidRPr="00CB712A">
        <w:rPr>
          <w:rFonts w:ascii="Calibri" w:eastAsia="Times New Roman" w:hAnsi="Calibri" w:cs="Calibri"/>
          <w:kern w:val="0"/>
          <w:sz w:val="24"/>
          <w:szCs w:val="24"/>
          <w:lang w:eastAsia="en-GB"/>
          <w14:ligatures w14:val="none"/>
        </w:rPr>
        <w:t>Batabyal</w:t>
      </w:r>
      <w:proofErr w:type="spellEnd"/>
      <w:r w:rsidRPr="00CB712A">
        <w:rPr>
          <w:rFonts w:ascii="Calibri" w:eastAsia="Times New Roman" w:hAnsi="Calibri" w:cs="Calibri"/>
          <w:kern w:val="0"/>
          <w:sz w:val="24"/>
          <w:szCs w:val="24"/>
          <w:lang w:eastAsia="en-GB"/>
          <w14:ligatures w14:val="none"/>
        </w:rPr>
        <w:t xml:space="preserve">, D. (2018). </w:t>
      </w:r>
      <w:r w:rsidRPr="00CB712A">
        <w:rPr>
          <w:rFonts w:ascii="Calibri" w:eastAsia="Times New Roman" w:hAnsi="Calibri" w:cs="Calibri"/>
          <w:i/>
          <w:iCs/>
          <w:kern w:val="0"/>
          <w:sz w:val="24"/>
          <w:szCs w:val="24"/>
          <w:lang w:eastAsia="en-GB"/>
          <w14:ligatures w14:val="none"/>
        </w:rPr>
        <w:t>Managing Sustainable Tourism Resources</w:t>
      </w:r>
      <w:r w:rsidRPr="00CB712A">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United States Of America: IGI Global, pp.1–330. Available at: https://www-igi-global-com.ezproxy.uwtsd.ac.uk/gateway/book/192041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Accessed 29 Feb</w:t>
      </w:r>
      <w:r>
        <w:rPr>
          <w:rFonts w:ascii="Calibri" w:eastAsia="Times New Roman" w:hAnsi="Calibri" w:cs="Calibri"/>
          <w:kern w:val="0"/>
          <w:sz w:val="24"/>
          <w:szCs w:val="24"/>
          <w:lang w:eastAsia="en-GB"/>
          <w14:ligatures w14:val="none"/>
        </w:rPr>
        <w:t>ruary</w:t>
      </w:r>
      <w:r w:rsidRPr="00CB712A">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w:t>
      </w:r>
    </w:p>
    <w:p w14:paraId="7C0D8A78"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lastRenderedPageBreak/>
        <w:t xml:space="preserve">BBC News (2023). Swindon Hotel Powered by Renewable Energy Opens. </w:t>
      </w:r>
      <w:r w:rsidRPr="003715F6">
        <w:rPr>
          <w:rFonts w:ascii="Calibri" w:eastAsia="Times New Roman" w:hAnsi="Calibri" w:cs="Calibri"/>
          <w:i/>
          <w:iCs/>
          <w:kern w:val="0"/>
          <w:sz w:val="24"/>
          <w:szCs w:val="24"/>
          <w:lang w:eastAsia="en-GB"/>
          <w14:ligatures w14:val="none"/>
        </w:rPr>
        <w:t>BBC News</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21 Oct. Available at: https://www.bbc.co.uk/news/uk-england-wiltshire-67147782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Accessed 18 Jul</w:t>
      </w:r>
      <w:r>
        <w:rPr>
          <w:rFonts w:ascii="Calibri" w:eastAsia="Times New Roman" w:hAnsi="Calibri" w:cs="Calibri"/>
          <w:kern w:val="0"/>
          <w:sz w:val="24"/>
          <w:szCs w:val="24"/>
          <w:lang w:eastAsia="en-GB"/>
          <w14:ligatures w14:val="none"/>
        </w:rPr>
        <w:t>y</w:t>
      </w:r>
      <w:r w:rsidRPr="003715F6">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2E860E4A" w14:textId="77777777" w:rsidR="007B7051" w:rsidRPr="00CB712A" w:rsidRDefault="007B7051" w:rsidP="00CB712A">
      <w:pPr>
        <w:spacing w:after="240" w:line="360" w:lineRule="auto"/>
        <w:rPr>
          <w:rFonts w:ascii="Calibri" w:eastAsia="Times New Roman" w:hAnsi="Calibri" w:cs="Calibri"/>
          <w:kern w:val="0"/>
          <w:sz w:val="24"/>
          <w:szCs w:val="24"/>
          <w:lang w:eastAsia="en-GB"/>
          <w14:ligatures w14:val="none"/>
        </w:rPr>
      </w:pPr>
      <w:r w:rsidRPr="00CB712A">
        <w:rPr>
          <w:rFonts w:ascii="Calibri" w:eastAsia="Times New Roman" w:hAnsi="Calibri" w:cs="Calibri"/>
          <w:kern w:val="0"/>
          <w:sz w:val="24"/>
          <w:szCs w:val="24"/>
          <w:lang w:eastAsia="en-GB"/>
          <w14:ligatures w14:val="none"/>
        </w:rPr>
        <w:t xml:space="preserve">BEON (2023). </w:t>
      </w:r>
      <w:r w:rsidRPr="00CB712A">
        <w:rPr>
          <w:rFonts w:ascii="Calibri" w:eastAsia="Times New Roman" w:hAnsi="Calibri" w:cs="Calibri"/>
          <w:i/>
          <w:iCs/>
          <w:kern w:val="0"/>
          <w:sz w:val="24"/>
          <w:szCs w:val="24"/>
          <w:lang w:eastAsia="en-GB"/>
          <w14:ligatures w14:val="none"/>
        </w:rPr>
        <w:t>Reasons Why Sustainable Hotels Are the Future of the Industry</w:t>
      </w:r>
      <w:r w:rsidRPr="00CB712A">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BEON. Available at: https://www.beonx.com/knowledge/articles/sustainable-hotels/#:~:text=Sustainable%20hotels%20promote%20revenue%20growth&amp;text=For%20example%2C%20switching%20to%20energy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Accessed 28 Feb</w:t>
      </w:r>
      <w:r>
        <w:rPr>
          <w:rFonts w:ascii="Calibri" w:eastAsia="Times New Roman" w:hAnsi="Calibri" w:cs="Calibri"/>
          <w:kern w:val="0"/>
          <w:sz w:val="24"/>
          <w:szCs w:val="24"/>
          <w:lang w:eastAsia="en-GB"/>
          <w14:ligatures w14:val="none"/>
        </w:rPr>
        <w:t>ruary</w:t>
      </w:r>
      <w:r w:rsidRPr="00CB712A">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w:t>
      </w:r>
    </w:p>
    <w:p w14:paraId="67DEE78D"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Bittner, N., Bakker, N. and Long, T.B. (2024). Circular Economy and the Hospitality industry: a Comparison of the Netherlands and Indonesia. </w:t>
      </w:r>
      <w:r w:rsidRPr="003715F6">
        <w:rPr>
          <w:rFonts w:ascii="Calibri" w:eastAsia="Times New Roman" w:hAnsi="Calibri" w:cs="Calibri"/>
          <w:i/>
          <w:iCs/>
          <w:kern w:val="0"/>
          <w:sz w:val="24"/>
          <w:szCs w:val="24"/>
          <w:lang w:eastAsia="en-GB"/>
          <w14:ligatures w14:val="none"/>
        </w:rPr>
        <w:t>Journal of Cleaner Production</w:t>
      </w:r>
      <w:r w:rsidRPr="003715F6">
        <w:rPr>
          <w:rFonts w:ascii="Calibri" w:eastAsia="Times New Roman" w:hAnsi="Calibri" w:cs="Calibri"/>
          <w:kern w:val="0"/>
          <w:sz w:val="24"/>
          <w:szCs w:val="24"/>
          <w:lang w:eastAsia="en-GB"/>
          <w14:ligatures w14:val="none"/>
        </w:rPr>
        <w:t xml:space="preserve">, 444, pp.0–11. </w:t>
      </w:r>
      <w:proofErr w:type="spellStart"/>
      <w:r w:rsidRPr="003715F6">
        <w:rPr>
          <w:rFonts w:ascii="Calibri" w:eastAsia="Times New Roman" w:hAnsi="Calibri" w:cs="Calibri"/>
          <w:kern w:val="0"/>
          <w:sz w:val="24"/>
          <w:szCs w:val="24"/>
          <w:lang w:eastAsia="en-GB"/>
          <w14:ligatures w14:val="none"/>
        </w:rPr>
        <w:t>doi:https</w:t>
      </w:r>
      <w:proofErr w:type="spellEnd"/>
      <w:r w:rsidRPr="003715F6">
        <w:rPr>
          <w:rFonts w:ascii="Calibri" w:eastAsia="Times New Roman" w:hAnsi="Calibri" w:cs="Calibri"/>
          <w:kern w:val="0"/>
          <w:sz w:val="24"/>
          <w:szCs w:val="24"/>
          <w:lang w:eastAsia="en-GB"/>
          <w14:ligatures w14:val="none"/>
        </w:rPr>
        <w:t>://doi.org/10.1016/j.jclepro.2024.141253.</w:t>
      </w:r>
    </w:p>
    <w:p w14:paraId="6D65EEAD"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Business Waste.co.uk (n.d.). </w:t>
      </w:r>
      <w:r w:rsidRPr="003715F6">
        <w:rPr>
          <w:rFonts w:ascii="Calibri" w:eastAsia="Times New Roman" w:hAnsi="Calibri" w:cs="Calibri"/>
          <w:i/>
          <w:iCs/>
          <w:kern w:val="0"/>
          <w:sz w:val="24"/>
          <w:szCs w:val="24"/>
          <w:lang w:eastAsia="en-GB"/>
          <w14:ligatures w14:val="none"/>
        </w:rPr>
        <w:t>How to Reduce Waste in Hotels and the Hospitality Industry</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Business Waste. Available at: https://www.businesswaste.co.uk/reduce-waste/how-to-reduce-waste-in-hotels-and-the-hospitality-industry/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Accessed 18 Jul</w:t>
      </w:r>
      <w:r>
        <w:rPr>
          <w:rFonts w:ascii="Calibri" w:eastAsia="Times New Roman" w:hAnsi="Calibri" w:cs="Calibri"/>
          <w:kern w:val="0"/>
          <w:sz w:val="24"/>
          <w:szCs w:val="24"/>
          <w:lang w:eastAsia="en-GB"/>
          <w14:ligatures w14:val="none"/>
        </w:rPr>
        <w:t>y</w:t>
      </w:r>
      <w:r w:rsidRPr="003715F6">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7A82569C"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Buxton, R.T., McKenna, M.F., Clapp, M., Meyer, E., </w:t>
      </w:r>
      <w:proofErr w:type="spellStart"/>
      <w:r w:rsidRPr="003715F6">
        <w:rPr>
          <w:rFonts w:ascii="Calibri" w:eastAsia="Times New Roman" w:hAnsi="Calibri" w:cs="Calibri"/>
          <w:kern w:val="0"/>
          <w:sz w:val="24"/>
          <w:szCs w:val="24"/>
          <w:lang w:eastAsia="en-GB"/>
          <w14:ligatures w14:val="none"/>
        </w:rPr>
        <w:t>Stabenau</w:t>
      </w:r>
      <w:proofErr w:type="spellEnd"/>
      <w:r w:rsidRPr="003715F6">
        <w:rPr>
          <w:rFonts w:ascii="Calibri" w:eastAsia="Times New Roman" w:hAnsi="Calibri" w:cs="Calibri"/>
          <w:kern w:val="0"/>
          <w:sz w:val="24"/>
          <w:szCs w:val="24"/>
          <w:lang w:eastAsia="en-GB"/>
          <w14:ligatures w14:val="none"/>
        </w:rPr>
        <w:t xml:space="preserve">, E., Angeloni, L.M., Crooks, K. and Wittemyer, G. (2018). Efficacy of Extracting Indices from large-scale Acoustic Recordings to Monitor Biodiversity. </w:t>
      </w:r>
      <w:r w:rsidRPr="003715F6">
        <w:rPr>
          <w:rFonts w:ascii="Calibri" w:eastAsia="Times New Roman" w:hAnsi="Calibri" w:cs="Calibri"/>
          <w:i/>
          <w:iCs/>
          <w:kern w:val="0"/>
          <w:sz w:val="24"/>
          <w:szCs w:val="24"/>
          <w:lang w:eastAsia="en-GB"/>
          <w14:ligatures w14:val="none"/>
        </w:rPr>
        <w:t>Conservation Biology</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32(5), pp.1174–1184. </w:t>
      </w:r>
      <w:proofErr w:type="spellStart"/>
      <w:r w:rsidRPr="003715F6">
        <w:rPr>
          <w:rFonts w:ascii="Calibri" w:eastAsia="Times New Roman" w:hAnsi="Calibri" w:cs="Calibri"/>
          <w:kern w:val="0"/>
          <w:sz w:val="24"/>
          <w:szCs w:val="24"/>
          <w:lang w:eastAsia="en-GB"/>
          <w14:ligatures w14:val="none"/>
        </w:rPr>
        <w:t>doi:https</w:t>
      </w:r>
      <w:proofErr w:type="spellEnd"/>
      <w:r w:rsidRPr="003715F6">
        <w:rPr>
          <w:rFonts w:ascii="Calibri" w:eastAsia="Times New Roman" w:hAnsi="Calibri" w:cs="Calibri"/>
          <w:kern w:val="0"/>
          <w:sz w:val="24"/>
          <w:szCs w:val="24"/>
          <w:lang w:eastAsia="en-GB"/>
          <w14:ligatures w14:val="none"/>
        </w:rPr>
        <w:t>://doi.org/10.1111/cobi.13119.</w:t>
      </w:r>
    </w:p>
    <w:p w14:paraId="754190EF"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proofErr w:type="spellStart"/>
      <w:r w:rsidRPr="003715F6">
        <w:rPr>
          <w:rFonts w:ascii="Calibri" w:eastAsia="Times New Roman" w:hAnsi="Calibri" w:cs="Calibri"/>
          <w:kern w:val="0"/>
          <w:sz w:val="24"/>
          <w:szCs w:val="24"/>
          <w:lang w:eastAsia="en-GB"/>
          <w14:ligatures w14:val="none"/>
        </w:rPr>
        <w:t>Bysong</w:t>
      </w:r>
      <w:proofErr w:type="spellEnd"/>
      <w:r w:rsidRPr="003715F6">
        <w:rPr>
          <w:rFonts w:ascii="Calibri" w:eastAsia="Times New Roman" w:hAnsi="Calibri" w:cs="Calibri"/>
          <w:kern w:val="0"/>
          <w:sz w:val="24"/>
          <w:szCs w:val="24"/>
          <w:lang w:eastAsia="en-GB"/>
          <w14:ligatures w14:val="none"/>
        </w:rPr>
        <w:t>, T., Davis-</w:t>
      </w:r>
      <w:proofErr w:type="spellStart"/>
      <w:r w:rsidRPr="003715F6">
        <w:rPr>
          <w:rFonts w:ascii="Calibri" w:eastAsia="Times New Roman" w:hAnsi="Calibri" w:cs="Calibri"/>
          <w:kern w:val="0"/>
          <w:sz w:val="24"/>
          <w:szCs w:val="24"/>
          <w:lang w:eastAsia="en-GB"/>
          <w14:ligatures w14:val="none"/>
        </w:rPr>
        <w:t>Peccoud</w:t>
      </w:r>
      <w:proofErr w:type="spellEnd"/>
      <w:r w:rsidRPr="003715F6">
        <w:rPr>
          <w:rFonts w:ascii="Calibri" w:eastAsia="Times New Roman" w:hAnsi="Calibri" w:cs="Calibri"/>
          <w:kern w:val="0"/>
          <w:sz w:val="24"/>
          <w:szCs w:val="24"/>
          <w:lang w:eastAsia="en-GB"/>
          <w14:ligatures w14:val="none"/>
        </w:rPr>
        <w:t xml:space="preserve">, J., Hinkel, J., Saenz, H. and </w:t>
      </w:r>
      <w:proofErr w:type="spellStart"/>
      <w:r w:rsidRPr="003715F6">
        <w:rPr>
          <w:rFonts w:ascii="Calibri" w:eastAsia="Times New Roman" w:hAnsi="Calibri" w:cs="Calibri"/>
          <w:kern w:val="0"/>
          <w:sz w:val="24"/>
          <w:szCs w:val="24"/>
          <w:lang w:eastAsia="en-GB"/>
          <w14:ligatures w14:val="none"/>
        </w:rPr>
        <w:t>Ageyeva</w:t>
      </w:r>
      <w:proofErr w:type="spellEnd"/>
      <w:r w:rsidRPr="003715F6">
        <w:rPr>
          <w:rFonts w:ascii="Calibri" w:eastAsia="Times New Roman" w:hAnsi="Calibri" w:cs="Calibri"/>
          <w:kern w:val="0"/>
          <w:sz w:val="24"/>
          <w:szCs w:val="24"/>
          <w:lang w:eastAsia="en-GB"/>
          <w14:ligatures w14:val="none"/>
        </w:rPr>
        <w:t xml:space="preserve">-Furman, Y. (2023). </w:t>
      </w:r>
      <w:r w:rsidRPr="003715F6">
        <w:rPr>
          <w:rFonts w:ascii="Calibri" w:eastAsia="Times New Roman" w:hAnsi="Calibri" w:cs="Calibri"/>
          <w:i/>
          <w:iCs/>
          <w:kern w:val="0"/>
          <w:sz w:val="24"/>
          <w:szCs w:val="24"/>
          <w:lang w:eastAsia="en-GB"/>
          <w14:ligatures w14:val="none"/>
        </w:rPr>
        <w:t>The Future Is Circular: How Companies Can Prepare to Grow in a Changing World</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Bain. Available at: https://www.bain.com/insights/the-future-is-circular-how-companies-can-prepare-to-grow-in-a-changed-world-ceo-sustainability-guide-2023/?gad_source=1&amp;gclid=CjwKCAjwnei0BhB-EiwAA2xuBuPoZw2pS9VAglG7UCSLxZSdDUr2yPxwncAo_Tkh5uhPCawNPAUfzxoCaMMQAvD_BwE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Accessed 18 Jul</w:t>
      </w:r>
      <w:r>
        <w:rPr>
          <w:rFonts w:ascii="Calibri" w:eastAsia="Times New Roman" w:hAnsi="Calibri" w:cs="Calibri"/>
          <w:kern w:val="0"/>
          <w:sz w:val="24"/>
          <w:szCs w:val="24"/>
          <w:lang w:eastAsia="en-GB"/>
          <w14:ligatures w14:val="none"/>
        </w:rPr>
        <w:t>y</w:t>
      </w:r>
      <w:r w:rsidRPr="003715F6">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6F62212C"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Capgemini (2024). </w:t>
      </w:r>
      <w:r w:rsidRPr="003715F6">
        <w:rPr>
          <w:rFonts w:ascii="Calibri" w:eastAsia="Times New Roman" w:hAnsi="Calibri" w:cs="Calibri"/>
          <w:i/>
          <w:iCs/>
          <w:kern w:val="0"/>
          <w:sz w:val="24"/>
          <w:szCs w:val="24"/>
          <w:lang w:eastAsia="en-GB"/>
          <w14:ligatures w14:val="none"/>
        </w:rPr>
        <w:t>Food for Thought How Can Collaboration and Technology Drive a More Sustainable Food ecosystem? R E T H in K</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Available at: </w:t>
      </w:r>
      <w:r w:rsidRPr="003715F6">
        <w:rPr>
          <w:rFonts w:ascii="Calibri" w:eastAsia="Times New Roman" w:hAnsi="Calibri" w:cs="Calibri"/>
          <w:kern w:val="0"/>
          <w:sz w:val="24"/>
          <w:szCs w:val="24"/>
          <w:lang w:eastAsia="en-GB"/>
          <w14:ligatures w14:val="none"/>
        </w:rPr>
        <w:lastRenderedPageBreak/>
        <w:t xml:space="preserve">https://www.capgemini.com/wp-content/uploads/2022/12/Food-For-Thought-Whitepaper-1.pdf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Accessed 18 Jul</w:t>
      </w:r>
      <w:r>
        <w:rPr>
          <w:rFonts w:ascii="Calibri" w:eastAsia="Times New Roman" w:hAnsi="Calibri" w:cs="Calibri"/>
          <w:kern w:val="0"/>
          <w:sz w:val="24"/>
          <w:szCs w:val="24"/>
          <w:lang w:eastAsia="en-GB"/>
          <w14:ligatures w14:val="none"/>
        </w:rPr>
        <w:t>y</w:t>
      </w:r>
      <w:r w:rsidRPr="003715F6">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229F9B09"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proofErr w:type="spellStart"/>
      <w:r w:rsidRPr="003715F6">
        <w:rPr>
          <w:rFonts w:ascii="Calibri" w:eastAsia="Times New Roman" w:hAnsi="Calibri" w:cs="Calibri"/>
          <w:kern w:val="0"/>
          <w:sz w:val="24"/>
          <w:szCs w:val="24"/>
          <w:lang w:eastAsia="en-GB"/>
          <w14:ligatures w14:val="none"/>
        </w:rPr>
        <w:t>Chechi</w:t>
      </w:r>
      <w:proofErr w:type="spellEnd"/>
      <w:r w:rsidRPr="003715F6">
        <w:rPr>
          <w:rFonts w:ascii="Calibri" w:eastAsia="Times New Roman" w:hAnsi="Calibri" w:cs="Calibri"/>
          <w:kern w:val="0"/>
          <w:sz w:val="24"/>
          <w:szCs w:val="24"/>
          <w:lang w:eastAsia="en-GB"/>
          <w14:ligatures w14:val="none"/>
        </w:rPr>
        <w:t xml:space="preserve">, H. (2024). </w:t>
      </w:r>
      <w:r w:rsidRPr="003715F6">
        <w:rPr>
          <w:rFonts w:ascii="Calibri" w:eastAsia="Times New Roman" w:hAnsi="Calibri" w:cs="Calibri"/>
          <w:i/>
          <w:iCs/>
          <w:kern w:val="0"/>
          <w:sz w:val="24"/>
          <w:szCs w:val="24"/>
          <w:lang w:eastAsia="en-GB"/>
          <w14:ligatures w14:val="none"/>
        </w:rPr>
        <w:t>Eco-friendly Hotels explained: Why They Matter</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Glion. Available at: https://www.glion.edu/magazine/eco-friendly-hotels-explained/#:~:text=Cutting%20food%20waste%20and%20saving%20water&amp;text=To%20minimize%20food%20waste%2C%20implementing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Accessed 18 Jul</w:t>
      </w:r>
      <w:r>
        <w:rPr>
          <w:rFonts w:ascii="Calibri" w:eastAsia="Times New Roman" w:hAnsi="Calibri" w:cs="Calibri"/>
          <w:kern w:val="0"/>
          <w:sz w:val="24"/>
          <w:szCs w:val="24"/>
          <w:lang w:eastAsia="en-GB"/>
          <w14:ligatures w14:val="none"/>
        </w:rPr>
        <w:t>y</w:t>
      </w:r>
      <w:r w:rsidRPr="003715F6">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600B5A18" w14:textId="77777777" w:rsidR="007B7051" w:rsidRPr="00CB712A" w:rsidRDefault="007B7051" w:rsidP="00CB712A">
      <w:pPr>
        <w:spacing w:after="240" w:line="360" w:lineRule="auto"/>
        <w:rPr>
          <w:rFonts w:ascii="Calibri" w:eastAsia="Times New Roman" w:hAnsi="Calibri" w:cs="Calibri"/>
          <w:kern w:val="0"/>
          <w:sz w:val="24"/>
          <w:szCs w:val="24"/>
          <w:lang w:eastAsia="en-GB"/>
          <w14:ligatures w14:val="none"/>
        </w:rPr>
      </w:pPr>
      <w:r w:rsidRPr="00CB712A">
        <w:rPr>
          <w:rFonts w:ascii="Calibri" w:eastAsia="Times New Roman" w:hAnsi="Calibri" w:cs="Calibri"/>
          <w:kern w:val="0"/>
          <w:sz w:val="24"/>
          <w:szCs w:val="24"/>
          <w:lang w:eastAsia="en-GB"/>
          <w14:ligatures w14:val="none"/>
        </w:rPr>
        <w:t xml:space="preserve">Costa, V. and Costa, C. (2022). </w:t>
      </w:r>
      <w:r w:rsidRPr="00CB712A">
        <w:rPr>
          <w:rFonts w:ascii="Calibri" w:eastAsia="Times New Roman" w:hAnsi="Calibri" w:cs="Calibri"/>
          <w:i/>
          <w:iCs/>
          <w:kern w:val="0"/>
          <w:sz w:val="24"/>
          <w:szCs w:val="24"/>
          <w:lang w:eastAsia="en-GB"/>
          <w14:ligatures w14:val="none"/>
        </w:rPr>
        <w:t>Sustainability and Competitiveness in the Hospitality Industry</w:t>
      </w:r>
      <w:r w:rsidRPr="00CB712A">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United States of America: IGI Global, pp.1–312. Available at: https://www-igi-global-com.ezproxy.uwtsd.ac.uk/gateway/book/277196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Accessed 27 Feb</w:t>
      </w:r>
      <w:r>
        <w:rPr>
          <w:rFonts w:ascii="Calibri" w:eastAsia="Times New Roman" w:hAnsi="Calibri" w:cs="Calibri"/>
          <w:kern w:val="0"/>
          <w:sz w:val="24"/>
          <w:szCs w:val="24"/>
          <w:lang w:eastAsia="en-GB"/>
          <w14:ligatures w14:val="none"/>
        </w:rPr>
        <w:t>ruary</w:t>
      </w:r>
      <w:r w:rsidRPr="00CB712A">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w:t>
      </w:r>
    </w:p>
    <w:p w14:paraId="2E8C42E8"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DeCandia, A.L., Dobson, A.P. and </w:t>
      </w:r>
      <w:proofErr w:type="spellStart"/>
      <w:r w:rsidRPr="003715F6">
        <w:rPr>
          <w:rFonts w:ascii="Calibri" w:eastAsia="Times New Roman" w:hAnsi="Calibri" w:cs="Calibri"/>
          <w:kern w:val="0"/>
          <w:sz w:val="24"/>
          <w:szCs w:val="24"/>
          <w:lang w:eastAsia="en-GB"/>
          <w14:ligatures w14:val="none"/>
        </w:rPr>
        <w:t>vonHoldt</w:t>
      </w:r>
      <w:proofErr w:type="spellEnd"/>
      <w:r w:rsidRPr="003715F6">
        <w:rPr>
          <w:rFonts w:ascii="Calibri" w:eastAsia="Times New Roman" w:hAnsi="Calibri" w:cs="Calibri"/>
          <w:kern w:val="0"/>
          <w:sz w:val="24"/>
          <w:szCs w:val="24"/>
          <w:lang w:eastAsia="en-GB"/>
          <w14:ligatures w14:val="none"/>
        </w:rPr>
        <w:t xml:space="preserve">, B.M. (2018). Toward an Integrative Molecular Approach to Wildlife Disease. </w:t>
      </w:r>
      <w:r w:rsidRPr="003715F6">
        <w:rPr>
          <w:rFonts w:ascii="Calibri" w:eastAsia="Times New Roman" w:hAnsi="Calibri" w:cs="Calibri"/>
          <w:i/>
          <w:iCs/>
          <w:kern w:val="0"/>
          <w:sz w:val="24"/>
          <w:szCs w:val="24"/>
          <w:lang w:eastAsia="en-GB"/>
          <w14:ligatures w14:val="none"/>
        </w:rPr>
        <w:t>Conservation Biology</w:t>
      </w:r>
      <w:r w:rsidRPr="003715F6">
        <w:rPr>
          <w:rFonts w:ascii="Calibri" w:eastAsia="Times New Roman" w:hAnsi="Calibri" w:cs="Calibri"/>
          <w:kern w:val="0"/>
          <w:sz w:val="24"/>
          <w:szCs w:val="24"/>
          <w:lang w:eastAsia="en-GB"/>
          <w14:ligatures w14:val="none"/>
        </w:rPr>
        <w:t xml:space="preserve">, 32(4), pp.798–807. </w:t>
      </w:r>
      <w:proofErr w:type="spellStart"/>
      <w:r w:rsidRPr="003715F6">
        <w:rPr>
          <w:rFonts w:ascii="Calibri" w:eastAsia="Times New Roman" w:hAnsi="Calibri" w:cs="Calibri"/>
          <w:kern w:val="0"/>
          <w:sz w:val="24"/>
          <w:szCs w:val="24"/>
          <w:lang w:eastAsia="en-GB"/>
          <w14:ligatures w14:val="none"/>
        </w:rPr>
        <w:t>doi:https</w:t>
      </w:r>
      <w:proofErr w:type="spellEnd"/>
      <w:r w:rsidRPr="003715F6">
        <w:rPr>
          <w:rFonts w:ascii="Calibri" w:eastAsia="Times New Roman" w:hAnsi="Calibri" w:cs="Calibri"/>
          <w:kern w:val="0"/>
          <w:sz w:val="24"/>
          <w:szCs w:val="24"/>
          <w:lang w:eastAsia="en-GB"/>
          <w14:ligatures w14:val="none"/>
        </w:rPr>
        <w:t>://doi.org/10.1111/cobi.13083.</w:t>
      </w:r>
    </w:p>
    <w:p w14:paraId="55EF7F3E"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Dibene-Arriola, L.M., Carrillo-González, F.M., Quijas, S. and Rodríguez-Uribe, M.C. (2021). Energy Efficiency Indicators for Hotel Buildings. </w:t>
      </w:r>
      <w:r w:rsidRPr="003715F6">
        <w:rPr>
          <w:rFonts w:ascii="Calibri" w:eastAsia="Times New Roman" w:hAnsi="Calibri" w:cs="Calibri"/>
          <w:i/>
          <w:iCs/>
          <w:kern w:val="0"/>
          <w:sz w:val="24"/>
          <w:szCs w:val="24"/>
          <w:lang w:eastAsia="en-GB"/>
          <w14:ligatures w14:val="none"/>
        </w:rPr>
        <w:t>Sustainability</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13(4), p.1754. </w:t>
      </w:r>
      <w:proofErr w:type="spellStart"/>
      <w:r w:rsidRPr="003715F6">
        <w:rPr>
          <w:rFonts w:ascii="Calibri" w:eastAsia="Times New Roman" w:hAnsi="Calibri" w:cs="Calibri"/>
          <w:kern w:val="0"/>
          <w:sz w:val="24"/>
          <w:szCs w:val="24"/>
          <w:lang w:eastAsia="en-GB"/>
          <w14:ligatures w14:val="none"/>
        </w:rPr>
        <w:t>doi:https</w:t>
      </w:r>
      <w:proofErr w:type="spellEnd"/>
      <w:r w:rsidRPr="003715F6">
        <w:rPr>
          <w:rFonts w:ascii="Calibri" w:eastAsia="Times New Roman" w:hAnsi="Calibri" w:cs="Calibri"/>
          <w:kern w:val="0"/>
          <w:sz w:val="24"/>
          <w:szCs w:val="24"/>
          <w:lang w:eastAsia="en-GB"/>
          <w14:ligatures w14:val="none"/>
        </w:rPr>
        <w:t>://doi.org/10.3390/su13041754.</w:t>
      </w:r>
    </w:p>
    <w:p w14:paraId="5FF159DE" w14:textId="77777777" w:rsidR="007B7051" w:rsidRPr="00CB712A" w:rsidRDefault="007B7051" w:rsidP="00CB712A">
      <w:pPr>
        <w:spacing w:after="240" w:line="360" w:lineRule="auto"/>
        <w:rPr>
          <w:rFonts w:ascii="Calibri" w:eastAsia="Times New Roman" w:hAnsi="Calibri" w:cs="Calibri"/>
          <w:kern w:val="0"/>
          <w:sz w:val="24"/>
          <w:szCs w:val="24"/>
          <w:lang w:eastAsia="en-GB"/>
          <w14:ligatures w14:val="none"/>
        </w:rPr>
      </w:pPr>
      <w:r w:rsidRPr="00CB712A">
        <w:rPr>
          <w:rFonts w:ascii="Calibri" w:eastAsia="Times New Roman" w:hAnsi="Calibri" w:cs="Calibri"/>
          <w:kern w:val="0"/>
          <w:sz w:val="24"/>
          <w:szCs w:val="24"/>
          <w:lang w:eastAsia="en-GB"/>
          <w14:ligatures w14:val="none"/>
        </w:rPr>
        <w:t xml:space="preserve">European Environment Agency (2023). </w:t>
      </w:r>
      <w:r w:rsidRPr="00CB712A">
        <w:rPr>
          <w:rFonts w:ascii="Calibri" w:eastAsia="Times New Roman" w:hAnsi="Calibri" w:cs="Calibri"/>
          <w:i/>
          <w:iCs/>
          <w:kern w:val="0"/>
          <w:sz w:val="24"/>
          <w:szCs w:val="24"/>
          <w:lang w:eastAsia="en-GB"/>
          <w14:ligatures w14:val="none"/>
        </w:rPr>
        <w:t>Climate Change mitigation: Reducing Emissions</w:t>
      </w:r>
      <w:r w:rsidRPr="00CB712A">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www.eea.europa.eu. Available at: https://www.eea.europa.eu/en/topics/in-depth/climate-change-mitigation-reducing-emissions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Accessed 29 Feb</w:t>
      </w:r>
      <w:r>
        <w:rPr>
          <w:rFonts w:ascii="Calibri" w:eastAsia="Times New Roman" w:hAnsi="Calibri" w:cs="Calibri"/>
          <w:kern w:val="0"/>
          <w:sz w:val="24"/>
          <w:szCs w:val="24"/>
          <w:lang w:eastAsia="en-GB"/>
          <w14:ligatures w14:val="none"/>
        </w:rPr>
        <w:t>ruary</w:t>
      </w:r>
      <w:r w:rsidRPr="00CB712A">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w:t>
      </w:r>
    </w:p>
    <w:p w14:paraId="49118C83" w14:textId="77777777" w:rsidR="007B7051" w:rsidRPr="00CB712A" w:rsidRDefault="007B7051" w:rsidP="00CB712A">
      <w:pPr>
        <w:spacing w:after="240" w:line="360" w:lineRule="auto"/>
        <w:rPr>
          <w:rFonts w:ascii="Calibri" w:eastAsia="Times New Roman" w:hAnsi="Calibri" w:cs="Calibri"/>
          <w:kern w:val="0"/>
          <w:sz w:val="24"/>
          <w:szCs w:val="24"/>
          <w:lang w:eastAsia="en-GB"/>
          <w14:ligatures w14:val="none"/>
        </w:rPr>
      </w:pPr>
      <w:r w:rsidRPr="00CB712A">
        <w:rPr>
          <w:rFonts w:ascii="Calibri" w:eastAsia="Times New Roman" w:hAnsi="Calibri" w:cs="Calibri"/>
          <w:kern w:val="0"/>
          <w:sz w:val="24"/>
          <w:szCs w:val="24"/>
          <w:lang w:eastAsia="en-GB"/>
          <w14:ligatures w14:val="none"/>
        </w:rPr>
        <w:t xml:space="preserve">European parliament (2023). </w:t>
      </w:r>
      <w:r w:rsidRPr="00CB712A">
        <w:rPr>
          <w:rFonts w:ascii="Calibri" w:eastAsia="Times New Roman" w:hAnsi="Calibri" w:cs="Calibri"/>
          <w:i/>
          <w:iCs/>
          <w:kern w:val="0"/>
          <w:sz w:val="24"/>
          <w:szCs w:val="24"/>
          <w:lang w:eastAsia="en-GB"/>
          <w14:ligatures w14:val="none"/>
        </w:rPr>
        <w:t>Circular economy: definition, Importance and Benefits | Topics | European Parliament</w:t>
      </w:r>
      <w:r w:rsidRPr="00CB712A">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www.europarl.europa.eu. Available at: https://www.europarl.europa.eu/topics/en/article/20151201STO05603/circular-economy-definition-importance-and-benefits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Accessed 27 Feb</w:t>
      </w:r>
      <w:r>
        <w:rPr>
          <w:rFonts w:ascii="Calibri" w:eastAsia="Times New Roman" w:hAnsi="Calibri" w:cs="Calibri"/>
          <w:kern w:val="0"/>
          <w:sz w:val="24"/>
          <w:szCs w:val="24"/>
          <w:lang w:eastAsia="en-GB"/>
          <w14:ligatures w14:val="none"/>
        </w:rPr>
        <w:t>ruary</w:t>
      </w:r>
      <w:r w:rsidRPr="00CB712A">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w:t>
      </w:r>
    </w:p>
    <w:p w14:paraId="414868E3" w14:textId="77777777" w:rsidR="007B7051" w:rsidRPr="00CB712A" w:rsidRDefault="007B7051" w:rsidP="00CB712A">
      <w:pPr>
        <w:spacing w:after="240" w:line="360" w:lineRule="auto"/>
        <w:rPr>
          <w:rFonts w:ascii="Calibri" w:eastAsia="Times New Roman" w:hAnsi="Calibri" w:cs="Calibri"/>
          <w:kern w:val="0"/>
          <w:sz w:val="24"/>
          <w:szCs w:val="24"/>
          <w:lang w:eastAsia="en-GB"/>
          <w14:ligatures w14:val="none"/>
        </w:rPr>
      </w:pPr>
      <w:r w:rsidRPr="00CB712A">
        <w:rPr>
          <w:rFonts w:ascii="Calibri" w:eastAsia="Times New Roman" w:hAnsi="Calibri" w:cs="Calibri"/>
          <w:kern w:val="0"/>
          <w:sz w:val="24"/>
          <w:szCs w:val="24"/>
          <w:lang w:eastAsia="en-GB"/>
          <w14:ligatures w14:val="none"/>
        </w:rPr>
        <w:t xml:space="preserve">Fabrice, S. and Sivarajah, U. (2021). Exploring Circular Economy in the Hospitality industry: Empirical Evidence from Scandinavian Hotel Operators. </w:t>
      </w:r>
      <w:r w:rsidRPr="00CB712A">
        <w:rPr>
          <w:rFonts w:ascii="Calibri" w:eastAsia="Times New Roman" w:hAnsi="Calibri" w:cs="Calibri"/>
          <w:i/>
          <w:iCs/>
          <w:kern w:val="0"/>
          <w:sz w:val="24"/>
          <w:szCs w:val="24"/>
          <w:lang w:eastAsia="en-GB"/>
          <w14:ligatures w14:val="none"/>
        </w:rPr>
        <w:t>Scandinavian Journal of Hospitality and Tourism</w:t>
      </w:r>
      <w:r w:rsidRPr="00CB712A">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21(3), pp.1–21. </w:t>
      </w:r>
      <w:proofErr w:type="spellStart"/>
      <w:r w:rsidRPr="00CB712A">
        <w:rPr>
          <w:rFonts w:ascii="Calibri" w:eastAsia="Times New Roman" w:hAnsi="Calibri" w:cs="Calibri"/>
          <w:kern w:val="0"/>
          <w:sz w:val="24"/>
          <w:szCs w:val="24"/>
          <w:lang w:eastAsia="en-GB"/>
          <w14:ligatures w14:val="none"/>
        </w:rPr>
        <w:t>doi:https</w:t>
      </w:r>
      <w:proofErr w:type="spellEnd"/>
      <w:r w:rsidRPr="00CB712A">
        <w:rPr>
          <w:rFonts w:ascii="Calibri" w:eastAsia="Times New Roman" w:hAnsi="Calibri" w:cs="Calibri"/>
          <w:kern w:val="0"/>
          <w:sz w:val="24"/>
          <w:szCs w:val="24"/>
          <w:lang w:eastAsia="en-GB"/>
          <w14:ligatures w14:val="none"/>
        </w:rPr>
        <w:t>://doi.org/10.1080/15022250.2021.1921021.</w:t>
      </w:r>
    </w:p>
    <w:p w14:paraId="11ECAA81"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lastRenderedPageBreak/>
        <w:t xml:space="preserve">Huang, Y., Wu, J. and Shi, W. (2018). The Impact of Font Choice on Web pages: Relationship with Willingness to Pay and Tourism Motivation. </w:t>
      </w:r>
      <w:r w:rsidRPr="003715F6">
        <w:rPr>
          <w:rFonts w:ascii="Calibri" w:eastAsia="Times New Roman" w:hAnsi="Calibri" w:cs="Calibri"/>
          <w:i/>
          <w:iCs/>
          <w:kern w:val="0"/>
          <w:sz w:val="24"/>
          <w:szCs w:val="24"/>
          <w:lang w:eastAsia="en-GB"/>
          <w14:ligatures w14:val="none"/>
        </w:rPr>
        <w:t>Tourism Management</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66, pp.191–199. </w:t>
      </w:r>
      <w:proofErr w:type="spellStart"/>
      <w:r w:rsidRPr="003715F6">
        <w:rPr>
          <w:rFonts w:ascii="Calibri" w:eastAsia="Times New Roman" w:hAnsi="Calibri" w:cs="Calibri"/>
          <w:kern w:val="0"/>
          <w:sz w:val="24"/>
          <w:szCs w:val="24"/>
          <w:lang w:eastAsia="en-GB"/>
          <w14:ligatures w14:val="none"/>
        </w:rPr>
        <w:t>doi:https</w:t>
      </w:r>
      <w:proofErr w:type="spellEnd"/>
      <w:r w:rsidRPr="003715F6">
        <w:rPr>
          <w:rFonts w:ascii="Calibri" w:eastAsia="Times New Roman" w:hAnsi="Calibri" w:cs="Calibri"/>
          <w:kern w:val="0"/>
          <w:sz w:val="24"/>
          <w:szCs w:val="24"/>
          <w:lang w:eastAsia="en-GB"/>
          <w14:ligatures w14:val="none"/>
        </w:rPr>
        <w:t>://doi.org/10.1016/j.tourman.2017.12.010.</w:t>
      </w:r>
    </w:p>
    <w:p w14:paraId="3F55C8C4" w14:textId="77777777" w:rsidR="007B7051" w:rsidRPr="00CB712A" w:rsidRDefault="007B7051" w:rsidP="00CB712A">
      <w:pPr>
        <w:spacing w:after="240" w:line="360" w:lineRule="auto"/>
        <w:rPr>
          <w:rFonts w:ascii="Calibri" w:eastAsia="Times New Roman" w:hAnsi="Calibri" w:cs="Calibri"/>
          <w:kern w:val="0"/>
          <w:sz w:val="24"/>
          <w:szCs w:val="24"/>
          <w:lang w:eastAsia="en-GB"/>
          <w14:ligatures w14:val="none"/>
        </w:rPr>
      </w:pPr>
      <w:r w:rsidRPr="00CB712A">
        <w:rPr>
          <w:rFonts w:ascii="Calibri" w:eastAsia="Times New Roman" w:hAnsi="Calibri" w:cs="Calibri"/>
          <w:kern w:val="0"/>
          <w:sz w:val="24"/>
          <w:szCs w:val="24"/>
          <w:lang w:eastAsia="en-GB"/>
          <w14:ligatures w14:val="none"/>
        </w:rPr>
        <w:t xml:space="preserve">IGI Global (2019). </w:t>
      </w:r>
      <w:r w:rsidRPr="00CB712A">
        <w:rPr>
          <w:rFonts w:ascii="Calibri" w:eastAsia="Times New Roman" w:hAnsi="Calibri" w:cs="Calibri"/>
          <w:i/>
          <w:iCs/>
          <w:kern w:val="0"/>
          <w:sz w:val="24"/>
          <w:szCs w:val="24"/>
          <w:lang w:eastAsia="en-GB"/>
          <w14:ligatures w14:val="none"/>
        </w:rPr>
        <w:t>Sustainable Tourism: Breakthroughs in Research and Practice</w:t>
      </w:r>
      <w:r w:rsidRPr="00CB712A">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United States of America: IGI Global, pp.1–522. Available at: https://www-igi-global-com.ezproxy.uwtsd.ac.uk/gateway/book/207674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Accessed 1 Mar</w:t>
      </w:r>
      <w:r>
        <w:rPr>
          <w:rFonts w:ascii="Calibri" w:eastAsia="Times New Roman" w:hAnsi="Calibri" w:cs="Calibri"/>
          <w:kern w:val="0"/>
          <w:sz w:val="24"/>
          <w:szCs w:val="24"/>
          <w:lang w:eastAsia="en-GB"/>
          <w14:ligatures w14:val="none"/>
        </w:rPr>
        <w:t>ch</w:t>
      </w:r>
      <w:r w:rsidRPr="00CB712A">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w:t>
      </w:r>
    </w:p>
    <w:p w14:paraId="5903DFFE" w14:textId="77777777" w:rsidR="007B7051" w:rsidRPr="00CB712A" w:rsidRDefault="007B7051" w:rsidP="00CB712A">
      <w:pPr>
        <w:spacing w:after="240" w:line="360" w:lineRule="auto"/>
        <w:rPr>
          <w:rFonts w:ascii="Calibri" w:eastAsia="Times New Roman" w:hAnsi="Calibri" w:cs="Calibri"/>
          <w:kern w:val="0"/>
          <w:sz w:val="24"/>
          <w:szCs w:val="24"/>
          <w:lang w:eastAsia="en-GB"/>
          <w14:ligatures w14:val="none"/>
        </w:rPr>
      </w:pPr>
      <w:r w:rsidRPr="00CB712A">
        <w:rPr>
          <w:rFonts w:ascii="Calibri" w:eastAsia="Times New Roman" w:hAnsi="Calibri" w:cs="Calibri"/>
          <w:kern w:val="0"/>
          <w:sz w:val="24"/>
          <w:szCs w:val="24"/>
          <w:lang w:eastAsia="en-GB"/>
          <w14:ligatures w14:val="none"/>
        </w:rPr>
        <w:t xml:space="preserve">IGI Global (2022). </w:t>
      </w:r>
      <w:r w:rsidRPr="00CB712A">
        <w:rPr>
          <w:rFonts w:ascii="Calibri" w:eastAsia="Times New Roman" w:hAnsi="Calibri" w:cs="Calibri"/>
          <w:i/>
          <w:iCs/>
          <w:kern w:val="0"/>
          <w:sz w:val="24"/>
          <w:szCs w:val="24"/>
          <w:lang w:eastAsia="en-GB"/>
          <w14:ligatures w14:val="none"/>
        </w:rPr>
        <w:t>New Governance and Management in Touristic Destinations</w:t>
      </w:r>
      <w:r w:rsidRPr="00CB712A">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United States of America: IGI Global, pp.1–357. Available at: https://www-igi-global-com.ezproxy.uwtsd.ac.uk/gateway/book/286752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Accessed 1 Mar</w:t>
      </w:r>
      <w:r>
        <w:rPr>
          <w:rFonts w:ascii="Calibri" w:eastAsia="Times New Roman" w:hAnsi="Calibri" w:cs="Calibri"/>
          <w:kern w:val="0"/>
          <w:sz w:val="24"/>
          <w:szCs w:val="24"/>
          <w:lang w:eastAsia="en-GB"/>
          <w14:ligatures w14:val="none"/>
        </w:rPr>
        <w:t>ch</w:t>
      </w:r>
      <w:r w:rsidRPr="00CB712A">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w:t>
      </w:r>
    </w:p>
    <w:p w14:paraId="04B4F67C" w14:textId="77777777" w:rsidR="007B7051" w:rsidRPr="00CB712A" w:rsidRDefault="007B7051" w:rsidP="00CB712A">
      <w:pPr>
        <w:spacing w:after="240" w:line="360" w:lineRule="auto"/>
        <w:rPr>
          <w:rFonts w:ascii="Calibri" w:eastAsia="Times New Roman" w:hAnsi="Calibri" w:cs="Calibri"/>
          <w:kern w:val="0"/>
          <w:sz w:val="24"/>
          <w:szCs w:val="24"/>
          <w:lang w:eastAsia="en-GB"/>
          <w14:ligatures w14:val="none"/>
        </w:rPr>
      </w:pPr>
      <w:proofErr w:type="spellStart"/>
      <w:r w:rsidRPr="00CB712A">
        <w:rPr>
          <w:rFonts w:ascii="Calibri" w:eastAsia="Times New Roman" w:hAnsi="Calibri" w:cs="Calibri"/>
          <w:kern w:val="0"/>
          <w:sz w:val="24"/>
          <w:szCs w:val="24"/>
          <w:lang w:eastAsia="en-GB"/>
          <w14:ligatures w14:val="none"/>
        </w:rPr>
        <w:t>Kostanje</w:t>
      </w:r>
      <w:proofErr w:type="spellEnd"/>
      <w:r w:rsidRPr="00CB712A">
        <w:rPr>
          <w:rFonts w:ascii="Calibri" w:eastAsia="Times New Roman" w:hAnsi="Calibri" w:cs="Calibri"/>
          <w:kern w:val="0"/>
          <w:sz w:val="24"/>
          <w:szCs w:val="24"/>
          <w:lang w:eastAsia="en-GB"/>
          <w14:ligatures w14:val="none"/>
        </w:rPr>
        <w:t xml:space="preserve">, M.E., Babu, G. and Nedelea, A.-M. (2020). </w:t>
      </w:r>
      <w:r w:rsidRPr="00CB712A">
        <w:rPr>
          <w:rFonts w:ascii="Calibri" w:eastAsia="Times New Roman" w:hAnsi="Calibri" w:cs="Calibri"/>
          <w:i/>
          <w:iCs/>
          <w:kern w:val="0"/>
          <w:sz w:val="24"/>
          <w:szCs w:val="24"/>
          <w:lang w:eastAsia="en-GB"/>
          <w14:ligatures w14:val="none"/>
        </w:rPr>
        <w:t>Strategies for Promoting Sustainable Hospitality and Tourism Services</w:t>
      </w:r>
      <w:r w:rsidRPr="00CB712A">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United States of America: IGI Global, pp.1–243. Available at: https://www-igi-global-com.ezproxy.uwtsd.ac.uk/gateway/book/244421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Accessed 29 Feb</w:t>
      </w:r>
      <w:r>
        <w:rPr>
          <w:rFonts w:ascii="Calibri" w:eastAsia="Times New Roman" w:hAnsi="Calibri" w:cs="Calibri"/>
          <w:kern w:val="0"/>
          <w:sz w:val="24"/>
          <w:szCs w:val="24"/>
          <w:lang w:eastAsia="en-GB"/>
          <w14:ligatures w14:val="none"/>
        </w:rPr>
        <w:t>ruary</w:t>
      </w:r>
      <w:r w:rsidRPr="00CB712A">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2D60930B"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proofErr w:type="spellStart"/>
      <w:r w:rsidRPr="003715F6">
        <w:rPr>
          <w:rFonts w:ascii="Calibri" w:eastAsia="Times New Roman" w:hAnsi="Calibri" w:cs="Calibri"/>
          <w:kern w:val="0"/>
          <w:sz w:val="24"/>
          <w:szCs w:val="24"/>
          <w:lang w:eastAsia="en-GB"/>
          <w14:ligatures w14:val="none"/>
        </w:rPr>
        <w:t>Llanso</w:t>
      </w:r>
      <w:proofErr w:type="spellEnd"/>
      <w:r w:rsidRPr="003715F6">
        <w:rPr>
          <w:rFonts w:ascii="Calibri" w:eastAsia="Times New Roman" w:hAnsi="Calibri" w:cs="Calibri"/>
          <w:kern w:val="0"/>
          <w:sz w:val="24"/>
          <w:szCs w:val="24"/>
          <w:lang w:eastAsia="en-GB"/>
          <w14:ligatures w14:val="none"/>
        </w:rPr>
        <w:t xml:space="preserve">, L. (2024). </w:t>
      </w:r>
      <w:r w:rsidRPr="003715F6">
        <w:rPr>
          <w:rFonts w:ascii="Calibri" w:eastAsia="Times New Roman" w:hAnsi="Calibri" w:cs="Calibri"/>
          <w:i/>
          <w:iCs/>
          <w:kern w:val="0"/>
          <w:sz w:val="24"/>
          <w:szCs w:val="24"/>
          <w:lang w:eastAsia="en-GB"/>
          <w14:ligatures w14:val="none"/>
        </w:rPr>
        <w:t>The Rise of Sustainability in Hospitality: the Pivotal Role of Energy Efficiency</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w:t>
      </w:r>
      <w:proofErr w:type="spellStart"/>
      <w:r w:rsidRPr="003715F6">
        <w:rPr>
          <w:rFonts w:ascii="Calibri" w:eastAsia="Times New Roman" w:hAnsi="Calibri" w:cs="Calibri"/>
          <w:kern w:val="0"/>
          <w:sz w:val="24"/>
          <w:szCs w:val="24"/>
          <w:lang w:eastAsia="en-GB"/>
          <w14:ligatures w14:val="none"/>
        </w:rPr>
        <w:t>Spacewell</w:t>
      </w:r>
      <w:proofErr w:type="spellEnd"/>
      <w:r w:rsidRPr="003715F6">
        <w:rPr>
          <w:rFonts w:ascii="Calibri" w:eastAsia="Times New Roman" w:hAnsi="Calibri" w:cs="Calibri"/>
          <w:kern w:val="0"/>
          <w:sz w:val="24"/>
          <w:szCs w:val="24"/>
          <w:lang w:eastAsia="en-GB"/>
          <w14:ligatures w14:val="none"/>
        </w:rPr>
        <w:t xml:space="preserve"> Energy (</w:t>
      </w:r>
      <w:proofErr w:type="spellStart"/>
      <w:r w:rsidRPr="003715F6">
        <w:rPr>
          <w:rFonts w:ascii="Calibri" w:eastAsia="Times New Roman" w:hAnsi="Calibri" w:cs="Calibri"/>
          <w:kern w:val="0"/>
          <w:sz w:val="24"/>
          <w:szCs w:val="24"/>
          <w:lang w:eastAsia="en-GB"/>
          <w14:ligatures w14:val="none"/>
        </w:rPr>
        <w:t>Dexma</w:t>
      </w:r>
      <w:proofErr w:type="spellEnd"/>
      <w:r w:rsidRPr="003715F6">
        <w:rPr>
          <w:rFonts w:ascii="Calibri" w:eastAsia="Times New Roman" w:hAnsi="Calibri" w:cs="Calibri"/>
          <w:kern w:val="0"/>
          <w:sz w:val="24"/>
          <w:szCs w:val="24"/>
          <w:lang w:eastAsia="en-GB"/>
          <w14:ligatures w14:val="none"/>
        </w:rPr>
        <w:t xml:space="preserve">). Available at: https://www.dexma.com/blog-en/the-rise-of-sustainability-in-hospitality-the-pivotal-role-of-energy-efficiency/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Accessed 18 Jul</w:t>
      </w:r>
      <w:r>
        <w:rPr>
          <w:rFonts w:ascii="Calibri" w:eastAsia="Times New Roman" w:hAnsi="Calibri" w:cs="Calibri"/>
          <w:kern w:val="0"/>
          <w:sz w:val="24"/>
          <w:szCs w:val="24"/>
          <w:lang w:eastAsia="en-GB"/>
          <w14:ligatures w14:val="none"/>
        </w:rPr>
        <w:t>y</w:t>
      </w:r>
      <w:r w:rsidRPr="003715F6">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6CF5D5F9" w14:textId="77777777" w:rsidR="007B7051" w:rsidRPr="00CB712A" w:rsidRDefault="007B7051" w:rsidP="00CB712A">
      <w:pPr>
        <w:spacing w:after="240" w:line="360" w:lineRule="auto"/>
        <w:rPr>
          <w:rFonts w:ascii="Calibri" w:eastAsia="Times New Roman" w:hAnsi="Calibri" w:cs="Calibri"/>
          <w:kern w:val="0"/>
          <w:sz w:val="24"/>
          <w:szCs w:val="24"/>
          <w:lang w:eastAsia="en-GB"/>
          <w14:ligatures w14:val="none"/>
        </w:rPr>
      </w:pPr>
      <w:r w:rsidRPr="00CB712A">
        <w:rPr>
          <w:rFonts w:ascii="Calibri" w:eastAsia="Times New Roman" w:hAnsi="Calibri" w:cs="Calibri"/>
          <w:kern w:val="0"/>
          <w:sz w:val="24"/>
          <w:szCs w:val="24"/>
          <w:lang w:eastAsia="en-GB"/>
          <w14:ligatures w14:val="none"/>
        </w:rPr>
        <w:t xml:space="preserve">London College Of Contemporary Arts (2023). </w:t>
      </w:r>
      <w:r w:rsidRPr="00CB712A">
        <w:rPr>
          <w:rFonts w:ascii="Calibri" w:eastAsia="Times New Roman" w:hAnsi="Calibri" w:cs="Calibri"/>
          <w:i/>
          <w:iCs/>
          <w:kern w:val="0"/>
          <w:sz w:val="24"/>
          <w:szCs w:val="24"/>
          <w:lang w:eastAsia="en-GB"/>
          <w14:ligatures w14:val="none"/>
        </w:rPr>
        <w:t>Why Is Sustainability Crucial to Success in the Hospitality industry? | LCCA Blog</w:t>
      </w:r>
      <w:r w:rsidRPr="00CB712A">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www.lcca.org.uk. Available at: https://www.lcca.org.uk/blog/hospitality/why-is-sustainability-crucial-to-success-in-the-hospitality-industry/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Accessed 26 Feb. 2024</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w:t>
      </w:r>
    </w:p>
    <w:p w14:paraId="2E1EAE84" w14:textId="77777777" w:rsidR="007B7051" w:rsidRPr="00CB712A" w:rsidRDefault="007B7051" w:rsidP="00CB712A">
      <w:pPr>
        <w:spacing w:after="240" w:line="360" w:lineRule="auto"/>
        <w:rPr>
          <w:rFonts w:ascii="Calibri" w:eastAsia="Times New Roman" w:hAnsi="Calibri" w:cs="Calibri"/>
          <w:kern w:val="0"/>
          <w:sz w:val="24"/>
          <w:szCs w:val="24"/>
          <w:lang w:eastAsia="en-GB"/>
          <w14:ligatures w14:val="none"/>
        </w:rPr>
      </w:pPr>
      <w:r w:rsidRPr="00CB712A">
        <w:rPr>
          <w:rFonts w:ascii="Calibri" w:eastAsia="Times New Roman" w:hAnsi="Calibri" w:cs="Calibri"/>
          <w:kern w:val="0"/>
          <w:sz w:val="24"/>
          <w:szCs w:val="24"/>
          <w:lang w:eastAsia="en-GB"/>
          <w14:ligatures w14:val="none"/>
        </w:rPr>
        <w:t xml:space="preserve">Mensah, I. (2019). </w:t>
      </w:r>
      <w:r w:rsidRPr="00CB712A">
        <w:rPr>
          <w:rFonts w:ascii="Calibri" w:eastAsia="Times New Roman" w:hAnsi="Calibri" w:cs="Calibri"/>
          <w:i/>
          <w:iCs/>
          <w:kern w:val="0"/>
          <w:sz w:val="24"/>
          <w:szCs w:val="24"/>
          <w:lang w:eastAsia="en-GB"/>
          <w14:ligatures w14:val="none"/>
        </w:rPr>
        <w:t>Environmental Management Concepts and Practices for the Hospitality Industry</w:t>
      </w:r>
      <w:r w:rsidRPr="00CB712A">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w:t>
      </w:r>
      <w:r w:rsidRPr="00CB712A">
        <w:rPr>
          <w:rFonts w:ascii="Calibri" w:eastAsia="Times New Roman" w:hAnsi="Calibri" w:cs="Calibri"/>
          <w:i/>
          <w:iCs/>
          <w:kern w:val="0"/>
          <w:sz w:val="24"/>
          <w:szCs w:val="24"/>
          <w:lang w:eastAsia="en-GB"/>
          <w14:ligatures w14:val="none"/>
        </w:rPr>
        <w:t>Google Books</w:t>
      </w:r>
      <w:r w:rsidRPr="00CB712A">
        <w:rPr>
          <w:rFonts w:ascii="Calibri" w:eastAsia="Times New Roman" w:hAnsi="Calibri" w:cs="Calibri"/>
          <w:kern w:val="0"/>
          <w:sz w:val="24"/>
          <w:szCs w:val="24"/>
          <w:lang w:eastAsia="en-GB"/>
          <w14:ligatures w14:val="none"/>
        </w:rPr>
        <w:t xml:space="preserve">. Cambridge Scholars Publishing. Available at: https://books.google.co.uk/books?hl=en&amp;lr=&amp;id=XtGmDwAAQBAJ&amp;oi=fnd&amp;pg=PR7&amp;dq=environmental+management+in+hospitality+industry&amp;ots=sqJJifMMzT&amp;sig=k0kDHNv6v_8MQPfj6kEBzXn9D-o#v=onepage&amp;q=environmental%20management%20in%20hospitality%20industry&amp;f=fals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Accessed 1 Mar</w:t>
      </w:r>
      <w:r>
        <w:rPr>
          <w:rFonts w:ascii="Calibri" w:eastAsia="Times New Roman" w:hAnsi="Calibri" w:cs="Calibri"/>
          <w:kern w:val="0"/>
          <w:sz w:val="24"/>
          <w:szCs w:val="24"/>
          <w:lang w:eastAsia="en-GB"/>
          <w14:ligatures w14:val="none"/>
        </w:rPr>
        <w:t>ch</w:t>
      </w:r>
      <w:r w:rsidRPr="00CB712A">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w:t>
      </w:r>
    </w:p>
    <w:p w14:paraId="6A19B792" w14:textId="77777777" w:rsidR="007B7051" w:rsidRPr="00CB712A" w:rsidRDefault="007B7051" w:rsidP="00CB712A">
      <w:pPr>
        <w:spacing w:after="240" w:line="360" w:lineRule="auto"/>
        <w:rPr>
          <w:rFonts w:ascii="Calibri" w:eastAsia="Times New Roman" w:hAnsi="Calibri" w:cs="Calibri"/>
          <w:kern w:val="0"/>
          <w:sz w:val="24"/>
          <w:szCs w:val="24"/>
          <w:lang w:eastAsia="en-GB"/>
          <w14:ligatures w14:val="none"/>
        </w:rPr>
      </w:pPr>
      <w:r w:rsidRPr="00CB712A">
        <w:rPr>
          <w:rFonts w:ascii="Calibri" w:eastAsia="Times New Roman" w:hAnsi="Calibri" w:cs="Calibri"/>
          <w:kern w:val="0"/>
          <w:sz w:val="24"/>
          <w:szCs w:val="24"/>
          <w:lang w:eastAsia="en-GB"/>
          <w14:ligatures w14:val="none"/>
        </w:rPr>
        <w:lastRenderedPageBreak/>
        <w:t xml:space="preserve">Mews (2023). </w:t>
      </w:r>
      <w:r w:rsidRPr="00CB712A">
        <w:rPr>
          <w:rFonts w:ascii="Calibri" w:eastAsia="Times New Roman" w:hAnsi="Calibri" w:cs="Calibri"/>
          <w:i/>
          <w:iCs/>
          <w:kern w:val="0"/>
          <w:sz w:val="24"/>
          <w:szCs w:val="24"/>
          <w:lang w:eastAsia="en-GB"/>
          <w14:ligatures w14:val="none"/>
        </w:rPr>
        <w:t>Hotel Waste Management: How to Reduce It in Hospitality?</w:t>
      </w:r>
      <w:r w:rsidRPr="00CB712A">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www.mews.com. Available at: https://www.mews.com/en/blog/hotel-waste-management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Accessed 28 Feb</w:t>
      </w:r>
      <w:r>
        <w:rPr>
          <w:rFonts w:ascii="Calibri" w:eastAsia="Times New Roman" w:hAnsi="Calibri" w:cs="Calibri"/>
          <w:kern w:val="0"/>
          <w:sz w:val="24"/>
          <w:szCs w:val="24"/>
          <w:lang w:eastAsia="en-GB"/>
          <w14:ligatures w14:val="none"/>
        </w:rPr>
        <w:t>ruary</w:t>
      </w:r>
      <w:r w:rsidRPr="00CB712A">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w:t>
      </w:r>
    </w:p>
    <w:p w14:paraId="77A45006"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Miles, M. (2023). </w:t>
      </w:r>
      <w:r w:rsidRPr="003715F6">
        <w:rPr>
          <w:rFonts w:ascii="Calibri" w:eastAsia="Times New Roman" w:hAnsi="Calibri" w:cs="Calibri"/>
          <w:i/>
          <w:iCs/>
          <w:kern w:val="0"/>
          <w:sz w:val="24"/>
          <w:szCs w:val="24"/>
          <w:lang w:eastAsia="en-GB"/>
          <w14:ligatures w14:val="none"/>
        </w:rPr>
        <w:t>Recent Surge in Sustainability Practices in Business in the United Kingdom</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Sustainable Wedding Alliance. Available at: https://sustainableweddingalliance.com/recent-surge-in-sustainability-practices-in-business-in-the-united-kingdom/#:~:text=Consumer%20demand%20for%20sustainability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Accessed 18 Jul.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759EFD46"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NEC (2024). </w:t>
      </w:r>
      <w:r w:rsidRPr="003715F6">
        <w:rPr>
          <w:rFonts w:ascii="Calibri" w:eastAsia="Times New Roman" w:hAnsi="Calibri" w:cs="Calibri"/>
          <w:i/>
          <w:iCs/>
          <w:kern w:val="0"/>
          <w:sz w:val="24"/>
          <w:szCs w:val="24"/>
          <w:lang w:eastAsia="en-GB"/>
          <w14:ligatures w14:val="none"/>
        </w:rPr>
        <w:t>NEC4: Professional Service Subcontract | Products | NEC Contracts</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www.neccontract.com. Available at: https://www.neccontract.com/products/contracts/nec4/professional-service-contract/pss#:~:text=The%20NEC4%20Professional%20Service%20Subcontract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Accessed 18 </w:t>
      </w:r>
      <w:proofErr w:type="spellStart"/>
      <w:r w:rsidRPr="003715F6">
        <w:rPr>
          <w:rFonts w:ascii="Calibri" w:eastAsia="Times New Roman" w:hAnsi="Calibri" w:cs="Calibri"/>
          <w:kern w:val="0"/>
          <w:sz w:val="24"/>
          <w:szCs w:val="24"/>
          <w:lang w:eastAsia="en-GB"/>
          <w14:ligatures w14:val="none"/>
        </w:rPr>
        <w:t>Jul</w:t>
      </w:r>
      <w:r>
        <w:rPr>
          <w:rFonts w:ascii="Calibri" w:eastAsia="Times New Roman" w:hAnsi="Calibri" w:cs="Calibri"/>
          <w:kern w:val="0"/>
          <w:sz w:val="24"/>
          <w:szCs w:val="24"/>
          <w:lang w:eastAsia="en-GB"/>
          <w14:ligatures w14:val="none"/>
        </w:rPr>
        <w:t>Y</w:t>
      </w:r>
      <w:proofErr w:type="spellEnd"/>
      <w:r w:rsidRPr="003715F6">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6F675373"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Reserve Bank of Australia (2024). </w:t>
      </w:r>
      <w:r w:rsidRPr="003715F6">
        <w:rPr>
          <w:rFonts w:ascii="Calibri" w:eastAsia="Times New Roman" w:hAnsi="Calibri" w:cs="Calibri"/>
          <w:i/>
          <w:iCs/>
          <w:kern w:val="0"/>
          <w:sz w:val="24"/>
          <w:szCs w:val="24"/>
          <w:lang w:eastAsia="en-GB"/>
          <w14:ligatures w14:val="none"/>
        </w:rPr>
        <w:t>The Global Financial Crisis</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Reserve Bank of Australia. Available at: https://www.rba.gov.au/education/resources/explainers/the-global-financial-crisis.html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Accessed 1</w:t>
      </w:r>
      <w:r>
        <w:rPr>
          <w:rFonts w:ascii="Calibri" w:eastAsia="Times New Roman" w:hAnsi="Calibri" w:cs="Calibri"/>
          <w:kern w:val="0"/>
          <w:sz w:val="24"/>
          <w:szCs w:val="24"/>
          <w:lang w:eastAsia="en-GB"/>
          <w14:ligatures w14:val="none"/>
        </w:rPr>
        <w:t>7</w:t>
      </w:r>
      <w:r w:rsidRPr="003715F6">
        <w:rPr>
          <w:rFonts w:ascii="Calibri" w:eastAsia="Times New Roman" w:hAnsi="Calibri" w:cs="Calibri"/>
          <w:kern w:val="0"/>
          <w:sz w:val="24"/>
          <w:szCs w:val="24"/>
          <w:lang w:eastAsia="en-GB"/>
          <w14:ligatures w14:val="none"/>
        </w:rPr>
        <w:t xml:space="preserve"> Jul</w:t>
      </w:r>
      <w:r>
        <w:rPr>
          <w:rFonts w:ascii="Calibri" w:eastAsia="Times New Roman" w:hAnsi="Calibri" w:cs="Calibri"/>
          <w:kern w:val="0"/>
          <w:sz w:val="24"/>
          <w:szCs w:val="24"/>
          <w:lang w:eastAsia="en-GB"/>
          <w14:ligatures w14:val="none"/>
        </w:rPr>
        <w:t>y</w:t>
      </w:r>
      <w:r w:rsidRPr="003715F6">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69F947B4"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Revolution Ordering (2024). </w:t>
      </w:r>
      <w:r w:rsidRPr="003715F6">
        <w:rPr>
          <w:rFonts w:ascii="Calibri" w:eastAsia="Times New Roman" w:hAnsi="Calibri" w:cs="Calibri"/>
          <w:i/>
          <w:iCs/>
          <w:kern w:val="0"/>
          <w:sz w:val="24"/>
          <w:szCs w:val="24"/>
          <w:lang w:eastAsia="en-GB"/>
          <w14:ligatures w14:val="none"/>
        </w:rPr>
        <w:t>Revolution Ordering</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www.revolutionordering.com. Available at: https://www.revolutionordering.com/blog/importance-of-information-technology-in-hospitality-industry#:~:text=Information%20technology%20has%20helped%20hospitality.</w:t>
      </w:r>
    </w:p>
    <w:p w14:paraId="1B40B802"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Ross, S. (2022). </w:t>
      </w:r>
      <w:r w:rsidRPr="003715F6">
        <w:rPr>
          <w:rFonts w:ascii="Calibri" w:eastAsia="Times New Roman" w:hAnsi="Calibri" w:cs="Calibri"/>
          <w:i/>
          <w:iCs/>
          <w:kern w:val="0"/>
          <w:sz w:val="24"/>
          <w:szCs w:val="24"/>
          <w:lang w:eastAsia="en-GB"/>
          <w14:ligatures w14:val="none"/>
        </w:rPr>
        <w:t>How Terrorism Damages the Global Economy</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Investopedia. Available at: https://www.investopedia.com/articles/markets/080216/top-5-ways-terrorism-impacts-economy.asp#:~:text=Terrorist%20acts%20can%20cause%20ripple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Accessed 18 Jul</w:t>
      </w:r>
      <w:r>
        <w:rPr>
          <w:rFonts w:ascii="Calibri" w:eastAsia="Times New Roman" w:hAnsi="Calibri" w:cs="Calibri"/>
          <w:kern w:val="0"/>
          <w:sz w:val="24"/>
          <w:szCs w:val="24"/>
          <w:lang w:eastAsia="en-GB"/>
          <w14:ligatures w14:val="none"/>
        </w:rPr>
        <w:t>y</w:t>
      </w:r>
      <w:r w:rsidRPr="003715F6">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1CDFE29F" w14:textId="77777777" w:rsidR="007B7051" w:rsidRPr="00CB712A" w:rsidRDefault="007B7051" w:rsidP="00CB712A">
      <w:pPr>
        <w:spacing w:after="240" w:line="360" w:lineRule="auto"/>
        <w:rPr>
          <w:rFonts w:ascii="Calibri" w:eastAsia="Times New Roman" w:hAnsi="Calibri" w:cs="Calibri"/>
          <w:kern w:val="0"/>
          <w:sz w:val="24"/>
          <w:szCs w:val="24"/>
          <w:lang w:eastAsia="en-GB"/>
          <w14:ligatures w14:val="none"/>
        </w:rPr>
      </w:pPr>
      <w:proofErr w:type="spellStart"/>
      <w:r w:rsidRPr="00CB712A">
        <w:rPr>
          <w:rFonts w:ascii="Calibri" w:eastAsia="Times New Roman" w:hAnsi="Calibri" w:cs="Calibri"/>
          <w:kern w:val="0"/>
          <w:sz w:val="24"/>
          <w:szCs w:val="24"/>
          <w:lang w:eastAsia="en-GB"/>
          <w14:ligatures w14:val="none"/>
        </w:rPr>
        <w:t>Schöggl</w:t>
      </w:r>
      <w:proofErr w:type="spellEnd"/>
      <w:r w:rsidRPr="00CB712A">
        <w:rPr>
          <w:rFonts w:ascii="Calibri" w:eastAsia="Times New Roman" w:hAnsi="Calibri" w:cs="Calibri"/>
          <w:kern w:val="0"/>
          <w:sz w:val="24"/>
          <w:szCs w:val="24"/>
          <w:lang w:eastAsia="en-GB"/>
          <w14:ligatures w14:val="none"/>
        </w:rPr>
        <w:t xml:space="preserve">, J.-P., Stumpf, L. and Baumgartner, R.J. (2020). The Narrative of Sustainability and Circular Economy - a Longitudinal Review of Two Decades of Research. </w:t>
      </w:r>
      <w:r w:rsidRPr="00CB712A">
        <w:rPr>
          <w:rFonts w:ascii="Calibri" w:eastAsia="Times New Roman" w:hAnsi="Calibri" w:cs="Calibri"/>
          <w:i/>
          <w:iCs/>
          <w:kern w:val="0"/>
          <w:sz w:val="24"/>
          <w:szCs w:val="24"/>
          <w:lang w:eastAsia="en-GB"/>
          <w14:ligatures w14:val="none"/>
        </w:rPr>
        <w:t>Resources, Conservation and Recycling</w:t>
      </w:r>
      <w:r w:rsidRPr="00CB712A">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163, p.105073. </w:t>
      </w:r>
      <w:proofErr w:type="spellStart"/>
      <w:r w:rsidRPr="00CB712A">
        <w:rPr>
          <w:rFonts w:ascii="Calibri" w:eastAsia="Times New Roman" w:hAnsi="Calibri" w:cs="Calibri"/>
          <w:kern w:val="0"/>
          <w:sz w:val="24"/>
          <w:szCs w:val="24"/>
          <w:lang w:eastAsia="en-GB"/>
          <w14:ligatures w14:val="none"/>
        </w:rPr>
        <w:t>doi:https</w:t>
      </w:r>
      <w:proofErr w:type="spellEnd"/>
      <w:r w:rsidRPr="00CB712A">
        <w:rPr>
          <w:rFonts w:ascii="Calibri" w:eastAsia="Times New Roman" w:hAnsi="Calibri" w:cs="Calibri"/>
          <w:kern w:val="0"/>
          <w:sz w:val="24"/>
          <w:szCs w:val="24"/>
          <w:lang w:eastAsia="en-GB"/>
          <w14:ligatures w14:val="none"/>
        </w:rPr>
        <w:t>://doi.org/10.1016/j.resconrec.2020.105073.</w:t>
      </w:r>
    </w:p>
    <w:p w14:paraId="5405A296"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lastRenderedPageBreak/>
        <w:t xml:space="preserve">Systems Change Lab (n.d.). </w:t>
      </w:r>
      <w:r w:rsidRPr="003715F6">
        <w:rPr>
          <w:rFonts w:ascii="Calibri" w:eastAsia="Times New Roman" w:hAnsi="Calibri" w:cs="Calibri"/>
          <w:i/>
          <w:iCs/>
          <w:kern w:val="0"/>
          <w:sz w:val="24"/>
          <w:szCs w:val="24"/>
          <w:lang w:eastAsia="en-GB"/>
          <w14:ligatures w14:val="none"/>
        </w:rPr>
        <w:t>Improving Urban Waste Management to Create zero-waste Cities | Systems Change Lab</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systemschangelab.org. Available at: https://systemschangelab.org/cities/urban-waste-management-zero-waste-cities?utm_source=google&amp;utm_medium=paid-search&amp;utm_campaign=SCL-cities&amp;gad_source=1&amp;gclid=CjwKCAjwnei0BhB-EiwAA2xuBmD7xPNxqkIUce1UbA3OmduO3Z4kc7fGSBBGXM63Byx4x4NsHhVs-xoCZUEQAvD_BwE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Accessed 18 Jul</w:t>
      </w:r>
      <w:r>
        <w:rPr>
          <w:rFonts w:ascii="Calibri" w:eastAsia="Times New Roman" w:hAnsi="Calibri" w:cs="Calibri"/>
          <w:kern w:val="0"/>
          <w:sz w:val="24"/>
          <w:szCs w:val="24"/>
          <w:lang w:eastAsia="en-GB"/>
          <w14:ligatures w14:val="none"/>
        </w:rPr>
        <w:t>y</w:t>
      </w:r>
      <w:r w:rsidRPr="003715F6">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773B3080"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proofErr w:type="spellStart"/>
      <w:r w:rsidRPr="003715F6">
        <w:rPr>
          <w:rFonts w:ascii="Calibri" w:eastAsia="Times New Roman" w:hAnsi="Calibri" w:cs="Calibri"/>
          <w:kern w:val="0"/>
          <w:sz w:val="24"/>
          <w:szCs w:val="24"/>
          <w:lang w:eastAsia="en-GB"/>
          <w14:ligatures w14:val="none"/>
        </w:rPr>
        <w:t>Tamanine</w:t>
      </w:r>
      <w:proofErr w:type="spellEnd"/>
      <w:r w:rsidRPr="003715F6">
        <w:rPr>
          <w:rFonts w:ascii="Calibri" w:eastAsia="Times New Roman" w:hAnsi="Calibri" w:cs="Calibri"/>
          <w:kern w:val="0"/>
          <w:sz w:val="24"/>
          <w:szCs w:val="24"/>
          <w:lang w:eastAsia="en-GB"/>
          <w14:ligatures w14:val="none"/>
        </w:rPr>
        <w:t xml:space="preserve">, R. and </w:t>
      </w:r>
      <w:proofErr w:type="spellStart"/>
      <w:r w:rsidRPr="003715F6">
        <w:rPr>
          <w:rFonts w:ascii="Calibri" w:eastAsia="Times New Roman" w:hAnsi="Calibri" w:cs="Calibri"/>
          <w:kern w:val="0"/>
          <w:sz w:val="24"/>
          <w:szCs w:val="24"/>
          <w:lang w:eastAsia="en-GB"/>
          <w14:ligatures w14:val="none"/>
        </w:rPr>
        <w:t>Houssas</w:t>
      </w:r>
      <w:proofErr w:type="spellEnd"/>
      <w:r w:rsidRPr="003715F6">
        <w:rPr>
          <w:rFonts w:ascii="Calibri" w:eastAsia="Times New Roman" w:hAnsi="Calibri" w:cs="Calibri"/>
          <w:kern w:val="0"/>
          <w:sz w:val="24"/>
          <w:szCs w:val="24"/>
          <w:lang w:eastAsia="en-GB"/>
          <w14:ligatures w14:val="none"/>
        </w:rPr>
        <w:t xml:space="preserve">, M. (2023). </w:t>
      </w:r>
      <w:r w:rsidRPr="003715F6">
        <w:rPr>
          <w:rFonts w:ascii="Calibri" w:eastAsia="Times New Roman" w:hAnsi="Calibri" w:cs="Calibri"/>
          <w:i/>
          <w:iCs/>
          <w:kern w:val="0"/>
          <w:sz w:val="24"/>
          <w:szCs w:val="24"/>
          <w:lang w:eastAsia="en-GB"/>
          <w14:ligatures w14:val="none"/>
        </w:rPr>
        <w:t>Fostering Destination Resilience: a Conceptual Framework Linking Sustainable Tourism and Tourism Threats | RIMEC</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RIMEC. Available at: http://revue-rimec.org/fostering-destination-resilience-a-conceptual-framework-linking-sustainable-tourism-and-tourism-threats/#:~:text=.%2C%202020).-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Accessed 18 Jul</w:t>
      </w:r>
      <w:r>
        <w:rPr>
          <w:rFonts w:ascii="Calibri" w:eastAsia="Times New Roman" w:hAnsi="Calibri" w:cs="Calibri"/>
          <w:kern w:val="0"/>
          <w:sz w:val="24"/>
          <w:szCs w:val="24"/>
          <w:lang w:eastAsia="en-GB"/>
          <w14:ligatures w14:val="none"/>
        </w:rPr>
        <w:t>y</w:t>
      </w:r>
      <w:r w:rsidRPr="003715F6">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34C0A0CD"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The Insider (2022). </w:t>
      </w:r>
      <w:r w:rsidRPr="003715F6">
        <w:rPr>
          <w:rFonts w:ascii="Calibri" w:eastAsia="Times New Roman" w:hAnsi="Calibri" w:cs="Calibri"/>
          <w:i/>
          <w:iCs/>
          <w:kern w:val="0"/>
          <w:sz w:val="24"/>
          <w:szCs w:val="24"/>
          <w:lang w:eastAsia="en-GB"/>
          <w14:ligatures w14:val="none"/>
        </w:rPr>
        <w:t>Hospitality in the ‘new normal’: Challenges and Opportunities in a post-Covid World</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Glion Website. Available at: https://www.glion.edu/magazine/hospitality-challenges-opportunities-post-covid/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Accessed 18 Jul</w:t>
      </w:r>
      <w:r>
        <w:rPr>
          <w:rFonts w:ascii="Calibri" w:eastAsia="Times New Roman" w:hAnsi="Calibri" w:cs="Calibri"/>
          <w:kern w:val="0"/>
          <w:sz w:val="24"/>
          <w:szCs w:val="24"/>
          <w:lang w:eastAsia="en-GB"/>
          <w14:ligatures w14:val="none"/>
        </w:rPr>
        <w:t>y</w:t>
      </w:r>
      <w:r w:rsidRPr="003715F6">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5CE5AD84"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Toikka, J. (2023). </w:t>
      </w:r>
      <w:r w:rsidRPr="003715F6">
        <w:rPr>
          <w:rFonts w:ascii="Calibri" w:eastAsia="Times New Roman" w:hAnsi="Calibri" w:cs="Calibri"/>
          <w:i/>
          <w:iCs/>
          <w:kern w:val="0"/>
          <w:sz w:val="24"/>
          <w:szCs w:val="24"/>
          <w:lang w:eastAsia="en-GB"/>
          <w14:ligatures w14:val="none"/>
        </w:rPr>
        <w:t>What Is Sustainable Procurement and Why Is It important?</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sievo.com. Available at: https://sievo.com/blog/sustainable-procurement-part1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Accessed 18 Jul</w:t>
      </w:r>
      <w:r>
        <w:rPr>
          <w:rFonts w:ascii="Calibri" w:eastAsia="Times New Roman" w:hAnsi="Calibri" w:cs="Calibri"/>
          <w:kern w:val="0"/>
          <w:sz w:val="24"/>
          <w:szCs w:val="24"/>
          <w:lang w:eastAsia="en-GB"/>
          <w14:ligatures w14:val="none"/>
        </w:rPr>
        <w:t>y</w:t>
      </w:r>
      <w:r w:rsidRPr="003715F6">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723E8102" w14:textId="77777777" w:rsidR="007B7051" w:rsidRPr="00CB712A" w:rsidRDefault="007B7051" w:rsidP="00CB712A">
      <w:pPr>
        <w:spacing w:after="240" w:line="360" w:lineRule="auto"/>
        <w:rPr>
          <w:rFonts w:ascii="Calibri" w:eastAsia="Times New Roman" w:hAnsi="Calibri" w:cs="Calibri"/>
          <w:kern w:val="0"/>
          <w:sz w:val="24"/>
          <w:szCs w:val="24"/>
          <w:lang w:eastAsia="en-GB"/>
          <w14:ligatures w14:val="none"/>
        </w:rPr>
      </w:pPr>
      <w:r w:rsidRPr="00CB712A">
        <w:rPr>
          <w:rFonts w:ascii="Calibri" w:eastAsia="Times New Roman" w:hAnsi="Calibri" w:cs="Calibri"/>
          <w:kern w:val="0"/>
          <w:sz w:val="24"/>
          <w:szCs w:val="24"/>
          <w:lang w:eastAsia="en-GB"/>
          <w14:ligatures w14:val="none"/>
        </w:rPr>
        <w:t xml:space="preserve">Wickham, M., Donelly, T. and Linda, F. (2021). </w:t>
      </w:r>
      <w:r w:rsidRPr="00CB712A">
        <w:rPr>
          <w:rFonts w:ascii="Calibri" w:eastAsia="Times New Roman" w:hAnsi="Calibri" w:cs="Calibri"/>
          <w:i/>
          <w:iCs/>
          <w:kern w:val="0"/>
          <w:sz w:val="24"/>
          <w:szCs w:val="24"/>
          <w:lang w:eastAsia="en-GB"/>
          <w14:ligatures w14:val="none"/>
        </w:rPr>
        <w:t>Strategic Sustainability Management in the Event Sector</w:t>
      </w:r>
      <w:r w:rsidRPr="00CB712A">
        <w:rPr>
          <w:rFonts w:ascii="Calibri" w:eastAsia="Times New Roman" w:hAnsi="Calibri" w:cs="Calibri"/>
          <w:kern w:val="0"/>
          <w:sz w:val="24"/>
          <w:szCs w:val="24"/>
          <w:lang w:eastAsia="en-GB"/>
          <w14:ligatures w14:val="none"/>
        </w:rPr>
        <w:t xml:space="preserve">. 3rd ed.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pp.279–296. Available at: https://www.proquest.com/docview/2779425469/fulltextPDF/BD9D34D22EED461EPQ/1?accountid=130472&amp;sourcetype=Scholarly%20Journals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Accessed 1 Mar</w:t>
      </w:r>
      <w:r>
        <w:rPr>
          <w:rFonts w:ascii="Calibri" w:eastAsia="Times New Roman" w:hAnsi="Calibri" w:cs="Calibri"/>
          <w:kern w:val="0"/>
          <w:sz w:val="24"/>
          <w:szCs w:val="24"/>
          <w:lang w:eastAsia="en-GB"/>
          <w14:ligatures w14:val="none"/>
        </w:rPr>
        <w:t>ch</w:t>
      </w:r>
      <w:r w:rsidRPr="00CB712A">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w:t>
      </w:r>
    </w:p>
    <w:p w14:paraId="62E824AF" w14:textId="77777777" w:rsidR="007B7051" w:rsidRPr="003715F6" w:rsidRDefault="007B7051" w:rsidP="003715F6">
      <w:pPr>
        <w:spacing w:after="240" w:line="360" w:lineRule="auto"/>
        <w:rPr>
          <w:rFonts w:ascii="Calibri" w:eastAsia="Times New Roman" w:hAnsi="Calibri" w:cs="Calibri"/>
          <w:kern w:val="0"/>
          <w:sz w:val="24"/>
          <w:szCs w:val="24"/>
          <w:lang w:eastAsia="en-GB"/>
          <w14:ligatures w14:val="none"/>
        </w:rPr>
      </w:pPr>
      <w:r w:rsidRPr="003715F6">
        <w:rPr>
          <w:rFonts w:ascii="Calibri" w:eastAsia="Times New Roman" w:hAnsi="Calibri" w:cs="Calibri"/>
          <w:kern w:val="0"/>
          <w:sz w:val="24"/>
          <w:szCs w:val="24"/>
          <w:lang w:eastAsia="en-GB"/>
          <w14:ligatures w14:val="none"/>
        </w:rPr>
        <w:t xml:space="preserve">World Sustainable Hospitality Alliance (2021). </w:t>
      </w:r>
      <w:r w:rsidRPr="003715F6">
        <w:rPr>
          <w:rFonts w:ascii="Calibri" w:eastAsia="Times New Roman" w:hAnsi="Calibri" w:cs="Calibri"/>
          <w:i/>
          <w:iCs/>
          <w:kern w:val="0"/>
          <w:sz w:val="24"/>
          <w:szCs w:val="24"/>
          <w:lang w:eastAsia="en-GB"/>
          <w14:ligatures w14:val="none"/>
        </w:rPr>
        <w:t>World Water Week: Ways to Reduce Water Consumption in Hotels</w:t>
      </w:r>
      <w:r w:rsidRPr="003715F6">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 xml:space="preserve"> Sustainable Hospitality Alliance. Available at: https://sustainablehospitalityalliance.org/ways-to-reduce-water-consumption-in-hotels/ </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Accessed 18 Jul</w:t>
      </w:r>
      <w:r>
        <w:rPr>
          <w:rFonts w:ascii="Calibri" w:eastAsia="Times New Roman" w:hAnsi="Calibri" w:cs="Calibri"/>
          <w:kern w:val="0"/>
          <w:sz w:val="24"/>
          <w:szCs w:val="24"/>
          <w:lang w:eastAsia="en-GB"/>
          <w14:ligatures w14:val="none"/>
        </w:rPr>
        <w:t>y</w:t>
      </w:r>
      <w:r w:rsidRPr="003715F6">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3715F6">
        <w:rPr>
          <w:rFonts w:ascii="Calibri" w:eastAsia="Times New Roman" w:hAnsi="Calibri" w:cs="Calibri"/>
          <w:kern w:val="0"/>
          <w:sz w:val="24"/>
          <w:szCs w:val="24"/>
          <w:lang w:eastAsia="en-GB"/>
          <w14:ligatures w14:val="none"/>
        </w:rPr>
        <w:t>.</w:t>
      </w:r>
    </w:p>
    <w:p w14:paraId="7ED42A42" w14:textId="77777777" w:rsidR="007B7051" w:rsidRDefault="007B7051" w:rsidP="003715F6">
      <w:pPr>
        <w:spacing w:after="240" w:line="360" w:lineRule="auto"/>
        <w:rPr>
          <w:rFonts w:ascii="Calibri" w:eastAsia="Times New Roman" w:hAnsi="Calibri" w:cs="Calibri"/>
          <w:kern w:val="0"/>
          <w:sz w:val="24"/>
          <w:szCs w:val="24"/>
          <w:lang w:eastAsia="en-GB"/>
          <w14:ligatures w14:val="none"/>
        </w:rPr>
      </w:pPr>
      <w:r w:rsidRPr="00CB712A">
        <w:rPr>
          <w:rFonts w:ascii="Calibri" w:eastAsia="Times New Roman" w:hAnsi="Calibri" w:cs="Calibri"/>
          <w:kern w:val="0"/>
          <w:sz w:val="24"/>
          <w:szCs w:val="24"/>
          <w:lang w:eastAsia="en-GB"/>
          <w14:ligatures w14:val="none"/>
        </w:rPr>
        <w:lastRenderedPageBreak/>
        <w:t xml:space="preserve">Xie, C., Li, B., Zhang, J., Li, X. and Huang, S. (2023). Effects of Risk Message on Loneliness and Travel intention: Roles of Conflictive Family Atmosphere and Risk Propensity in the Context of COVID-19 Pandemic. </w:t>
      </w:r>
      <w:r w:rsidRPr="00CB712A">
        <w:rPr>
          <w:rFonts w:ascii="Calibri" w:eastAsia="Times New Roman" w:hAnsi="Calibri" w:cs="Calibri"/>
          <w:i/>
          <w:iCs/>
          <w:kern w:val="0"/>
          <w:sz w:val="24"/>
          <w:szCs w:val="24"/>
          <w:lang w:eastAsia="en-GB"/>
          <w14:ligatures w14:val="none"/>
        </w:rPr>
        <w:t>Current Issues in Tourism</w:t>
      </w:r>
      <w:r w:rsidRPr="00CB712A">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online</w:t>
      </w:r>
      <w:r>
        <w:rPr>
          <w:rFonts w:ascii="Calibri" w:eastAsia="Times New Roman" w:hAnsi="Calibri" w:cs="Calibri"/>
          <w:kern w:val="0"/>
          <w:sz w:val="24"/>
          <w:szCs w:val="24"/>
          <w:lang w:eastAsia="en-GB"/>
          <w14:ligatures w14:val="none"/>
        </w:rPr>
        <w:t>)</w:t>
      </w:r>
      <w:r w:rsidRPr="00CB712A">
        <w:rPr>
          <w:rFonts w:ascii="Calibri" w:eastAsia="Times New Roman" w:hAnsi="Calibri" w:cs="Calibri"/>
          <w:kern w:val="0"/>
          <w:sz w:val="24"/>
          <w:szCs w:val="24"/>
          <w:lang w:eastAsia="en-GB"/>
          <w14:ligatures w14:val="none"/>
        </w:rPr>
        <w:t xml:space="preserve"> 26(6), pp.1–18. </w:t>
      </w:r>
      <w:proofErr w:type="spellStart"/>
      <w:r w:rsidRPr="00CB712A">
        <w:rPr>
          <w:rFonts w:ascii="Calibri" w:eastAsia="Times New Roman" w:hAnsi="Calibri" w:cs="Calibri"/>
          <w:kern w:val="0"/>
          <w:sz w:val="24"/>
          <w:szCs w:val="24"/>
          <w:lang w:eastAsia="en-GB"/>
          <w14:ligatures w14:val="none"/>
        </w:rPr>
        <w:t>doi:https</w:t>
      </w:r>
      <w:proofErr w:type="spellEnd"/>
      <w:r w:rsidRPr="00CB712A">
        <w:rPr>
          <w:rFonts w:ascii="Calibri" w:eastAsia="Times New Roman" w:hAnsi="Calibri" w:cs="Calibri"/>
          <w:kern w:val="0"/>
          <w:sz w:val="24"/>
          <w:szCs w:val="24"/>
          <w:lang w:eastAsia="en-GB"/>
          <w14:ligatures w14:val="none"/>
        </w:rPr>
        <w:t>://doi.org/10.1080/13683500.2023.2194015.</w:t>
      </w:r>
    </w:p>
    <w:p w14:paraId="30032A7C" w14:textId="77777777" w:rsidR="003715F6" w:rsidRPr="00CB712A" w:rsidRDefault="003715F6" w:rsidP="00CB712A">
      <w:pPr>
        <w:spacing w:after="240" w:line="360" w:lineRule="auto"/>
        <w:rPr>
          <w:rFonts w:ascii="Calibri" w:eastAsia="Times New Roman" w:hAnsi="Calibri" w:cs="Calibri"/>
          <w:kern w:val="0"/>
          <w:sz w:val="24"/>
          <w:szCs w:val="24"/>
          <w:lang w:eastAsia="en-GB"/>
          <w14:ligatures w14:val="none"/>
        </w:rPr>
      </w:pPr>
    </w:p>
    <w:p w14:paraId="4F9ED67F" w14:textId="77777777" w:rsidR="00CB712A" w:rsidRPr="00CB712A" w:rsidRDefault="00CB712A" w:rsidP="00CB712A">
      <w:pPr>
        <w:pStyle w:val="pb-2"/>
        <w:spacing w:line="360" w:lineRule="auto"/>
        <w:rPr>
          <w:rFonts w:ascii="Calibri" w:hAnsi="Calibri" w:cs="Calibri"/>
        </w:rPr>
      </w:pPr>
    </w:p>
    <w:p w14:paraId="7D847A84" w14:textId="77777777" w:rsidR="005D018C" w:rsidRPr="00CB712A" w:rsidRDefault="005D018C" w:rsidP="00CB712A">
      <w:pPr>
        <w:spacing w:line="360" w:lineRule="auto"/>
        <w:rPr>
          <w:rFonts w:ascii="Calibri" w:hAnsi="Calibri" w:cs="Calibri"/>
          <w:sz w:val="24"/>
          <w:szCs w:val="24"/>
        </w:rPr>
      </w:pPr>
    </w:p>
    <w:sectPr w:rsidR="005D018C" w:rsidRPr="00CB71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0AE"/>
    <w:rsid w:val="00005F4A"/>
    <w:rsid w:val="0004728B"/>
    <w:rsid w:val="000A6A72"/>
    <w:rsid w:val="000D356D"/>
    <w:rsid w:val="0014021C"/>
    <w:rsid w:val="00150960"/>
    <w:rsid w:val="001546A8"/>
    <w:rsid w:val="001561FC"/>
    <w:rsid w:val="00166C98"/>
    <w:rsid w:val="001A41F3"/>
    <w:rsid w:val="001B38D8"/>
    <w:rsid w:val="00222DF2"/>
    <w:rsid w:val="00323E52"/>
    <w:rsid w:val="003715F6"/>
    <w:rsid w:val="003F73DA"/>
    <w:rsid w:val="00437638"/>
    <w:rsid w:val="00463111"/>
    <w:rsid w:val="00465851"/>
    <w:rsid w:val="004C5453"/>
    <w:rsid w:val="004D10AE"/>
    <w:rsid w:val="004E6D19"/>
    <w:rsid w:val="00574002"/>
    <w:rsid w:val="005D018C"/>
    <w:rsid w:val="005F33BB"/>
    <w:rsid w:val="00634E0C"/>
    <w:rsid w:val="00663AE3"/>
    <w:rsid w:val="006D4992"/>
    <w:rsid w:val="00702E36"/>
    <w:rsid w:val="00717CB2"/>
    <w:rsid w:val="007622FC"/>
    <w:rsid w:val="007917C1"/>
    <w:rsid w:val="007B7051"/>
    <w:rsid w:val="00826787"/>
    <w:rsid w:val="0084507B"/>
    <w:rsid w:val="00876F5C"/>
    <w:rsid w:val="00883FE0"/>
    <w:rsid w:val="008C4AC7"/>
    <w:rsid w:val="008E19AC"/>
    <w:rsid w:val="00901BBA"/>
    <w:rsid w:val="009516F7"/>
    <w:rsid w:val="00987DAD"/>
    <w:rsid w:val="009948AF"/>
    <w:rsid w:val="00A510E9"/>
    <w:rsid w:val="00AA2AFC"/>
    <w:rsid w:val="00AA5847"/>
    <w:rsid w:val="00B45F79"/>
    <w:rsid w:val="00B57B1B"/>
    <w:rsid w:val="00B869A3"/>
    <w:rsid w:val="00BD4E23"/>
    <w:rsid w:val="00BE1838"/>
    <w:rsid w:val="00C34D44"/>
    <w:rsid w:val="00C801D3"/>
    <w:rsid w:val="00C93C33"/>
    <w:rsid w:val="00CB712A"/>
    <w:rsid w:val="00D026FE"/>
    <w:rsid w:val="00D2643E"/>
    <w:rsid w:val="00D27D43"/>
    <w:rsid w:val="00DD0057"/>
    <w:rsid w:val="00F13AFB"/>
    <w:rsid w:val="00F143DC"/>
    <w:rsid w:val="00FB0BDB"/>
    <w:rsid w:val="00FD6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7FA69"/>
  <w15:chartTrackingRefBased/>
  <w15:docId w15:val="{B44810A6-4CFA-4A6C-8BC6-D406552E6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10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10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10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10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10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10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10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10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10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0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10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10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10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10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10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10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10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10AE"/>
    <w:rPr>
      <w:rFonts w:eastAsiaTheme="majorEastAsia" w:cstheme="majorBidi"/>
      <w:color w:val="272727" w:themeColor="text1" w:themeTint="D8"/>
    </w:rPr>
  </w:style>
  <w:style w:type="paragraph" w:styleId="Title">
    <w:name w:val="Title"/>
    <w:basedOn w:val="Normal"/>
    <w:next w:val="Normal"/>
    <w:link w:val="TitleChar"/>
    <w:uiPriority w:val="10"/>
    <w:qFormat/>
    <w:rsid w:val="004D10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0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10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10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10AE"/>
    <w:pPr>
      <w:spacing w:before="160"/>
      <w:jc w:val="center"/>
    </w:pPr>
    <w:rPr>
      <w:i/>
      <w:iCs/>
      <w:color w:val="404040" w:themeColor="text1" w:themeTint="BF"/>
    </w:rPr>
  </w:style>
  <w:style w:type="character" w:customStyle="1" w:styleId="QuoteChar">
    <w:name w:val="Quote Char"/>
    <w:basedOn w:val="DefaultParagraphFont"/>
    <w:link w:val="Quote"/>
    <w:uiPriority w:val="29"/>
    <w:rsid w:val="004D10AE"/>
    <w:rPr>
      <w:i/>
      <w:iCs/>
      <w:color w:val="404040" w:themeColor="text1" w:themeTint="BF"/>
    </w:rPr>
  </w:style>
  <w:style w:type="paragraph" w:styleId="ListParagraph">
    <w:name w:val="List Paragraph"/>
    <w:basedOn w:val="Normal"/>
    <w:uiPriority w:val="34"/>
    <w:qFormat/>
    <w:rsid w:val="004D10AE"/>
    <w:pPr>
      <w:ind w:left="720"/>
      <w:contextualSpacing/>
    </w:pPr>
  </w:style>
  <w:style w:type="character" w:styleId="IntenseEmphasis">
    <w:name w:val="Intense Emphasis"/>
    <w:basedOn w:val="DefaultParagraphFont"/>
    <w:uiPriority w:val="21"/>
    <w:qFormat/>
    <w:rsid w:val="004D10AE"/>
    <w:rPr>
      <w:i/>
      <w:iCs/>
      <w:color w:val="0F4761" w:themeColor="accent1" w:themeShade="BF"/>
    </w:rPr>
  </w:style>
  <w:style w:type="paragraph" w:styleId="IntenseQuote">
    <w:name w:val="Intense Quote"/>
    <w:basedOn w:val="Normal"/>
    <w:next w:val="Normal"/>
    <w:link w:val="IntenseQuoteChar"/>
    <w:uiPriority w:val="30"/>
    <w:qFormat/>
    <w:rsid w:val="004D10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10AE"/>
    <w:rPr>
      <w:i/>
      <w:iCs/>
      <w:color w:val="0F4761" w:themeColor="accent1" w:themeShade="BF"/>
    </w:rPr>
  </w:style>
  <w:style w:type="character" w:styleId="IntenseReference">
    <w:name w:val="Intense Reference"/>
    <w:basedOn w:val="DefaultParagraphFont"/>
    <w:uiPriority w:val="32"/>
    <w:qFormat/>
    <w:rsid w:val="004D10AE"/>
    <w:rPr>
      <w:b/>
      <w:bCs/>
      <w:smallCaps/>
      <w:color w:val="0F4761" w:themeColor="accent1" w:themeShade="BF"/>
      <w:spacing w:val="5"/>
    </w:rPr>
  </w:style>
  <w:style w:type="paragraph" w:customStyle="1" w:styleId="pb-2">
    <w:name w:val="pb-2"/>
    <w:basedOn w:val="Normal"/>
    <w:rsid w:val="005D018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702E3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1257">
      <w:bodyDiv w:val="1"/>
      <w:marLeft w:val="0"/>
      <w:marRight w:val="0"/>
      <w:marTop w:val="0"/>
      <w:marBottom w:val="0"/>
      <w:divBdr>
        <w:top w:val="none" w:sz="0" w:space="0" w:color="auto"/>
        <w:left w:val="none" w:sz="0" w:space="0" w:color="auto"/>
        <w:bottom w:val="none" w:sz="0" w:space="0" w:color="auto"/>
        <w:right w:val="none" w:sz="0" w:space="0" w:color="auto"/>
      </w:divBdr>
    </w:div>
    <w:div w:id="29844039">
      <w:bodyDiv w:val="1"/>
      <w:marLeft w:val="0"/>
      <w:marRight w:val="0"/>
      <w:marTop w:val="0"/>
      <w:marBottom w:val="0"/>
      <w:divBdr>
        <w:top w:val="none" w:sz="0" w:space="0" w:color="auto"/>
        <w:left w:val="none" w:sz="0" w:space="0" w:color="auto"/>
        <w:bottom w:val="none" w:sz="0" w:space="0" w:color="auto"/>
        <w:right w:val="none" w:sz="0" w:space="0" w:color="auto"/>
      </w:divBdr>
    </w:div>
    <w:div w:id="38862880">
      <w:bodyDiv w:val="1"/>
      <w:marLeft w:val="0"/>
      <w:marRight w:val="0"/>
      <w:marTop w:val="0"/>
      <w:marBottom w:val="0"/>
      <w:divBdr>
        <w:top w:val="none" w:sz="0" w:space="0" w:color="auto"/>
        <w:left w:val="none" w:sz="0" w:space="0" w:color="auto"/>
        <w:bottom w:val="none" w:sz="0" w:space="0" w:color="auto"/>
        <w:right w:val="none" w:sz="0" w:space="0" w:color="auto"/>
      </w:divBdr>
    </w:div>
    <w:div w:id="175586022">
      <w:bodyDiv w:val="1"/>
      <w:marLeft w:val="0"/>
      <w:marRight w:val="0"/>
      <w:marTop w:val="0"/>
      <w:marBottom w:val="0"/>
      <w:divBdr>
        <w:top w:val="none" w:sz="0" w:space="0" w:color="auto"/>
        <w:left w:val="none" w:sz="0" w:space="0" w:color="auto"/>
        <w:bottom w:val="none" w:sz="0" w:space="0" w:color="auto"/>
        <w:right w:val="none" w:sz="0" w:space="0" w:color="auto"/>
      </w:divBdr>
    </w:div>
    <w:div w:id="252206699">
      <w:bodyDiv w:val="1"/>
      <w:marLeft w:val="0"/>
      <w:marRight w:val="0"/>
      <w:marTop w:val="0"/>
      <w:marBottom w:val="0"/>
      <w:divBdr>
        <w:top w:val="none" w:sz="0" w:space="0" w:color="auto"/>
        <w:left w:val="none" w:sz="0" w:space="0" w:color="auto"/>
        <w:bottom w:val="none" w:sz="0" w:space="0" w:color="auto"/>
        <w:right w:val="none" w:sz="0" w:space="0" w:color="auto"/>
      </w:divBdr>
    </w:div>
    <w:div w:id="279654583">
      <w:bodyDiv w:val="1"/>
      <w:marLeft w:val="0"/>
      <w:marRight w:val="0"/>
      <w:marTop w:val="0"/>
      <w:marBottom w:val="0"/>
      <w:divBdr>
        <w:top w:val="none" w:sz="0" w:space="0" w:color="auto"/>
        <w:left w:val="none" w:sz="0" w:space="0" w:color="auto"/>
        <w:bottom w:val="none" w:sz="0" w:space="0" w:color="auto"/>
        <w:right w:val="none" w:sz="0" w:space="0" w:color="auto"/>
      </w:divBdr>
    </w:div>
    <w:div w:id="283853618">
      <w:bodyDiv w:val="1"/>
      <w:marLeft w:val="0"/>
      <w:marRight w:val="0"/>
      <w:marTop w:val="0"/>
      <w:marBottom w:val="0"/>
      <w:divBdr>
        <w:top w:val="none" w:sz="0" w:space="0" w:color="auto"/>
        <w:left w:val="none" w:sz="0" w:space="0" w:color="auto"/>
        <w:bottom w:val="none" w:sz="0" w:space="0" w:color="auto"/>
        <w:right w:val="none" w:sz="0" w:space="0" w:color="auto"/>
      </w:divBdr>
    </w:div>
    <w:div w:id="292951224">
      <w:bodyDiv w:val="1"/>
      <w:marLeft w:val="0"/>
      <w:marRight w:val="0"/>
      <w:marTop w:val="0"/>
      <w:marBottom w:val="0"/>
      <w:divBdr>
        <w:top w:val="none" w:sz="0" w:space="0" w:color="auto"/>
        <w:left w:val="none" w:sz="0" w:space="0" w:color="auto"/>
        <w:bottom w:val="none" w:sz="0" w:space="0" w:color="auto"/>
        <w:right w:val="none" w:sz="0" w:space="0" w:color="auto"/>
      </w:divBdr>
      <w:divsChild>
        <w:div w:id="1924142068">
          <w:marLeft w:val="0"/>
          <w:marRight w:val="0"/>
          <w:marTop w:val="0"/>
          <w:marBottom w:val="0"/>
          <w:divBdr>
            <w:top w:val="none" w:sz="0" w:space="0" w:color="auto"/>
            <w:left w:val="none" w:sz="0" w:space="0" w:color="auto"/>
            <w:bottom w:val="none" w:sz="0" w:space="0" w:color="auto"/>
            <w:right w:val="none" w:sz="0" w:space="0" w:color="auto"/>
          </w:divBdr>
        </w:div>
      </w:divsChild>
    </w:div>
    <w:div w:id="325212564">
      <w:bodyDiv w:val="1"/>
      <w:marLeft w:val="0"/>
      <w:marRight w:val="0"/>
      <w:marTop w:val="0"/>
      <w:marBottom w:val="0"/>
      <w:divBdr>
        <w:top w:val="none" w:sz="0" w:space="0" w:color="auto"/>
        <w:left w:val="none" w:sz="0" w:space="0" w:color="auto"/>
        <w:bottom w:val="none" w:sz="0" w:space="0" w:color="auto"/>
        <w:right w:val="none" w:sz="0" w:space="0" w:color="auto"/>
      </w:divBdr>
    </w:div>
    <w:div w:id="338198273">
      <w:bodyDiv w:val="1"/>
      <w:marLeft w:val="0"/>
      <w:marRight w:val="0"/>
      <w:marTop w:val="0"/>
      <w:marBottom w:val="0"/>
      <w:divBdr>
        <w:top w:val="none" w:sz="0" w:space="0" w:color="auto"/>
        <w:left w:val="none" w:sz="0" w:space="0" w:color="auto"/>
        <w:bottom w:val="none" w:sz="0" w:space="0" w:color="auto"/>
        <w:right w:val="none" w:sz="0" w:space="0" w:color="auto"/>
      </w:divBdr>
    </w:div>
    <w:div w:id="382220968">
      <w:bodyDiv w:val="1"/>
      <w:marLeft w:val="0"/>
      <w:marRight w:val="0"/>
      <w:marTop w:val="0"/>
      <w:marBottom w:val="0"/>
      <w:divBdr>
        <w:top w:val="none" w:sz="0" w:space="0" w:color="auto"/>
        <w:left w:val="none" w:sz="0" w:space="0" w:color="auto"/>
        <w:bottom w:val="none" w:sz="0" w:space="0" w:color="auto"/>
        <w:right w:val="none" w:sz="0" w:space="0" w:color="auto"/>
      </w:divBdr>
    </w:div>
    <w:div w:id="396829757">
      <w:bodyDiv w:val="1"/>
      <w:marLeft w:val="0"/>
      <w:marRight w:val="0"/>
      <w:marTop w:val="0"/>
      <w:marBottom w:val="0"/>
      <w:divBdr>
        <w:top w:val="none" w:sz="0" w:space="0" w:color="auto"/>
        <w:left w:val="none" w:sz="0" w:space="0" w:color="auto"/>
        <w:bottom w:val="none" w:sz="0" w:space="0" w:color="auto"/>
        <w:right w:val="none" w:sz="0" w:space="0" w:color="auto"/>
      </w:divBdr>
    </w:div>
    <w:div w:id="399406286">
      <w:bodyDiv w:val="1"/>
      <w:marLeft w:val="0"/>
      <w:marRight w:val="0"/>
      <w:marTop w:val="0"/>
      <w:marBottom w:val="0"/>
      <w:divBdr>
        <w:top w:val="none" w:sz="0" w:space="0" w:color="auto"/>
        <w:left w:val="none" w:sz="0" w:space="0" w:color="auto"/>
        <w:bottom w:val="none" w:sz="0" w:space="0" w:color="auto"/>
        <w:right w:val="none" w:sz="0" w:space="0" w:color="auto"/>
      </w:divBdr>
    </w:div>
    <w:div w:id="400644767">
      <w:bodyDiv w:val="1"/>
      <w:marLeft w:val="0"/>
      <w:marRight w:val="0"/>
      <w:marTop w:val="0"/>
      <w:marBottom w:val="0"/>
      <w:divBdr>
        <w:top w:val="none" w:sz="0" w:space="0" w:color="auto"/>
        <w:left w:val="none" w:sz="0" w:space="0" w:color="auto"/>
        <w:bottom w:val="none" w:sz="0" w:space="0" w:color="auto"/>
        <w:right w:val="none" w:sz="0" w:space="0" w:color="auto"/>
      </w:divBdr>
    </w:div>
    <w:div w:id="402221726">
      <w:bodyDiv w:val="1"/>
      <w:marLeft w:val="0"/>
      <w:marRight w:val="0"/>
      <w:marTop w:val="0"/>
      <w:marBottom w:val="0"/>
      <w:divBdr>
        <w:top w:val="none" w:sz="0" w:space="0" w:color="auto"/>
        <w:left w:val="none" w:sz="0" w:space="0" w:color="auto"/>
        <w:bottom w:val="none" w:sz="0" w:space="0" w:color="auto"/>
        <w:right w:val="none" w:sz="0" w:space="0" w:color="auto"/>
      </w:divBdr>
      <w:divsChild>
        <w:div w:id="1478913092">
          <w:marLeft w:val="0"/>
          <w:marRight w:val="0"/>
          <w:marTop w:val="0"/>
          <w:marBottom w:val="0"/>
          <w:divBdr>
            <w:top w:val="none" w:sz="0" w:space="0" w:color="auto"/>
            <w:left w:val="none" w:sz="0" w:space="0" w:color="auto"/>
            <w:bottom w:val="none" w:sz="0" w:space="0" w:color="auto"/>
            <w:right w:val="none" w:sz="0" w:space="0" w:color="auto"/>
          </w:divBdr>
        </w:div>
      </w:divsChild>
    </w:div>
    <w:div w:id="411396325">
      <w:bodyDiv w:val="1"/>
      <w:marLeft w:val="0"/>
      <w:marRight w:val="0"/>
      <w:marTop w:val="0"/>
      <w:marBottom w:val="0"/>
      <w:divBdr>
        <w:top w:val="none" w:sz="0" w:space="0" w:color="auto"/>
        <w:left w:val="none" w:sz="0" w:space="0" w:color="auto"/>
        <w:bottom w:val="none" w:sz="0" w:space="0" w:color="auto"/>
        <w:right w:val="none" w:sz="0" w:space="0" w:color="auto"/>
      </w:divBdr>
    </w:div>
    <w:div w:id="443621055">
      <w:bodyDiv w:val="1"/>
      <w:marLeft w:val="0"/>
      <w:marRight w:val="0"/>
      <w:marTop w:val="0"/>
      <w:marBottom w:val="0"/>
      <w:divBdr>
        <w:top w:val="none" w:sz="0" w:space="0" w:color="auto"/>
        <w:left w:val="none" w:sz="0" w:space="0" w:color="auto"/>
        <w:bottom w:val="none" w:sz="0" w:space="0" w:color="auto"/>
        <w:right w:val="none" w:sz="0" w:space="0" w:color="auto"/>
      </w:divBdr>
    </w:div>
    <w:div w:id="445082742">
      <w:bodyDiv w:val="1"/>
      <w:marLeft w:val="0"/>
      <w:marRight w:val="0"/>
      <w:marTop w:val="0"/>
      <w:marBottom w:val="0"/>
      <w:divBdr>
        <w:top w:val="none" w:sz="0" w:space="0" w:color="auto"/>
        <w:left w:val="none" w:sz="0" w:space="0" w:color="auto"/>
        <w:bottom w:val="none" w:sz="0" w:space="0" w:color="auto"/>
        <w:right w:val="none" w:sz="0" w:space="0" w:color="auto"/>
      </w:divBdr>
    </w:div>
    <w:div w:id="485172295">
      <w:bodyDiv w:val="1"/>
      <w:marLeft w:val="0"/>
      <w:marRight w:val="0"/>
      <w:marTop w:val="0"/>
      <w:marBottom w:val="0"/>
      <w:divBdr>
        <w:top w:val="none" w:sz="0" w:space="0" w:color="auto"/>
        <w:left w:val="none" w:sz="0" w:space="0" w:color="auto"/>
        <w:bottom w:val="none" w:sz="0" w:space="0" w:color="auto"/>
        <w:right w:val="none" w:sz="0" w:space="0" w:color="auto"/>
      </w:divBdr>
    </w:div>
    <w:div w:id="490565757">
      <w:bodyDiv w:val="1"/>
      <w:marLeft w:val="0"/>
      <w:marRight w:val="0"/>
      <w:marTop w:val="0"/>
      <w:marBottom w:val="0"/>
      <w:divBdr>
        <w:top w:val="none" w:sz="0" w:space="0" w:color="auto"/>
        <w:left w:val="none" w:sz="0" w:space="0" w:color="auto"/>
        <w:bottom w:val="none" w:sz="0" w:space="0" w:color="auto"/>
        <w:right w:val="none" w:sz="0" w:space="0" w:color="auto"/>
      </w:divBdr>
    </w:div>
    <w:div w:id="526677438">
      <w:bodyDiv w:val="1"/>
      <w:marLeft w:val="0"/>
      <w:marRight w:val="0"/>
      <w:marTop w:val="0"/>
      <w:marBottom w:val="0"/>
      <w:divBdr>
        <w:top w:val="none" w:sz="0" w:space="0" w:color="auto"/>
        <w:left w:val="none" w:sz="0" w:space="0" w:color="auto"/>
        <w:bottom w:val="none" w:sz="0" w:space="0" w:color="auto"/>
        <w:right w:val="none" w:sz="0" w:space="0" w:color="auto"/>
      </w:divBdr>
    </w:div>
    <w:div w:id="545488356">
      <w:bodyDiv w:val="1"/>
      <w:marLeft w:val="0"/>
      <w:marRight w:val="0"/>
      <w:marTop w:val="0"/>
      <w:marBottom w:val="0"/>
      <w:divBdr>
        <w:top w:val="none" w:sz="0" w:space="0" w:color="auto"/>
        <w:left w:val="none" w:sz="0" w:space="0" w:color="auto"/>
        <w:bottom w:val="none" w:sz="0" w:space="0" w:color="auto"/>
        <w:right w:val="none" w:sz="0" w:space="0" w:color="auto"/>
      </w:divBdr>
    </w:div>
    <w:div w:id="587346572">
      <w:bodyDiv w:val="1"/>
      <w:marLeft w:val="0"/>
      <w:marRight w:val="0"/>
      <w:marTop w:val="0"/>
      <w:marBottom w:val="0"/>
      <w:divBdr>
        <w:top w:val="none" w:sz="0" w:space="0" w:color="auto"/>
        <w:left w:val="none" w:sz="0" w:space="0" w:color="auto"/>
        <w:bottom w:val="none" w:sz="0" w:space="0" w:color="auto"/>
        <w:right w:val="none" w:sz="0" w:space="0" w:color="auto"/>
      </w:divBdr>
    </w:div>
    <w:div w:id="641349517">
      <w:bodyDiv w:val="1"/>
      <w:marLeft w:val="0"/>
      <w:marRight w:val="0"/>
      <w:marTop w:val="0"/>
      <w:marBottom w:val="0"/>
      <w:divBdr>
        <w:top w:val="none" w:sz="0" w:space="0" w:color="auto"/>
        <w:left w:val="none" w:sz="0" w:space="0" w:color="auto"/>
        <w:bottom w:val="none" w:sz="0" w:space="0" w:color="auto"/>
        <w:right w:val="none" w:sz="0" w:space="0" w:color="auto"/>
      </w:divBdr>
    </w:div>
    <w:div w:id="653071851">
      <w:bodyDiv w:val="1"/>
      <w:marLeft w:val="0"/>
      <w:marRight w:val="0"/>
      <w:marTop w:val="0"/>
      <w:marBottom w:val="0"/>
      <w:divBdr>
        <w:top w:val="none" w:sz="0" w:space="0" w:color="auto"/>
        <w:left w:val="none" w:sz="0" w:space="0" w:color="auto"/>
        <w:bottom w:val="none" w:sz="0" w:space="0" w:color="auto"/>
        <w:right w:val="none" w:sz="0" w:space="0" w:color="auto"/>
      </w:divBdr>
      <w:divsChild>
        <w:div w:id="836728721">
          <w:marLeft w:val="0"/>
          <w:marRight w:val="0"/>
          <w:marTop w:val="0"/>
          <w:marBottom w:val="0"/>
          <w:divBdr>
            <w:top w:val="none" w:sz="0" w:space="0" w:color="auto"/>
            <w:left w:val="none" w:sz="0" w:space="0" w:color="auto"/>
            <w:bottom w:val="none" w:sz="0" w:space="0" w:color="auto"/>
            <w:right w:val="none" w:sz="0" w:space="0" w:color="auto"/>
          </w:divBdr>
        </w:div>
      </w:divsChild>
    </w:div>
    <w:div w:id="678628758">
      <w:bodyDiv w:val="1"/>
      <w:marLeft w:val="0"/>
      <w:marRight w:val="0"/>
      <w:marTop w:val="0"/>
      <w:marBottom w:val="0"/>
      <w:divBdr>
        <w:top w:val="none" w:sz="0" w:space="0" w:color="auto"/>
        <w:left w:val="none" w:sz="0" w:space="0" w:color="auto"/>
        <w:bottom w:val="none" w:sz="0" w:space="0" w:color="auto"/>
        <w:right w:val="none" w:sz="0" w:space="0" w:color="auto"/>
      </w:divBdr>
    </w:div>
    <w:div w:id="688873896">
      <w:bodyDiv w:val="1"/>
      <w:marLeft w:val="0"/>
      <w:marRight w:val="0"/>
      <w:marTop w:val="0"/>
      <w:marBottom w:val="0"/>
      <w:divBdr>
        <w:top w:val="none" w:sz="0" w:space="0" w:color="auto"/>
        <w:left w:val="none" w:sz="0" w:space="0" w:color="auto"/>
        <w:bottom w:val="none" w:sz="0" w:space="0" w:color="auto"/>
        <w:right w:val="none" w:sz="0" w:space="0" w:color="auto"/>
      </w:divBdr>
    </w:div>
    <w:div w:id="696348209">
      <w:bodyDiv w:val="1"/>
      <w:marLeft w:val="0"/>
      <w:marRight w:val="0"/>
      <w:marTop w:val="0"/>
      <w:marBottom w:val="0"/>
      <w:divBdr>
        <w:top w:val="none" w:sz="0" w:space="0" w:color="auto"/>
        <w:left w:val="none" w:sz="0" w:space="0" w:color="auto"/>
        <w:bottom w:val="none" w:sz="0" w:space="0" w:color="auto"/>
        <w:right w:val="none" w:sz="0" w:space="0" w:color="auto"/>
      </w:divBdr>
    </w:div>
    <w:div w:id="744032124">
      <w:bodyDiv w:val="1"/>
      <w:marLeft w:val="0"/>
      <w:marRight w:val="0"/>
      <w:marTop w:val="0"/>
      <w:marBottom w:val="0"/>
      <w:divBdr>
        <w:top w:val="none" w:sz="0" w:space="0" w:color="auto"/>
        <w:left w:val="none" w:sz="0" w:space="0" w:color="auto"/>
        <w:bottom w:val="none" w:sz="0" w:space="0" w:color="auto"/>
        <w:right w:val="none" w:sz="0" w:space="0" w:color="auto"/>
      </w:divBdr>
    </w:div>
    <w:div w:id="785581426">
      <w:bodyDiv w:val="1"/>
      <w:marLeft w:val="0"/>
      <w:marRight w:val="0"/>
      <w:marTop w:val="0"/>
      <w:marBottom w:val="0"/>
      <w:divBdr>
        <w:top w:val="none" w:sz="0" w:space="0" w:color="auto"/>
        <w:left w:val="none" w:sz="0" w:space="0" w:color="auto"/>
        <w:bottom w:val="none" w:sz="0" w:space="0" w:color="auto"/>
        <w:right w:val="none" w:sz="0" w:space="0" w:color="auto"/>
      </w:divBdr>
    </w:div>
    <w:div w:id="789931461">
      <w:bodyDiv w:val="1"/>
      <w:marLeft w:val="0"/>
      <w:marRight w:val="0"/>
      <w:marTop w:val="0"/>
      <w:marBottom w:val="0"/>
      <w:divBdr>
        <w:top w:val="none" w:sz="0" w:space="0" w:color="auto"/>
        <w:left w:val="none" w:sz="0" w:space="0" w:color="auto"/>
        <w:bottom w:val="none" w:sz="0" w:space="0" w:color="auto"/>
        <w:right w:val="none" w:sz="0" w:space="0" w:color="auto"/>
      </w:divBdr>
    </w:div>
    <w:div w:id="823161371">
      <w:bodyDiv w:val="1"/>
      <w:marLeft w:val="0"/>
      <w:marRight w:val="0"/>
      <w:marTop w:val="0"/>
      <w:marBottom w:val="0"/>
      <w:divBdr>
        <w:top w:val="none" w:sz="0" w:space="0" w:color="auto"/>
        <w:left w:val="none" w:sz="0" w:space="0" w:color="auto"/>
        <w:bottom w:val="none" w:sz="0" w:space="0" w:color="auto"/>
        <w:right w:val="none" w:sz="0" w:space="0" w:color="auto"/>
      </w:divBdr>
    </w:div>
    <w:div w:id="912005241">
      <w:bodyDiv w:val="1"/>
      <w:marLeft w:val="0"/>
      <w:marRight w:val="0"/>
      <w:marTop w:val="0"/>
      <w:marBottom w:val="0"/>
      <w:divBdr>
        <w:top w:val="none" w:sz="0" w:space="0" w:color="auto"/>
        <w:left w:val="none" w:sz="0" w:space="0" w:color="auto"/>
        <w:bottom w:val="none" w:sz="0" w:space="0" w:color="auto"/>
        <w:right w:val="none" w:sz="0" w:space="0" w:color="auto"/>
      </w:divBdr>
    </w:div>
    <w:div w:id="921185619">
      <w:bodyDiv w:val="1"/>
      <w:marLeft w:val="0"/>
      <w:marRight w:val="0"/>
      <w:marTop w:val="0"/>
      <w:marBottom w:val="0"/>
      <w:divBdr>
        <w:top w:val="none" w:sz="0" w:space="0" w:color="auto"/>
        <w:left w:val="none" w:sz="0" w:space="0" w:color="auto"/>
        <w:bottom w:val="none" w:sz="0" w:space="0" w:color="auto"/>
        <w:right w:val="none" w:sz="0" w:space="0" w:color="auto"/>
      </w:divBdr>
    </w:div>
    <w:div w:id="942689416">
      <w:bodyDiv w:val="1"/>
      <w:marLeft w:val="0"/>
      <w:marRight w:val="0"/>
      <w:marTop w:val="0"/>
      <w:marBottom w:val="0"/>
      <w:divBdr>
        <w:top w:val="none" w:sz="0" w:space="0" w:color="auto"/>
        <w:left w:val="none" w:sz="0" w:space="0" w:color="auto"/>
        <w:bottom w:val="none" w:sz="0" w:space="0" w:color="auto"/>
        <w:right w:val="none" w:sz="0" w:space="0" w:color="auto"/>
      </w:divBdr>
      <w:divsChild>
        <w:div w:id="1375233933">
          <w:marLeft w:val="0"/>
          <w:marRight w:val="0"/>
          <w:marTop w:val="0"/>
          <w:marBottom w:val="0"/>
          <w:divBdr>
            <w:top w:val="none" w:sz="0" w:space="0" w:color="auto"/>
            <w:left w:val="none" w:sz="0" w:space="0" w:color="auto"/>
            <w:bottom w:val="none" w:sz="0" w:space="0" w:color="auto"/>
            <w:right w:val="none" w:sz="0" w:space="0" w:color="auto"/>
          </w:divBdr>
        </w:div>
      </w:divsChild>
    </w:div>
    <w:div w:id="947080441">
      <w:bodyDiv w:val="1"/>
      <w:marLeft w:val="0"/>
      <w:marRight w:val="0"/>
      <w:marTop w:val="0"/>
      <w:marBottom w:val="0"/>
      <w:divBdr>
        <w:top w:val="none" w:sz="0" w:space="0" w:color="auto"/>
        <w:left w:val="none" w:sz="0" w:space="0" w:color="auto"/>
        <w:bottom w:val="none" w:sz="0" w:space="0" w:color="auto"/>
        <w:right w:val="none" w:sz="0" w:space="0" w:color="auto"/>
      </w:divBdr>
    </w:div>
    <w:div w:id="985937931">
      <w:bodyDiv w:val="1"/>
      <w:marLeft w:val="0"/>
      <w:marRight w:val="0"/>
      <w:marTop w:val="0"/>
      <w:marBottom w:val="0"/>
      <w:divBdr>
        <w:top w:val="none" w:sz="0" w:space="0" w:color="auto"/>
        <w:left w:val="none" w:sz="0" w:space="0" w:color="auto"/>
        <w:bottom w:val="none" w:sz="0" w:space="0" w:color="auto"/>
        <w:right w:val="none" w:sz="0" w:space="0" w:color="auto"/>
      </w:divBdr>
    </w:div>
    <w:div w:id="996227801">
      <w:bodyDiv w:val="1"/>
      <w:marLeft w:val="0"/>
      <w:marRight w:val="0"/>
      <w:marTop w:val="0"/>
      <w:marBottom w:val="0"/>
      <w:divBdr>
        <w:top w:val="none" w:sz="0" w:space="0" w:color="auto"/>
        <w:left w:val="none" w:sz="0" w:space="0" w:color="auto"/>
        <w:bottom w:val="none" w:sz="0" w:space="0" w:color="auto"/>
        <w:right w:val="none" w:sz="0" w:space="0" w:color="auto"/>
      </w:divBdr>
    </w:div>
    <w:div w:id="1015501550">
      <w:bodyDiv w:val="1"/>
      <w:marLeft w:val="0"/>
      <w:marRight w:val="0"/>
      <w:marTop w:val="0"/>
      <w:marBottom w:val="0"/>
      <w:divBdr>
        <w:top w:val="none" w:sz="0" w:space="0" w:color="auto"/>
        <w:left w:val="none" w:sz="0" w:space="0" w:color="auto"/>
        <w:bottom w:val="none" w:sz="0" w:space="0" w:color="auto"/>
        <w:right w:val="none" w:sz="0" w:space="0" w:color="auto"/>
      </w:divBdr>
    </w:div>
    <w:div w:id="1068193266">
      <w:bodyDiv w:val="1"/>
      <w:marLeft w:val="0"/>
      <w:marRight w:val="0"/>
      <w:marTop w:val="0"/>
      <w:marBottom w:val="0"/>
      <w:divBdr>
        <w:top w:val="none" w:sz="0" w:space="0" w:color="auto"/>
        <w:left w:val="none" w:sz="0" w:space="0" w:color="auto"/>
        <w:bottom w:val="none" w:sz="0" w:space="0" w:color="auto"/>
        <w:right w:val="none" w:sz="0" w:space="0" w:color="auto"/>
      </w:divBdr>
    </w:div>
    <w:div w:id="1095398760">
      <w:bodyDiv w:val="1"/>
      <w:marLeft w:val="0"/>
      <w:marRight w:val="0"/>
      <w:marTop w:val="0"/>
      <w:marBottom w:val="0"/>
      <w:divBdr>
        <w:top w:val="none" w:sz="0" w:space="0" w:color="auto"/>
        <w:left w:val="none" w:sz="0" w:space="0" w:color="auto"/>
        <w:bottom w:val="none" w:sz="0" w:space="0" w:color="auto"/>
        <w:right w:val="none" w:sz="0" w:space="0" w:color="auto"/>
      </w:divBdr>
    </w:div>
    <w:div w:id="1261254492">
      <w:bodyDiv w:val="1"/>
      <w:marLeft w:val="0"/>
      <w:marRight w:val="0"/>
      <w:marTop w:val="0"/>
      <w:marBottom w:val="0"/>
      <w:divBdr>
        <w:top w:val="none" w:sz="0" w:space="0" w:color="auto"/>
        <w:left w:val="none" w:sz="0" w:space="0" w:color="auto"/>
        <w:bottom w:val="none" w:sz="0" w:space="0" w:color="auto"/>
        <w:right w:val="none" w:sz="0" w:space="0" w:color="auto"/>
      </w:divBdr>
    </w:div>
    <w:div w:id="1350137368">
      <w:bodyDiv w:val="1"/>
      <w:marLeft w:val="0"/>
      <w:marRight w:val="0"/>
      <w:marTop w:val="0"/>
      <w:marBottom w:val="0"/>
      <w:divBdr>
        <w:top w:val="none" w:sz="0" w:space="0" w:color="auto"/>
        <w:left w:val="none" w:sz="0" w:space="0" w:color="auto"/>
        <w:bottom w:val="none" w:sz="0" w:space="0" w:color="auto"/>
        <w:right w:val="none" w:sz="0" w:space="0" w:color="auto"/>
      </w:divBdr>
    </w:div>
    <w:div w:id="1361319309">
      <w:bodyDiv w:val="1"/>
      <w:marLeft w:val="0"/>
      <w:marRight w:val="0"/>
      <w:marTop w:val="0"/>
      <w:marBottom w:val="0"/>
      <w:divBdr>
        <w:top w:val="none" w:sz="0" w:space="0" w:color="auto"/>
        <w:left w:val="none" w:sz="0" w:space="0" w:color="auto"/>
        <w:bottom w:val="none" w:sz="0" w:space="0" w:color="auto"/>
        <w:right w:val="none" w:sz="0" w:space="0" w:color="auto"/>
      </w:divBdr>
    </w:div>
    <w:div w:id="1383552195">
      <w:bodyDiv w:val="1"/>
      <w:marLeft w:val="0"/>
      <w:marRight w:val="0"/>
      <w:marTop w:val="0"/>
      <w:marBottom w:val="0"/>
      <w:divBdr>
        <w:top w:val="none" w:sz="0" w:space="0" w:color="auto"/>
        <w:left w:val="none" w:sz="0" w:space="0" w:color="auto"/>
        <w:bottom w:val="none" w:sz="0" w:space="0" w:color="auto"/>
        <w:right w:val="none" w:sz="0" w:space="0" w:color="auto"/>
      </w:divBdr>
    </w:div>
    <w:div w:id="1460803545">
      <w:bodyDiv w:val="1"/>
      <w:marLeft w:val="0"/>
      <w:marRight w:val="0"/>
      <w:marTop w:val="0"/>
      <w:marBottom w:val="0"/>
      <w:divBdr>
        <w:top w:val="none" w:sz="0" w:space="0" w:color="auto"/>
        <w:left w:val="none" w:sz="0" w:space="0" w:color="auto"/>
        <w:bottom w:val="none" w:sz="0" w:space="0" w:color="auto"/>
        <w:right w:val="none" w:sz="0" w:space="0" w:color="auto"/>
      </w:divBdr>
    </w:div>
    <w:div w:id="1465348398">
      <w:bodyDiv w:val="1"/>
      <w:marLeft w:val="0"/>
      <w:marRight w:val="0"/>
      <w:marTop w:val="0"/>
      <w:marBottom w:val="0"/>
      <w:divBdr>
        <w:top w:val="none" w:sz="0" w:space="0" w:color="auto"/>
        <w:left w:val="none" w:sz="0" w:space="0" w:color="auto"/>
        <w:bottom w:val="none" w:sz="0" w:space="0" w:color="auto"/>
        <w:right w:val="none" w:sz="0" w:space="0" w:color="auto"/>
      </w:divBdr>
    </w:div>
    <w:div w:id="1470974870">
      <w:bodyDiv w:val="1"/>
      <w:marLeft w:val="0"/>
      <w:marRight w:val="0"/>
      <w:marTop w:val="0"/>
      <w:marBottom w:val="0"/>
      <w:divBdr>
        <w:top w:val="none" w:sz="0" w:space="0" w:color="auto"/>
        <w:left w:val="none" w:sz="0" w:space="0" w:color="auto"/>
        <w:bottom w:val="none" w:sz="0" w:space="0" w:color="auto"/>
        <w:right w:val="none" w:sz="0" w:space="0" w:color="auto"/>
      </w:divBdr>
    </w:div>
    <w:div w:id="1483812066">
      <w:bodyDiv w:val="1"/>
      <w:marLeft w:val="0"/>
      <w:marRight w:val="0"/>
      <w:marTop w:val="0"/>
      <w:marBottom w:val="0"/>
      <w:divBdr>
        <w:top w:val="none" w:sz="0" w:space="0" w:color="auto"/>
        <w:left w:val="none" w:sz="0" w:space="0" w:color="auto"/>
        <w:bottom w:val="none" w:sz="0" w:space="0" w:color="auto"/>
        <w:right w:val="none" w:sz="0" w:space="0" w:color="auto"/>
      </w:divBdr>
    </w:div>
    <w:div w:id="1587347666">
      <w:bodyDiv w:val="1"/>
      <w:marLeft w:val="0"/>
      <w:marRight w:val="0"/>
      <w:marTop w:val="0"/>
      <w:marBottom w:val="0"/>
      <w:divBdr>
        <w:top w:val="none" w:sz="0" w:space="0" w:color="auto"/>
        <w:left w:val="none" w:sz="0" w:space="0" w:color="auto"/>
        <w:bottom w:val="none" w:sz="0" w:space="0" w:color="auto"/>
        <w:right w:val="none" w:sz="0" w:space="0" w:color="auto"/>
      </w:divBdr>
    </w:div>
    <w:div w:id="1708338786">
      <w:bodyDiv w:val="1"/>
      <w:marLeft w:val="0"/>
      <w:marRight w:val="0"/>
      <w:marTop w:val="0"/>
      <w:marBottom w:val="0"/>
      <w:divBdr>
        <w:top w:val="none" w:sz="0" w:space="0" w:color="auto"/>
        <w:left w:val="none" w:sz="0" w:space="0" w:color="auto"/>
        <w:bottom w:val="none" w:sz="0" w:space="0" w:color="auto"/>
        <w:right w:val="none" w:sz="0" w:space="0" w:color="auto"/>
      </w:divBdr>
    </w:div>
    <w:div w:id="1730691721">
      <w:bodyDiv w:val="1"/>
      <w:marLeft w:val="0"/>
      <w:marRight w:val="0"/>
      <w:marTop w:val="0"/>
      <w:marBottom w:val="0"/>
      <w:divBdr>
        <w:top w:val="none" w:sz="0" w:space="0" w:color="auto"/>
        <w:left w:val="none" w:sz="0" w:space="0" w:color="auto"/>
        <w:bottom w:val="none" w:sz="0" w:space="0" w:color="auto"/>
        <w:right w:val="none" w:sz="0" w:space="0" w:color="auto"/>
      </w:divBdr>
    </w:div>
    <w:div w:id="1789854921">
      <w:bodyDiv w:val="1"/>
      <w:marLeft w:val="0"/>
      <w:marRight w:val="0"/>
      <w:marTop w:val="0"/>
      <w:marBottom w:val="0"/>
      <w:divBdr>
        <w:top w:val="none" w:sz="0" w:space="0" w:color="auto"/>
        <w:left w:val="none" w:sz="0" w:space="0" w:color="auto"/>
        <w:bottom w:val="none" w:sz="0" w:space="0" w:color="auto"/>
        <w:right w:val="none" w:sz="0" w:space="0" w:color="auto"/>
      </w:divBdr>
    </w:div>
    <w:div w:id="1823813566">
      <w:bodyDiv w:val="1"/>
      <w:marLeft w:val="0"/>
      <w:marRight w:val="0"/>
      <w:marTop w:val="0"/>
      <w:marBottom w:val="0"/>
      <w:divBdr>
        <w:top w:val="none" w:sz="0" w:space="0" w:color="auto"/>
        <w:left w:val="none" w:sz="0" w:space="0" w:color="auto"/>
        <w:bottom w:val="none" w:sz="0" w:space="0" w:color="auto"/>
        <w:right w:val="none" w:sz="0" w:space="0" w:color="auto"/>
      </w:divBdr>
    </w:div>
    <w:div w:id="1889761795">
      <w:bodyDiv w:val="1"/>
      <w:marLeft w:val="0"/>
      <w:marRight w:val="0"/>
      <w:marTop w:val="0"/>
      <w:marBottom w:val="0"/>
      <w:divBdr>
        <w:top w:val="none" w:sz="0" w:space="0" w:color="auto"/>
        <w:left w:val="none" w:sz="0" w:space="0" w:color="auto"/>
        <w:bottom w:val="none" w:sz="0" w:space="0" w:color="auto"/>
        <w:right w:val="none" w:sz="0" w:space="0" w:color="auto"/>
      </w:divBdr>
    </w:div>
    <w:div w:id="1918324532">
      <w:bodyDiv w:val="1"/>
      <w:marLeft w:val="0"/>
      <w:marRight w:val="0"/>
      <w:marTop w:val="0"/>
      <w:marBottom w:val="0"/>
      <w:divBdr>
        <w:top w:val="none" w:sz="0" w:space="0" w:color="auto"/>
        <w:left w:val="none" w:sz="0" w:space="0" w:color="auto"/>
        <w:bottom w:val="none" w:sz="0" w:space="0" w:color="auto"/>
        <w:right w:val="none" w:sz="0" w:space="0" w:color="auto"/>
      </w:divBdr>
    </w:div>
    <w:div w:id="1934246243">
      <w:bodyDiv w:val="1"/>
      <w:marLeft w:val="0"/>
      <w:marRight w:val="0"/>
      <w:marTop w:val="0"/>
      <w:marBottom w:val="0"/>
      <w:divBdr>
        <w:top w:val="none" w:sz="0" w:space="0" w:color="auto"/>
        <w:left w:val="none" w:sz="0" w:space="0" w:color="auto"/>
        <w:bottom w:val="none" w:sz="0" w:space="0" w:color="auto"/>
        <w:right w:val="none" w:sz="0" w:space="0" w:color="auto"/>
      </w:divBdr>
    </w:div>
    <w:div w:id="2022507796">
      <w:bodyDiv w:val="1"/>
      <w:marLeft w:val="0"/>
      <w:marRight w:val="0"/>
      <w:marTop w:val="0"/>
      <w:marBottom w:val="0"/>
      <w:divBdr>
        <w:top w:val="none" w:sz="0" w:space="0" w:color="auto"/>
        <w:left w:val="none" w:sz="0" w:space="0" w:color="auto"/>
        <w:bottom w:val="none" w:sz="0" w:space="0" w:color="auto"/>
        <w:right w:val="none" w:sz="0" w:space="0" w:color="auto"/>
      </w:divBdr>
    </w:div>
    <w:div w:id="2045206765">
      <w:bodyDiv w:val="1"/>
      <w:marLeft w:val="0"/>
      <w:marRight w:val="0"/>
      <w:marTop w:val="0"/>
      <w:marBottom w:val="0"/>
      <w:divBdr>
        <w:top w:val="none" w:sz="0" w:space="0" w:color="auto"/>
        <w:left w:val="none" w:sz="0" w:space="0" w:color="auto"/>
        <w:bottom w:val="none" w:sz="0" w:space="0" w:color="auto"/>
        <w:right w:val="none" w:sz="0" w:space="0" w:color="auto"/>
      </w:divBdr>
    </w:div>
    <w:div w:id="2109501458">
      <w:bodyDiv w:val="1"/>
      <w:marLeft w:val="0"/>
      <w:marRight w:val="0"/>
      <w:marTop w:val="0"/>
      <w:marBottom w:val="0"/>
      <w:divBdr>
        <w:top w:val="none" w:sz="0" w:space="0" w:color="auto"/>
        <w:left w:val="none" w:sz="0" w:space="0" w:color="auto"/>
        <w:bottom w:val="none" w:sz="0" w:space="0" w:color="auto"/>
        <w:right w:val="none" w:sz="0" w:space="0" w:color="auto"/>
      </w:divBdr>
    </w:div>
    <w:div w:id="2114594749">
      <w:bodyDiv w:val="1"/>
      <w:marLeft w:val="0"/>
      <w:marRight w:val="0"/>
      <w:marTop w:val="0"/>
      <w:marBottom w:val="0"/>
      <w:divBdr>
        <w:top w:val="none" w:sz="0" w:space="0" w:color="auto"/>
        <w:left w:val="none" w:sz="0" w:space="0" w:color="auto"/>
        <w:bottom w:val="none" w:sz="0" w:space="0" w:color="auto"/>
        <w:right w:val="none" w:sz="0" w:space="0" w:color="auto"/>
      </w:divBdr>
    </w:div>
    <w:div w:id="213401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3859</TotalTime>
  <Pages>15</Pages>
  <Words>3958</Words>
  <Characters>22561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Andronic (1812192)</dc:creator>
  <cp:keywords/>
  <dc:description/>
  <cp:lastModifiedBy>Dan Andronic (1812192)</cp:lastModifiedBy>
  <cp:revision>15</cp:revision>
  <dcterms:created xsi:type="dcterms:W3CDTF">2024-02-28T10:44:00Z</dcterms:created>
  <dcterms:modified xsi:type="dcterms:W3CDTF">2024-07-19T15:32:00Z</dcterms:modified>
</cp:coreProperties>
</file>