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59C324">
      <w:pPr>
        <w:pStyle w:val="2"/>
        <w:bidi w:val="0"/>
        <w:jc w:val="center"/>
        <w:rPr>
          <w:rFonts w:hint="eastAsia"/>
          <w:sz w:val="36"/>
          <w:szCs w:val="36"/>
        </w:rPr>
      </w:pPr>
      <w:r>
        <w:rPr>
          <w:rFonts w:hint="eastAsia"/>
          <w:sz w:val="36"/>
          <w:szCs w:val="36"/>
        </w:rPr>
        <w:t>Exploring Chinese University Students</w:t>
      </w:r>
      <w:r>
        <w:rPr>
          <w:rFonts w:hint="default"/>
          <w:sz w:val="36"/>
          <w:szCs w:val="36"/>
          <w:lang w:val="en-US"/>
        </w:rPr>
        <w:t xml:space="preserve">’ </w:t>
      </w:r>
      <w:r>
        <w:rPr>
          <w:rFonts w:hint="eastAsia"/>
          <w:sz w:val="36"/>
          <w:szCs w:val="36"/>
        </w:rPr>
        <w:t xml:space="preserve">Self-Regulated Use </w:t>
      </w:r>
      <w:r>
        <w:rPr>
          <w:rFonts w:hint="default"/>
          <w:sz w:val="36"/>
          <w:szCs w:val="36"/>
          <w:lang w:val="en-US"/>
        </w:rPr>
        <w:t xml:space="preserve">and Perceptions </w:t>
      </w:r>
      <w:r>
        <w:rPr>
          <w:rFonts w:hint="eastAsia"/>
          <w:sz w:val="36"/>
          <w:szCs w:val="36"/>
          <w:lang w:val="en-US" w:eastAsia="zh-CN"/>
        </w:rPr>
        <w:t>o</w:t>
      </w:r>
      <w:r>
        <w:rPr>
          <w:rFonts w:hint="eastAsia"/>
          <w:sz w:val="36"/>
          <w:szCs w:val="36"/>
        </w:rPr>
        <w:t>f Generative AI tools in Academic Writing</w:t>
      </w:r>
    </w:p>
    <w:p w14:paraId="66FCE361">
      <w:pPr>
        <w:pStyle w:val="2"/>
        <w:bidi w:val="0"/>
        <w:outlineLvl w:val="0"/>
        <w:rPr>
          <w:rFonts w:hint="default" w:ascii="Calibri Regular" w:hAnsi="Calibri Regular" w:cs="Calibri Regular"/>
          <w:b w:val="0"/>
          <w:sz w:val="28"/>
          <w:szCs w:val="28"/>
          <w:lang w:val="en-US"/>
        </w:rPr>
      </w:pPr>
      <w:r>
        <w:rPr>
          <w:rFonts w:hint="default" w:ascii="Calibri Regular" w:hAnsi="Calibri Regular" w:cs="Calibri Regular"/>
          <w:b w:val="0"/>
          <w:sz w:val="28"/>
          <w:szCs w:val="28"/>
          <w:lang w:val="en-US"/>
        </w:rPr>
        <w:t xml:space="preserve">Chapter 1: Introduction </w:t>
      </w:r>
    </w:p>
    <w:p w14:paraId="4B1D3D71">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eastAsia" w:ascii="Calibri Regular" w:hAnsi="Calibri Regular" w:cs="Calibri Regular"/>
          <w:b w:val="0"/>
          <w:sz w:val="21"/>
          <w:szCs w:val="21"/>
          <w:lang w:val="en-US" w:eastAsia="zh-CN"/>
        </w:rPr>
        <w:t>The integration of d</w:t>
      </w:r>
      <w:r>
        <w:rPr>
          <w:rFonts w:hint="default" w:ascii="Calibri Regular" w:hAnsi="Calibri Regular" w:cs="Calibri Regular"/>
          <w:b w:val="0"/>
          <w:sz w:val="21"/>
          <w:szCs w:val="21"/>
          <w:lang w:val="en-US" w:eastAsia="zh-CN"/>
        </w:rPr>
        <w:t xml:space="preserve">igital technologies into education has greatly transformed the way how learners access information and redefined teaching practices both inside and outside the classrooms (OEDC, 2023). The release of ChatGPT in late 2022, the first widely accessible generative AI tool, created a global stir and brought both promising opportunities and potential risks for education (UNESCO, 2023). With its text generation capability, ChatGPT has altered students’ approaches to academic writing (Tsai et al., 2024; Teng, 2024). This impact on writing has drawn growing interest from researchers, as seen in recent studies by Dong (2024), Song and Song (2023), Nugoroho </w:t>
      </w:r>
      <w:r>
        <w:rPr>
          <w:rFonts w:hint="default" w:ascii="Calibri Italic" w:hAnsi="Calibri Italic" w:cs="Calibri Italic"/>
          <w:b w:val="0"/>
          <w:i/>
          <w:iCs/>
          <w:sz w:val="21"/>
          <w:szCs w:val="21"/>
          <w:lang w:val="en-US" w:eastAsia="zh-CN"/>
        </w:rPr>
        <w:t xml:space="preserve">et al. </w:t>
      </w:r>
      <w:r>
        <w:rPr>
          <w:rFonts w:hint="default" w:ascii="Calibri Regular" w:hAnsi="Calibri Regular" w:cs="Calibri Regular"/>
          <w:b w:val="0"/>
          <w:sz w:val="21"/>
          <w:szCs w:val="21"/>
          <w:lang w:val="en-US" w:eastAsia="zh-CN"/>
        </w:rPr>
        <w:t xml:space="preserve">(2024) and Ou </w:t>
      </w:r>
      <w:r>
        <w:rPr>
          <w:rFonts w:hint="default" w:ascii="Calibri Italic" w:hAnsi="Calibri Italic" w:cs="Calibri Italic"/>
          <w:b w:val="0"/>
          <w:i/>
          <w:iCs/>
          <w:sz w:val="21"/>
          <w:szCs w:val="21"/>
          <w:lang w:val="en-US" w:eastAsia="zh-CN"/>
        </w:rPr>
        <w:t xml:space="preserve">et al. </w:t>
      </w:r>
      <w:r>
        <w:rPr>
          <w:rFonts w:hint="default" w:ascii="Calibri Regular" w:hAnsi="Calibri Regular" w:cs="Calibri Regular"/>
          <w:b w:val="0"/>
          <w:sz w:val="21"/>
          <w:szCs w:val="21"/>
          <w:lang w:val="en-US" w:eastAsia="zh-CN"/>
        </w:rPr>
        <w:t xml:space="preserve">(2024). </w:t>
      </w:r>
    </w:p>
    <w:p w14:paraId="64E46D95">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1D9510B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Within higher education, academic writing is an essential skill for meeting the standards of university assignments (Chauhan, 2022). Developing this competence allows students to express their ideas clearly, practise analytical reading and writing, apply critical thinking, and follow academic conventions (Dagarin Fojkar and Berčnik, 2024). The integration of GenAI tools into academic writing practices has become an emerging issue in education that has presented both opportunities and challenges(Yan, 2023). This development has sparked ongoing debate within the academic community about the role of such tools in academic writing.  </w:t>
      </w:r>
    </w:p>
    <w:p w14:paraId="3BF1E1FF">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0F3A2ABF">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eastAsia" w:ascii="Calibri Regular" w:hAnsi="Calibri Regular" w:cs="Calibri Regular"/>
          <w:b w:val="0"/>
          <w:sz w:val="21"/>
          <w:szCs w:val="21"/>
          <w:lang w:val="en-US" w:eastAsia="zh-CN"/>
        </w:rPr>
        <w:t>In Ma</w:t>
      </w:r>
      <w:r>
        <w:rPr>
          <w:rFonts w:hint="default" w:ascii="Calibri Regular" w:hAnsi="Calibri Regular" w:cs="Calibri Regular"/>
          <w:b w:val="0"/>
          <w:sz w:val="21"/>
          <w:szCs w:val="21"/>
          <w:lang w:val="en-US" w:eastAsia="zh-CN"/>
        </w:rPr>
        <w:t xml:space="preserve">y 2025, China released its first official white paper on Smart Education at the World Digital Conference, signaling a national commitment to transforming education through intelligent technologies and positioning digital education as a strategic priority (MOE, 2025). Within this broad digital strategy, GenAI tools in higher education are rapidly transitioning from policy advocacy to practical implementation in teaching and learning. </w:t>
      </w:r>
    </w:p>
    <w:p w14:paraId="0CC76110">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48E40211">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r>
        <w:rPr>
          <w:rFonts w:hint="default" w:ascii="Calibri Regular" w:hAnsi="Calibri Regular" w:cs="Calibri Regular"/>
          <w:b w:val="0"/>
          <w:sz w:val="21"/>
          <w:szCs w:val="21"/>
          <w:lang w:val="en-US" w:eastAsia="zh-CN"/>
        </w:rPr>
        <w:t xml:space="preserve">Since 2023, a wide range of domestically developed GenAI platforms have been launched in China, marking the rapid rise of a domestic GenAI ecosystem designed to meet local needs. Among these, </w:t>
      </w:r>
      <w:r>
        <w:rPr>
          <w:rFonts w:hint="default" w:ascii="Calibri Italic" w:hAnsi="Calibri Italic" w:cs="Calibri Italic"/>
          <w:b w:val="0"/>
          <w:i/>
          <w:iCs/>
          <w:sz w:val="21"/>
          <w:szCs w:val="21"/>
          <w:lang w:val="en-US" w:eastAsia="zh-CN"/>
        </w:rPr>
        <w:t>Ernie bot</w:t>
      </w:r>
      <w:r>
        <w:rPr>
          <w:rFonts w:hint="default" w:ascii="Calibri Regular" w:hAnsi="Calibri Regular" w:cs="Calibri Regular"/>
          <w:b w:val="0"/>
          <w:sz w:val="21"/>
          <w:szCs w:val="21"/>
          <w:lang w:val="en-US" w:eastAsia="zh-CN"/>
        </w:rPr>
        <w:t xml:space="preserve"> launched by Baidu in March 2023, was positioned as one of the first large language models (LLMs) open to the public in China (Baidu Research, 2023). As one of China’s leading companies in artificial intelligence and speech technology, iFLYTEK launched the </w:t>
      </w:r>
      <w:r>
        <w:rPr>
          <w:rFonts w:hint="default" w:ascii="Calibri Italic" w:hAnsi="Calibri Italic" w:cs="Calibri Italic"/>
          <w:b w:val="0"/>
          <w:i/>
          <w:iCs/>
          <w:sz w:val="21"/>
          <w:szCs w:val="21"/>
          <w:lang w:val="en-US" w:eastAsia="zh-CN"/>
        </w:rPr>
        <w:t>Spark Cognitive Model</w:t>
      </w:r>
      <w:r>
        <w:rPr>
          <w:rFonts w:hint="default" w:ascii="Calibri" w:hAnsi="Calibri" w:cs="Calibri"/>
          <w:b w:val="0"/>
          <w:i w:val="0"/>
          <w:iCs w:val="0"/>
          <w:sz w:val="21"/>
          <w:szCs w:val="21"/>
          <w:lang w:val="en-US" w:eastAsia="zh-CN"/>
        </w:rPr>
        <w:t>, a</w:t>
      </w:r>
      <w:r>
        <w:rPr>
          <w:rFonts w:hint="default" w:ascii="Calibri Italic" w:hAnsi="Calibri Italic" w:cs="Calibri Italic"/>
          <w:b w:val="0"/>
          <w:i w:val="0"/>
          <w:iCs w:val="0"/>
          <w:sz w:val="21"/>
          <w:szCs w:val="21"/>
          <w:lang w:val="en-US" w:eastAsia="zh-CN"/>
        </w:rPr>
        <w:t xml:space="preserve"> </w:t>
      </w:r>
      <w:r>
        <w:rPr>
          <w:rFonts w:hint="default" w:ascii="Calibri" w:hAnsi="Calibri" w:cs="Calibri"/>
          <w:b w:val="0"/>
          <w:i w:val="0"/>
          <w:iCs w:val="0"/>
          <w:sz w:val="21"/>
          <w:szCs w:val="21"/>
          <w:lang w:val="en-US" w:eastAsia="zh-CN"/>
        </w:rPr>
        <w:t xml:space="preserve">generative AI system designed to support both educational and workplace scenarios(Xinhua News Agency, 2023). The model features educational capabilities such as AI-powered essay scoring, virtual teaching assistants, and interactive language practice tools, providing targeted support for teaching and learning activities. </w:t>
      </w:r>
    </w:p>
    <w:p w14:paraId="7495DCD7">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4F1A7F23">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In additional to institutionally oriented models, a new generation of user-centred GenAI platforms has GenAIned significant popularity among young users in China, particularly university students. </w:t>
      </w:r>
      <w:r>
        <w:rPr>
          <w:rFonts w:hint="default" w:ascii="Calibri Italic" w:hAnsi="Calibri Italic" w:cs="Calibri Italic"/>
          <w:b w:val="0"/>
          <w:i/>
          <w:iCs/>
          <w:sz w:val="21"/>
          <w:szCs w:val="21"/>
          <w:lang w:val="en-US" w:eastAsia="zh-CN"/>
        </w:rPr>
        <w:t>Doubao</w:t>
      </w:r>
      <w:r>
        <w:rPr>
          <w:rFonts w:hint="default" w:ascii="Calibri" w:hAnsi="Calibri" w:cs="Calibri"/>
          <w:b w:val="0"/>
          <w:i w:val="0"/>
          <w:iCs w:val="0"/>
          <w:sz w:val="21"/>
          <w:szCs w:val="21"/>
          <w:lang w:val="en-US" w:eastAsia="zh-CN"/>
        </w:rPr>
        <w:t xml:space="preserve">, described by media as ‘China’s hottest AI bot’ (Tech Trends, 2024), was developed by </w:t>
      </w:r>
      <w:r>
        <w:rPr>
          <w:rFonts w:hint="default" w:ascii="Calibri Italic" w:hAnsi="Calibri Italic" w:cs="Calibri Italic"/>
          <w:b w:val="0"/>
          <w:i/>
          <w:iCs/>
          <w:sz w:val="21"/>
          <w:szCs w:val="21"/>
          <w:lang w:val="en-US" w:eastAsia="zh-CN"/>
        </w:rPr>
        <w:t>ByteDance</w:t>
      </w:r>
      <w:r>
        <w:rPr>
          <w:rFonts w:hint="default" w:ascii="Calibri" w:hAnsi="Calibri" w:cs="Calibri"/>
          <w:b w:val="0"/>
          <w:i w:val="0"/>
          <w:iCs w:val="0"/>
          <w:sz w:val="21"/>
          <w:szCs w:val="21"/>
          <w:lang w:val="en-US" w:eastAsia="zh-CN"/>
        </w:rPr>
        <w:t xml:space="preserve"> and has become one of the most widely used GenAI tools among students, offering versatile support for writing, translation, coding and multi-modal content generation. Meanwhile, </w:t>
      </w:r>
      <w:r>
        <w:rPr>
          <w:rFonts w:hint="default" w:ascii="Calibri Italic" w:hAnsi="Calibri Italic" w:cs="Calibri Italic"/>
          <w:b w:val="0"/>
          <w:i/>
          <w:iCs/>
          <w:sz w:val="21"/>
          <w:szCs w:val="21"/>
          <w:lang w:val="en-US" w:eastAsia="zh-CN"/>
        </w:rPr>
        <w:t>Kimi Chat</w:t>
      </w:r>
      <w:r>
        <w:rPr>
          <w:rFonts w:hint="default" w:ascii="Calibri" w:hAnsi="Calibri" w:cs="Calibri"/>
          <w:b w:val="0"/>
          <w:i w:val="0"/>
          <w:iCs w:val="0"/>
          <w:sz w:val="21"/>
          <w:szCs w:val="21"/>
          <w:lang w:val="en-US" w:eastAsia="zh-CN"/>
        </w:rPr>
        <w:t>,</w:t>
      </w:r>
      <w:r>
        <w:rPr>
          <w:rFonts w:hint="default" w:ascii="Calibri Italic" w:hAnsi="Calibri Italic" w:cs="Calibri Italic"/>
          <w:b w:val="0"/>
          <w:i/>
          <w:iCs/>
          <w:sz w:val="21"/>
          <w:szCs w:val="21"/>
          <w:lang w:val="en-US" w:eastAsia="zh-CN"/>
        </w:rPr>
        <w:t xml:space="preserve"> </w:t>
      </w:r>
      <w:r>
        <w:rPr>
          <w:rFonts w:hint="default" w:ascii="Calibri" w:hAnsi="Calibri" w:cs="Calibri"/>
          <w:b w:val="0"/>
          <w:i w:val="0"/>
          <w:iCs w:val="0"/>
          <w:sz w:val="21"/>
          <w:szCs w:val="21"/>
          <w:lang w:val="en-US" w:eastAsia="zh-CN"/>
        </w:rPr>
        <w:t>developed by</w:t>
      </w:r>
      <w:r>
        <w:rPr>
          <w:rFonts w:hint="default" w:ascii="Calibri Italic" w:hAnsi="Calibri Italic" w:cs="Calibri Italic"/>
          <w:b w:val="0"/>
          <w:i/>
          <w:iCs/>
          <w:sz w:val="21"/>
          <w:szCs w:val="21"/>
          <w:lang w:val="en-US" w:eastAsia="zh-CN"/>
        </w:rPr>
        <w:t xml:space="preserve"> Moonshot AI</w:t>
      </w:r>
      <w:r>
        <w:rPr>
          <w:rFonts w:hint="default" w:ascii="Calibri" w:hAnsi="Calibri" w:cs="Calibri"/>
          <w:b w:val="0"/>
          <w:i w:val="0"/>
          <w:iCs w:val="0"/>
          <w:sz w:val="21"/>
          <w:szCs w:val="21"/>
          <w:lang w:val="en-US" w:eastAsia="zh-CN"/>
        </w:rPr>
        <w:t xml:space="preserve">, is notable for its ability to process up to 200, 000 Chinese characters in a single session -- one of the longest input capabilities among publicly available AI tools (China Daily, 2023). With strong performance in maintaining coherence and logic consistency, it is particularly well suited for complex reasoning, academic reading, and extended academic writing. These features made it especially popular among students and researchers working in academic setting. </w:t>
      </w:r>
    </w:p>
    <w:p w14:paraId="0D24A88E">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58AB0DF0">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In 2025, the launch of </w:t>
      </w:r>
      <w:r>
        <w:rPr>
          <w:rFonts w:hint="default" w:ascii="Calibri Italic" w:hAnsi="Calibri Italic" w:cs="Calibri Italic"/>
          <w:b w:val="0"/>
          <w:i/>
          <w:iCs/>
          <w:sz w:val="21"/>
          <w:szCs w:val="21"/>
          <w:lang w:val="en-US" w:eastAsia="zh-CN"/>
        </w:rPr>
        <w:t>DeepSeek-R1</w:t>
      </w:r>
      <w:r>
        <w:rPr>
          <w:rFonts w:hint="default" w:ascii="Calibri" w:hAnsi="Calibri" w:cs="Calibri"/>
          <w:b w:val="0"/>
          <w:i w:val="0"/>
          <w:iCs w:val="0"/>
          <w:sz w:val="21"/>
          <w:szCs w:val="21"/>
          <w:lang w:val="en-US" w:eastAsia="zh-CN"/>
        </w:rPr>
        <w:t xml:space="preserve"> and </w:t>
      </w:r>
      <w:r>
        <w:rPr>
          <w:rFonts w:hint="default" w:ascii="Calibri Italic" w:hAnsi="Calibri Italic" w:cs="Calibri Italic"/>
          <w:b w:val="0"/>
          <w:i/>
          <w:iCs/>
          <w:sz w:val="21"/>
          <w:szCs w:val="21"/>
          <w:lang w:val="en-US" w:eastAsia="zh-CN"/>
        </w:rPr>
        <w:t>V3</w:t>
      </w:r>
      <w:r>
        <w:rPr>
          <w:rFonts w:hint="default" w:ascii="Calibri" w:hAnsi="Calibri" w:cs="Calibri"/>
          <w:b w:val="0"/>
          <w:i w:val="0"/>
          <w:iCs w:val="0"/>
          <w:sz w:val="21"/>
          <w:szCs w:val="21"/>
          <w:lang w:val="en-US" w:eastAsia="zh-CN"/>
        </w:rPr>
        <w:t xml:space="preserve"> has drew significant attention from domestic and international media, as they achieved performance comparable to leading U.S. chatbots from companies such as </w:t>
      </w:r>
      <w:r>
        <w:rPr>
          <w:rFonts w:hint="default" w:ascii="Calibri Italic" w:hAnsi="Calibri Italic" w:cs="Calibri Italic"/>
          <w:b w:val="0"/>
          <w:i/>
          <w:iCs/>
          <w:sz w:val="21"/>
          <w:szCs w:val="21"/>
          <w:lang w:val="en-US" w:eastAsia="zh-CN"/>
        </w:rPr>
        <w:t xml:space="preserve">OpenAI </w:t>
      </w:r>
      <w:r>
        <w:rPr>
          <w:rFonts w:hint="default" w:ascii="Calibri" w:hAnsi="Calibri" w:cs="Calibri"/>
          <w:b w:val="0"/>
          <w:i w:val="0"/>
          <w:iCs w:val="0"/>
          <w:sz w:val="21"/>
          <w:szCs w:val="21"/>
          <w:lang w:val="en-US" w:eastAsia="zh-CN"/>
        </w:rPr>
        <w:t xml:space="preserve">and </w:t>
      </w:r>
      <w:r>
        <w:rPr>
          <w:rFonts w:hint="default" w:ascii="Calibri Italic" w:hAnsi="Calibri Italic" w:cs="Calibri Italic"/>
          <w:b w:val="0"/>
          <w:i/>
          <w:iCs/>
          <w:sz w:val="21"/>
          <w:szCs w:val="21"/>
          <w:lang w:val="en-US" w:eastAsia="zh-CN"/>
        </w:rPr>
        <w:t>Google</w:t>
      </w:r>
      <w:r>
        <w:rPr>
          <w:rFonts w:hint="default" w:ascii="Calibri" w:hAnsi="Calibri" w:cs="Calibri"/>
          <w:b w:val="0"/>
          <w:i w:val="0"/>
          <w:iCs w:val="0"/>
          <w:sz w:val="21"/>
          <w:szCs w:val="21"/>
          <w:lang w:val="en-US" w:eastAsia="zh-CN"/>
        </w:rPr>
        <w:t xml:space="preserve">, while requiring far fewer computational resources and lower development cost (Cade, 2025). In educational and research contexts, </w:t>
      </w:r>
      <w:r>
        <w:rPr>
          <w:rFonts w:hint="default" w:ascii="Calibri Italic" w:hAnsi="Calibri Italic" w:cs="Calibri Italic"/>
          <w:b w:val="0"/>
          <w:i/>
          <w:iCs/>
          <w:sz w:val="21"/>
          <w:szCs w:val="21"/>
          <w:lang w:val="en-US" w:eastAsia="zh-CN"/>
        </w:rPr>
        <w:t>DeepSeek R1</w:t>
      </w:r>
      <w:r>
        <w:rPr>
          <w:rFonts w:hint="default" w:ascii="Calibri" w:hAnsi="Calibri" w:cs="Calibri"/>
          <w:b w:val="0"/>
          <w:i w:val="0"/>
          <w:iCs w:val="0"/>
          <w:sz w:val="21"/>
          <w:szCs w:val="21"/>
          <w:lang w:val="en-US" w:eastAsia="zh-CN"/>
        </w:rPr>
        <w:t xml:space="preserve"> have demonstrated a strong ability to break down complex academic concepts through structured, step-by-step reasoning -- an approach that enhances clarity in both learning and research-based writing tasks (</w:t>
      </w:r>
      <w:r>
        <w:rPr>
          <w:rFonts w:hint="default" w:ascii="Calibri Regular" w:hAnsi="Calibri Regular" w:cs="Calibri Regular"/>
          <w:b w:val="0"/>
          <w:sz w:val="21"/>
          <w:szCs w:val="21"/>
          <w:lang w:val="en-US" w:eastAsia="zh-CN"/>
        </w:rPr>
        <w:t>Neha and Bhati, 2025</w:t>
      </w:r>
      <w:r>
        <w:rPr>
          <w:rFonts w:hint="default" w:ascii="Calibri" w:hAnsi="Calibri" w:cs="Calibri"/>
          <w:b w:val="0"/>
          <w:i w:val="0"/>
          <w:iCs w:val="0"/>
          <w:sz w:val="21"/>
          <w:szCs w:val="21"/>
          <w:lang w:val="en-US" w:eastAsia="zh-CN"/>
        </w:rPr>
        <w:t xml:space="preserve">). An increasing number of Chinese universities are applying </w:t>
      </w:r>
      <w:r>
        <w:rPr>
          <w:rFonts w:hint="default" w:ascii="Calibri Italic" w:hAnsi="Calibri Italic" w:cs="Calibri Italic"/>
          <w:b w:val="0"/>
          <w:i/>
          <w:iCs/>
          <w:sz w:val="21"/>
          <w:szCs w:val="21"/>
          <w:lang w:val="en-US" w:eastAsia="zh-CN"/>
        </w:rPr>
        <w:t>DeepSeek</w:t>
      </w:r>
      <w:r>
        <w:rPr>
          <w:rFonts w:hint="default" w:ascii="Calibri" w:hAnsi="Calibri" w:cs="Calibri"/>
          <w:b w:val="0"/>
          <w:i w:val="0"/>
          <w:iCs w:val="0"/>
          <w:sz w:val="21"/>
          <w:szCs w:val="21"/>
          <w:lang w:val="en-US" w:eastAsia="zh-CN"/>
        </w:rPr>
        <w:t xml:space="preserve"> models in practice, with some integrating them into self-developed teaching platforms. As an intelligent assistant, </w:t>
      </w:r>
      <w:r>
        <w:rPr>
          <w:rFonts w:hint="default" w:ascii="Calibri Italic" w:hAnsi="Calibri Italic" w:cs="Calibri Italic"/>
          <w:b w:val="0"/>
          <w:i/>
          <w:iCs/>
          <w:sz w:val="21"/>
          <w:szCs w:val="21"/>
          <w:lang w:val="en-US" w:eastAsia="zh-CN"/>
        </w:rPr>
        <w:t>DeepSeek</w:t>
      </w:r>
      <w:r>
        <w:rPr>
          <w:rFonts w:hint="default" w:ascii="Calibri" w:hAnsi="Calibri" w:cs="Calibri"/>
          <w:b w:val="0"/>
          <w:i w:val="0"/>
          <w:iCs w:val="0"/>
          <w:sz w:val="21"/>
          <w:szCs w:val="21"/>
          <w:lang w:val="en-US" w:eastAsia="zh-CN"/>
        </w:rPr>
        <w:t xml:space="preserve"> supports both students and researchers in tasks involving deeper analytical thinking (Beijing Daily, 2025). </w:t>
      </w:r>
    </w:p>
    <w:p w14:paraId="0251807C">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12DD4F90">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As a university writing instructor, my sustained engagement with writing pedagogy has deepened my interest in understanding how students interact with GenAI tools to support their writing processes, and how they perceive these experiences. This line of inquiry not only sheds light on students’ evolving writing practices in AI-assisted environments, but also offers an important opportunity for educators to critically reflect on their roles in guiding the effective and ethical integration of such tools into academic writing. </w:t>
      </w:r>
    </w:p>
    <w:p w14:paraId="08321A05">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6889845E">
      <w:pPr>
        <w:outlineLvl w:val="0"/>
        <w:rPr>
          <w:rFonts w:hint="default" w:ascii="Calibri Regular" w:hAnsi="Calibri Regular" w:cs="Calibri Regular"/>
          <w:b w:val="0"/>
          <w:sz w:val="28"/>
          <w:szCs w:val="28"/>
          <w:lang w:val="en-US"/>
        </w:rPr>
      </w:pPr>
      <w:r>
        <w:rPr>
          <w:rFonts w:hint="default" w:ascii="Calibri Regular" w:hAnsi="Calibri Regular" w:cs="Calibri Regular"/>
          <w:b w:val="0"/>
          <w:sz w:val="28"/>
          <w:szCs w:val="28"/>
          <w:lang w:val="en-US"/>
        </w:rPr>
        <w:t>Chapter2: Literature Review</w:t>
      </w:r>
    </w:p>
    <w:p w14:paraId="68448C39">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2.1 GenAI Tools and Academic Writing</w:t>
      </w:r>
    </w:p>
    <w:p w14:paraId="35C70CA2">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2.1.1 Definition of G</w:t>
      </w:r>
      <w:r>
        <w:rPr>
          <w:rFonts w:hint="eastAsia" w:ascii="Calibri" w:hAnsi="Calibri" w:cs="Calibri"/>
          <w:b w:val="0"/>
          <w:i w:val="0"/>
          <w:iCs w:val="0"/>
          <w:sz w:val="21"/>
          <w:szCs w:val="21"/>
          <w:lang w:val="en-US" w:eastAsia="zh-CN"/>
        </w:rPr>
        <w:t>en</w:t>
      </w:r>
      <w:r>
        <w:rPr>
          <w:rFonts w:hint="default" w:ascii="Calibri" w:hAnsi="Calibri" w:cs="Calibri"/>
          <w:b w:val="0"/>
          <w:i w:val="0"/>
          <w:iCs w:val="0"/>
          <w:sz w:val="21"/>
          <w:szCs w:val="21"/>
          <w:lang w:val="en-US" w:eastAsia="zh-CN"/>
        </w:rPr>
        <w:t>erative Artificial Intelligence (GenAI)</w:t>
      </w:r>
    </w:p>
    <w:p w14:paraId="70F4EFD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At present, there is no standardised definition of generative artificial intelligence (GenAI). Nevertheless, it is possible to synthesise definitions from three key perspectives: academic, industrial and governmental -- which, despite different wording, reflect a broadly consistent understanding of the concept. </w:t>
      </w:r>
    </w:p>
    <w:p w14:paraId="3DF44B2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09508D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From the academic perspective, Feurriegel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defines GenAI as ‘computational techniques that are capable of generating seemingly new, meaningful content such as text, images, or audio from training data’(p. 111). In the industrial context, IBM (2023) defines GenAI as deep-learning models designed to generate high-quality content (including text, images, and more) derived from the datasets on which they have been trained. A governmental interpretation is provided by the UK’ Governmental Digital Service (2025), which, in its recent AI Playbook, characterised GenAI as a subset of artificial intelligence that uses probabilistic models trained across diverse domains to produce outputs such as text, images, and videos. GenAI systems learn from vast, curated datasets to replicate and generate complex patterns and structures, enabling a broad range of innovative applications. </w:t>
      </w:r>
    </w:p>
    <w:p w14:paraId="6CB8658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green"/>
          <w:lang w:val="en-US" w:eastAsia="zh-CN"/>
        </w:rPr>
      </w:pPr>
    </w:p>
    <w:p w14:paraId="4FABBD8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Despite the different lens through which GenAI is viewed, the definitions share some core features: the ability to generate content, the use of extensive training data, and the application of advanced AI technologies. Synthesising these perspectives, this study adopts the following working definition: </w:t>
      </w:r>
    </w:p>
    <w:p w14:paraId="5A8301C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232A0163">
      <w:pPr>
        <w:keepNext w:val="0"/>
        <w:keepLines w:val="0"/>
        <w:pageBreakBefore w:val="0"/>
        <w:widowControl w:val="0"/>
        <w:kinsoku/>
        <w:wordWrap/>
        <w:overflowPunct/>
        <w:topLinePunct w:val="0"/>
        <w:autoSpaceDE/>
        <w:autoSpaceDN/>
        <w:bidi w:val="0"/>
        <w:adjustRightInd/>
        <w:snapToGrid/>
        <w:spacing w:line="360" w:lineRule="auto"/>
        <w:ind w:firstLine="420" w:firstLine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GenAI refers to advanced artificial intelligence systems that are trained on large-scale </w:t>
      </w:r>
      <w:r>
        <w:rPr>
          <w:rFonts w:hint="default" w:ascii="Calibri" w:hAnsi="Calibri" w:cs="Calibri"/>
          <w:b w:val="0"/>
          <w:i w:val="0"/>
          <w:iCs w:val="0"/>
          <w:sz w:val="21"/>
          <w:szCs w:val="21"/>
          <w:lang w:val="en-US" w:eastAsia="zh-CN"/>
        </w:rPr>
        <w:tab/>
      </w:r>
      <w:r>
        <w:rPr>
          <w:rFonts w:hint="default" w:ascii="Calibri" w:hAnsi="Calibri" w:cs="Calibri"/>
          <w:b w:val="0"/>
          <w:i w:val="0"/>
          <w:iCs w:val="0"/>
          <w:sz w:val="21"/>
          <w:szCs w:val="21"/>
          <w:lang w:val="en-US" w:eastAsia="zh-CN"/>
        </w:rPr>
        <w:t xml:space="preserve">datasets and are capable of generating new and meaningful content -- including text, </w:t>
      </w:r>
      <w:r>
        <w:rPr>
          <w:rFonts w:hint="default" w:ascii="Calibri" w:hAnsi="Calibri" w:cs="Calibri"/>
          <w:b w:val="0"/>
          <w:i w:val="0"/>
          <w:iCs w:val="0"/>
          <w:sz w:val="21"/>
          <w:szCs w:val="21"/>
          <w:lang w:val="en-US" w:eastAsia="zh-CN"/>
        </w:rPr>
        <w:tab/>
      </w:r>
      <w:r>
        <w:rPr>
          <w:rFonts w:hint="default" w:ascii="Calibri" w:hAnsi="Calibri" w:cs="Calibri"/>
          <w:b w:val="0"/>
          <w:i w:val="0"/>
          <w:iCs w:val="0"/>
          <w:sz w:val="21"/>
          <w:szCs w:val="21"/>
          <w:lang w:val="en-US" w:eastAsia="zh-CN"/>
        </w:rPr>
        <w:t xml:space="preserve">images, and other media -- by using deep learning and big-data driven AI technique. </w:t>
      </w:r>
    </w:p>
    <w:p w14:paraId="3FC0E436">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2561BB7B">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green"/>
          <w:lang w:val="en-US" w:eastAsia="zh-CN"/>
        </w:rPr>
      </w:pPr>
      <w:r>
        <w:rPr>
          <w:rFonts w:hint="default" w:ascii="Calibri" w:hAnsi="Calibri" w:cs="Calibri"/>
          <w:b w:val="0"/>
          <w:i w:val="0"/>
          <w:iCs w:val="0"/>
          <w:sz w:val="21"/>
          <w:szCs w:val="21"/>
          <w:highlight w:val="none"/>
          <w:lang w:val="en-US" w:eastAsia="zh-CN"/>
        </w:rPr>
        <w:t>2.1.2 Early Discussions on the Application of GenAI in Writing</w:t>
      </w:r>
    </w:p>
    <w:p w14:paraId="5ACBFB9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eastAsia" w:ascii="Calibri" w:hAnsi="Calibri" w:cs="Calibri"/>
          <w:b w:val="0"/>
          <w:i w:val="0"/>
          <w:iCs w:val="0"/>
          <w:sz w:val="21"/>
          <w:szCs w:val="21"/>
          <w:lang w:val="en-US" w:eastAsia="zh-CN"/>
        </w:rPr>
        <w:t>S</w:t>
      </w:r>
      <w:r>
        <w:rPr>
          <w:rFonts w:hint="default" w:ascii="Calibri" w:hAnsi="Calibri" w:cs="Calibri"/>
          <w:b w:val="0"/>
          <w:i w:val="0"/>
          <w:iCs w:val="0"/>
          <w:sz w:val="21"/>
          <w:szCs w:val="21"/>
          <w:lang w:val="en-US" w:eastAsia="zh-CN"/>
        </w:rPr>
        <w:t xml:space="preserve">ince the launch of ChatGPT in late 2022, the application of GenAI tools in writing has triggered extensive academic discussions. One the one hand, scholars recognise the benefits of using GenAI as a writing assistant. Based on a systematic review of 30 peer-reviewed articles published within six months of ChatGPT’s release, Imran and Almusharraf (2023) summarise that GenAI tools like ChatGPT can assist with idea generation, initial drafting, advanced grammar and syntax correction, improving coherence and summarising literature during academic writing tasks. On the other hand, concerns have been raised about the pitfalls of GenAI tools in writing education. Barrots (2023) warns that the ease of using ChapGPT to produce text lead to learning loss, particularly in the development of critical and creative thinking skills -- especially when students become overly reliant on the tool for convenience. </w:t>
      </w:r>
    </w:p>
    <w:p w14:paraId="4D0B6B3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213C049E">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2.1.3 Empirical Focuses: Writing Output and Writing Process </w:t>
      </w:r>
    </w:p>
    <w:p w14:paraId="4CD3822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Recent research has shifted from initial discussions on the benefits and risks towards more empirical investigations examining the actual impact of GenAI tools like ChatGPT on student writing. These studies approach the topic from different angles: some examine how ChatGPT influences the final writing product (Niloy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Jin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2025), others focus on its role during the writing process (Nugroho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Nguyen, A.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Ou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and a few consider both product and process together (Yan, 2023; Nguyen, L.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w:t>
      </w:r>
    </w:p>
    <w:p w14:paraId="34F668D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B3DFA3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Research on writing output often points to improvements in language use and overall quality (Nguyen, L.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Song and Song, 2023; Dong, 2024). Some studies further suggest that GenAI can influence broader aspects of writing, such as creativity and criticality (Niloy et al., 2023; Ou et al.,2024). Yet, the findings are not consistent, indicating that the impact of GenAI on writing performance is likely shaped by contextual factors and remains open to further investigation. </w:t>
      </w:r>
    </w:p>
    <w:p w14:paraId="1686648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AB23C9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Although writing output is more tangible and easier to measure, a growing number of studies now have turned their attention to examine how students engage with GenAI tools during the writing process. These studies often draw on reflective data (Nugroho </w:t>
      </w:r>
      <w:r>
        <w:rPr>
          <w:rFonts w:hint="default" w:ascii="Calibri Italic" w:hAnsi="Calibri Italic" w:cs="Calibri Italic"/>
          <w:b w:val="0"/>
          <w:i/>
          <w:iCs/>
          <w:sz w:val="21"/>
          <w:szCs w:val="21"/>
          <w:highlight w:val="none"/>
          <w:lang w:val="en-US" w:eastAsia="zh-CN"/>
        </w:rPr>
        <w:t xml:space="preserve">et al., </w:t>
      </w:r>
      <w:r>
        <w:rPr>
          <w:rFonts w:hint="default" w:ascii="Calibri" w:hAnsi="Calibri" w:cs="Calibri"/>
          <w:b w:val="0"/>
          <w:i w:val="0"/>
          <w:iCs w:val="0"/>
          <w:sz w:val="21"/>
          <w:szCs w:val="21"/>
          <w:highlight w:val="none"/>
          <w:lang w:val="en-US" w:eastAsia="zh-CN"/>
        </w:rPr>
        <w:t xml:space="preserve">2024), strucutred classroom interventions (Ou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2024) or screen-recorded behaviour patterns (Nguyen, A. 2024) to explore how students engage with GenAI tools during AI-assisted writing tasks. Nugroho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(2024) examined reflections on the use of GenAI tools in academic writing with a small sample of 12 EFL students. The study identified a number of recurring themes, providing a useful starting point for understanding students’ perception of AI-assisted writing process. However, the study is purely qualitative and based on a very limited sample, which restricts its findings to wider student populations. Ou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(2024) designed a doctoral writing course to cultivate students’ critical GenAI literacy by guiding them to plan, monitor, and reflect on their use of AI throughout the writing process. However, as the findings are based a group of doctoral students, its remains unclear whether similar developmental changes would occur among learners at other academic levels. Nguyen, A.(2024) combined process data with writing outcomes by analysing screen-recorded behaviours from a large sample. The findings indicate that learners who engaged more interactively with GenAI tools tends to achieve better writing performance. As such, the study represents a contribution to the field by linking students’ writing behaviours with performance outcomes in AI-assisted contexts.   </w:t>
      </w:r>
    </w:p>
    <w:p w14:paraId="356D0A8D">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w:hAnsi="Calibri" w:cs="Calibri"/>
          <w:b w:val="0"/>
          <w:i w:val="0"/>
          <w:iCs w:val="0"/>
          <w:sz w:val="21"/>
          <w:szCs w:val="21"/>
          <w:lang w:val="en-US" w:eastAsia="zh-CN"/>
        </w:rPr>
      </w:pPr>
    </w:p>
    <w:p w14:paraId="7FF332E1">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green"/>
          <w:lang w:val="en-US" w:eastAsia="zh-CN"/>
        </w:rPr>
      </w:pPr>
      <w:r>
        <w:rPr>
          <w:rFonts w:hint="default" w:ascii="Calibri" w:hAnsi="Calibri" w:cs="Calibri"/>
          <w:b w:val="0"/>
          <w:i w:val="0"/>
          <w:iCs w:val="0"/>
          <w:sz w:val="21"/>
          <w:szCs w:val="21"/>
          <w:lang w:val="en-US" w:eastAsia="zh-CN"/>
        </w:rPr>
        <w:t xml:space="preserve">2.2 </w:t>
      </w:r>
      <w:r>
        <w:rPr>
          <w:rFonts w:hint="default" w:ascii="Calibri" w:hAnsi="Calibri" w:cs="Calibri"/>
          <w:b w:val="0"/>
          <w:i w:val="0"/>
          <w:iCs w:val="0"/>
          <w:sz w:val="21"/>
          <w:szCs w:val="21"/>
          <w:highlight w:val="none"/>
          <w:lang w:val="en-US" w:eastAsia="zh-CN"/>
        </w:rPr>
        <w:t xml:space="preserve">Self-Regulated Learning in AI-assisted Writing </w:t>
      </w:r>
    </w:p>
    <w:p w14:paraId="28EE2AE4">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2.2.1 Self-Regulated Learning </w:t>
      </w:r>
    </w:p>
    <w:p w14:paraId="6A488B5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eastAsia" w:ascii="Calibri" w:hAnsi="Calibri" w:cs="Calibri"/>
          <w:b w:val="0"/>
          <w:i w:val="0"/>
          <w:iCs w:val="0"/>
          <w:sz w:val="21"/>
          <w:szCs w:val="21"/>
          <w:highlight w:val="none"/>
          <w:lang w:val="en-US" w:eastAsia="zh-CN"/>
        </w:rPr>
        <w:t>S</w:t>
      </w:r>
      <w:r>
        <w:rPr>
          <w:rFonts w:hint="default" w:ascii="Calibri" w:hAnsi="Calibri" w:cs="Calibri"/>
          <w:b w:val="0"/>
          <w:i w:val="0"/>
          <w:iCs w:val="0"/>
          <w:sz w:val="21"/>
          <w:szCs w:val="21"/>
          <w:highlight w:val="none"/>
          <w:lang w:val="en-US" w:eastAsia="zh-CN"/>
        </w:rPr>
        <w:t xml:space="preserve">elf-Regulated Learning (SRL) refers to the active process through which learners control their thoughts, emotions, and actions in pursuit of specific academic goals (Zimmerman, 2000). SRL theory demonstrated cross-domain applicability and has been applied in areas such as  mathematics (Corte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2011), reading (Tonks and Taboada, 2011), science (Sinatra and Taasoobshirazi, 2011) and sport (Kitsantas and Kavussanu, 2011). Since writing is inherently self-initiated, self-planned, and self-sustained, it aligns well with SRL research(Harris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2011). The SRL framework thus offers a particularly suitable lens for exploring how students regulate and manage the writing process. </w:t>
      </w:r>
    </w:p>
    <w:p w14:paraId="5B5F4A1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3A66E6E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From a social cognitive perspective, SRL can be understood as a cyclical process consisting of three interrelated phases: forethought, performance, and self-reflection(Bandura, 1997; Schunk, 2001; Zimmerman, 2000). Across these phases, learner engage in strategies like goal setting, strategic planning, self-instruction, help-seeking, and self-evaluation (Zimmerman, 2011). </w:t>
      </w:r>
    </w:p>
    <w:p w14:paraId="24022EA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green"/>
          <w:lang w:val="en-US" w:eastAsia="zh-CN"/>
        </w:rPr>
      </w:pPr>
    </w:p>
    <w:p w14:paraId="53630731">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2.2.2 Empirical Studies on SRL in AI-assisted Writing </w:t>
      </w:r>
    </w:p>
    <w:p w14:paraId="32E1E84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After discussing the theoretical basis of SRL and its relevance to writing, this section turns to recent empirical studies on the role of GenAI tools in learners’ self-regulated writing. </w:t>
      </w:r>
    </w:p>
    <w:p w14:paraId="0FD86C8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70519A7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With the rapid rise of GenAI tools in the recent years, researchers have begun to explore AI-assisted writing through the lens of SRL. However, empirical studies on how learners self-regulate their use of GenAI in writing contexts is still at an early stage. Kong</w:t>
      </w:r>
      <w:r>
        <w:rPr>
          <w:rFonts w:hint="default" w:ascii="Calibri Italic" w:hAnsi="Calibri Italic" w:cs="Calibri Italic"/>
          <w:b w:val="0"/>
          <w:i/>
          <w:iCs/>
          <w:sz w:val="21"/>
          <w:szCs w:val="21"/>
          <w:highlight w:val="none"/>
          <w:lang w:val="en-US" w:eastAsia="zh-CN"/>
        </w:rPr>
        <w:t xml:space="preserve"> et al.</w:t>
      </w:r>
      <w:r>
        <w:rPr>
          <w:rFonts w:hint="default" w:ascii="Calibri" w:hAnsi="Calibri" w:cs="Calibri"/>
          <w:b w:val="0"/>
          <w:i w:val="0"/>
          <w:iCs w:val="0"/>
          <w:sz w:val="21"/>
          <w:szCs w:val="21"/>
          <w:highlight w:val="none"/>
          <w:lang w:val="en-US" w:eastAsia="zh-CN"/>
        </w:rPr>
        <w:t xml:space="preserve"> (2024) proposed a six-phase pedagogical model designed to help students develop self-regulation when engaging in academic writing with GenAI tools, including planning, prompting, previewing AI output, producing the draft, peer reviewing, and portfolio-based reflection. Although the study remains largely theoretical and lacks empirical validation, it provides a useful reference for understanding stage-specific strategy use in AI-assisted writing and has helped inform the design of the present study’s questionnaire. While Kong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(2024) has linked SRL to a stage-based pedagogical design, Jin </w:t>
      </w:r>
      <w:r>
        <w:rPr>
          <w:rFonts w:hint="default" w:ascii="Calibri Italic" w:hAnsi="Calibri Italic" w:cs="Calibri Italic"/>
          <w:b w:val="0"/>
          <w:i/>
          <w:iCs/>
          <w:sz w:val="21"/>
          <w:szCs w:val="21"/>
          <w:highlight w:val="none"/>
          <w:lang w:val="en-US" w:eastAsia="zh-CN"/>
        </w:rPr>
        <w:t>et al.</w:t>
      </w:r>
      <w:r>
        <w:rPr>
          <w:rFonts w:hint="default" w:ascii="Calibri" w:hAnsi="Calibri" w:cs="Calibri"/>
          <w:b w:val="0"/>
          <w:i w:val="0"/>
          <w:iCs w:val="0"/>
          <w:sz w:val="21"/>
          <w:szCs w:val="21"/>
          <w:highlight w:val="none"/>
          <w:lang w:val="en-US" w:eastAsia="zh-CN"/>
        </w:rPr>
        <w:t xml:space="preserve"> (2025) empirically examined how SRL strategies influence students’ writing outcomes in AI-assisted contexts, using structural equation modelling based on survey data from over 1,000 university students to investigate the mediating role of GenAI tool use. The study found out that the advanced uses of AI were associated with better writing outcomes than basic uses. It also showed that AI self-efficacy and writing self-efficacy were crucial predictors of SRL, highlighting the importance of supporting students’ confidence to foster effective self-regulation in AI-assisted writing. </w:t>
      </w:r>
    </w:p>
    <w:p w14:paraId="5D685DE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4E101DE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In a more instructional context, Ou </w:t>
      </w:r>
      <w:r>
        <w:rPr>
          <w:rFonts w:hint="default" w:ascii="Calibri Italic" w:hAnsi="Calibri Italic" w:cs="Calibri Italic"/>
          <w:b w:val="0"/>
          <w:i/>
          <w:iCs/>
          <w:sz w:val="21"/>
          <w:szCs w:val="21"/>
          <w:highlight w:val="none"/>
          <w:lang w:val="en-US" w:eastAsia="zh-CN"/>
        </w:rPr>
        <w:t xml:space="preserve">et al. </w:t>
      </w:r>
      <w:r>
        <w:rPr>
          <w:rFonts w:hint="default" w:ascii="Calibri" w:hAnsi="Calibri" w:cs="Calibri"/>
          <w:b w:val="0"/>
          <w:i w:val="0"/>
          <w:iCs w:val="0"/>
          <w:sz w:val="21"/>
          <w:szCs w:val="21"/>
          <w:highlight w:val="none"/>
          <w:lang w:val="en-US" w:eastAsia="zh-CN"/>
        </w:rPr>
        <w:t xml:space="preserve">(2024) explored how SRL can be cultivated through a doctoral-level academic writing intervention aimed at developing students’ critical GenAI literacy. Drawing on Zimmerman’s three-phase model, their course design guided students to plan, monitor, and reflect on their use of AI in AI-assisted writing. The findings indicate that students developed greater critical awareness, refined prompting strategies, and GenAIned a stronger sense of authorship and ethical responsibility in writing. In contrast to instructional interventions, Nguyen </w:t>
      </w:r>
      <w:r>
        <w:rPr>
          <w:rFonts w:hint="default" w:ascii="Calibri Italic" w:hAnsi="Calibri Italic" w:cs="Calibri Italic"/>
          <w:b w:val="0"/>
          <w:i/>
          <w:iCs/>
          <w:sz w:val="21"/>
          <w:szCs w:val="21"/>
          <w:highlight w:val="none"/>
          <w:lang w:val="en-US" w:eastAsia="zh-CN"/>
        </w:rPr>
        <w:t xml:space="preserve">et al. </w:t>
      </w:r>
      <w:r>
        <w:rPr>
          <w:rFonts w:hint="default" w:ascii="Calibri" w:hAnsi="Calibri" w:cs="Calibri"/>
          <w:b w:val="0"/>
          <w:i w:val="0"/>
          <w:iCs w:val="0"/>
          <w:sz w:val="21"/>
          <w:szCs w:val="21"/>
          <w:highlight w:val="none"/>
          <w:lang w:val="en-US" w:eastAsia="zh-CN"/>
        </w:rPr>
        <w:t xml:space="preserve">(2024) adopted a process-oriented approach to investigate how doctoral and master’s students self-regulate their use of GenAI in academic writing. In their study, researchers use screen recording and leg sequential analysis to trace how students interacted with GenAI tools in real-time during writing tasks, allowing them to detect patterns of self-regulated behaviours. Their findings revealed a variety of strategies that students adopted and highlights the importance of instructional support in fostering more adaptive and reflective use. The present study takes up a similar focus, but examines undergraduate learners, drawing on self-report data to capture stage-specific SRL behaviours in AI-assisted academic writing.  </w:t>
      </w:r>
    </w:p>
    <w:p w14:paraId="3DAA9F7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8D24D7F">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2.3 Students’ Perceptions of GenAI in AI-assisted Writing </w:t>
      </w:r>
    </w:p>
    <w:p w14:paraId="376F434C">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2.3.1 The Unified Theory of Adoption and Use of Technology (UTAUT) Framework </w:t>
      </w:r>
    </w:p>
    <w:p w14:paraId="2460C04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highlight w:val="none"/>
          <w:lang w:val="en-US" w:eastAsia="zh-CN"/>
        </w:rPr>
        <w:t xml:space="preserve">The UTAUT framework, developed by </w:t>
      </w:r>
      <w:r>
        <w:rPr>
          <w:rFonts w:hint="default" w:ascii="Calibri" w:hAnsi="Calibri" w:cs="Calibri"/>
          <w:b w:val="0"/>
          <w:i w:val="0"/>
          <w:iCs w:val="0"/>
          <w:sz w:val="21"/>
          <w:szCs w:val="21"/>
          <w:lang w:val="en-US" w:eastAsia="zh-CN"/>
        </w:rPr>
        <w:t>Venkatesh</w:t>
      </w:r>
      <w:r>
        <w:rPr>
          <w:rFonts w:hint="default" w:ascii="Calibri Italic" w:hAnsi="Calibri Italic" w:cs="Calibri Italic"/>
          <w:b w:val="0"/>
          <w:i/>
          <w:iCs/>
          <w:sz w:val="21"/>
          <w:szCs w:val="21"/>
          <w:lang w:val="en-US" w:eastAsia="zh-CN"/>
        </w:rPr>
        <w:t xml:space="preserve"> et al. </w:t>
      </w:r>
      <w:r>
        <w:rPr>
          <w:rFonts w:hint="default" w:ascii="Calibri" w:hAnsi="Calibri" w:cs="Calibri"/>
          <w:b w:val="0"/>
          <w:i w:val="0"/>
          <w:iCs w:val="0"/>
          <w:sz w:val="21"/>
          <w:szCs w:val="21"/>
          <w:lang w:val="en-US" w:eastAsia="zh-CN"/>
        </w:rPr>
        <w:t xml:space="preserve">(2003, 2012), has been widely used to  study technology adoption. By combining eight earlier models, the framework identifies four key constructs: performance expectancy, effort expectancy, social influence, and facilitating conditions. Together, they shape user’ behavioural intentions and actual use of technology. </w:t>
      </w:r>
    </w:p>
    <w:p w14:paraId="33343B3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2EA6AECF">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Researchers have increasingly drawn on UTAUT framework to examine technology acceptance in education, including online learning (Altalhi, 2021), mobile learning (Almaiah, Almari and Rahmi, 2019;), and more recently, AI-assisted learning (Yakubu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2025). This type of study is usually quantitative, focusing on how different factors shape students’ willingness to adopt technology (Wu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2022), their intention to use it (Li and Zhao, 2021), and the usage patterns in technology-enhanced environments (Abbad, 2021). In UTAUT-based research, analytical techniques such as structural equation modelling (SEM) and path analysis are commonly used  to test the fit of the model and to assess the relative influence of its constructs. </w:t>
      </w:r>
    </w:p>
    <w:p w14:paraId="0E25FF5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3781A5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Although the UTAUT framework has mostly been used in quantitative studies, some researchers have complemented this approach with follow-up interviews or focus groups, as in Dong (2024). While t</w:t>
      </w:r>
      <w:r>
        <w:rPr>
          <w:rFonts w:hint="eastAsia" w:ascii="Calibri" w:hAnsi="Calibri" w:cs="Calibri"/>
          <w:b w:val="0"/>
          <w:i w:val="0"/>
          <w:iCs w:val="0"/>
          <w:sz w:val="21"/>
          <w:szCs w:val="21"/>
          <w:lang w:val="en-US" w:eastAsia="zh-CN"/>
        </w:rPr>
        <w:t>hese</w:t>
      </w:r>
      <w:r>
        <w:rPr>
          <w:rFonts w:hint="default" w:ascii="Calibri" w:hAnsi="Calibri" w:cs="Calibri"/>
          <w:b w:val="0"/>
          <w:i w:val="0"/>
          <w:iCs w:val="0"/>
          <w:sz w:val="21"/>
          <w:szCs w:val="21"/>
          <w:lang w:val="en-US" w:eastAsia="zh-CN"/>
        </w:rPr>
        <w:t xml:space="preserve"> studies do not explicitly state that their qualitative instruments were constructed based on UTAUT constructs, the themes often align close with core elements of the model, such as ease of use and social conditions. Therefore, the present study adopts UTAUT as a valuable guidance for guiding the development of the interview protocol in order to understand students’ perceptions and behaviours in the context of AI-assisted academic writing. </w:t>
      </w:r>
    </w:p>
    <w:p w14:paraId="4DCFB3B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5446AA0">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2.3.2 Positive and Negative Student Perceptions </w:t>
      </w:r>
    </w:p>
    <w:p w14:paraId="7668B7CF">
      <w:pPr>
        <w:keepNext w:val="0"/>
        <w:keepLines w:val="0"/>
        <w:pageBreakBefore w:val="0"/>
        <w:widowControl w:val="0"/>
        <w:kinsoku/>
        <w:wordWrap/>
        <w:overflowPunct/>
        <w:topLinePunct w:val="0"/>
        <w:autoSpaceDE/>
        <w:autoSpaceDN/>
        <w:bidi w:val="0"/>
        <w:adjustRightInd/>
        <w:snapToGrid/>
        <w:spacing w:line="360" w:lineRule="auto"/>
        <w:textAlignment w:val="auto"/>
        <w:outlineLvl w:val="3"/>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2.3.2.1 Positive Perceptions</w:t>
      </w:r>
    </w:p>
    <w:p w14:paraId="0C1618E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1) A Helpful Tool for Writing</w:t>
      </w:r>
    </w:p>
    <w:p w14:paraId="58E8789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One most commonly reported perceptions is that GenAI tools enhance students’ writing skills. Nurgroho et al. (2024) found that students benefited from ChatGPT in areas such as translation, accuracy, efficiency, and idea generation, viewing it as a helpful support tool beyond the classroom. Similarly, Song and Song (2024) noted that students describe ChatGPT as a tutor or guide, highlighting its role in improving vocabulary, grammar, structure, and coherence throughout the writing process. </w:t>
      </w:r>
    </w:p>
    <w:p w14:paraId="53F76DE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37573B6">
      <w:pPr>
        <w:keepNext w:val="0"/>
        <w:keepLines w:val="0"/>
        <w:pageBreakBefore w:val="0"/>
        <w:widowControl w:val="0"/>
        <w:numPr>
          <w:ilvl w:val="0"/>
          <w:numId w:val="1"/>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Enhanced Motivation </w:t>
      </w:r>
    </w:p>
    <w:p w14:paraId="1607AFAB">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Enhanced motivation is another common positive perception among students. Song and Song (2024) found that integrating ChatGPT into EFL writing increased students’ motivation and engagement. Using both interviews and the Writing Motivation Scale (Waller and Papi, 2017), they reported that students in GenAI-assisted group showed significantly higher motivation than those in the control group. However, they also noted uncertainty about whether this boost in motivation is sustainable. Other researchers (Yan, 2023; Dong, 2024) have similarly highlighted the short-term nature of current findings and called for longitudinal research on GenAI’s long-term motivational impact. </w:t>
      </w:r>
    </w:p>
    <w:p w14:paraId="4430E475">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2DA45EC3">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Strategic Engagement and Cognitive Development</w:t>
      </w:r>
    </w:p>
    <w:p w14:paraId="492FA94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highlight w:val="none"/>
          <w:lang w:val="en-US" w:eastAsia="zh-CN"/>
        </w:rPr>
        <w:t>Beyond motivation, some students demonstrate strategic engagement with GenAI tools, using them flexibly to support their learning needs (</w:t>
      </w:r>
      <w:r>
        <w:rPr>
          <w:rFonts w:hint="default" w:ascii="Calibri" w:hAnsi="Calibri" w:cs="Calibri"/>
          <w:b w:val="0"/>
          <w:i w:val="0"/>
          <w:iCs w:val="0"/>
          <w:sz w:val="21"/>
          <w:szCs w:val="21"/>
          <w:lang w:val="en-US" w:eastAsia="zh-CN"/>
        </w:rPr>
        <w:t xml:space="preserve">Werdiningsih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2024</w:t>
      </w:r>
      <w:r>
        <w:rPr>
          <w:rFonts w:hint="default" w:ascii="Calibri" w:hAnsi="Calibri" w:cs="Calibri"/>
          <w:b w:val="0"/>
          <w:i w:val="0"/>
          <w:iCs w:val="0"/>
          <w:sz w:val="21"/>
          <w:szCs w:val="21"/>
          <w:highlight w:val="none"/>
          <w:lang w:val="en-US" w:eastAsia="zh-CN"/>
        </w:rPr>
        <w:t xml:space="preserve">). In </w:t>
      </w:r>
      <w:r>
        <w:rPr>
          <w:rFonts w:hint="default" w:ascii="Calibri" w:hAnsi="Calibri" w:cs="Calibri"/>
          <w:b w:val="0"/>
          <w:i w:val="0"/>
          <w:iCs w:val="0"/>
          <w:sz w:val="21"/>
          <w:szCs w:val="21"/>
          <w:lang w:val="en-US" w:eastAsia="zh-CN"/>
        </w:rPr>
        <w:t xml:space="preserve">Werdiningsih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’s study (2024) with postgraduate students, three key strategies were identified: critically evaluating AI feedback, consulting peers, and verifying with external sources. These behaviours not only supported academic writing development but also suggested cognitive growth. This aligns with Ou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’s (2024) view that structured GenAI use can promote critical thinking. However, as most of these studies focused on advanced learners, it remains uncertain whether undergraduates engage similarly or risk over-reliance, which may hinder independent thinking. </w:t>
      </w:r>
    </w:p>
    <w:p w14:paraId="5E8831C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79B27CD">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Availability, Convenience and Efficiency </w:t>
      </w:r>
    </w:p>
    <w:p w14:paraId="618F3FE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highlight w:val="none"/>
          <w:lang w:val="en-US" w:eastAsia="zh-CN"/>
        </w:rPr>
        <w:t xml:space="preserve">Another commonly reported benefit of GenAI tools is their availability, convenience, and efficiency, especially when compared to traditional writing support. Unlike human instructors, tools like ChatGPT provide instant feedback at any time, making them highly accessible. Students in </w:t>
      </w:r>
      <w:r>
        <w:rPr>
          <w:rFonts w:hint="default" w:ascii="Calibri" w:hAnsi="Calibri" w:cs="Calibri"/>
          <w:b w:val="0"/>
          <w:i w:val="0"/>
          <w:iCs w:val="0"/>
          <w:sz w:val="21"/>
          <w:szCs w:val="21"/>
          <w:lang w:val="en-US" w:eastAsia="zh-CN"/>
        </w:rPr>
        <w:t xml:space="preserve">Nugroho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’s (2024) study describe ChatGPT as a ‘time-saver’ with ‘fast response’ and ‘ease of use’ (p.5), while Song and Song (2023) highlighted its role as a ‘personal writing coach’ (p.10) that supports flexible, on-demand learning. These features allow students to write more efficiently and receive immediate assistance. However, such convenience may also encourage over-reliance and reduce opportunities for critical reflection, raising concerns that will be discussed in the following section.  </w:t>
      </w:r>
    </w:p>
    <w:p w14:paraId="2A74264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BD33DD3">
      <w:pPr>
        <w:keepNext w:val="0"/>
        <w:keepLines w:val="0"/>
        <w:pageBreakBefore w:val="0"/>
        <w:widowControl w:val="0"/>
        <w:kinsoku/>
        <w:wordWrap/>
        <w:overflowPunct/>
        <w:topLinePunct w:val="0"/>
        <w:autoSpaceDE/>
        <w:autoSpaceDN/>
        <w:bidi w:val="0"/>
        <w:adjustRightInd/>
        <w:snapToGrid/>
        <w:spacing w:line="360" w:lineRule="auto"/>
        <w:textAlignment w:val="auto"/>
        <w:outlineLvl w:val="3"/>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2.3.2.2 Negative Perceptions</w:t>
      </w:r>
    </w:p>
    <w:p w14:paraId="7DA75EE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1) Concerns about Reliability of AI-Generated Content</w:t>
      </w:r>
    </w:p>
    <w:p w14:paraId="5CB5F6C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While many students recognised the benefits of ChatGPT, they also expressed concerns about reliability. Reported problems included inaccurate or outdated information, fabricated references, and inappropriate writing style (</w:t>
      </w:r>
      <w:r>
        <w:rPr>
          <w:rFonts w:hint="default" w:ascii="Calibri" w:hAnsi="Calibri" w:cs="Calibri"/>
          <w:b w:val="0"/>
          <w:i w:val="0"/>
          <w:iCs w:val="0"/>
          <w:sz w:val="21"/>
          <w:szCs w:val="21"/>
          <w:lang w:val="en-US" w:eastAsia="zh-CN"/>
        </w:rPr>
        <w:t xml:space="preserve">Nugroho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Meniado </w:t>
      </w:r>
      <w:r>
        <w:rPr>
          <w:rFonts w:hint="default" w:ascii="Calibri Italic" w:hAnsi="Calibri Italic" w:cs="Calibri Italic"/>
          <w:b w:val="0"/>
          <w:i/>
          <w:iCs/>
          <w:sz w:val="21"/>
          <w:szCs w:val="21"/>
          <w:lang w:val="en-US" w:eastAsia="zh-CN"/>
        </w:rPr>
        <w:t xml:space="preserve">et al., </w:t>
      </w:r>
      <w:r>
        <w:rPr>
          <w:rFonts w:hint="default" w:ascii="Calibri" w:hAnsi="Calibri" w:cs="Calibri"/>
          <w:b w:val="0"/>
          <w:i w:val="0"/>
          <w:iCs w:val="0"/>
          <w:sz w:val="21"/>
          <w:szCs w:val="21"/>
          <w:lang w:val="en-US" w:eastAsia="zh-CN"/>
        </w:rPr>
        <w:t xml:space="preserve">2024; </w:t>
      </w:r>
      <w:r>
        <w:rPr>
          <w:rFonts w:hint="default" w:ascii="Calibri" w:hAnsi="Calibri" w:cs="Calibri"/>
          <w:b w:val="0"/>
          <w:i w:val="0"/>
          <w:iCs w:val="0"/>
          <w:sz w:val="21"/>
          <w:szCs w:val="21"/>
          <w:highlight w:val="none"/>
          <w:lang w:val="en-US" w:eastAsia="zh-CN"/>
        </w:rPr>
        <w:t xml:space="preserve">Song and Song, 2023). </w:t>
      </w:r>
    </w:p>
    <w:p w14:paraId="5D7582B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11621F2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2) Over-reliance on GenAI and Threats to Academic Integrity </w:t>
      </w:r>
    </w:p>
    <w:p w14:paraId="423D590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Although many students described ChatGPT as helpful for their writing (Nugroho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other studies warn of increasing dependence on the tool (Werdiningsih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Song and Song, 2024). One response in Song and Song’s (2024) study even mentioned using it for every single sentence. Such examples raise questions about </w:t>
      </w:r>
      <w:r>
        <w:rPr>
          <w:rFonts w:hint="eastAsia" w:ascii="Calibri" w:hAnsi="Calibri" w:cs="Calibri"/>
          <w:b w:val="0"/>
          <w:i w:val="0"/>
          <w:iCs w:val="0"/>
          <w:sz w:val="21"/>
          <w:szCs w:val="21"/>
          <w:lang w:val="en-US" w:eastAsia="zh-CN"/>
        </w:rPr>
        <w:t>ac</w:t>
      </w:r>
      <w:r>
        <w:rPr>
          <w:rFonts w:hint="default" w:ascii="Calibri" w:hAnsi="Calibri" w:cs="Calibri"/>
          <w:b w:val="0"/>
          <w:i w:val="0"/>
          <w:iCs w:val="0"/>
          <w:sz w:val="21"/>
          <w:szCs w:val="21"/>
          <w:lang w:val="en-US" w:eastAsia="zh-CN"/>
        </w:rPr>
        <w:t>ademic integrity. Student often voiced concerns about plagiarism, though their views on what counted as plagiarism were not always the same (Nugroho</w:t>
      </w:r>
      <w:r>
        <w:rPr>
          <w:rFonts w:hint="default" w:ascii="Calibri Italic" w:hAnsi="Calibri Italic" w:cs="Calibri Italic"/>
          <w:b w:val="0"/>
          <w:i/>
          <w:iCs/>
          <w:sz w:val="21"/>
          <w:szCs w:val="21"/>
          <w:lang w:val="en-US" w:eastAsia="zh-CN"/>
        </w:rPr>
        <w:t xml:space="preserve"> et al</w:t>
      </w:r>
      <w:r>
        <w:rPr>
          <w:rFonts w:hint="default" w:ascii="Calibri" w:hAnsi="Calibri" w:cs="Calibri"/>
          <w:b w:val="0"/>
          <w:i w:val="0"/>
          <w:iCs w:val="0"/>
          <w:sz w:val="21"/>
          <w:szCs w:val="21"/>
          <w:lang w:val="en-US" w:eastAsia="zh-CN"/>
        </w:rPr>
        <w:t xml:space="preserve">., 2024), and the line between acceptable support and misconduct was often unclear (Werdiningsih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To address these concerns, scholars have called for more explicit guidance, with Yan (2023) even suggesting that plagiarism itself may need to be redefined in the age of AI-assisted writing. </w:t>
      </w:r>
    </w:p>
    <w:p w14:paraId="4C37CE8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58FB8B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3) Socially Driven Concerns and Inequity </w:t>
      </w:r>
    </w:p>
    <w:p w14:paraId="2F1A538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Besides, Yan’s (2023) study raised the issue of fairness, noting that some students regarded the use of GenAI as an unfair shortcut. The study also pointed out that current AI-detection systems are limited, making it difficult for educators to judge consistently whether students have used GenAI appropriately. Dong’s (2024) mixed-methods study likewise found that social factors could discourage students from adopting GenAI tools, reinforcing the view that the absence of clear regulation creates uncertainty and even worries about fairness in academic assessment. </w:t>
      </w:r>
    </w:p>
    <w:p w14:paraId="43F2081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226223E">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2.3.3. Factors Shaping Students’ Perceptions</w:t>
      </w:r>
    </w:p>
    <w:p w14:paraId="1A79513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 number of studies have explored what shapes students’ perceptions of GenAI tools. Meniado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grouped these factors into school-related, teacher-related, and personal factors, with the latter, especially perceived usefulness and enjoyment, having the strongest influence. Dong (2024) applied the UTAUT model and found that performance expectancy and effort expectancy encouraged students to use ChatGPT, while social influence, including limited teacher support, discourage adoption. Facilitating conditions had a smaller but still noticeable effect, and concerns about academic integrity also shaped actual use. </w:t>
      </w:r>
    </w:p>
    <w:p w14:paraId="72CDAD8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2D8400E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However, Dong’s (2024) focus remained on the relationship between perception and writing performance, without delving into deeper social, emotional, or pedagogical reasons. This highlights a need for further research to explore the broader factors shaping students’ attitudes and behaviours toward GenAI tools in writing. </w:t>
      </w:r>
    </w:p>
    <w:p w14:paraId="54F0BC0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9D9D294">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2.4 Gaps and Implications for the Present Study</w:t>
      </w:r>
    </w:p>
    <w:p w14:paraId="044AC1C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The reviewed literature demonstrates growing interest in the application of GenAI tools in academic writing. As a rapidly evolving technology, GenAI continues to reshape how writing is taught and practiced, making both writing performance and process important areas for further investigation. In particular, little is known about how Chinese university students engage with domestically developed GenAI tools when completing academic writing tasks. </w:t>
      </w:r>
    </w:p>
    <w:p w14:paraId="4EC6419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38F3C81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While recent studies have begun to apply SRL theory to understand AI-assisted writing, SRL is often treated as a factor influencing writing outcomes or as a goal of instructional intervention. The present study places SRL at the centre of investigation, aiming to understand how undergraduate students actively manage their GenAI use across different writing stages. In parallel, the UTAUT framework has been widely used to examine user perceptions of digital tools. While previous studies, such as Dong (2024), applied UTAUT through survey-based methods, this study extends its application by using it to inform interview design. This combined approach allows for a more comprehensive understanding of students’ behaviours, attitudes and the factors influencing their use and perceptions. </w:t>
      </w:r>
    </w:p>
    <w:p w14:paraId="3950807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323E6D01">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2.5 Aims and Research Questions </w:t>
      </w:r>
    </w:p>
    <w:p w14:paraId="13CB1D5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Building on the preceding review, this study conducted a small-scale, exploratory investigation into how Chinese university students engage with domestically developed GenAI tools across different stages of academic writing. In doing so, it aimed to generate practical insights for the pedagogical integration of such tools into academic writing instruction. </w:t>
      </w:r>
    </w:p>
    <w:p w14:paraId="10B50A6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7365A1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Bold" w:hAnsi="Calibri Bold" w:cs="Calibri Bold"/>
          <w:b/>
          <w:bCs/>
          <w:i w:val="0"/>
          <w:iCs w:val="0"/>
          <w:sz w:val="21"/>
          <w:szCs w:val="21"/>
          <w:lang w:val="en-US" w:eastAsia="zh-CN"/>
        </w:rPr>
        <w:t>The aim of this study</w:t>
      </w:r>
      <w:r>
        <w:rPr>
          <w:rFonts w:hint="default" w:ascii="Calibri" w:hAnsi="Calibri" w:cs="Calibri"/>
          <w:b w:val="0"/>
          <w:i w:val="0"/>
          <w:iCs w:val="0"/>
          <w:sz w:val="21"/>
          <w:szCs w:val="21"/>
          <w:lang w:val="en-US" w:eastAsia="zh-CN"/>
        </w:rPr>
        <w:t xml:space="preserve"> was therefore to examine how university students autonomously engage with GenAI tools throughout the academic writing process, with a particular focus on their self-regulated strategies, their perceptions of such tools and the key factors influencing their adoption and use. </w:t>
      </w:r>
    </w:p>
    <w:p w14:paraId="2617796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6522A5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Accordingly, the study was guided by the following research questions: </w:t>
      </w:r>
    </w:p>
    <w:p w14:paraId="7B607E45">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RQ1: What are the usage patterns of GenAI tools among Chinese university students in the context of academic writing?</w:t>
      </w:r>
    </w:p>
    <w:p w14:paraId="0280A063">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RQ2: What strategies do students employ at different stages of the academic writing process when engaging with GenAI tools? </w:t>
      </w:r>
    </w:p>
    <w:p w14:paraId="7B50D5BB">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RQ3: How do students perceive the role and value of GenAI tools in AI-assisted academic writing? </w:t>
      </w:r>
    </w:p>
    <w:p w14:paraId="3022A875">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RQ4: What personal, social, and pedagogical factors influence students’ behaviours and perceptions regarding the use of GenAI tools?</w:t>
      </w:r>
    </w:p>
    <w:p w14:paraId="3F4172E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24BBDBF">
      <w:pPr>
        <w:outlineLvl w:val="0"/>
        <w:rPr>
          <w:rFonts w:hint="default" w:ascii="Calibri" w:hAnsi="Calibri" w:cs="Calibri"/>
          <w:b w:val="0"/>
          <w:i w:val="0"/>
          <w:iCs w:val="0"/>
          <w:sz w:val="21"/>
          <w:szCs w:val="21"/>
          <w:lang w:val="en-US" w:eastAsia="zh-CN"/>
        </w:rPr>
      </w:pPr>
      <w:r>
        <w:rPr>
          <w:rFonts w:hint="default" w:ascii="Calibri Regular" w:hAnsi="Calibri Regular" w:cs="Calibri Regular"/>
          <w:b w:val="0"/>
          <w:sz w:val="28"/>
          <w:szCs w:val="28"/>
          <w:highlight w:val="none"/>
          <w:lang w:val="en-US"/>
        </w:rPr>
        <w:t>Chapter 3: Research Design and Methodology</w:t>
      </w:r>
    </w:p>
    <w:p w14:paraId="30703038">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3.1 Philosophical Foundations </w:t>
      </w:r>
    </w:p>
    <w:p w14:paraId="4B25AA55">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3.1.1 Epistemology and Ontology</w:t>
      </w:r>
    </w:p>
    <w:p w14:paraId="50574F8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Every research is underpinned by philosophical assumptions about the nature of reality (ontology) and how knowledge is generated and understood (epistemology)(Creswell and Plano Clark, 2018). This study adopts a pragmatic philosophical stance</w:t>
      </w:r>
      <w:r>
        <w:rPr>
          <w:rFonts w:hint="default" w:ascii="Calibri" w:hAnsi="Calibri" w:cs="Calibri"/>
          <w:b w:val="0"/>
          <w:i w:val="0"/>
          <w:iCs w:val="0"/>
          <w:sz w:val="21"/>
          <w:szCs w:val="21"/>
          <w:lang w:val="en-US" w:eastAsia="zh-CN"/>
        </w:rPr>
        <w:t>. Ontologically, it views students’ engagement with GenAI tools as context-dependent and shaped by individual, social, and educational factors. Epistemologically, pragmatism supports the integration of both quantitative and qualitative approaches -- first to examine usage patterns and self-regulated strategies through questionnaire responses, and then to GenAIn deeper insights into students’ perceptions through follow-up interviews.</w:t>
      </w:r>
    </w:p>
    <w:p w14:paraId="1C9B9A3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   </w:t>
      </w:r>
    </w:p>
    <w:p w14:paraId="38E17F3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Pragmatism, as a philosophical tradition, has evolved to become a widely accepted foundation for mixed methods. Teddlie and Tashakkori (2003) were among the first to formally establish this connection, positioning pragmatism as a response to the limitations of strictly positivist or interpretivist paradigms (Denscombe, 2010a). It encourages the use of diverse forms of data to generate meaningful insights (Creswell and Plano Clark, 2018). This flexibility makes pragmatism particularly well suited to the exploratory focus of the current study. </w:t>
      </w:r>
    </w:p>
    <w:p w14:paraId="5384F03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E06C75D">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3.1.2 Positionality and Reflexivity</w:t>
      </w:r>
    </w:p>
    <w:p w14:paraId="2585B51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As a university teacher with extensive experience in teaching writing, I have developed a strong interest in exploring how students use GenAI tools to support academic writing and how they perceive such experiences. This exploration not only reflects my professional curiosity but also provides a valuable opportunity for teachers to reflect on their pedagogical roles in guiding students to use these tools effectively and appropriately for academic purposes. </w:t>
      </w:r>
    </w:p>
    <w:p w14:paraId="5A57643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AD2812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The participants were third-year English majors enrolled in a research-based academic writing course at a Chinese university. Although I was not directly teaching the students involved, my position as a faculty member at the same institution may have influenced how participants responded during data collection. This included possible power imbalances, students’ sensitivity around the use of GenAI tools in a university course -- even though their instructor supported such use for this assignment.</w:t>
      </w:r>
    </w:p>
    <w:p w14:paraId="2D667FA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4B6C5B7">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eastAsia" w:ascii="Calibri" w:hAnsi="Calibri" w:cs="Calibri"/>
          <w:b w:val="0"/>
          <w:i w:val="0"/>
          <w:iCs w:val="0"/>
          <w:sz w:val="21"/>
          <w:szCs w:val="21"/>
          <w:highlight w:val="none"/>
          <w:lang w:val="en-US" w:eastAsia="zh-CN"/>
        </w:rPr>
        <w:t>3.</w:t>
      </w:r>
      <w:r>
        <w:rPr>
          <w:rFonts w:hint="default" w:ascii="Calibri" w:hAnsi="Calibri" w:cs="Calibri"/>
          <w:b w:val="0"/>
          <w:i w:val="0"/>
          <w:iCs w:val="0"/>
          <w:sz w:val="21"/>
          <w:szCs w:val="21"/>
          <w:highlight w:val="none"/>
          <w:lang w:val="en-US" w:eastAsia="zh-CN"/>
        </w:rPr>
        <w:t>2 Theoretical Framew</w:t>
      </w:r>
      <w:r>
        <w:rPr>
          <w:rFonts w:hint="default" w:ascii="Calibri" w:hAnsi="Calibri" w:cs="Calibri"/>
          <w:b w:val="0"/>
          <w:i w:val="0"/>
          <w:iCs w:val="0"/>
          <w:sz w:val="21"/>
          <w:szCs w:val="21"/>
          <w:lang w:val="en-US" w:eastAsia="zh-CN"/>
        </w:rPr>
        <w:t>ork</w:t>
      </w:r>
    </w:p>
    <w:p w14:paraId="682F95F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This study adopted both the SRL and UTAUT framework </w:t>
      </w:r>
      <w:r>
        <w:rPr>
          <w:rFonts w:hint="default" w:ascii="Calibri" w:hAnsi="Calibri" w:cs="Calibri"/>
          <w:b w:val="0"/>
          <w:i w:val="0"/>
          <w:iCs w:val="0"/>
          <w:sz w:val="21"/>
          <w:szCs w:val="21"/>
          <w:lang w:val="en-US" w:eastAsia="zh-CN"/>
        </w:rPr>
        <w:t xml:space="preserve">to guide its design and interpretation. Zimmerman’s three-phase model -- forethought, performance, and self-reflection -- was used to inform the development of questionnaire items related to SRL. These items were structured around key self-regulated processes: goal setting and strategic planning(forethought), self-monitoring and self-instruction (performance), and self-evaluation and self-reinforcement (self-reflection). In addition, the UTAUT framework (Venkatesh </w:t>
      </w:r>
      <w:r>
        <w:rPr>
          <w:rFonts w:hint="default" w:ascii="Calibri Italic" w:hAnsi="Calibri Italic" w:cs="Calibri Italic"/>
          <w:b w:val="0"/>
          <w:i/>
          <w:iCs/>
          <w:sz w:val="21"/>
          <w:szCs w:val="21"/>
          <w:lang w:val="en-US" w:eastAsia="zh-CN"/>
        </w:rPr>
        <w:t xml:space="preserve">et al., </w:t>
      </w:r>
      <w:r>
        <w:rPr>
          <w:rFonts w:hint="default" w:ascii="Calibri" w:hAnsi="Calibri" w:cs="Calibri"/>
          <w:b w:val="0"/>
          <w:i w:val="0"/>
          <w:iCs w:val="0"/>
          <w:sz w:val="21"/>
          <w:szCs w:val="21"/>
          <w:lang w:val="en-US" w:eastAsia="zh-CN"/>
        </w:rPr>
        <w:t>2003) informed interview design, with questions centred on four core constructs -- performance expectancy, effort expectancy, social influence, facilitating conditions -- which together influence students’ behavioural intention to use GenAI tools. By combining SRL and UTAUT, the study was able to examine both students’ writing strategies and their perceptions of GenAI tools in their academic writing.</w:t>
      </w:r>
    </w:p>
    <w:p w14:paraId="7A0525F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87A8C8B">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3.3 Research Design Overview</w:t>
      </w:r>
    </w:p>
    <w:p w14:paraId="2FC8FF6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This study employed a sequential mixed-methods design (Cohen, Manion, and Morrison, 2018). An overview of the research phases, corresponding procedures, and expected outcomes at each stage is presented in Figure 1, which is adapted from Ivankova and Stick (2007, p. 98).</w:t>
      </w:r>
    </w:p>
    <w:p w14:paraId="6FBB834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C7D3A1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drawing>
          <wp:inline distT="0" distB="0" distL="114300" distR="114300">
            <wp:extent cx="4979035" cy="6456680"/>
            <wp:effectExtent l="0" t="0" r="24765" b="20320"/>
            <wp:docPr id="1" name="图片 1" descr="流程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流程图"/>
                    <pic:cNvPicPr>
                      <a:picLocks noChangeAspect="1"/>
                    </pic:cNvPicPr>
                  </pic:nvPicPr>
                  <pic:blipFill>
                    <a:blip r:embed="rId4"/>
                    <a:srcRect t="3322" b="23732"/>
                    <a:stretch>
                      <a:fillRect/>
                    </a:stretch>
                  </pic:blipFill>
                  <pic:spPr>
                    <a:xfrm>
                      <a:off x="0" y="0"/>
                      <a:ext cx="4979035" cy="6456680"/>
                    </a:xfrm>
                    <a:prstGeom prst="rect">
                      <a:avLst/>
                    </a:prstGeom>
                  </pic:spPr>
                </pic:pic>
              </a:graphicData>
            </a:graphic>
          </wp:inline>
        </w:drawing>
      </w:r>
    </w:p>
    <w:p w14:paraId="657C739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16"/>
          <w:szCs w:val="16"/>
          <w:lang w:val="en-US" w:eastAsia="zh-CN"/>
        </w:rPr>
      </w:pPr>
      <w:r>
        <w:rPr>
          <w:rFonts w:hint="default" w:ascii="Calibri" w:hAnsi="Calibri" w:cs="Calibri"/>
          <w:b w:val="0"/>
          <w:i w:val="0"/>
          <w:iCs w:val="0"/>
          <w:sz w:val="16"/>
          <w:szCs w:val="16"/>
          <w:lang w:val="en-US" w:eastAsia="zh-CN"/>
        </w:rPr>
        <w:t xml:space="preserve">Figure 1. Overview of the Sequential Mixed-Methods Research Process: Phases, Procedures, and Outcomes. </w:t>
      </w:r>
      <w:r>
        <w:rPr>
          <w:rFonts w:hint="default" w:ascii="Calibri Italic" w:hAnsi="Calibri Italic" w:cs="Calibri Italic"/>
          <w:b w:val="0"/>
          <w:i/>
          <w:iCs/>
          <w:sz w:val="16"/>
          <w:szCs w:val="16"/>
          <w:lang w:val="en-US" w:eastAsia="zh-CN"/>
        </w:rPr>
        <w:t>Adapted from Ivankova and Stick (2007, p.98)</w:t>
      </w:r>
    </w:p>
    <w:p w14:paraId="7A08C34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FFEF0D6">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3.4 Mixed Methods Design</w:t>
      </w:r>
    </w:p>
    <w:p w14:paraId="11E547C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As illustrated in Figure 1, the study combines a questionnaire with follow-up interviews to explore students’ use of GenAI tools in academic writing and their perceptions of the experience. The research comprised two components. </w:t>
      </w:r>
    </w:p>
    <w:p w14:paraId="7FCA081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A2446B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first was a questionnaire, mainly quantitative, designed to capture students’ usage patterns of GenAI tools and the SRL strategies they adopted when using the tools for writing assignments. In addition, five open-ended questions were included to gain preliminary insights into students’ experiences, challenges, and perceptions during AI-assisted writing. </w:t>
      </w:r>
    </w:p>
    <w:p w14:paraId="748804D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F0966C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second component consisted of semi-structured interviews, which collected qualitative data on students’ perceptions and explored the personal, social, and pedagogical factors that shaped their use of GenAI and their attitudes. toward them. </w:t>
      </w:r>
    </w:p>
    <w:p w14:paraId="4EBEC09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ADC330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Together, the two components addressed different dimensions of the research questions and provided a more comprehensive understanding of how GenAI was influencing university students’ academic writing practices.   </w:t>
      </w:r>
    </w:p>
    <w:p w14:paraId="4043E73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1F0BDD3">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3.5 Strengths and challenges of MMR</w:t>
      </w:r>
    </w:p>
    <w:p w14:paraId="0889423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Mixed methods research(MMR) is characterised by the integration of both quantitative and qualitative data to address complex research questions (Creswell and Plano Clark, 2018). This approach enables the combination of generalisable patterns with in-depth contextual insights. In this study, complexity arises from the evolving role of GenAI in academic writing practices in education. Writing is a complex cognitive and social activity (Weigle, 2002), and the integration of GenAI tools further complicated how students engage with writing tasks. MMR enables the researcher to examine both the patterns of tool use across writing stages and the learners’ experiences, perceptions, and the complex factors that influence their engagement with such tools. </w:t>
      </w:r>
    </w:p>
    <w:p w14:paraId="5D471AD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CEE0EB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Although MMR offers the advantage of combining quantitative and qualitative insights, it also presents challenges typical of all sequential designs (Creswell and Plano Clark, 2018). These include the extended time required, the need to adapt interview questions, and uncertainty in participant selection for the second component. To address these issues, a detailed schedule has been developed, preliminary questions were prepared, and sampling strategies for the follow-up interviews are outlined in the next section. </w:t>
      </w:r>
    </w:p>
    <w:p w14:paraId="3B0185C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EC03311">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3.6 Sampling Strategy </w:t>
      </w:r>
    </w:p>
    <w:p w14:paraId="4B1014B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Sampling in mixed methods research typically involves multiple sampling approaches and varying sample sizes </w:t>
      </w:r>
      <w:r>
        <w:rPr>
          <w:rFonts w:hint="default" w:ascii="Calibri" w:hAnsi="Calibri" w:cs="Calibri"/>
          <w:b w:val="0"/>
          <w:i w:val="0"/>
          <w:iCs w:val="0"/>
          <w:sz w:val="21"/>
          <w:szCs w:val="21"/>
          <w:lang w:val="en-US" w:eastAsia="zh-CN"/>
        </w:rPr>
        <w:t>(Teddlie and Yu, 2007)</w:t>
      </w:r>
      <w:r>
        <w:rPr>
          <w:rFonts w:hint="default" w:ascii="Calibri" w:hAnsi="Calibri" w:cs="Calibri"/>
          <w:b w:val="0"/>
          <w:i w:val="0"/>
          <w:iCs w:val="0"/>
          <w:sz w:val="21"/>
          <w:szCs w:val="21"/>
          <w:highlight w:val="none"/>
          <w:lang w:val="en-US" w:eastAsia="zh-CN"/>
        </w:rPr>
        <w:t xml:space="preserve">. In sequential designs, participants for the initial phase are selected first, and their data often inform the sampling of the subsequent phase </w:t>
      </w:r>
      <w:r>
        <w:rPr>
          <w:rFonts w:hint="default" w:ascii="Calibri" w:hAnsi="Calibri" w:cs="Calibri"/>
          <w:b w:val="0"/>
          <w:i w:val="0"/>
          <w:iCs w:val="0"/>
          <w:sz w:val="21"/>
          <w:szCs w:val="21"/>
          <w:lang w:val="en-US" w:eastAsia="zh-CN"/>
        </w:rPr>
        <w:t xml:space="preserve">(Cohen, Manion and Morrison, 2018). Accordingly, the sampling strategy in this study is presented in two parts: the first details participant selection for the questionnaire phase, and the second outlines the approach used to identify follow-up interview participants.  </w:t>
      </w:r>
    </w:p>
    <w:p w14:paraId="38CC6C0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4E77A94">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3.6.1 Sampling for the Questionnaire </w:t>
      </w:r>
    </w:p>
    <w:p w14:paraId="54CC7EF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In the first component of the study, participants for the questionnaire were recruited through </w:t>
      </w:r>
      <w:r>
        <w:rPr>
          <w:rFonts w:hint="default" w:ascii="Calibri" w:hAnsi="Calibri" w:cs="Calibri"/>
          <w:b w:val="0"/>
          <w:bCs w:val="0"/>
          <w:i w:val="0"/>
          <w:iCs w:val="0"/>
          <w:sz w:val="21"/>
          <w:szCs w:val="21"/>
          <w:lang w:val="en-US" w:eastAsia="zh-CN"/>
        </w:rPr>
        <w:t>convenience sampling</w:t>
      </w:r>
      <w:r>
        <w:rPr>
          <w:rFonts w:hint="default" w:ascii="Calibri" w:hAnsi="Calibri" w:cs="Calibri"/>
          <w:b w:val="0"/>
          <w:i w:val="0"/>
          <w:iCs w:val="0"/>
          <w:sz w:val="21"/>
          <w:szCs w:val="21"/>
          <w:lang w:val="en-US" w:eastAsia="zh-CN"/>
        </w:rPr>
        <w:t>. All 34 students enrolled in an academic writing course at a Chinese university were invited to participant in the questionnaire. The course was selected based on its relevance to the study focus and the fact that the use of GenAI tools were permitted in writing assignments, as confirmed through prior communication with the course instructor.</w:t>
      </w:r>
    </w:p>
    <w:p w14:paraId="0BA01A8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4ACC7E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 total of 24 students responded to the questionnaire. Among them, 2 participants indicated that they had not used any GenAI tools for the course assignment and were excluded based on the pre-established survey logic. As a result, 22 valid responses were used for analysis. </w:t>
      </w:r>
    </w:p>
    <w:p w14:paraId="5153FD0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A42897B">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3.6.2 Sampling for the Semi-structured Interviews </w:t>
      </w:r>
    </w:p>
    <w:p w14:paraId="6DA6A0C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At the end of the questionnaire, participants were invited to indicate whether they were willing to take part in a follow-up interview. </w:t>
      </w:r>
      <w:r>
        <w:rPr>
          <w:rFonts w:hint="eastAsia" w:ascii="Calibri" w:hAnsi="Calibri" w:cs="Calibri"/>
          <w:b w:val="0"/>
          <w:i w:val="0"/>
          <w:iCs w:val="0"/>
          <w:sz w:val="21"/>
          <w:szCs w:val="21"/>
          <w:highlight w:val="none"/>
          <w:lang w:val="en-US" w:eastAsia="zh-CN"/>
        </w:rPr>
        <w:t>T</w:t>
      </w:r>
      <w:r>
        <w:rPr>
          <w:rFonts w:hint="default" w:ascii="Calibri" w:hAnsi="Calibri" w:cs="Calibri"/>
          <w:b w:val="0"/>
          <w:i w:val="0"/>
          <w:iCs w:val="0"/>
          <w:sz w:val="21"/>
          <w:szCs w:val="21"/>
          <w:highlight w:val="none"/>
          <w:lang w:val="en-US" w:eastAsia="zh-CN"/>
        </w:rPr>
        <w:t xml:space="preserve">he initial plan was to </w:t>
      </w:r>
      <w:r>
        <w:rPr>
          <w:rFonts w:hint="default" w:ascii="Calibri Bold" w:hAnsi="Calibri Bold" w:cs="Calibri Bold"/>
          <w:b/>
          <w:bCs/>
          <w:i w:val="0"/>
          <w:iCs w:val="0"/>
          <w:sz w:val="21"/>
          <w:szCs w:val="21"/>
          <w:highlight w:val="none"/>
          <w:lang w:val="en-US" w:eastAsia="zh-CN"/>
        </w:rPr>
        <w:t>purposefully selected</w:t>
      </w:r>
      <w:r>
        <w:rPr>
          <w:rFonts w:hint="default" w:ascii="Calibri" w:hAnsi="Calibri" w:cs="Calibri"/>
          <w:b w:val="0"/>
          <w:i w:val="0"/>
          <w:iCs w:val="0"/>
          <w:sz w:val="21"/>
          <w:szCs w:val="21"/>
          <w:highlight w:val="none"/>
          <w:lang w:val="en-US" w:eastAsia="zh-CN"/>
        </w:rPr>
        <w:t xml:space="preserve"> a small group of students to ensure variation in GenAI tool usage and familiarity. Students’ self-reported levels of familiarity with and frequency of GenAI tools helped identify participants with differing levels of experience and engagement. </w:t>
      </w:r>
    </w:p>
    <w:p w14:paraId="0B3B5F6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53938EB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However, only three participants volunteered to be interviewed. Given the exploratory nature of this small-scale study, all three were invited to take part in the interviews. </w:t>
      </w:r>
    </w:p>
    <w:p w14:paraId="3F3A2EF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5E21307">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3.7 Data Collection Methods</w:t>
      </w:r>
    </w:p>
    <w:p w14:paraId="61857112">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3.7.1 Questionnaire </w:t>
      </w:r>
    </w:p>
    <w:p w14:paraId="2B86709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An online questionnaire was used to collect data in the first phase of the study. It was distributed via </w:t>
      </w:r>
      <w:r>
        <w:rPr>
          <w:rFonts w:hint="default" w:ascii="Calibri" w:hAnsi="Calibri" w:cs="Calibri"/>
          <w:b w:val="0"/>
          <w:bCs w:val="0"/>
          <w:i w:val="0"/>
          <w:iCs w:val="0"/>
          <w:sz w:val="21"/>
          <w:szCs w:val="21"/>
          <w:lang w:val="en-US" w:eastAsia="zh-CN"/>
        </w:rPr>
        <w:t>Qualtrics</w:t>
      </w:r>
      <w:r>
        <w:rPr>
          <w:rFonts w:hint="default" w:ascii="Calibri" w:hAnsi="Calibri" w:cs="Calibri"/>
          <w:b w:val="0"/>
          <w:i w:val="0"/>
          <w:iCs w:val="0"/>
          <w:sz w:val="21"/>
          <w:szCs w:val="21"/>
          <w:lang w:val="en-US" w:eastAsia="zh-CN"/>
        </w:rPr>
        <w:t xml:space="preserve"> to all students enrolled in a research-based academic writing course at a Chinese university. Participants were invited through class communication channels, a participant information sheet was provided beforehand, and informed consent was obtained at the beginning of the questionnaire. </w:t>
      </w:r>
    </w:p>
    <w:p w14:paraId="36464B6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91C38B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questionnaire consisted primarily of close-ended questions and five open-ended items. The closed-ended questions were designed to gather quantitative data on students’ prior familiarity with GenAI tools, their usage patterns within the writing course, basic GenAI literacy, and self-regulated strategies across different stages of the writing process. These items were informed by Zimmerman’s (2000, 2011) three-phase model of SRL, covering key components such as goal setting, strategic planning, self-monitoring, self-instruction, self-evaluation, and self-reinforcement. Five open-ended questions were added to complement the closed items. These aimed to gather initial qualitative insights into students’ perceptions and challenges in the writing process, the social influences shaping their use of GenAI tools, their future intentions for using such tools, and their overall experiences with AI-assisted writing. </w:t>
      </w:r>
    </w:p>
    <w:p w14:paraId="2474713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70B099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questionnaire enabled the collection of a relatively large amount of data within a short time (Lambert, 2019). According to Clark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(2021), questionnaires are practical because they can be distributed efficiently, provide clear and structured items, and minimise interviewer influence. They may also encourage more candid responses on sensitive issues -- for instance, students’ possible over-reliance on GenAI -- that might be less readily admitted in an interview. At the same time, questionnaires also have limitations. Closed-ended items are easy to analyse but leave little room for further clarification or follow up, often offering only a partial view of complex practices, while open-ended items can provide more detail but risk lowering response rates if used too extensively (Clark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2021). </w:t>
      </w:r>
    </w:p>
    <w:p w14:paraId="1940E06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0710C57">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3.7.2 Semi-Structured Interviews </w:t>
      </w:r>
    </w:p>
    <w:p w14:paraId="352AA28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Semi-structured interviews therefore were then used as the second component to complement the questionnaire. This method is widely used in language education research and is valued for its ability to capture learners’ experiences and perspectives (Dörnyei, 2007).</w:t>
      </w:r>
      <w:r>
        <w:rPr>
          <w:rFonts w:hint="default" w:ascii="Calibri" w:hAnsi="Calibri" w:cs="Calibri"/>
          <w:b w:val="0"/>
          <w:i w:val="0"/>
          <w:iCs w:val="0"/>
          <w:sz w:val="21"/>
          <w:szCs w:val="21"/>
          <w:lang w:val="en-US" w:eastAsia="zh-CN"/>
        </w:rPr>
        <w:t xml:space="preserve"> In this study, the interviews offered a chance to explore students’ perceptions of GenAI tools in more depth and to identify the factors that shaped their adoption and use. </w:t>
      </w:r>
      <w:r>
        <w:rPr>
          <w:rFonts w:hint="default" w:ascii="Calibri" w:hAnsi="Calibri" w:cs="Calibri"/>
          <w:b w:val="0"/>
          <w:i w:val="0"/>
          <w:iCs w:val="0"/>
          <w:sz w:val="21"/>
          <w:szCs w:val="21"/>
          <w:highlight w:val="none"/>
          <w:lang w:val="en-US" w:eastAsia="zh-CN"/>
        </w:rPr>
        <w:t xml:space="preserve">Three students who had indicated willingness to participate were invited for individual online interviews. Each session was conducted via Microsoft teams last approximately 30 to 40 minutes. Written informed consent was obtained in advance prior to the interviews. </w:t>
      </w:r>
    </w:p>
    <w:p w14:paraId="43315FA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C57FE4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interviews were guided by a set of open-ended questions, informed by the UTUAT dimensions introduced earlier. Rather than a fixed script, the questions serve as a flexible framework to support natural conversation flow. Follow-up probes were used when appropriate to probe deeper into students’ experience. All interviews were audio-recorded, with brief notes taken to capture contextual details. </w:t>
      </w:r>
    </w:p>
    <w:p w14:paraId="370F2B7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C7A3B8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While semi-structured interviews allow flexibility, they also place high demands on the interviewer’s ability to adapt questions and mange the flow of conversation (Cohen, Manion and Morrison, 2018). As a novice qualitative researcher, the best approach was to carefully prepare the interview questions and make adjustments throughout the process to ensure clarity.</w:t>
      </w:r>
    </w:p>
    <w:p w14:paraId="4080C96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B833AF5">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3.8 Data Analysis</w:t>
      </w:r>
    </w:p>
    <w:p w14:paraId="4D681D2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study employs a mix-methods approach, combining quantitative analysis of close-ended questionnaire questions with qualitative thematic analysis of open-ended responses in the questionnaire and interview data. </w:t>
      </w:r>
    </w:p>
    <w:p w14:paraId="6717DCA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63EC5D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For the closed-ended questions in the questionnaire, descriptive statistics were used to summarise students’ responses in four areas: Participants’ Background (including training experience and perceived confidence in using GenAI tools), AI literacy, GenAI Usage Behaviours (including tool selection, usage frequency, and writing stages), and Self-Regulated Learning (SRL) Strategies. The 12 SRL items were grouped into three phases based on Zimmerman’s (2000) SRL model and internal consistency analysis: </w:t>
      </w:r>
    </w:p>
    <w:p w14:paraId="742E0ED6">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Forethought (Goal Setting and Strategy Planning) Q1, Q2, Q9; α=0.523</w:t>
      </w:r>
    </w:p>
    <w:p w14:paraId="6CB89FF8">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Performance (Strategy Use and Monitoring) Q3, Q4, Q4, Q6; α=0.54</w:t>
      </w:r>
    </w:p>
    <w:p w14:paraId="79302363">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Reflection (Self-evaluation, Self-instruction and Self-reinforcement) Q7, Q8, Q10, Q11, Q12(reverse-coded); α=0.612</w:t>
      </w:r>
    </w:p>
    <w:p w14:paraId="044C658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highlight w:val="none"/>
          <w:lang w:val="en-US" w:eastAsia="zh-CN"/>
        </w:rPr>
      </w:pPr>
    </w:p>
    <w:p w14:paraId="42690A9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Though not very high, Cronbach’s alpha values ranging from 0.523 to 0.612 are considered acceptable for exploratory studies with small samples. Composite scores were calculated for each phase. Group comparisons were conducted based on students’ training experience (trained vs. untrained) and perceived confidence levels (higher vs. lower) to examine differences in SRL strategy use. Given the small sample size, non-parametric Mann-Whitney U tests were used to compare median scores across the three SRL dimensions. These analyses were carried out using Excel and SPSS (Version 27). </w:t>
      </w:r>
    </w:p>
    <w:p w14:paraId="42A15E5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625296C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highlight w:val="none"/>
          <w:lang w:val="en-US" w:eastAsia="zh-CN"/>
        </w:rPr>
        <w:t xml:space="preserve">The interview data included audio recordings, auto-generated transcripts from Microsoft Teams, and the researcher’s notes. Transcripts were reviewed for accuracy and analysed using </w:t>
      </w:r>
      <w:r>
        <w:rPr>
          <w:rFonts w:hint="default" w:ascii="Calibri" w:hAnsi="Calibri" w:cs="Calibri"/>
          <w:b w:val="0"/>
          <w:i w:val="0"/>
          <w:iCs w:val="0"/>
          <w:sz w:val="21"/>
          <w:szCs w:val="21"/>
          <w:lang w:val="en-US" w:eastAsia="zh-CN"/>
        </w:rPr>
        <w:t xml:space="preserve">Braun and Clarke’s (2006) six-phase approach to thematic analysis. Thematic analysis was selected for its flexibility and capability to generate rich insights from qualitative data. The major themes were informed by the UTAUT framework, while sub-themes were identified inductively through iterative coding. Nvivo 15 assisted with systematic coding and organisation of the material. </w:t>
      </w:r>
    </w:p>
    <w:p w14:paraId="79877904">
      <w:pPr>
        <w:keepNext w:val="0"/>
        <w:keepLines w:val="0"/>
        <w:pageBreakBefore w:val="0"/>
        <w:widowControl w:val="0"/>
        <w:tabs>
          <w:tab w:val="left" w:pos="1025"/>
        </w:tabs>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CFCDFC3">
      <w:pPr>
        <w:keepNext w:val="0"/>
        <w:keepLines w:val="0"/>
        <w:pageBreakBefore w:val="0"/>
        <w:widowControl w:val="0"/>
        <w:tabs>
          <w:tab w:val="left" w:pos="1025"/>
        </w:tabs>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interviews were conducted in Mandarin to support richer expressions, yet the final report was presented in English, making translation an unavoidable and at times difficult part of the process. As Smith, Chen and Liu (2008) point out, working across languages in qualitative research can be time-consuming and risks a loss or distortion of meaning. To address this, the study followed the procedure recommended by Smith, Chen and Liu (2018): data were collected and transcribed in Mandarin, coded in English, and both original and translated were presented where quotations appeared to maintain clarity and transparency. </w:t>
      </w:r>
    </w:p>
    <w:p w14:paraId="149661FD">
      <w:pPr>
        <w:keepNext w:val="0"/>
        <w:keepLines w:val="0"/>
        <w:pageBreakBefore w:val="0"/>
        <w:widowControl w:val="0"/>
        <w:tabs>
          <w:tab w:val="left" w:pos="1025"/>
        </w:tabs>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A02123F">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3.9 Ethical Considerations</w:t>
      </w:r>
    </w:p>
    <w:p w14:paraId="111C792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This study was approved by the Institute of Education and Humanities (IEH) Ethics Committee at the University of Wales Trinity Saint David. The study was conducted in accordance with the British Educational Research Association (BERA) Ethical Guidelines and the UWTSD Research Ethics &amp; Integrity Code of Practice (2022). Key principles -- including ‘honesty, rigour, openness, and respect’(UWTSD, 2022, p.3) -- were carefully upheld throughout the design, data collection and reporting stages to ensure academic integrity and ethical responsibility. </w:t>
      </w:r>
    </w:p>
    <w:p w14:paraId="7B7B7E9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19292124">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3.9.1 Informed Consent and Data Confidentiality</w:t>
      </w:r>
    </w:p>
    <w:p w14:paraId="50CDAF3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For the questionnaire phase, the participant information sheet was distributed in advance, and an online consent form was included at the beginning of the questionnaire. Participation was entirely voluntarily, and students could withdraw at any point before submission. The questionnaire was fully anonymously, and no personally identifying information was collected. For those who expressed interest in the follow-up interviews, contact details were processed separately to ensure no link was make between their identity and their questionnaire response. </w:t>
      </w:r>
    </w:p>
    <w:p w14:paraId="0D565F9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409171C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For the interview phase, informed consent was obtained in advance through a Microsoft Forms document. Participants were assured of the confidentiality of their responses and informed of their right to withdraw at any point prior to data anonymisation.</w:t>
      </w:r>
    </w:p>
    <w:p w14:paraId="422FAB6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7FF7FE57">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3.9.2 Data Protection </w:t>
      </w:r>
    </w:p>
    <w:p w14:paraId="41A4F8C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All data were securely stored in the researcher’s institutional OneDrive account and handled in accordance with General Data Protection Regulation (GDPR, 2016), with access restricted to the researcher only. Data will be retained until the course results are released. If the study is prepared for publication, anonymised data may be securely stored for up to five years before being permanently deleted. </w:t>
      </w:r>
    </w:p>
    <w:p w14:paraId="63DEB82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60D63C7A">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3.9.3 Specific Ethical Considerations</w:t>
      </w:r>
    </w:p>
    <w:p w14:paraId="7F244D2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There are some specific ethical concerns related to this study: </w:t>
      </w:r>
    </w:p>
    <w:p w14:paraId="4C411A23">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The use of GenAI tools for academic assignment</w:t>
      </w:r>
    </w:p>
    <w:p w14:paraId="44F8645D">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while the potential sensitivity surrounding the use of GenAI tolls in academic writing and concerns related to academic integrity were considered considered during the ethical review process, actual responses from participants did not indicate strong hesitation or fear of being perceived as engaged in academic misconduct. This may be attributed to the supportive attitude of the course instructor, who had explicitly allowed the use of such tools for the assignment. </w:t>
      </w:r>
    </w:p>
    <w:p w14:paraId="32518507">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B1E1553">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Small Sample and Risk of Identifiability</w:t>
      </w:r>
    </w:p>
    <w:p w14:paraId="023C4F4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Due to the small sample size and the fact that all participants were from the same academic cohort, there was an increased risk of identifiability. To mitigate this, all participants were assigned with pseudonyms, and any potential identifiable details were removed from the transcripts and reporting. Supporting quotations used in the report were carefully selected to protect anonymity. </w:t>
      </w:r>
    </w:p>
    <w:p w14:paraId="3F11073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358F19B">
      <w:pPr>
        <w:outlineLvl w:val="0"/>
        <w:rPr>
          <w:rFonts w:hint="default" w:ascii="Calibri Regular" w:hAnsi="Calibri Regular" w:cs="Calibri Regular" w:eastAsiaTheme="minorEastAsia"/>
          <w:b w:val="0"/>
          <w:sz w:val="28"/>
          <w:szCs w:val="28"/>
          <w:highlight w:val="none"/>
          <w:lang w:val="en-US" w:eastAsia="zh-CN"/>
        </w:rPr>
      </w:pPr>
      <w:r>
        <w:rPr>
          <w:rFonts w:hint="default" w:ascii="Calibri Regular" w:hAnsi="Calibri Regular" w:cs="Calibri Regular"/>
          <w:b w:val="0"/>
          <w:sz w:val="28"/>
          <w:szCs w:val="28"/>
          <w:highlight w:val="none"/>
          <w:lang w:val="en-US"/>
        </w:rPr>
        <w:t>Chapter 4: Results/Findings</w:t>
      </w:r>
    </w:p>
    <w:p w14:paraId="5509B242">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4.1 Overview of Questionnaire Results</w:t>
      </w:r>
    </w:p>
    <w:p w14:paraId="6854B3F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 total of 24 out of 34 students enrolled in this writing course responded to the questionnaire. Two participants did not complete the survey, and one participant selected ‘did not use GenAI tools ’ in this writing assignment and was therefore directed to the end of the survey based on the pre-defined skip logic. This result in 21 valid responses, which were used for the following analysis. </w:t>
      </w:r>
    </w:p>
    <w:p w14:paraId="6F6E6C8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31EAC5C">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eastAsia" w:ascii="Calibri" w:hAnsi="Calibri" w:cs="Calibri"/>
          <w:b w:val="0"/>
          <w:i w:val="0"/>
          <w:iCs w:val="0"/>
          <w:sz w:val="21"/>
          <w:szCs w:val="21"/>
          <w:lang w:val="en-US" w:eastAsia="zh-CN"/>
        </w:rPr>
        <w:t>4.1.1 Participants</w:t>
      </w:r>
      <w:r>
        <w:rPr>
          <w:rFonts w:hint="default" w:ascii="Calibri" w:hAnsi="Calibri" w:cs="Calibri"/>
          <w:b w:val="0"/>
          <w:i w:val="0"/>
          <w:iCs w:val="0"/>
          <w:sz w:val="21"/>
          <w:szCs w:val="21"/>
          <w:lang w:val="en-US" w:eastAsia="zh-CN"/>
        </w:rPr>
        <w:t xml:space="preserve">’ Background </w:t>
      </w:r>
    </w:p>
    <w:p w14:paraId="6867D36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All valid participants were English majors, with six fourth-year and fifteen third-year students. All of them reported having prior experience using GenAI tools before this course and indicated that they had used such tools during the assigned writing task. </w:t>
      </w:r>
    </w:p>
    <w:p w14:paraId="73742F0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B5F0A23">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Participants were asked to report how they first learned about the GenAI tools they used. The majority reported informal channels, with 66.7% (n=14) selecting ‘through social media’ and 33.3% (n=7) selecting ‘through classmates or friends’. No participant reported learning about GenAI tools from course instructors, other teachers, or online advertisements (See Figure 1).</w:t>
      </w:r>
    </w:p>
    <w:p w14:paraId="09963FCE">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60AB012A">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Participants rated their confidence in using GenAI tools on a 5-scale Likert scale, ranging from ‘Not confident at all’ (1) to ‘Very confident’ (5). As shown in Figure 2, the majority of the students (66.7%, n=14) selected ‘Neutral’, followed by ‘confident’ (23.8%, n=5) and ‘slightly confident’ (9.5%, n=2) . No participants chose either extreme. The mean confidence score was 3.14 (SD=0.573), indicating an overall attitude that leans toward neutrality with a light tendency toward confidence. The relatively low standard deviation reflects a consistent pattern of responses among participants.  </w:t>
      </w:r>
    </w:p>
    <w:p w14:paraId="5A03A4E6">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382BD504">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eastAsia" w:ascii="Calibri" w:hAnsi="Calibri" w:cs="Calibri"/>
          <w:b w:val="0"/>
          <w:i w:val="0"/>
          <w:iCs w:val="0"/>
          <w:sz w:val="21"/>
          <w:szCs w:val="21"/>
          <w:lang w:val="en-US" w:eastAsia="zh-CN"/>
        </w:rPr>
        <w:t>Among</w:t>
      </w:r>
      <w:r>
        <w:rPr>
          <w:rFonts w:hint="default" w:ascii="Calibri" w:hAnsi="Calibri" w:cs="Calibri"/>
          <w:b w:val="0"/>
          <w:i w:val="0"/>
          <w:iCs w:val="0"/>
          <w:sz w:val="21"/>
          <w:szCs w:val="21"/>
          <w:lang w:val="en-US" w:eastAsia="zh-CN"/>
        </w:rPr>
        <w:t xml:space="preserve"> the 21 participants, only 6 (28.6%) reported having received any training or guidance on how to use GenAI tools in academic writing, highlighting a general lack of formal instruction in this area. As shown in Figure3, most of these training came from self-directed sources: 3 participants mentioned ‘social media’ and 3 reported ‘online courses’. In contrast, only 5 participants cited ‘other teachers’ as a source of guidance. These results suggest that students primarily rely on informal channels or individual efforts -- such as online course or social media -- rather than formal institutional programs. </w:t>
      </w:r>
    </w:p>
    <w:p w14:paraId="2CC1010A">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pPr>
      <w:r>
        <w:drawing>
          <wp:inline distT="0" distB="0" distL="114300" distR="114300">
            <wp:extent cx="5270500" cy="3002915"/>
            <wp:effectExtent l="0" t="0" r="12700" b="19685"/>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5"/>
                    <a:stretch>
                      <a:fillRect/>
                    </a:stretch>
                  </pic:blipFill>
                  <pic:spPr>
                    <a:xfrm>
                      <a:off x="0" y="0"/>
                      <a:ext cx="5270500" cy="3002915"/>
                    </a:xfrm>
                    <a:prstGeom prst="rect">
                      <a:avLst/>
                    </a:prstGeom>
                    <a:noFill/>
                    <a:ln>
                      <a:noFill/>
                    </a:ln>
                  </pic:spPr>
                </pic:pic>
              </a:graphicData>
            </a:graphic>
          </wp:inline>
        </w:drawing>
      </w:r>
    </w:p>
    <w:p w14:paraId="0D72286B">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Figure 1. </w:t>
      </w:r>
      <w:r>
        <w:rPr>
          <w:rFonts w:hint="eastAsia" w:ascii="Calibri" w:hAnsi="Calibri" w:cs="Calibri"/>
          <w:b w:val="0"/>
          <w:i w:val="0"/>
          <w:iCs w:val="0"/>
          <w:sz w:val="21"/>
          <w:szCs w:val="21"/>
          <w:lang w:val="en-US" w:eastAsia="zh-CN"/>
        </w:rPr>
        <w:t>Re</w:t>
      </w:r>
      <w:r>
        <w:rPr>
          <w:rFonts w:hint="default" w:ascii="Calibri" w:hAnsi="Calibri" w:cs="Calibri"/>
          <w:b w:val="0"/>
          <w:i w:val="0"/>
          <w:iCs w:val="0"/>
          <w:sz w:val="21"/>
          <w:szCs w:val="21"/>
          <w:lang w:val="en-US" w:eastAsia="zh-CN"/>
        </w:rPr>
        <w:t xml:space="preserve">ported Sources of GenAI Tools Information </w:t>
      </w:r>
    </w:p>
    <w:p w14:paraId="1A253C5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 xml:space="preserve">Note: Participants selected one option only (N=21). </w:t>
      </w:r>
    </w:p>
    <w:p w14:paraId="496B893C">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pPr>
      <w:r>
        <w:drawing>
          <wp:inline distT="0" distB="0" distL="114300" distR="114300">
            <wp:extent cx="4096385" cy="2455545"/>
            <wp:effectExtent l="0" t="0" r="18415" b="8255"/>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6"/>
                    <a:stretch>
                      <a:fillRect/>
                    </a:stretch>
                  </pic:blipFill>
                  <pic:spPr>
                    <a:xfrm>
                      <a:off x="0" y="0"/>
                      <a:ext cx="4096385" cy="2455545"/>
                    </a:xfrm>
                    <a:prstGeom prst="rect">
                      <a:avLst/>
                    </a:prstGeom>
                    <a:noFill/>
                    <a:ln>
                      <a:noFill/>
                    </a:ln>
                  </pic:spPr>
                </pic:pic>
              </a:graphicData>
            </a:graphic>
          </wp:inline>
        </w:drawing>
      </w:r>
    </w:p>
    <w:p w14:paraId="647DD4D9">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Figure 2. Students’ Confidence in Using GenAI for Academic Writing </w:t>
      </w:r>
    </w:p>
    <w:p w14:paraId="6EAAC83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Note: Five-point Likert scale from ‘Not confident at all’(1) to ‘Very confident’(5) (N-21).</w:t>
      </w:r>
    </w:p>
    <w:p w14:paraId="1E9489C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p>
    <w:p w14:paraId="4AF88919">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pPr>
      <w:r>
        <w:drawing>
          <wp:inline distT="0" distB="0" distL="114300" distR="114300">
            <wp:extent cx="4035425" cy="2820670"/>
            <wp:effectExtent l="0" t="0" r="3175" b="2413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7"/>
                    <a:stretch>
                      <a:fillRect/>
                    </a:stretch>
                  </pic:blipFill>
                  <pic:spPr>
                    <a:xfrm>
                      <a:off x="0" y="0"/>
                      <a:ext cx="4035425" cy="2820670"/>
                    </a:xfrm>
                    <a:prstGeom prst="rect">
                      <a:avLst/>
                    </a:prstGeom>
                    <a:noFill/>
                    <a:ln>
                      <a:noFill/>
                    </a:ln>
                  </pic:spPr>
                </pic:pic>
              </a:graphicData>
            </a:graphic>
          </wp:inline>
        </w:drawing>
      </w:r>
    </w:p>
    <w:p w14:paraId="0065D328">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lang w:val="en-US" w:eastAsia="zh-CN"/>
        </w:rPr>
      </w:pPr>
      <w:r>
        <w:rPr>
          <w:rFonts w:hint="eastAsia"/>
          <w:lang w:val="en-US" w:eastAsia="zh-CN"/>
        </w:rPr>
        <w:t xml:space="preserve">Figure </w:t>
      </w:r>
      <w:r>
        <w:rPr>
          <w:rFonts w:hint="default"/>
          <w:lang w:val="en-US" w:eastAsia="zh-CN"/>
        </w:rPr>
        <w:t>3</w:t>
      </w:r>
      <w:r>
        <w:rPr>
          <w:rFonts w:hint="eastAsia"/>
          <w:lang w:val="en-US" w:eastAsia="zh-CN"/>
        </w:rPr>
        <w:t xml:space="preserve">. </w:t>
      </w:r>
      <w:r>
        <w:rPr>
          <w:rFonts w:hint="default"/>
          <w:lang w:val="en-US" w:eastAsia="zh-CN"/>
        </w:rPr>
        <w:t>Sources of Training on GenAI tools</w:t>
      </w:r>
    </w:p>
    <w:p w14:paraId="3669EFF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Note: Only 6 participants reported receiving training. Participants could select more than one source. The numbers shown represent the number of times each option was selected (N=6).</w:t>
      </w:r>
    </w:p>
    <w:p w14:paraId="1807A17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p>
    <w:p w14:paraId="67D20270">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color w:val="000000" w:themeColor="text1"/>
          <w:sz w:val="21"/>
          <w:szCs w:val="21"/>
          <w:highlight w:val="none"/>
          <w:lang w:val="en-US" w:eastAsia="zh-CN"/>
          <w14:textFill>
            <w14:solidFill>
              <w14:schemeClr w14:val="tx1"/>
            </w14:solidFill>
          </w14:textFill>
        </w:rPr>
      </w:pPr>
      <w:r>
        <w:rPr>
          <w:rFonts w:hint="eastAsia" w:ascii="Calibri" w:hAnsi="Calibri" w:cs="Calibri"/>
          <w:b w:val="0"/>
          <w:i w:val="0"/>
          <w:iCs w:val="0"/>
          <w:color w:val="000000" w:themeColor="text1"/>
          <w:sz w:val="21"/>
          <w:szCs w:val="21"/>
          <w:highlight w:val="none"/>
          <w:lang w:val="en-US" w:eastAsia="zh-CN"/>
          <w14:textFill>
            <w14:solidFill>
              <w14:schemeClr w14:val="tx1"/>
            </w14:solidFill>
          </w14:textFill>
        </w:rPr>
        <w:t>4.1</w:t>
      </w:r>
      <w:r>
        <w:rPr>
          <w:rFonts w:hint="default" w:ascii="Calibri" w:hAnsi="Calibri" w:cs="Calibri"/>
          <w:b w:val="0"/>
          <w:i w:val="0"/>
          <w:iCs w:val="0"/>
          <w:color w:val="000000" w:themeColor="text1"/>
          <w:sz w:val="21"/>
          <w:szCs w:val="21"/>
          <w:highlight w:val="none"/>
          <w:lang w:val="en-US" w:eastAsia="zh-CN"/>
          <w14:textFill>
            <w14:solidFill>
              <w14:schemeClr w14:val="tx1"/>
            </w14:solidFill>
          </w14:textFill>
        </w:rPr>
        <w:t xml:space="preserve">.2 </w:t>
      </w:r>
      <w:r>
        <w:rPr>
          <w:rFonts w:hint="eastAsia" w:ascii="Calibri" w:hAnsi="Calibri" w:cs="Calibri"/>
          <w:b w:val="0"/>
          <w:i w:val="0"/>
          <w:iCs w:val="0"/>
          <w:color w:val="000000" w:themeColor="text1"/>
          <w:sz w:val="21"/>
          <w:szCs w:val="21"/>
          <w:highlight w:val="none"/>
          <w:lang w:val="en-US" w:eastAsia="zh-CN"/>
          <w14:textFill>
            <w14:solidFill>
              <w14:schemeClr w14:val="tx1"/>
            </w14:solidFill>
          </w14:textFill>
        </w:rPr>
        <w:t>AI Liter</w:t>
      </w:r>
      <w:r>
        <w:rPr>
          <w:rFonts w:hint="default" w:ascii="Calibri" w:hAnsi="Calibri" w:cs="Calibri"/>
          <w:b w:val="0"/>
          <w:i w:val="0"/>
          <w:iCs w:val="0"/>
          <w:color w:val="000000" w:themeColor="text1"/>
          <w:sz w:val="21"/>
          <w:szCs w:val="21"/>
          <w:highlight w:val="none"/>
          <w:lang w:val="en-US" w:eastAsia="zh-CN"/>
          <w14:textFill>
            <w14:solidFill>
              <w14:schemeClr w14:val="tx1"/>
            </w14:solidFill>
          </w14:textFill>
        </w:rPr>
        <w:t xml:space="preserve">acy </w:t>
      </w:r>
    </w:p>
    <w:p w14:paraId="774404B1">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To assess students’ ethical awareness and responsibility regarding the use of GenAI tools for academic writing, three items were included using a 5-point agreement scale (1=Strongly disagree, 5= Strongly agree). As shown in Figure 4, students generally demonstrated high levels of agreement across three statements. Table 1 presents the descriptive statistics for the three items measuring students’ AI literacy. Overall, students showed a high level of awareness regarding the limitations, responsibilities, and ethical risks of using GenAI tools. There was a single outlier response of ‘Strongly disagree’, which may reflect either a divergent viewpoint or response error. </w:t>
      </w:r>
    </w:p>
    <w:p w14:paraId="13CB8CEE">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pPr>
      <w:r>
        <w:drawing>
          <wp:inline distT="0" distB="0" distL="114300" distR="114300">
            <wp:extent cx="4905375" cy="3257550"/>
            <wp:effectExtent l="0" t="0" r="22225" b="19050"/>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8"/>
                    <a:stretch>
                      <a:fillRect/>
                    </a:stretch>
                  </pic:blipFill>
                  <pic:spPr>
                    <a:xfrm>
                      <a:off x="0" y="0"/>
                      <a:ext cx="4905375" cy="3257550"/>
                    </a:xfrm>
                    <a:prstGeom prst="rect">
                      <a:avLst/>
                    </a:prstGeom>
                    <a:noFill/>
                    <a:ln>
                      <a:noFill/>
                    </a:ln>
                  </pic:spPr>
                </pic:pic>
              </a:graphicData>
            </a:graphic>
          </wp:inline>
        </w:drawing>
      </w:r>
    </w:p>
    <w:p w14:paraId="41F2826B">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lang w:val="en-US" w:eastAsia="zh-CN"/>
        </w:rPr>
      </w:pPr>
      <w:r>
        <w:rPr>
          <w:rFonts w:hint="eastAsia"/>
          <w:lang w:val="en-US" w:eastAsia="zh-CN"/>
        </w:rPr>
        <w:t xml:space="preserve">Figure </w:t>
      </w:r>
      <w:r>
        <w:rPr>
          <w:rFonts w:hint="default"/>
          <w:lang w:val="en-US" w:eastAsia="zh-CN"/>
        </w:rPr>
        <w:t>4</w:t>
      </w:r>
      <w:r>
        <w:rPr>
          <w:rFonts w:hint="eastAsia"/>
          <w:lang w:val="en-US" w:eastAsia="zh-CN"/>
        </w:rPr>
        <w:t xml:space="preserve">. </w:t>
      </w:r>
      <w:r>
        <w:rPr>
          <w:rFonts w:hint="default"/>
          <w:lang w:val="en-US" w:eastAsia="zh-CN"/>
        </w:rPr>
        <w:t>Students’ agreement on GenAI use: understanding and responsibility</w:t>
      </w:r>
    </w:p>
    <w:p w14:paraId="0C83AE1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Note: Responses are based on a 5-point Likert scale (1=Strongly disagree, 5=Strongly agree). Bars represents the number of students selects each option (N=21).</w:t>
      </w:r>
    </w:p>
    <w:p w14:paraId="78CA66B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p>
    <w:p w14:paraId="738D5B45">
      <w:pPr>
        <w:keepNext w:val="0"/>
        <w:keepLines w:val="0"/>
        <w:pageBreakBefore w:val="0"/>
        <w:widowControl w:val="0"/>
        <w:kinsoku/>
        <w:wordWrap/>
        <w:overflowPunct/>
        <w:topLinePunct w:val="0"/>
        <w:autoSpaceDE/>
        <w:autoSpaceDN/>
        <w:bidi w:val="0"/>
        <w:adjustRightInd/>
        <w:snapToGrid/>
        <w:spacing w:line="360" w:lineRule="auto"/>
        <w:jc w:val="left"/>
        <w:textAlignment w:val="auto"/>
        <w:outlineLvl w:val="9"/>
        <w:rPr>
          <w:rFonts w:hint="default"/>
          <w:lang w:val="en-US" w:eastAsia="zh-CN"/>
        </w:rPr>
      </w:pPr>
      <w:r>
        <w:rPr>
          <w:rFonts w:hint="default"/>
          <w:lang w:val="en-US" w:eastAsia="zh-CN"/>
        </w:rPr>
        <w:t>Table 1. Mean and Standard Deviation of Students’ Responses to AI literacy Items</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837"/>
        <w:gridCol w:w="900"/>
        <w:gridCol w:w="785"/>
      </w:tblGrid>
      <w:tr w14:paraId="7A80BABE">
        <w:tc>
          <w:tcPr>
            <w:tcW w:w="6837" w:type="dxa"/>
            <w:tcBorders>
              <w:top w:val="single" w:color="000000" w:sz="4" w:space="0"/>
              <w:left w:val="nil"/>
              <w:bottom w:val="single" w:color="000000" w:sz="4" w:space="0"/>
              <w:right w:val="nil"/>
            </w:tcBorders>
          </w:tcPr>
          <w:p w14:paraId="78F8A3C3">
            <w:pPr>
              <w:pStyle w:val="12"/>
              <w:keepNext w:val="0"/>
              <w:keepLines w:val="0"/>
              <w:widowControl/>
              <w:suppressLineNumbers w:val="0"/>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Item</w:t>
            </w:r>
          </w:p>
        </w:tc>
        <w:tc>
          <w:tcPr>
            <w:tcW w:w="900" w:type="dxa"/>
            <w:tcBorders>
              <w:top w:val="single" w:color="000000" w:sz="4" w:space="0"/>
              <w:left w:val="nil"/>
              <w:bottom w:val="single" w:color="000000" w:sz="4" w:space="0"/>
              <w:right w:val="nil"/>
            </w:tcBorders>
          </w:tcPr>
          <w:p w14:paraId="31734255">
            <w:pPr>
              <w:pStyle w:val="12"/>
              <w:keepNext w:val="0"/>
              <w:keepLines w:val="0"/>
              <w:widowControl/>
              <w:suppressLineNumbers w:val="0"/>
              <w:jc w:val="center"/>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Mean</w:t>
            </w:r>
          </w:p>
        </w:tc>
        <w:tc>
          <w:tcPr>
            <w:tcW w:w="785" w:type="dxa"/>
            <w:tcBorders>
              <w:top w:val="single" w:color="000000" w:sz="4" w:space="0"/>
              <w:left w:val="nil"/>
              <w:bottom w:val="single" w:color="000000" w:sz="4" w:space="0"/>
              <w:right w:val="nil"/>
            </w:tcBorders>
          </w:tcPr>
          <w:p w14:paraId="273A4EC9">
            <w:pPr>
              <w:pStyle w:val="12"/>
              <w:keepNext w:val="0"/>
              <w:keepLines w:val="0"/>
              <w:widowControl/>
              <w:suppressLineNumbers w:val="0"/>
              <w:jc w:val="center"/>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SD</w:t>
            </w:r>
          </w:p>
        </w:tc>
      </w:tr>
      <w:tr w14:paraId="3018E0D9">
        <w:tc>
          <w:tcPr>
            <w:tcW w:w="6837" w:type="dxa"/>
            <w:tcBorders>
              <w:top w:val="single" w:color="000000" w:sz="4" w:space="0"/>
              <w:left w:val="nil"/>
              <w:bottom w:val="nil"/>
              <w:right w:val="nil"/>
            </w:tcBorders>
          </w:tcPr>
          <w:p w14:paraId="494BD86F">
            <w:pPr>
              <w:pStyle w:val="12"/>
              <w:keepNext w:val="0"/>
              <w:keepLines w:val="0"/>
              <w:widowControl/>
              <w:numPr>
                <w:ilvl w:val="0"/>
                <w:numId w:val="4"/>
              </w:numPr>
              <w:suppressLineNumbers w:val="0"/>
              <w:rPr>
                <w:rFonts w:hint="default" w:asciiTheme="minorHAnsi" w:hAnsiTheme="minorHAnsi" w:eastAsiaTheme="minorEastAsia" w:cstheme="minorBidi"/>
                <w:kern w:val="2"/>
                <w:sz w:val="18"/>
                <w:szCs w:val="18"/>
                <w:lang w:val="en-US" w:eastAsia="zh-CN" w:bidi="ar-SA"/>
              </w:rPr>
            </w:pPr>
            <w:r>
              <w:rPr>
                <w:rFonts w:hint="eastAsia" w:asciiTheme="minorHAnsi" w:hAnsiTheme="minorHAnsi" w:eastAsiaTheme="minorEastAsia" w:cstheme="minorBidi"/>
                <w:kern w:val="2"/>
                <w:sz w:val="18"/>
                <w:szCs w:val="18"/>
                <w:lang w:val="en-US" w:eastAsia="zh-CN" w:bidi="ar-SA"/>
              </w:rPr>
              <w:t>I understand that AI-generated content may be inaccurate or misleading.</w:t>
            </w:r>
          </w:p>
        </w:tc>
        <w:tc>
          <w:tcPr>
            <w:tcW w:w="900" w:type="dxa"/>
            <w:tcBorders>
              <w:top w:val="single" w:color="000000" w:sz="4" w:space="0"/>
              <w:left w:val="nil"/>
              <w:bottom w:val="nil"/>
              <w:right w:val="nil"/>
            </w:tcBorders>
            <w:vAlign w:val="top"/>
          </w:tcPr>
          <w:p w14:paraId="3E15245A">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4.52</w:t>
            </w:r>
          </w:p>
        </w:tc>
        <w:tc>
          <w:tcPr>
            <w:tcW w:w="785" w:type="dxa"/>
            <w:tcBorders>
              <w:top w:val="single" w:color="000000" w:sz="4" w:space="0"/>
              <w:left w:val="nil"/>
              <w:bottom w:val="nil"/>
              <w:right w:val="nil"/>
            </w:tcBorders>
            <w:vAlign w:val="top"/>
          </w:tcPr>
          <w:p w14:paraId="1755484A">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w:t>
            </w:r>
            <w:r>
              <w:rPr>
                <w:rFonts w:hint="default" w:asciiTheme="minorHAnsi" w:hAnsiTheme="minorHAnsi" w:eastAsiaTheme="minorEastAsia"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512</w:t>
            </w:r>
          </w:p>
        </w:tc>
      </w:tr>
      <w:tr w14:paraId="7AAEB2B0">
        <w:tc>
          <w:tcPr>
            <w:tcW w:w="6837" w:type="dxa"/>
            <w:tcBorders>
              <w:top w:val="nil"/>
              <w:left w:val="nil"/>
              <w:bottom w:val="nil"/>
              <w:right w:val="nil"/>
            </w:tcBorders>
          </w:tcPr>
          <w:p w14:paraId="20442404">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lang w:val="en-US" w:eastAsia="zh-CN" w:bidi="ar-SA"/>
              </w:rPr>
            </w:pPr>
            <w:r>
              <w:rPr>
                <w:rFonts w:hint="default" w:asciiTheme="minorHAnsi" w:hAnsiTheme="minorHAnsi" w:eastAsiaTheme="minorEastAsia" w:cstheme="minorBidi"/>
                <w:kern w:val="2"/>
                <w:sz w:val="18"/>
                <w:szCs w:val="18"/>
                <w:lang w:val="en-US" w:eastAsia="zh-CN" w:bidi="ar-SA"/>
              </w:rPr>
              <w:t>I usually check whether the content produced by GAI tools fits my academic writing needs.</w:t>
            </w:r>
          </w:p>
        </w:tc>
        <w:tc>
          <w:tcPr>
            <w:tcW w:w="900" w:type="dxa"/>
            <w:tcBorders>
              <w:top w:val="nil"/>
              <w:left w:val="nil"/>
              <w:bottom w:val="nil"/>
              <w:right w:val="nil"/>
            </w:tcBorders>
            <w:vAlign w:val="top"/>
          </w:tcPr>
          <w:p w14:paraId="46806E52">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w:t>
            </w:r>
            <w:r>
              <w:rPr>
                <w:rFonts w:hint="default" w:asciiTheme="minorHAnsi" w:hAnsiTheme="minorHAnsi" w:cstheme="minorBidi"/>
                <w:color w:val="auto"/>
                <w:kern w:val="2"/>
                <w:sz w:val="18"/>
                <w:szCs w:val="18"/>
                <w:lang w:val="en-US" w:eastAsia="zh-CN" w:bidi="ar-SA"/>
              </w:rPr>
              <w:t>.38</w:t>
            </w:r>
          </w:p>
        </w:tc>
        <w:tc>
          <w:tcPr>
            <w:tcW w:w="785" w:type="dxa"/>
            <w:tcBorders>
              <w:top w:val="nil"/>
              <w:left w:val="nil"/>
              <w:bottom w:val="nil"/>
              <w:right w:val="nil"/>
            </w:tcBorders>
            <w:vAlign w:val="top"/>
          </w:tcPr>
          <w:p w14:paraId="2E88A77E">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w:t>
            </w:r>
            <w:r>
              <w:rPr>
                <w:rFonts w:hint="default" w:asciiTheme="minorHAnsi" w:hAnsiTheme="minorHAnsi" w:eastAsiaTheme="minorEastAsia" w:cstheme="minorBidi"/>
                <w:color w:val="auto"/>
                <w:kern w:val="2"/>
                <w:sz w:val="18"/>
                <w:szCs w:val="18"/>
                <w:lang w:val="en-US" w:eastAsia="zh-CN" w:bidi="ar-SA"/>
              </w:rPr>
              <w:t>.498</w:t>
            </w:r>
          </w:p>
        </w:tc>
      </w:tr>
      <w:tr w14:paraId="2097C571">
        <w:tc>
          <w:tcPr>
            <w:tcW w:w="6837" w:type="dxa"/>
            <w:tcBorders>
              <w:top w:val="nil"/>
              <w:left w:val="nil"/>
              <w:bottom w:val="single" w:color="auto" w:sz="4" w:space="0"/>
              <w:right w:val="nil"/>
            </w:tcBorders>
            <w:vAlign w:val="top"/>
          </w:tcPr>
          <w:p w14:paraId="6608B1CC">
            <w:pPr>
              <w:pStyle w:val="16"/>
              <w:keepNext w:val="0"/>
              <w:keepLines w:val="0"/>
              <w:widowControl/>
              <w:numPr>
                <w:ilvl w:val="0"/>
                <w:numId w:val="4"/>
              </w:numPr>
              <w:suppressLineNumbers w:val="0"/>
              <w:ind w:left="0" w:leftChars="0" w:right="0" w:rightChars="0" w:firstLine="0" w:firstLine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I am aware that careless use of GAI tools may lead to academic misconduct</w:t>
            </w:r>
            <w:r>
              <w:rPr>
                <w:rFonts w:hint="default" w:asciiTheme="minorHAnsi" w:hAnsiTheme="minorHAnsi" w:cstheme="minorBidi"/>
                <w:color w:val="auto"/>
                <w:kern w:val="2"/>
                <w:sz w:val="18"/>
                <w:szCs w:val="18"/>
                <w:lang w:val="en-US" w:eastAsia="zh-CN" w:bidi="ar-SA"/>
              </w:rPr>
              <w:t xml:space="preserve"> </w:t>
            </w:r>
            <w:r>
              <w:rPr>
                <w:rFonts w:hint="default" w:asciiTheme="minorHAnsi" w:hAnsiTheme="minorHAnsi" w:eastAsiaTheme="minorEastAsia" w:cstheme="minorBidi"/>
                <w:color w:val="auto"/>
                <w:kern w:val="2"/>
                <w:sz w:val="18"/>
                <w:szCs w:val="18"/>
                <w:lang w:val="en-US" w:eastAsia="zh-CN" w:bidi="ar-SA"/>
              </w:rPr>
              <w:t>(e.g.,plagiarism).</w:t>
            </w:r>
          </w:p>
        </w:tc>
        <w:tc>
          <w:tcPr>
            <w:tcW w:w="900" w:type="dxa"/>
            <w:tcBorders>
              <w:top w:val="nil"/>
              <w:left w:val="nil"/>
              <w:bottom w:val="single" w:color="auto" w:sz="4" w:space="0"/>
              <w:right w:val="nil"/>
            </w:tcBorders>
            <w:vAlign w:val="top"/>
          </w:tcPr>
          <w:p w14:paraId="21755C9E">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4.24</w:t>
            </w:r>
          </w:p>
        </w:tc>
        <w:tc>
          <w:tcPr>
            <w:tcW w:w="785" w:type="dxa"/>
            <w:tcBorders>
              <w:top w:val="nil"/>
              <w:left w:val="nil"/>
              <w:bottom w:val="single" w:color="auto" w:sz="4" w:space="0"/>
              <w:right w:val="nil"/>
            </w:tcBorders>
            <w:vAlign w:val="top"/>
          </w:tcPr>
          <w:p w14:paraId="7D0C4D86">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0.889</w:t>
            </w:r>
          </w:p>
        </w:tc>
      </w:tr>
    </w:tbl>
    <w:p w14:paraId="603D16FF">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color w:val="0000FF"/>
          <w:sz w:val="21"/>
          <w:szCs w:val="21"/>
          <w:highlight w:val="green"/>
          <w:lang w:val="en-US" w:eastAsia="zh-CN"/>
        </w:rPr>
      </w:pPr>
      <w:r>
        <w:rPr>
          <w:rFonts w:hint="default" w:ascii="Calibri Italic" w:hAnsi="Calibri Italic" w:cs="Calibri Italic"/>
          <w:b w:val="0"/>
          <w:i/>
          <w:iCs/>
          <w:sz w:val="18"/>
          <w:szCs w:val="18"/>
          <w:lang w:val="en-US" w:eastAsia="zh-CN"/>
        </w:rPr>
        <w:t xml:space="preserve">Note: Items were rated on a 5-point Likert scale from 1 (Strongly disagree) to 5 (Strongly agree). </w:t>
      </w:r>
    </w:p>
    <w:p w14:paraId="12B5C91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color w:val="0000FF"/>
          <w:sz w:val="21"/>
          <w:szCs w:val="21"/>
          <w:highlight w:val="green"/>
          <w:lang w:val="en-US" w:eastAsia="zh-CN"/>
        </w:rPr>
      </w:pPr>
    </w:p>
    <w:p w14:paraId="010EFDF9">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4.1.3 GenAI Usage Behaviours</w:t>
      </w:r>
    </w:p>
    <w:p w14:paraId="22607C1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Participants were asked to indicate which GenAI tools they have used to support their writing for the course assignment. As shown in Figure 5, the most frequently used tools were DeepSeek (n=20, 95.2%) and Doubao (n=17, 81.0%). Other tools used included Kimi and Baidu Wenxin, which were used less frequently, while Tongyi Qianwen, ChatGPT, Tencent and Mita AI were each selected by only one participant. Notably, 20 out of 21 participants (95.2%) reported using two or more tools, indicating that most students adopted a blended approach to GenAI use rather than relying on a single platform. </w:t>
      </w:r>
    </w:p>
    <w:p w14:paraId="686A091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3AD221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Participants were then asked to indicate how frequently they used such tools during the writing task, and they generally reported regular engagement. As shown in Figure 6, the most common response was ‘Often’ (n=9), followed by ‘Occasionally’ (n=7) and ‘Almost every time’ (n=5). No participants selected the lower frequency options ‘Rarely’, ‘Only tried once’ or ‘Never’. The average usage frequency was 4.19 (SD=0.768) on a 6-point scale, suggesting that all  respondents made substantial use of GenAI tools throughout the writing process. </w:t>
      </w:r>
    </w:p>
    <w:p w14:paraId="2687811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C6F2CC3">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drawing>
          <wp:inline distT="0" distB="0" distL="114300" distR="114300">
            <wp:extent cx="5272405" cy="4000500"/>
            <wp:effectExtent l="0" t="0" r="10795" b="1270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9"/>
                    <a:stretch>
                      <a:fillRect/>
                    </a:stretch>
                  </pic:blipFill>
                  <pic:spPr>
                    <a:xfrm>
                      <a:off x="0" y="0"/>
                      <a:ext cx="5272405" cy="4000500"/>
                    </a:xfrm>
                    <a:prstGeom prst="rect">
                      <a:avLst/>
                    </a:prstGeom>
                    <a:noFill/>
                    <a:ln>
                      <a:noFill/>
                    </a:ln>
                  </pic:spPr>
                </pic:pic>
              </a:graphicData>
            </a:graphic>
          </wp:inline>
        </w:drawing>
      </w:r>
    </w:p>
    <w:p w14:paraId="41B6BF3D">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rPr>
          <w:rFonts w:hint="eastAsia" w:ascii="Calibri" w:hAnsi="Calibri" w:cs="Calibri"/>
          <w:b w:val="0"/>
          <w:i w:val="0"/>
          <w:iCs w:val="0"/>
          <w:sz w:val="21"/>
          <w:szCs w:val="21"/>
          <w:lang w:val="en-US" w:eastAsia="zh-CN"/>
        </w:rPr>
        <w:t>Figure</w:t>
      </w:r>
      <w:r>
        <w:rPr>
          <w:rFonts w:hint="default" w:ascii="Calibri" w:hAnsi="Calibri" w:cs="Calibri"/>
          <w:b w:val="0"/>
          <w:i w:val="0"/>
          <w:iCs w:val="0"/>
          <w:sz w:val="21"/>
          <w:szCs w:val="21"/>
          <w:lang w:val="en-US" w:eastAsia="zh-CN"/>
        </w:rPr>
        <w:t xml:space="preserve"> 5. Reported Use of GenAI Tools (N=21)</w:t>
      </w:r>
    </w:p>
    <w:p w14:paraId="25FFB18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 xml:space="preserve">Note: Participants could select multiple tools. Percentage are based on the number of participants. </w:t>
      </w:r>
    </w:p>
    <w:p w14:paraId="74075B67">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p>
    <w:p w14:paraId="677B8B9E">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drawing>
          <wp:inline distT="0" distB="0" distL="114300" distR="114300">
            <wp:extent cx="5273675" cy="2299335"/>
            <wp:effectExtent l="0" t="0" r="9525" b="12065"/>
            <wp:docPr id="1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10"/>
                    <a:stretch>
                      <a:fillRect/>
                    </a:stretch>
                  </pic:blipFill>
                  <pic:spPr>
                    <a:xfrm>
                      <a:off x="0" y="0"/>
                      <a:ext cx="5273675" cy="2299335"/>
                    </a:xfrm>
                    <a:prstGeom prst="rect">
                      <a:avLst/>
                    </a:prstGeom>
                    <a:noFill/>
                    <a:ln>
                      <a:noFill/>
                    </a:ln>
                  </pic:spPr>
                </pic:pic>
              </a:graphicData>
            </a:graphic>
          </wp:inline>
        </w:drawing>
      </w:r>
      <w:r>
        <w:rPr>
          <w:rFonts w:hint="default" w:ascii="Calibri" w:hAnsi="Calibri" w:cs="Calibri"/>
          <w:b w:val="0"/>
          <w:i w:val="0"/>
          <w:iCs w:val="0"/>
          <w:sz w:val="21"/>
          <w:szCs w:val="21"/>
          <w:lang w:val="en-US" w:eastAsia="zh-CN"/>
        </w:rPr>
        <w:t>Figure 6. Self-Reported Frequency of GenAI Tool Use During the Writing Task (N=21)</w:t>
      </w:r>
    </w:p>
    <w:p w14:paraId="5BC96146">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p>
    <w:p w14:paraId="4A7DE6F7">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As for the stages of GenAI use, participants reported applying these tools at multiple points in the writing process. To assist with clarity, the questionnaire provided examples for each stage:</w:t>
      </w:r>
    </w:p>
    <w:p w14:paraId="6356B3F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-Before writing (e.g., brainstorming, searching for information, outlining)</w:t>
      </w:r>
    </w:p>
    <w:p w14:paraId="4B66763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-During drafting (e.g., using GenAI tools to support language expression or organise ideas)</w:t>
      </w:r>
    </w:p>
    <w:p w14:paraId="3E3D1DD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-During revision (e.g., polishing, rephrasing, adjusting structure)</w:t>
      </w:r>
    </w:p>
    <w:p w14:paraId="32BCB32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-After writing (e.g., checking grammar, improving wording, evaluating the full text)</w:t>
      </w:r>
    </w:p>
    <w:p w14:paraId="5B2329A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1B085A0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Figure 7 illustrates the distribution of GenAI tool usage across stages. All participants (100%) reported using GenAI tools during the pre-writing stage, making it the most commonly phase. This was followed by drafting (81%) and revision (57.1%), while fewer students (38.1%) reported using GenAI after completing the writing task. On average, participants used GenAI tools at 2.76 stages out of four, indicating a relatively broad application across the writing process. All but one participant used GenAI tools at two or more stages, further highlighting their regular and multi-phase use. To identify the stage where students relied most on GenAI tools, participants were asked to select a single option. Over half of the participants (57.1%, n=12) chose pre-writing, followed by revision (28.6%, n=6) and drafting (14.3%, n=3). No participant identified ‘after writing’ as their primary stage of use (See Figure 8). This pattern was consistent with the multi-select responses, where pre-writing was also the most frequently selected stage. </w:t>
      </w:r>
    </w:p>
    <w:p w14:paraId="4AAFB909">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505FACE9">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drawing>
          <wp:inline distT="0" distB="0" distL="114300" distR="114300">
            <wp:extent cx="4962525" cy="2828925"/>
            <wp:effectExtent l="0" t="0" r="15875" b="15875"/>
            <wp:docPr id="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pic:cNvPicPr>
                      <a:picLocks noChangeAspect="1"/>
                    </pic:cNvPicPr>
                  </pic:nvPicPr>
                  <pic:blipFill>
                    <a:blip r:embed="rId11"/>
                    <a:stretch>
                      <a:fillRect/>
                    </a:stretch>
                  </pic:blipFill>
                  <pic:spPr>
                    <a:xfrm>
                      <a:off x="0" y="0"/>
                      <a:ext cx="4962525" cy="2828925"/>
                    </a:xfrm>
                    <a:prstGeom prst="rect">
                      <a:avLst/>
                    </a:prstGeom>
                    <a:noFill/>
                    <a:ln>
                      <a:noFill/>
                    </a:ln>
                  </pic:spPr>
                </pic:pic>
              </a:graphicData>
            </a:graphic>
          </wp:inline>
        </w:drawing>
      </w:r>
    </w:p>
    <w:p w14:paraId="2E570131">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Figure 7. Self-Reported Stages of GenAI Tool Use During the Writing Task (N=21)</w:t>
      </w:r>
    </w:p>
    <w:p w14:paraId="18812FF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 xml:space="preserve">Note: Participants could select multiple stages. Percentage are based on the number of participants. </w:t>
      </w:r>
    </w:p>
    <w:p w14:paraId="42EE8840">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p>
    <w:p w14:paraId="3298A379">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drawing>
          <wp:inline distT="0" distB="0" distL="114300" distR="114300">
            <wp:extent cx="4762500" cy="2076450"/>
            <wp:effectExtent l="0" t="0" r="12700" b="6350"/>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2"/>
                    <a:stretch>
                      <a:fillRect/>
                    </a:stretch>
                  </pic:blipFill>
                  <pic:spPr>
                    <a:xfrm>
                      <a:off x="0" y="0"/>
                      <a:ext cx="4762500" cy="2076450"/>
                    </a:xfrm>
                    <a:prstGeom prst="rect">
                      <a:avLst/>
                    </a:prstGeom>
                    <a:noFill/>
                    <a:ln>
                      <a:noFill/>
                    </a:ln>
                  </pic:spPr>
                </pic:pic>
              </a:graphicData>
            </a:graphic>
          </wp:inline>
        </w:drawing>
      </w:r>
    </w:p>
    <w:p w14:paraId="4CFEEE48">
      <w:pPr>
        <w:keepNext w:val="0"/>
        <w:keepLines w:val="0"/>
        <w:pageBreakBefore w:val="0"/>
        <w:widowControl w:val="0"/>
        <w:kinsoku/>
        <w:wordWrap/>
        <w:overflowPunct/>
        <w:topLinePunct w:val="0"/>
        <w:autoSpaceDE/>
        <w:autoSpaceDN/>
        <w:bidi w:val="0"/>
        <w:adjustRightInd/>
        <w:snapToGrid/>
        <w:spacing w:line="360" w:lineRule="auto"/>
        <w:jc w:val="center"/>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Figure 8. Main Stage of GenAI Tool Use During the Writing Task (N=21)</w:t>
      </w:r>
    </w:p>
    <w:p w14:paraId="1E40F2C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r>
        <w:rPr>
          <w:rFonts w:hint="default" w:ascii="Calibri Italic" w:hAnsi="Calibri Italic" w:cs="Calibri Italic"/>
          <w:b w:val="0"/>
          <w:i/>
          <w:iCs/>
          <w:sz w:val="18"/>
          <w:szCs w:val="18"/>
          <w:lang w:val="en-US" w:eastAsia="zh-CN"/>
        </w:rPr>
        <w:t xml:space="preserve">Note: Participants selected one stage only. </w:t>
      </w:r>
    </w:p>
    <w:p w14:paraId="0FBA8D9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Italic" w:hAnsi="Calibri Italic" w:cs="Calibri Italic"/>
          <w:b w:val="0"/>
          <w:i/>
          <w:iCs/>
          <w:sz w:val="18"/>
          <w:szCs w:val="18"/>
          <w:lang w:val="en-US" w:eastAsia="zh-CN"/>
        </w:rPr>
      </w:pPr>
    </w:p>
    <w:p w14:paraId="0EC9AC63">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4.1.4 Self-Regulated Strategies in GenAI-assisted Writing</w:t>
      </w:r>
    </w:p>
    <w:p w14:paraId="19E6EE4A">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lang w:val="en-US" w:eastAsia="zh-CN"/>
        </w:rPr>
      </w:pPr>
      <w:r>
        <w:rPr>
          <w:rFonts w:hint="default"/>
          <w:lang w:val="en-US" w:eastAsia="zh-CN"/>
        </w:rPr>
        <w:t xml:space="preserve">Students’ self-regulated learning behaviour related to the use of GenAI tools were assessed using a 12-item Likert scale from 1 (Never) to 5 (Always). The internal consistency of the scale was acceptable (Cronbach’s α= 0.737), indicating reliable measurement of self-regulated learning behaviours. </w:t>
      </w:r>
    </w:p>
    <w:p w14:paraId="770E34E3">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lang w:val="en-US" w:eastAsia="zh-CN"/>
        </w:rPr>
      </w:pPr>
    </w:p>
    <w:p w14:paraId="7053B67C">
      <w:pPr>
        <w:keepNext w:val="0"/>
        <w:keepLines w:val="0"/>
        <w:pageBreakBefore w:val="0"/>
        <w:widowControl w:val="0"/>
        <w:kinsoku/>
        <w:wordWrap/>
        <w:overflowPunct/>
        <w:topLinePunct w:val="0"/>
        <w:autoSpaceDE/>
        <w:autoSpaceDN/>
        <w:bidi w:val="0"/>
        <w:adjustRightInd/>
        <w:snapToGrid/>
        <w:spacing w:line="360" w:lineRule="auto"/>
        <w:textAlignment w:val="auto"/>
        <w:outlineLvl w:val="3"/>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4.1.4.1 Descriptive Statistics of SRL behaviours</w:t>
      </w:r>
    </w:p>
    <w:p w14:paraId="65170B11">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lang w:val="en-US" w:eastAsia="zh-CN"/>
        </w:rPr>
      </w:pPr>
      <w:r>
        <w:rPr>
          <w:rFonts w:hint="default"/>
          <w:lang w:val="en-US" w:eastAsia="zh-CN"/>
        </w:rPr>
        <w:t>Descriptive statistics for individual SRL item</w:t>
      </w:r>
      <w:r>
        <w:rPr>
          <w:rFonts w:hint="eastAsia"/>
          <w:lang w:val="en-US" w:eastAsia="zh-CN"/>
        </w:rPr>
        <w:t>s</w:t>
      </w:r>
      <w:r>
        <w:rPr>
          <w:rFonts w:hint="default"/>
          <w:lang w:val="en-US" w:eastAsia="zh-CN"/>
        </w:rPr>
        <w:t xml:space="preserve"> are shown in Table 2</w:t>
      </w:r>
      <w:r>
        <w:rPr>
          <w:rFonts w:hint="eastAsia"/>
          <w:lang w:val="en-US" w:eastAsia="zh-CN"/>
        </w:rPr>
        <w:t xml:space="preserve"> an</w:t>
      </w:r>
      <w:r>
        <w:rPr>
          <w:rFonts w:hint="default"/>
          <w:lang w:val="en-US" w:eastAsia="zh-CN"/>
        </w:rPr>
        <w:t xml:space="preserve">d their mean ratings are visually presented in Figure 9. Mean score range from 3.24 to 4.52, with standard deviations ranging from 0.436 to 1.044. The descriptive data indicate varied frequency of strategy use among students across different writing stages. </w:t>
      </w:r>
      <w:r>
        <w:rPr>
          <w:rFonts w:hint="eastAsia"/>
          <w:lang w:val="en-US" w:eastAsia="zh-CN"/>
        </w:rPr>
        <w:t>T</w:t>
      </w:r>
      <w:r>
        <w:rPr>
          <w:rFonts w:hint="default"/>
          <w:lang w:val="en-US" w:eastAsia="zh-CN"/>
        </w:rPr>
        <w:t xml:space="preserve">o provide an overall picture of students’ self-regulated learning behaviours, the average score across the 12 items was computed for each participant (See Table 3). The mean SRL score was 3.82 (SD=0.36, N=21), indicating a moderately high frequency of SRL strategy use in the context of GenAI-assisted academic writing. </w:t>
      </w:r>
    </w:p>
    <w:p w14:paraId="1BC74DCA">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lang w:val="en-US" w:eastAsia="zh-CN"/>
        </w:rPr>
      </w:pPr>
    </w:p>
    <w:p w14:paraId="51B5E547">
      <w:pPr>
        <w:pStyle w:val="1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pacing w:before="0" w:beforeAutospacing="0" w:after="0" w:afterAutospacing="0"/>
        <w:ind w:left="0" w:leftChars="0" w:right="0" w:rightChars="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Table 2. Descriptive Statistics for Self-Regulated Learning Items (N=21)</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35"/>
        <w:gridCol w:w="800"/>
        <w:gridCol w:w="687"/>
      </w:tblGrid>
      <w:tr w14:paraId="438F1182">
        <w:tc>
          <w:tcPr>
            <w:tcW w:w="7049" w:type="dxa"/>
            <w:tcBorders>
              <w:top w:val="single" w:color="000000" w:sz="4" w:space="0"/>
              <w:left w:val="nil"/>
              <w:bottom w:val="single" w:color="000000" w:sz="4" w:space="0"/>
              <w:right w:val="nil"/>
            </w:tcBorders>
          </w:tcPr>
          <w:p w14:paraId="60EDA8FC">
            <w:pPr>
              <w:pStyle w:val="12"/>
              <w:keepNext w:val="0"/>
              <w:keepLines w:val="0"/>
              <w:widowControl/>
              <w:suppressLineNumbers w:val="0"/>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Item</w:t>
            </w:r>
          </w:p>
        </w:tc>
        <w:tc>
          <w:tcPr>
            <w:tcW w:w="800" w:type="dxa"/>
            <w:tcBorders>
              <w:top w:val="single" w:color="000000" w:sz="4" w:space="0"/>
              <w:left w:val="nil"/>
              <w:bottom w:val="single" w:color="000000" w:sz="4" w:space="0"/>
              <w:right w:val="nil"/>
            </w:tcBorders>
          </w:tcPr>
          <w:p w14:paraId="0B66091F">
            <w:pPr>
              <w:pStyle w:val="12"/>
              <w:keepNext w:val="0"/>
              <w:keepLines w:val="0"/>
              <w:widowControl/>
              <w:suppressLineNumbers w:val="0"/>
              <w:jc w:val="center"/>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Mean</w:t>
            </w:r>
          </w:p>
        </w:tc>
        <w:tc>
          <w:tcPr>
            <w:tcW w:w="673" w:type="dxa"/>
            <w:tcBorders>
              <w:top w:val="single" w:color="000000" w:sz="4" w:space="0"/>
              <w:left w:val="nil"/>
              <w:bottom w:val="single" w:color="000000" w:sz="4" w:space="0"/>
              <w:right w:val="nil"/>
            </w:tcBorders>
          </w:tcPr>
          <w:p w14:paraId="178DDE2D">
            <w:pPr>
              <w:pStyle w:val="12"/>
              <w:keepNext w:val="0"/>
              <w:keepLines w:val="0"/>
              <w:widowControl/>
              <w:suppressLineNumbers w:val="0"/>
              <w:jc w:val="center"/>
              <w:rPr>
                <w:rFonts w:hint="default" w:asciiTheme="minorHAnsi" w:hAnsiTheme="minorHAnsi" w:eastAsiaTheme="minorEastAsia" w:cstheme="minorBidi"/>
                <w:kern w:val="2"/>
                <w:sz w:val="21"/>
                <w:szCs w:val="24"/>
                <w:vertAlign w:val="baseline"/>
                <w:lang w:val="en-US" w:eastAsia="zh-CN" w:bidi="ar-SA"/>
              </w:rPr>
            </w:pPr>
            <w:r>
              <w:rPr>
                <w:rFonts w:hint="default" w:asciiTheme="minorHAnsi" w:hAnsiTheme="minorHAnsi" w:eastAsiaTheme="minorEastAsia" w:cstheme="minorBidi"/>
                <w:kern w:val="2"/>
                <w:sz w:val="21"/>
                <w:szCs w:val="24"/>
                <w:vertAlign w:val="baseline"/>
                <w:lang w:val="en-US" w:eastAsia="zh-CN" w:bidi="ar-SA"/>
              </w:rPr>
              <w:t>SD</w:t>
            </w:r>
          </w:p>
        </w:tc>
      </w:tr>
      <w:tr w14:paraId="106E3871">
        <w:tc>
          <w:tcPr>
            <w:tcW w:w="7049" w:type="dxa"/>
            <w:tcBorders>
              <w:top w:val="single" w:color="000000" w:sz="4" w:space="0"/>
              <w:left w:val="nil"/>
              <w:bottom w:val="nil"/>
              <w:right w:val="nil"/>
            </w:tcBorders>
          </w:tcPr>
          <w:p w14:paraId="3A8ACB9B">
            <w:pPr>
              <w:pStyle w:val="12"/>
              <w:keepNext w:val="0"/>
              <w:keepLines w:val="0"/>
              <w:widowControl/>
              <w:numPr>
                <w:ilvl w:val="0"/>
                <w:numId w:val="5"/>
              </w:numPr>
              <w:suppressLineNumbers w:val="0"/>
              <w:ind w:right="0" w:rightChars="0"/>
              <w:rPr>
                <w:rFonts w:hint="default" w:asciiTheme="minorHAnsi" w:hAnsiTheme="minorHAnsi" w:eastAsiaTheme="minorEastAsia" w:cstheme="minorBidi"/>
                <w:kern w:val="2"/>
                <w:sz w:val="18"/>
                <w:szCs w:val="18"/>
                <w:lang w:val="en-US" w:eastAsia="zh-CN" w:bidi="ar-SA"/>
              </w:rPr>
            </w:pPr>
            <w:r>
              <w:rPr>
                <w:rFonts w:hint="default" w:asciiTheme="minorHAnsi" w:hAnsiTheme="minorHAnsi" w:eastAsiaTheme="minorEastAsia" w:cstheme="minorBidi"/>
                <w:kern w:val="2"/>
                <w:sz w:val="18"/>
                <w:szCs w:val="18"/>
                <w:lang w:val="en-US" w:eastAsia="zh-CN" w:bidi="ar-SA"/>
              </w:rPr>
              <w:t>I thought about what I wanted to achieve and how GAI could help.</w:t>
            </w:r>
          </w:p>
        </w:tc>
        <w:tc>
          <w:tcPr>
            <w:tcW w:w="800" w:type="dxa"/>
            <w:tcBorders>
              <w:top w:val="single" w:color="000000" w:sz="4" w:space="0"/>
              <w:left w:val="nil"/>
              <w:bottom w:val="nil"/>
              <w:right w:val="nil"/>
            </w:tcBorders>
            <w:vAlign w:val="top"/>
          </w:tcPr>
          <w:p w14:paraId="2538226B">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3.67</w:t>
            </w:r>
          </w:p>
        </w:tc>
        <w:tc>
          <w:tcPr>
            <w:tcW w:w="673" w:type="dxa"/>
            <w:tcBorders>
              <w:top w:val="single" w:color="000000" w:sz="4" w:space="0"/>
              <w:left w:val="nil"/>
              <w:bottom w:val="nil"/>
              <w:right w:val="nil"/>
            </w:tcBorders>
            <w:vAlign w:val="top"/>
          </w:tcPr>
          <w:p w14:paraId="156C37C0">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.577</w:t>
            </w:r>
          </w:p>
        </w:tc>
      </w:tr>
      <w:tr w14:paraId="51A4526F">
        <w:tc>
          <w:tcPr>
            <w:tcW w:w="7049" w:type="dxa"/>
            <w:tcBorders>
              <w:top w:val="nil"/>
              <w:left w:val="nil"/>
              <w:bottom w:val="nil"/>
              <w:right w:val="nil"/>
            </w:tcBorders>
          </w:tcPr>
          <w:p w14:paraId="6AB369C3">
            <w:pPr>
              <w:pStyle w:val="12"/>
              <w:keepNext w:val="0"/>
              <w:keepLines w:val="0"/>
              <w:widowControl/>
              <w:numPr>
                <w:ilvl w:val="0"/>
                <w:numId w:val="5"/>
              </w:numPr>
              <w:suppressLineNumbers w:val="0"/>
              <w:ind w:left="0" w:leftChars="0" w:right="0" w:rightChars="0" w:firstLine="0" w:firstLineChars="0"/>
              <w:rPr>
                <w:rFonts w:hint="default" w:asciiTheme="minorHAnsi" w:hAnsiTheme="minorHAnsi" w:eastAsiaTheme="minorEastAsia" w:cstheme="minorBidi"/>
                <w:kern w:val="2"/>
                <w:sz w:val="18"/>
                <w:szCs w:val="18"/>
                <w:lang w:val="en-US" w:eastAsia="zh-CN" w:bidi="ar-SA"/>
              </w:rPr>
            </w:pPr>
            <w:r>
              <w:rPr>
                <w:rFonts w:hint="default" w:asciiTheme="minorHAnsi" w:hAnsiTheme="minorHAnsi" w:eastAsiaTheme="minorEastAsia" w:cstheme="minorBidi"/>
                <w:kern w:val="2"/>
                <w:sz w:val="18"/>
                <w:szCs w:val="18"/>
                <w:lang w:val="en-US" w:eastAsia="zh-CN" w:bidi="ar-SA"/>
              </w:rPr>
              <w:t>I chose a GAI tool I was comfortable using to help me complete the writing task.</w:t>
            </w:r>
          </w:p>
        </w:tc>
        <w:tc>
          <w:tcPr>
            <w:tcW w:w="800" w:type="dxa"/>
            <w:tcBorders>
              <w:top w:val="nil"/>
              <w:left w:val="nil"/>
              <w:bottom w:val="nil"/>
              <w:right w:val="nil"/>
            </w:tcBorders>
            <w:vAlign w:val="top"/>
          </w:tcPr>
          <w:p w14:paraId="78A367B7">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4.05</w:t>
            </w:r>
          </w:p>
        </w:tc>
        <w:tc>
          <w:tcPr>
            <w:tcW w:w="673" w:type="dxa"/>
            <w:tcBorders>
              <w:top w:val="nil"/>
              <w:left w:val="nil"/>
              <w:bottom w:val="nil"/>
              <w:right w:val="nil"/>
            </w:tcBorders>
            <w:vAlign w:val="top"/>
          </w:tcPr>
          <w:p w14:paraId="02252597">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.498</w:t>
            </w:r>
          </w:p>
        </w:tc>
      </w:tr>
      <w:tr w14:paraId="481ACFC7">
        <w:tc>
          <w:tcPr>
            <w:tcW w:w="7049" w:type="dxa"/>
            <w:tcBorders>
              <w:top w:val="nil"/>
              <w:left w:val="nil"/>
              <w:bottom w:val="nil"/>
              <w:right w:val="nil"/>
            </w:tcBorders>
            <w:vAlign w:val="top"/>
          </w:tcPr>
          <w:p w14:paraId="2F994952">
            <w:pPr>
              <w:pStyle w:val="16"/>
              <w:keepNext w:val="0"/>
              <w:keepLines w:val="0"/>
              <w:widowControl/>
              <w:numPr>
                <w:ilvl w:val="0"/>
                <w:numId w:val="5"/>
              </w:numPr>
              <w:suppressLineNumbers w:val="0"/>
              <w:ind w:left="0" w:leftChars="0" w:right="0" w:rightChars="0" w:firstLine="0" w:firstLine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I analysed the different parts of the assignment and used different GAI tools accordingly.</w:t>
            </w:r>
          </w:p>
        </w:tc>
        <w:tc>
          <w:tcPr>
            <w:tcW w:w="800" w:type="dxa"/>
            <w:tcBorders>
              <w:top w:val="nil"/>
              <w:left w:val="nil"/>
              <w:bottom w:val="nil"/>
              <w:right w:val="nil"/>
            </w:tcBorders>
            <w:vAlign w:val="top"/>
          </w:tcPr>
          <w:p w14:paraId="4CD1F1AF">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3.38</w:t>
            </w:r>
          </w:p>
        </w:tc>
        <w:tc>
          <w:tcPr>
            <w:tcW w:w="673" w:type="dxa"/>
            <w:tcBorders>
              <w:top w:val="nil"/>
              <w:left w:val="nil"/>
              <w:bottom w:val="nil"/>
              <w:right w:val="nil"/>
            </w:tcBorders>
            <w:vAlign w:val="top"/>
          </w:tcPr>
          <w:p w14:paraId="31E46FB1">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.921</w:t>
            </w:r>
          </w:p>
        </w:tc>
      </w:tr>
      <w:tr w14:paraId="032E9FEC">
        <w:tc>
          <w:tcPr>
            <w:tcW w:w="7049" w:type="dxa"/>
            <w:tcBorders>
              <w:top w:val="nil"/>
              <w:left w:val="nil"/>
              <w:bottom w:val="nil"/>
              <w:right w:val="nil"/>
            </w:tcBorders>
            <w:vAlign w:val="top"/>
          </w:tcPr>
          <w:p w14:paraId="6E9EDD1F">
            <w:pPr>
              <w:pStyle w:val="16"/>
              <w:keepNext w:val="0"/>
              <w:keepLines w:val="0"/>
              <w:widowControl/>
              <w:numPr>
                <w:ilvl w:val="0"/>
                <w:numId w:val="4"/>
              </w:numPr>
              <w:suppressLineNumbers w:val="0"/>
              <w:ind w:left="0" w:leftChars="0" w:right="0" w:rightChars="0" w:firstLine="0" w:firstLine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I checked whether the content generated by the GAI tool matched my expectations.</w:t>
            </w:r>
          </w:p>
        </w:tc>
        <w:tc>
          <w:tcPr>
            <w:tcW w:w="800" w:type="dxa"/>
            <w:tcBorders>
              <w:top w:val="nil"/>
              <w:left w:val="nil"/>
              <w:bottom w:val="nil"/>
              <w:right w:val="nil"/>
            </w:tcBorders>
            <w:vAlign w:val="top"/>
          </w:tcPr>
          <w:p w14:paraId="411B87B4">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4.52</w:t>
            </w:r>
          </w:p>
        </w:tc>
        <w:tc>
          <w:tcPr>
            <w:tcW w:w="673" w:type="dxa"/>
            <w:tcBorders>
              <w:top w:val="nil"/>
              <w:left w:val="nil"/>
              <w:bottom w:val="nil"/>
              <w:right w:val="nil"/>
            </w:tcBorders>
            <w:vAlign w:val="top"/>
          </w:tcPr>
          <w:p w14:paraId="4A6D18BB">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.512</w:t>
            </w:r>
          </w:p>
        </w:tc>
      </w:tr>
      <w:tr w14:paraId="55D5A5DF">
        <w:tc>
          <w:tcPr>
            <w:tcW w:w="7049" w:type="dxa"/>
            <w:tcBorders>
              <w:top w:val="nil"/>
              <w:left w:val="nil"/>
              <w:bottom w:val="nil"/>
              <w:right w:val="nil"/>
            </w:tcBorders>
          </w:tcPr>
          <w:p w14:paraId="1AE00A60">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If the GAI output was not helpful, I modified my prompt or changed the tool.</w:t>
            </w:r>
          </w:p>
        </w:tc>
        <w:tc>
          <w:tcPr>
            <w:tcW w:w="800" w:type="dxa"/>
            <w:tcBorders>
              <w:top w:val="nil"/>
              <w:left w:val="nil"/>
              <w:bottom w:val="nil"/>
              <w:right w:val="nil"/>
            </w:tcBorders>
            <w:vAlign w:val="top"/>
          </w:tcPr>
          <w:p w14:paraId="783B6C60">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4.29</w:t>
            </w:r>
          </w:p>
        </w:tc>
        <w:tc>
          <w:tcPr>
            <w:tcW w:w="673" w:type="dxa"/>
            <w:tcBorders>
              <w:top w:val="nil"/>
              <w:left w:val="nil"/>
              <w:bottom w:val="nil"/>
              <w:right w:val="nil"/>
            </w:tcBorders>
            <w:vAlign w:val="top"/>
          </w:tcPr>
          <w:p w14:paraId="2BF98FBE">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.561</w:t>
            </w:r>
          </w:p>
        </w:tc>
      </w:tr>
      <w:tr w14:paraId="06CD6E52">
        <w:tc>
          <w:tcPr>
            <w:tcW w:w="7049" w:type="dxa"/>
            <w:tcBorders>
              <w:top w:val="nil"/>
              <w:left w:val="nil"/>
              <w:bottom w:val="nil"/>
              <w:right w:val="nil"/>
            </w:tcBorders>
          </w:tcPr>
          <w:p w14:paraId="734B5511">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I made real-time changes to my writing while reviewing GAI suggestions.</w:t>
            </w:r>
          </w:p>
        </w:tc>
        <w:tc>
          <w:tcPr>
            <w:tcW w:w="800" w:type="dxa"/>
            <w:tcBorders>
              <w:top w:val="nil"/>
              <w:left w:val="nil"/>
              <w:bottom w:val="nil"/>
              <w:right w:val="nil"/>
            </w:tcBorders>
            <w:vAlign w:val="top"/>
          </w:tcPr>
          <w:p w14:paraId="7A34B3C2">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4.10</w:t>
            </w:r>
          </w:p>
        </w:tc>
        <w:tc>
          <w:tcPr>
            <w:tcW w:w="673" w:type="dxa"/>
            <w:tcBorders>
              <w:top w:val="nil"/>
              <w:left w:val="nil"/>
              <w:bottom w:val="nil"/>
              <w:right w:val="nil"/>
            </w:tcBorders>
            <w:vAlign w:val="top"/>
          </w:tcPr>
          <w:p w14:paraId="2A01BB79">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.436</w:t>
            </w:r>
          </w:p>
        </w:tc>
      </w:tr>
      <w:tr w14:paraId="6949C076">
        <w:tc>
          <w:tcPr>
            <w:tcW w:w="7049" w:type="dxa"/>
            <w:tcBorders>
              <w:top w:val="nil"/>
              <w:left w:val="nil"/>
              <w:bottom w:val="nil"/>
              <w:right w:val="nil"/>
            </w:tcBorders>
          </w:tcPr>
          <w:p w14:paraId="6AB8FCB5">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After completing the draft, I used a GAI tool to evaluate or improve the full text.</w:t>
            </w:r>
          </w:p>
        </w:tc>
        <w:tc>
          <w:tcPr>
            <w:tcW w:w="800" w:type="dxa"/>
            <w:tcBorders>
              <w:top w:val="nil"/>
              <w:left w:val="nil"/>
              <w:bottom w:val="nil"/>
              <w:right w:val="nil"/>
            </w:tcBorders>
            <w:vAlign w:val="top"/>
          </w:tcPr>
          <w:p w14:paraId="1C818D68">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3.24</w:t>
            </w:r>
          </w:p>
        </w:tc>
        <w:tc>
          <w:tcPr>
            <w:tcW w:w="673" w:type="dxa"/>
            <w:tcBorders>
              <w:top w:val="nil"/>
              <w:left w:val="nil"/>
              <w:bottom w:val="nil"/>
              <w:right w:val="nil"/>
            </w:tcBorders>
            <w:vAlign w:val="top"/>
          </w:tcPr>
          <w:p w14:paraId="56F6F17F">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1.044</w:t>
            </w:r>
          </w:p>
        </w:tc>
      </w:tr>
      <w:tr w14:paraId="4496E6C9">
        <w:tc>
          <w:tcPr>
            <w:tcW w:w="7049" w:type="dxa"/>
            <w:tcBorders>
              <w:top w:val="nil"/>
              <w:left w:val="nil"/>
              <w:bottom w:val="nil"/>
              <w:right w:val="nil"/>
            </w:tcBorders>
          </w:tcPr>
          <w:p w14:paraId="458EDC13">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I reflected on whether GAI tools helped me achieve my writing goals.</w:t>
            </w:r>
          </w:p>
        </w:tc>
        <w:tc>
          <w:tcPr>
            <w:tcW w:w="800" w:type="dxa"/>
            <w:tcBorders>
              <w:top w:val="nil"/>
              <w:left w:val="nil"/>
              <w:bottom w:val="nil"/>
              <w:right w:val="nil"/>
            </w:tcBorders>
            <w:vAlign w:val="top"/>
          </w:tcPr>
          <w:p w14:paraId="4B121AFA">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3.71</w:t>
            </w:r>
          </w:p>
        </w:tc>
        <w:tc>
          <w:tcPr>
            <w:tcW w:w="673" w:type="dxa"/>
            <w:tcBorders>
              <w:top w:val="nil"/>
              <w:left w:val="nil"/>
              <w:bottom w:val="nil"/>
              <w:right w:val="nil"/>
            </w:tcBorders>
            <w:vAlign w:val="top"/>
          </w:tcPr>
          <w:p w14:paraId="1F631137">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.902</w:t>
            </w:r>
          </w:p>
        </w:tc>
      </w:tr>
      <w:tr w14:paraId="76AB28B9">
        <w:tc>
          <w:tcPr>
            <w:tcW w:w="7049" w:type="dxa"/>
            <w:tcBorders>
              <w:top w:val="nil"/>
              <w:left w:val="nil"/>
              <w:bottom w:val="nil"/>
              <w:right w:val="nil"/>
            </w:tcBorders>
          </w:tcPr>
          <w:p w14:paraId="7B3F732A">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I reminded myself when to use GAI tools and when to rely on my own thinking during writing.</w:t>
            </w:r>
          </w:p>
        </w:tc>
        <w:tc>
          <w:tcPr>
            <w:tcW w:w="800" w:type="dxa"/>
            <w:tcBorders>
              <w:top w:val="nil"/>
              <w:left w:val="nil"/>
              <w:bottom w:val="nil"/>
              <w:right w:val="nil"/>
            </w:tcBorders>
            <w:vAlign w:val="top"/>
          </w:tcPr>
          <w:p w14:paraId="5B5F9E1D">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3.95</w:t>
            </w:r>
          </w:p>
        </w:tc>
        <w:tc>
          <w:tcPr>
            <w:tcW w:w="673" w:type="dxa"/>
            <w:tcBorders>
              <w:top w:val="nil"/>
              <w:left w:val="nil"/>
              <w:bottom w:val="nil"/>
              <w:right w:val="nil"/>
            </w:tcBorders>
            <w:vAlign w:val="top"/>
          </w:tcPr>
          <w:p w14:paraId="3283D51B">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.740</w:t>
            </w:r>
          </w:p>
        </w:tc>
      </w:tr>
      <w:tr w14:paraId="3E3339E3">
        <w:tc>
          <w:tcPr>
            <w:tcW w:w="7049" w:type="dxa"/>
            <w:tcBorders>
              <w:top w:val="nil"/>
              <w:left w:val="nil"/>
              <w:bottom w:val="nil"/>
              <w:right w:val="nil"/>
            </w:tcBorders>
          </w:tcPr>
          <w:p w14:paraId="7C3E4164">
            <w:pPr>
              <w:pStyle w:val="12"/>
              <w:keepNext w:val="0"/>
              <w:keepLines w:val="0"/>
              <w:widowControl/>
              <w:numPr>
                <w:ilvl w:val="0"/>
                <w:numId w:val="4"/>
              </w:numPr>
              <w:suppressLineNumbers w:val="0"/>
              <w:ind w:left="0" w:leftChars="0" w:firstLine="0" w:firstLineChars="0"/>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I used GAI tools to help myself learn writing-related knowledge (e.g., writing structure, citation format, data interpretation).</w:t>
            </w:r>
          </w:p>
        </w:tc>
        <w:tc>
          <w:tcPr>
            <w:tcW w:w="800" w:type="dxa"/>
            <w:tcBorders>
              <w:top w:val="nil"/>
              <w:left w:val="nil"/>
              <w:bottom w:val="nil"/>
              <w:right w:val="nil"/>
            </w:tcBorders>
            <w:vAlign w:val="top"/>
          </w:tcPr>
          <w:p w14:paraId="6C81DB30">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3.71</w:t>
            </w:r>
          </w:p>
        </w:tc>
        <w:tc>
          <w:tcPr>
            <w:tcW w:w="673" w:type="dxa"/>
            <w:tcBorders>
              <w:top w:val="nil"/>
              <w:left w:val="nil"/>
              <w:bottom w:val="nil"/>
              <w:right w:val="nil"/>
            </w:tcBorders>
            <w:vAlign w:val="top"/>
          </w:tcPr>
          <w:p w14:paraId="449785BF">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.845</w:t>
            </w:r>
          </w:p>
        </w:tc>
      </w:tr>
      <w:tr w14:paraId="1FCDB4FE">
        <w:tc>
          <w:tcPr>
            <w:tcW w:w="7049" w:type="dxa"/>
            <w:tcBorders>
              <w:top w:val="nil"/>
              <w:left w:val="nil"/>
              <w:bottom w:val="nil"/>
              <w:right w:val="nil"/>
            </w:tcBorders>
          </w:tcPr>
          <w:p w14:paraId="56B16684">
            <w:pPr>
              <w:pStyle w:val="12"/>
              <w:keepNext w:val="0"/>
              <w:keepLines w:val="0"/>
              <w:widowControl/>
              <w:numPr>
                <w:ilvl w:val="0"/>
                <w:numId w:val="4"/>
              </w:numPr>
              <w:suppressLineNumbers w:val="0"/>
              <w:ind w:left="0" w:leftChars="0" w:firstLine="0" w:firstLineChars="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 xml:space="preserve">After using GAI to help complete the writing task, I felt satisfied with the result and confident in what I had written. </w:t>
            </w:r>
          </w:p>
        </w:tc>
        <w:tc>
          <w:tcPr>
            <w:tcW w:w="800" w:type="dxa"/>
            <w:tcBorders>
              <w:top w:val="nil"/>
              <w:left w:val="nil"/>
              <w:bottom w:val="nil"/>
              <w:right w:val="nil"/>
            </w:tcBorders>
            <w:vAlign w:val="top"/>
          </w:tcPr>
          <w:p w14:paraId="7816ED81">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3.33</w:t>
            </w:r>
          </w:p>
        </w:tc>
        <w:tc>
          <w:tcPr>
            <w:tcW w:w="673" w:type="dxa"/>
            <w:tcBorders>
              <w:top w:val="nil"/>
              <w:left w:val="nil"/>
              <w:bottom w:val="nil"/>
              <w:right w:val="nil"/>
            </w:tcBorders>
            <w:vAlign w:val="top"/>
          </w:tcPr>
          <w:p w14:paraId="05D72BAD">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.483</w:t>
            </w:r>
          </w:p>
        </w:tc>
      </w:tr>
      <w:tr w14:paraId="22E7EE76">
        <w:tc>
          <w:tcPr>
            <w:tcW w:w="7049" w:type="dxa"/>
            <w:tcBorders>
              <w:top w:val="nil"/>
              <w:left w:val="nil"/>
              <w:bottom w:val="single" w:color="000000" w:sz="4" w:space="0"/>
              <w:right w:val="nil"/>
            </w:tcBorders>
          </w:tcPr>
          <w:p w14:paraId="0380BDA9">
            <w:pPr>
              <w:pStyle w:val="12"/>
              <w:keepNext w:val="0"/>
              <w:keepLines w:val="0"/>
              <w:widowControl/>
              <w:numPr>
                <w:ilvl w:val="0"/>
                <w:numId w:val="4"/>
              </w:numPr>
              <w:suppressLineNumbers w:val="0"/>
              <w:ind w:left="0" w:leftChars="0" w:firstLine="0" w:firstLineChars="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color w:val="auto"/>
                <w:kern w:val="2"/>
                <w:sz w:val="18"/>
                <w:szCs w:val="18"/>
                <w:lang w:val="en-US" w:eastAsia="zh-CN" w:bidi="ar-SA"/>
              </w:rPr>
              <w:t>After using GAI, I was concerned that relying on it too much might affect my own writing performance.</w:t>
            </w:r>
          </w:p>
        </w:tc>
        <w:tc>
          <w:tcPr>
            <w:tcW w:w="800" w:type="dxa"/>
            <w:tcBorders>
              <w:top w:val="nil"/>
              <w:left w:val="nil"/>
              <w:bottom w:val="single" w:color="000000" w:sz="4" w:space="0"/>
              <w:right w:val="nil"/>
            </w:tcBorders>
            <w:vAlign w:val="top"/>
          </w:tcPr>
          <w:p w14:paraId="2B0E1A84">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3.86</w:t>
            </w:r>
          </w:p>
        </w:tc>
        <w:tc>
          <w:tcPr>
            <w:tcW w:w="673" w:type="dxa"/>
            <w:tcBorders>
              <w:top w:val="nil"/>
              <w:left w:val="nil"/>
              <w:bottom w:val="single" w:color="000000" w:sz="4" w:space="0"/>
              <w:right w:val="nil"/>
            </w:tcBorders>
            <w:vAlign w:val="top"/>
          </w:tcPr>
          <w:p w14:paraId="4CA957E5">
            <w:pPr>
              <w:pStyle w:val="15"/>
              <w:keepNext w:val="0"/>
              <w:keepLines w:val="0"/>
              <w:widowControl/>
              <w:suppressLineNumbers w:val="0"/>
              <w:ind w:left="60" w:leftChars="0" w:right="0" w:rightChars="0"/>
              <w:jc w:val="center"/>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.655</w:t>
            </w:r>
          </w:p>
        </w:tc>
      </w:tr>
    </w:tbl>
    <w:p w14:paraId="22BB79A3">
      <w:pPr>
        <w:pStyle w:val="10"/>
        <w:keepNext w:val="0"/>
        <w:keepLines w:val="0"/>
        <w:widowControl/>
        <w:suppressLineNumbers w:val="0"/>
        <w:jc w:val="left"/>
        <w:rPr>
          <w:rFonts w:hint="default" w:ascii="Calibri Italic" w:hAnsi="Calibri Italic" w:cs="Calibri Italic" w:eastAsiaTheme="minorEastAsia"/>
          <w:b w:val="0"/>
          <w:i/>
          <w:iCs/>
          <w:kern w:val="2"/>
          <w:sz w:val="18"/>
          <w:szCs w:val="18"/>
          <w:lang w:val="en-US" w:eastAsia="zh-CN" w:bidi="ar-SA"/>
        </w:rPr>
      </w:pPr>
      <w:r>
        <w:rPr>
          <w:rFonts w:hint="default" w:ascii="Calibri Italic" w:hAnsi="Calibri Italic" w:cs="Calibri Italic" w:eastAsiaTheme="minorEastAsia"/>
          <w:b w:val="0"/>
          <w:i/>
          <w:iCs/>
          <w:kern w:val="2"/>
          <w:sz w:val="18"/>
          <w:szCs w:val="18"/>
          <w:lang w:val="en-US" w:eastAsia="zh-CN" w:bidi="ar-SA"/>
        </w:rPr>
        <w:t>Note</w:t>
      </w:r>
      <w:r>
        <w:rPr>
          <w:rFonts w:hint="eastAsia" w:ascii="Calibri Italic" w:hAnsi="Calibri Italic" w:cs="Calibri Italic"/>
          <w:b w:val="0"/>
          <w:i/>
          <w:iCs/>
          <w:kern w:val="2"/>
          <w:sz w:val="18"/>
          <w:szCs w:val="18"/>
          <w:lang w:val="en-US" w:eastAsia="zh-CN" w:bidi="ar-SA"/>
        </w:rPr>
        <w:t xml:space="preserve">: </w:t>
      </w:r>
      <w:r>
        <w:rPr>
          <w:rFonts w:hint="default" w:ascii="Calibri Italic" w:hAnsi="Calibri Italic" w:cs="Calibri Italic" w:eastAsiaTheme="minorEastAsia"/>
          <w:b w:val="0"/>
          <w:i/>
          <w:iCs/>
          <w:kern w:val="2"/>
          <w:sz w:val="18"/>
          <w:szCs w:val="18"/>
          <w:lang w:val="en-US" w:eastAsia="zh-CN" w:bidi="ar-SA"/>
        </w:rPr>
        <w:t>Each item was rated on a 5-point Likert scale from 1 (Never) to 5 (Always).</w:t>
      </w:r>
    </w:p>
    <w:p w14:paraId="23E557E1">
      <w:pPr>
        <w:pStyle w:val="10"/>
        <w:keepNext w:val="0"/>
        <w:keepLines w:val="0"/>
        <w:widowControl/>
        <w:suppressLineNumbers w:val="0"/>
        <w:jc w:val="left"/>
        <w:rPr>
          <w:rFonts w:hint="default" w:ascii="Calibri Italic" w:hAnsi="Calibri Italic" w:cs="Calibri Italic" w:eastAsiaTheme="minorEastAsia"/>
          <w:b w:val="0"/>
          <w:i/>
          <w:iCs/>
          <w:kern w:val="2"/>
          <w:sz w:val="18"/>
          <w:szCs w:val="18"/>
          <w:lang w:val="en-US" w:eastAsia="zh-CN" w:bidi="ar-SA"/>
        </w:rPr>
      </w:pPr>
    </w:p>
    <w:p w14:paraId="5F16C0F2">
      <w:pPr>
        <w:pStyle w:val="1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pacing w:before="0" w:beforeAutospacing="0" w:after="0" w:afterAutospacing="0"/>
        <w:ind w:left="0" w:leftChars="0" w:right="0" w:rightChars="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Table 3. Overall SRL Score: Descriptive Statistics (N=21)</w:t>
      </w:r>
    </w:p>
    <w:tbl>
      <w:tblPr>
        <w:tblStyle w:val="6"/>
        <w:tblpPr w:leftFromText="180" w:rightFromText="180" w:vertAnchor="text" w:horzAnchor="page" w:tblpX="1790" w:tblpY="344"/>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0"/>
        <w:gridCol w:w="1421"/>
        <w:gridCol w:w="1421"/>
      </w:tblGrid>
      <w:tr w14:paraId="7A098978">
        <w:tc>
          <w:tcPr>
            <w:tcW w:w="1420" w:type="dxa"/>
            <w:tcBorders>
              <w:left w:val="nil"/>
              <w:bottom w:val="nil"/>
              <w:right w:val="nil"/>
            </w:tcBorders>
          </w:tcPr>
          <w:p w14:paraId="3A54E090">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p>
        </w:tc>
        <w:tc>
          <w:tcPr>
            <w:tcW w:w="1420" w:type="dxa"/>
            <w:tcBorders>
              <w:left w:val="nil"/>
              <w:bottom w:val="nil"/>
              <w:right w:val="nil"/>
            </w:tcBorders>
          </w:tcPr>
          <w:p w14:paraId="1E7AFE96">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N</w:t>
            </w:r>
          </w:p>
        </w:tc>
        <w:tc>
          <w:tcPr>
            <w:tcW w:w="1420" w:type="dxa"/>
            <w:tcBorders>
              <w:left w:val="nil"/>
              <w:bottom w:val="nil"/>
              <w:right w:val="nil"/>
            </w:tcBorders>
          </w:tcPr>
          <w:p w14:paraId="0C9D275E">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Minimum</w:t>
            </w:r>
          </w:p>
        </w:tc>
        <w:tc>
          <w:tcPr>
            <w:tcW w:w="1420" w:type="dxa"/>
            <w:tcBorders>
              <w:left w:val="nil"/>
              <w:bottom w:val="nil"/>
              <w:right w:val="nil"/>
            </w:tcBorders>
          </w:tcPr>
          <w:p w14:paraId="3CE791A9">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Max</w:t>
            </w:r>
            <w:r>
              <w:rPr>
                <w:rFonts w:hint="default" w:asciiTheme="minorHAnsi" w:hAnsiTheme="minorHAnsi" w:cstheme="minorBidi"/>
                <w:kern w:val="2"/>
                <w:sz w:val="18"/>
                <w:szCs w:val="18"/>
                <w:vertAlign w:val="baseline"/>
                <w:lang w:val="en-US" w:eastAsia="zh-CN" w:bidi="ar-SA"/>
              </w:rPr>
              <w:t>i</w:t>
            </w:r>
            <w:r>
              <w:rPr>
                <w:rFonts w:hint="default" w:asciiTheme="minorHAnsi" w:hAnsiTheme="minorHAnsi" w:eastAsiaTheme="minorEastAsia" w:cstheme="minorBidi"/>
                <w:kern w:val="2"/>
                <w:sz w:val="18"/>
                <w:szCs w:val="18"/>
                <w:vertAlign w:val="baseline"/>
                <w:lang w:val="en-US" w:eastAsia="zh-CN" w:bidi="ar-SA"/>
              </w:rPr>
              <w:t>mum</w:t>
            </w:r>
          </w:p>
        </w:tc>
        <w:tc>
          <w:tcPr>
            <w:tcW w:w="1421" w:type="dxa"/>
            <w:tcBorders>
              <w:left w:val="nil"/>
              <w:bottom w:val="nil"/>
              <w:right w:val="nil"/>
            </w:tcBorders>
          </w:tcPr>
          <w:p w14:paraId="5120EC2E">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Mean</w:t>
            </w:r>
          </w:p>
        </w:tc>
        <w:tc>
          <w:tcPr>
            <w:tcW w:w="1421" w:type="dxa"/>
            <w:tcBorders>
              <w:left w:val="nil"/>
              <w:bottom w:val="nil"/>
              <w:right w:val="nil"/>
            </w:tcBorders>
          </w:tcPr>
          <w:p w14:paraId="37A40A98">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Std. Deviation</w:t>
            </w:r>
          </w:p>
        </w:tc>
      </w:tr>
      <w:tr w14:paraId="582D1BF8">
        <w:tc>
          <w:tcPr>
            <w:tcW w:w="1420" w:type="dxa"/>
            <w:tcBorders>
              <w:top w:val="nil"/>
              <w:left w:val="nil"/>
              <w:right w:val="nil"/>
            </w:tcBorders>
          </w:tcPr>
          <w:p w14:paraId="67BB49BA">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SRL_Mean</w:t>
            </w:r>
          </w:p>
        </w:tc>
        <w:tc>
          <w:tcPr>
            <w:tcW w:w="1420" w:type="dxa"/>
            <w:tcBorders>
              <w:top w:val="nil"/>
              <w:left w:val="nil"/>
              <w:right w:val="nil"/>
            </w:tcBorders>
          </w:tcPr>
          <w:p w14:paraId="41C6D65E">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21</w:t>
            </w:r>
          </w:p>
        </w:tc>
        <w:tc>
          <w:tcPr>
            <w:tcW w:w="1420" w:type="dxa"/>
            <w:tcBorders>
              <w:top w:val="nil"/>
              <w:left w:val="nil"/>
              <w:right w:val="nil"/>
            </w:tcBorders>
          </w:tcPr>
          <w:p w14:paraId="74A8D5A7">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3.42</w:t>
            </w:r>
          </w:p>
        </w:tc>
        <w:tc>
          <w:tcPr>
            <w:tcW w:w="1420" w:type="dxa"/>
            <w:tcBorders>
              <w:top w:val="nil"/>
              <w:left w:val="nil"/>
              <w:right w:val="nil"/>
            </w:tcBorders>
          </w:tcPr>
          <w:p w14:paraId="1CF04610">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4.83</w:t>
            </w:r>
          </w:p>
        </w:tc>
        <w:tc>
          <w:tcPr>
            <w:tcW w:w="1421" w:type="dxa"/>
            <w:tcBorders>
              <w:top w:val="nil"/>
              <w:left w:val="nil"/>
              <w:right w:val="nil"/>
            </w:tcBorders>
          </w:tcPr>
          <w:p w14:paraId="3282ECA3">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3.8175</w:t>
            </w:r>
          </w:p>
        </w:tc>
        <w:tc>
          <w:tcPr>
            <w:tcW w:w="1421" w:type="dxa"/>
            <w:tcBorders>
              <w:top w:val="nil"/>
              <w:left w:val="nil"/>
              <w:right w:val="nil"/>
            </w:tcBorders>
          </w:tcPr>
          <w:p w14:paraId="4272B777">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0.35903</w:t>
            </w:r>
          </w:p>
        </w:tc>
      </w:tr>
    </w:tbl>
    <w:p w14:paraId="002A4A75">
      <w:pPr>
        <w:pStyle w:val="10"/>
        <w:keepNext w:val="0"/>
        <w:keepLines w:val="0"/>
        <w:widowControl/>
        <w:suppressLineNumbers w:val="0"/>
        <w:jc w:val="left"/>
        <w:rPr>
          <w:rFonts w:hint="default" w:ascii="Calibri Italic" w:hAnsi="Calibri Italic" w:cs="Calibri Italic" w:eastAsiaTheme="minorEastAsia"/>
          <w:b w:val="0"/>
          <w:i/>
          <w:iCs/>
          <w:kern w:val="2"/>
          <w:sz w:val="18"/>
          <w:szCs w:val="18"/>
          <w:lang w:val="en-US" w:eastAsia="zh-CN" w:bidi="ar-SA"/>
        </w:rPr>
      </w:pPr>
    </w:p>
    <w:p w14:paraId="213FC54B">
      <w:pPr>
        <w:pStyle w:val="10"/>
        <w:keepNext w:val="0"/>
        <w:keepLines w:val="0"/>
        <w:widowControl/>
        <w:suppressLineNumbers w:val="0"/>
        <w:jc w:val="left"/>
        <w:rPr>
          <w:rFonts w:hint="default" w:ascii="Calibri Italic" w:hAnsi="Calibri Italic" w:cs="Calibri Italic" w:eastAsiaTheme="minorEastAsia"/>
          <w:b w:val="0"/>
          <w:i/>
          <w:iCs/>
          <w:kern w:val="2"/>
          <w:sz w:val="18"/>
          <w:szCs w:val="18"/>
          <w:lang w:val="en-US" w:eastAsia="zh-CN" w:bidi="ar-SA"/>
        </w:rPr>
      </w:pPr>
      <w:r>
        <w:drawing>
          <wp:inline distT="0" distB="0" distL="114300" distR="114300">
            <wp:extent cx="4600575" cy="2266950"/>
            <wp:effectExtent l="0" t="0" r="22225" b="19050"/>
            <wp:docPr id="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1"/>
                    <pic:cNvPicPr>
                      <a:picLocks noChangeAspect="1"/>
                    </pic:cNvPicPr>
                  </pic:nvPicPr>
                  <pic:blipFill>
                    <a:blip r:embed="rId13"/>
                    <a:stretch>
                      <a:fillRect/>
                    </a:stretch>
                  </pic:blipFill>
                  <pic:spPr>
                    <a:xfrm>
                      <a:off x="0" y="0"/>
                      <a:ext cx="4600575" cy="2266950"/>
                    </a:xfrm>
                    <a:prstGeom prst="rect">
                      <a:avLst/>
                    </a:prstGeom>
                    <a:noFill/>
                    <a:ln>
                      <a:noFill/>
                    </a:ln>
                  </pic:spPr>
                </pic:pic>
              </a:graphicData>
            </a:graphic>
          </wp:inline>
        </w:drawing>
      </w:r>
    </w:p>
    <w:p w14:paraId="11EE2C4B">
      <w:pPr>
        <w:keepNext w:val="0"/>
        <w:keepLines w:val="0"/>
        <w:pageBreakBefore w:val="0"/>
        <w:widowControl w:val="0"/>
        <w:kinsoku/>
        <w:wordWrap/>
        <w:overflowPunct/>
        <w:topLinePunct w:val="0"/>
        <w:autoSpaceDE/>
        <w:autoSpaceDN/>
        <w:bidi w:val="0"/>
        <w:adjustRightInd/>
        <w:snapToGrid/>
        <w:spacing w:line="360" w:lineRule="auto"/>
        <w:jc w:val="left"/>
        <w:textAlignment w:val="auto"/>
        <w:outlineLvl w:val="9"/>
        <w:rPr>
          <w:rFonts w:hint="default"/>
          <w:lang w:val="en-US" w:eastAsia="zh-CN"/>
        </w:rPr>
      </w:pPr>
      <w:r>
        <w:rPr>
          <w:rFonts w:hint="default" w:ascii="Calibri Italic" w:hAnsi="Calibri Italic" w:cs="Calibri Italic"/>
          <w:b w:val="0"/>
          <w:i/>
          <w:iCs/>
          <w:sz w:val="18"/>
          <w:szCs w:val="18"/>
          <w:lang w:val="en-US" w:eastAsia="zh-CN"/>
        </w:rPr>
        <w:t xml:space="preserve">       </w:t>
      </w:r>
      <w:r>
        <w:rPr>
          <w:rFonts w:hint="eastAsia"/>
          <w:lang w:val="en-US" w:eastAsia="zh-CN"/>
        </w:rPr>
        <w:t xml:space="preserve">Figure </w:t>
      </w:r>
      <w:r>
        <w:rPr>
          <w:rFonts w:hint="default"/>
          <w:lang w:val="en-US" w:eastAsia="zh-CN"/>
        </w:rPr>
        <w:t>9</w:t>
      </w:r>
      <w:r>
        <w:rPr>
          <w:rFonts w:hint="eastAsia"/>
          <w:lang w:val="en-US" w:eastAsia="zh-CN"/>
        </w:rPr>
        <w:t xml:space="preserve">. </w:t>
      </w:r>
      <w:r>
        <w:rPr>
          <w:rFonts w:hint="default"/>
          <w:lang w:val="en-US" w:eastAsia="zh-CN"/>
        </w:rPr>
        <w:t>Mean Ratings of SRL Strategies in AI-assisted Academic Writing</w:t>
      </w:r>
    </w:p>
    <w:p w14:paraId="51072EAE">
      <w:pPr>
        <w:pStyle w:val="10"/>
        <w:keepNext w:val="0"/>
        <w:keepLines w:val="0"/>
        <w:widowControl/>
        <w:suppressLineNumbers w:val="0"/>
        <w:jc w:val="left"/>
        <w:rPr>
          <w:rFonts w:hint="eastAsia" w:ascii="Calibri Italic" w:hAnsi="Calibri Italic" w:cs="Calibri Italic"/>
          <w:b w:val="0"/>
          <w:i/>
          <w:iCs/>
          <w:kern w:val="2"/>
          <w:sz w:val="18"/>
          <w:szCs w:val="18"/>
          <w:lang w:val="en-US" w:eastAsia="zh-CN" w:bidi="ar-SA"/>
        </w:rPr>
      </w:pPr>
      <w:r>
        <w:rPr>
          <w:rFonts w:hint="default" w:ascii="Calibri Italic" w:hAnsi="Calibri Italic" w:cs="Calibri Italic" w:eastAsiaTheme="minorEastAsia"/>
          <w:b w:val="0"/>
          <w:i/>
          <w:iCs/>
          <w:kern w:val="2"/>
          <w:sz w:val="18"/>
          <w:szCs w:val="18"/>
          <w:lang w:val="en-US" w:eastAsia="zh-CN" w:bidi="ar-SA"/>
        </w:rPr>
        <w:t>Note</w:t>
      </w:r>
      <w:r>
        <w:rPr>
          <w:rFonts w:hint="default" w:ascii="Calibri Italic" w:hAnsi="Calibri Italic" w:cs="Calibri Italic"/>
          <w:b w:val="0"/>
          <w:i/>
          <w:iCs/>
          <w:kern w:val="2"/>
          <w:sz w:val="18"/>
          <w:szCs w:val="18"/>
          <w:lang w:val="en-US" w:eastAsia="zh-CN" w:bidi="ar-SA"/>
        </w:rPr>
        <w:t>:</w:t>
      </w:r>
      <w:r>
        <w:rPr>
          <w:rFonts w:hint="default" w:ascii="Calibri Italic" w:hAnsi="Calibri Italic" w:cs="Calibri Italic" w:eastAsiaTheme="minorEastAsia"/>
          <w:b w:val="0"/>
          <w:i/>
          <w:iCs/>
          <w:kern w:val="2"/>
          <w:sz w:val="18"/>
          <w:szCs w:val="18"/>
          <w:lang w:val="en-US" w:eastAsia="zh-CN" w:bidi="ar-SA"/>
        </w:rPr>
        <w:t xml:space="preserve"> </w:t>
      </w:r>
      <w:r>
        <w:rPr>
          <w:rFonts w:hint="eastAsia" w:ascii="Calibri Italic" w:hAnsi="Calibri Italic" w:cs="Calibri Italic"/>
          <w:b w:val="0"/>
          <w:i/>
          <w:iCs/>
          <w:kern w:val="2"/>
          <w:sz w:val="18"/>
          <w:szCs w:val="18"/>
          <w:lang w:val="en-US" w:eastAsia="zh-CN" w:bidi="ar-SA"/>
        </w:rPr>
        <w:t xml:space="preserve">Items were rated on a 5-point Likert scale from 1 (Never) to 5 (Always). </w:t>
      </w:r>
    </w:p>
    <w:p w14:paraId="3CFEEADB">
      <w:pPr>
        <w:pStyle w:val="10"/>
        <w:keepNext w:val="0"/>
        <w:keepLines w:val="0"/>
        <w:widowControl/>
        <w:suppressLineNumbers w:val="0"/>
        <w:jc w:val="left"/>
        <w:rPr>
          <w:rFonts w:hint="default" w:ascii="Calibri Italic" w:hAnsi="Calibri Italic" w:cs="Calibri Italic"/>
          <w:b w:val="0"/>
          <w:i/>
          <w:iCs/>
          <w:kern w:val="2"/>
          <w:sz w:val="18"/>
          <w:szCs w:val="18"/>
          <w:lang w:val="en-US" w:eastAsia="zh-CN" w:bidi="ar-SA"/>
        </w:rPr>
      </w:pPr>
    </w:p>
    <w:p w14:paraId="1E09328C">
      <w:pPr>
        <w:pStyle w:val="1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pacing w:before="0" w:beforeAutospacing="0" w:after="0" w:afterAutospacing="0"/>
        <w:ind w:left="0" w:leftChars="0" w:right="0" w:rightChars="0"/>
        <w:jc w:val="left"/>
        <w:outlineLvl w:val="3"/>
        <w:rPr>
          <w:rFonts w:hint="default" w:ascii="Calibri" w:hAnsi="Calibri" w:cs="Calibri" w:eastAsiaTheme="minorEastAsia"/>
          <w:b w:val="0"/>
          <w:i w:val="0"/>
          <w:iCs w:val="0"/>
          <w:kern w:val="0"/>
          <w:sz w:val="21"/>
          <w:szCs w:val="21"/>
          <w:lang w:val="en-US" w:eastAsia="zh-CN" w:bidi="ar"/>
        </w:rPr>
      </w:pPr>
      <w:r>
        <w:rPr>
          <w:rFonts w:hint="default" w:ascii="Calibri" w:hAnsi="Calibri" w:cs="Calibri" w:eastAsiaTheme="minorEastAsia"/>
          <w:b w:val="0"/>
          <w:i w:val="0"/>
          <w:iCs w:val="0"/>
          <w:kern w:val="0"/>
          <w:sz w:val="21"/>
          <w:szCs w:val="21"/>
          <w:lang w:val="en-US" w:eastAsia="zh-CN" w:bidi="ar"/>
        </w:rPr>
        <w:t>4.1.4.2</w:t>
      </w:r>
      <w:r>
        <w:rPr>
          <w:rFonts w:hint="eastAsia" w:ascii="Calibri" w:hAnsi="Calibri" w:cs="Calibri" w:eastAsiaTheme="minorEastAsia"/>
          <w:b w:val="0"/>
          <w:i w:val="0"/>
          <w:iCs w:val="0"/>
          <w:kern w:val="0"/>
          <w:sz w:val="21"/>
          <w:szCs w:val="21"/>
          <w:lang w:val="en-US" w:eastAsia="zh-CN" w:bidi="ar"/>
        </w:rPr>
        <w:t xml:space="preserve"> </w:t>
      </w:r>
      <w:r>
        <w:rPr>
          <w:rFonts w:hint="default" w:ascii="Calibri" w:hAnsi="Calibri" w:cs="Calibri" w:eastAsiaTheme="minorEastAsia"/>
          <w:b w:val="0"/>
          <w:i w:val="0"/>
          <w:iCs w:val="0"/>
          <w:kern w:val="0"/>
          <w:sz w:val="21"/>
          <w:szCs w:val="21"/>
          <w:lang w:val="en-US" w:eastAsia="zh-CN" w:bidi="ar"/>
        </w:rPr>
        <w:t>SRL Strategy Use Across Three Phases</w:t>
      </w:r>
    </w:p>
    <w:p w14:paraId="4B9B7E7B">
      <w:pPr>
        <w:pStyle w:val="12"/>
        <w:keepNext w:val="0"/>
        <w:keepLines w:val="0"/>
        <w:pageBreakBefore w:val="0"/>
        <w:widowControl/>
        <w:suppressLineNumbers w:val="0"/>
        <w:pBdr>
          <w:top w:val="none" w:color="auto" w:sz="0" w:space="1"/>
          <w:left w:val="none" w:color="auto" w:sz="0" w:space="4"/>
          <w:bottom w:val="none" w:color="auto" w:sz="0" w:space="1"/>
          <w:right w:val="none" w:color="auto" w:sz="0" w:space="4"/>
          <w:between w:val="none" w:color="auto" w:sz="0" w:space="0"/>
        </w:pBdr>
        <w:kinsoku/>
        <w:wordWrap/>
        <w:overflowPunct/>
        <w:topLinePunct w:val="0"/>
        <w:autoSpaceDE/>
        <w:autoSpaceDN/>
        <w:bidi w:val="0"/>
        <w:adjustRightInd/>
        <w:snapToGrid/>
        <w:spacing w:before="0" w:beforeAutospacing="0" w:after="0" w:afterAutospacing="0" w:line="360" w:lineRule="auto"/>
        <w:ind w:left="0" w:leftChars="0" w:right="0" w:rightChars="0"/>
        <w:jc w:val="both"/>
        <w:textAlignment w:val="auto"/>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Composite scores were calculated for each of the three SRL strategies to provide an overview of students’ self-regulation patterns when using GenAI tools. </w:t>
      </w:r>
    </w:p>
    <w:p w14:paraId="4D76401F">
      <w:pPr>
        <w:pStyle w:val="12"/>
        <w:keepNext w:val="0"/>
        <w:keepLines w:val="0"/>
        <w:pageBreakBefore w:val="0"/>
        <w:widowControl/>
        <w:suppressLineNumbers w:val="0"/>
        <w:pBdr>
          <w:top w:val="none" w:color="auto" w:sz="0" w:space="1"/>
          <w:left w:val="none" w:color="auto" w:sz="0" w:space="4"/>
          <w:bottom w:val="none" w:color="auto" w:sz="0" w:space="1"/>
          <w:right w:val="none" w:color="auto" w:sz="0" w:space="4"/>
          <w:between w:val="none" w:color="auto" w:sz="0" w:space="0"/>
        </w:pBdr>
        <w:kinsoku/>
        <w:wordWrap/>
        <w:overflowPunct/>
        <w:topLinePunct w:val="0"/>
        <w:autoSpaceDE/>
        <w:autoSpaceDN/>
        <w:bidi w:val="0"/>
        <w:adjustRightInd/>
        <w:snapToGrid/>
        <w:spacing w:before="0" w:beforeAutospacing="0" w:after="0" w:afterAutospacing="0" w:line="360" w:lineRule="auto"/>
        <w:ind w:left="0" w:leftChars="0" w:right="0" w:rightChars="0"/>
        <w:jc w:val="both"/>
        <w:textAlignment w:val="auto"/>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As shown in Table 4, the Performance phase received the highest mean score, indicating frequent use of strategies such as reviewing outputs in real time, modifying prompts or switching tools. This was followed by the Forethought phase, suggesting a moderate-to-high level of engagement in planning-related behaviours such as analysing tasks and choosing tools. The lowest score was observed in the Reflection phase, implying that students did not frequently engage in reflective evaluation of their use of GenAI tools, such as reviewing tool effectiveness, learning from their experience or considering potential over-reliance. </w:t>
      </w:r>
    </w:p>
    <w:p w14:paraId="2147948F">
      <w:pPr>
        <w:pStyle w:val="1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pacing w:before="0" w:beforeAutospacing="0" w:after="0" w:afterAutospacing="0"/>
        <w:ind w:left="0" w:leftChars="0" w:right="0" w:rightChars="0"/>
        <w:jc w:val="left"/>
        <w:rPr>
          <w:rFonts w:hint="default" w:ascii="Calibri" w:hAnsi="Calibri" w:cs="Calibri"/>
          <w:b w:val="0"/>
          <w:i w:val="0"/>
          <w:iCs w:val="0"/>
          <w:sz w:val="21"/>
          <w:szCs w:val="21"/>
          <w:lang w:val="en-US" w:eastAsia="zh-CN"/>
        </w:rPr>
      </w:pPr>
    </w:p>
    <w:p w14:paraId="7941D029">
      <w:pPr>
        <w:pStyle w:val="1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pacing w:before="0" w:beforeAutospacing="0" w:after="0" w:afterAutospacing="0"/>
        <w:ind w:left="0" w:leftChars="0" w:right="0" w:rightChars="0"/>
        <w:jc w:val="left"/>
        <w:rPr>
          <w:rFonts w:hint="default" w:asciiTheme="minorHAnsi" w:hAnsiTheme="minorHAnsi" w:eastAsiaTheme="minorEastAsia" w:cstheme="minorBidi"/>
          <w:kern w:val="2"/>
          <w:sz w:val="21"/>
          <w:szCs w:val="24"/>
          <w:lang w:val="en-US" w:eastAsia="zh-CN" w:bidi="ar-SA"/>
        </w:rPr>
      </w:pPr>
      <w:r>
        <w:rPr>
          <w:rFonts w:hint="default" w:asciiTheme="minorHAnsi" w:hAnsiTheme="minorHAnsi" w:eastAsiaTheme="minorEastAsia" w:cstheme="minorBidi"/>
          <w:kern w:val="2"/>
          <w:sz w:val="21"/>
          <w:szCs w:val="24"/>
          <w:lang w:val="en-US" w:eastAsia="zh-CN" w:bidi="ar-SA"/>
        </w:rPr>
        <w:t>Table 4. Mean Scores for SRL Dimensions in GenAI-assisted Academic Writing</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20"/>
        <w:gridCol w:w="1420"/>
        <w:gridCol w:w="1420"/>
        <w:gridCol w:w="1421"/>
        <w:gridCol w:w="1421"/>
      </w:tblGrid>
      <w:tr w14:paraId="63B9CE0F">
        <w:tc>
          <w:tcPr>
            <w:tcW w:w="1420" w:type="dxa"/>
            <w:tcBorders>
              <w:left w:val="nil"/>
              <w:bottom w:val="nil"/>
              <w:right w:val="nil"/>
            </w:tcBorders>
          </w:tcPr>
          <w:p w14:paraId="237A506C">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SRL Dimension</w:t>
            </w:r>
          </w:p>
        </w:tc>
        <w:tc>
          <w:tcPr>
            <w:tcW w:w="1420" w:type="dxa"/>
            <w:tcBorders>
              <w:left w:val="nil"/>
              <w:bottom w:val="nil"/>
              <w:right w:val="nil"/>
            </w:tcBorders>
          </w:tcPr>
          <w:p w14:paraId="4BE6D3BD">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Minimum</w:t>
            </w:r>
          </w:p>
        </w:tc>
        <w:tc>
          <w:tcPr>
            <w:tcW w:w="1420" w:type="dxa"/>
            <w:tcBorders>
              <w:left w:val="nil"/>
              <w:bottom w:val="nil"/>
              <w:right w:val="nil"/>
            </w:tcBorders>
          </w:tcPr>
          <w:p w14:paraId="1E711573">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Max</w:t>
            </w:r>
            <w:r>
              <w:rPr>
                <w:rFonts w:hint="default" w:asciiTheme="minorHAnsi" w:hAnsiTheme="minorHAnsi" w:cstheme="minorBidi"/>
                <w:kern w:val="2"/>
                <w:sz w:val="18"/>
                <w:szCs w:val="18"/>
                <w:vertAlign w:val="baseline"/>
                <w:lang w:val="en-US" w:eastAsia="zh-CN" w:bidi="ar-SA"/>
              </w:rPr>
              <w:t>i</w:t>
            </w:r>
            <w:r>
              <w:rPr>
                <w:rFonts w:hint="default" w:asciiTheme="minorHAnsi" w:hAnsiTheme="minorHAnsi" w:eastAsiaTheme="minorEastAsia" w:cstheme="minorBidi"/>
                <w:kern w:val="2"/>
                <w:sz w:val="18"/>
                <w:szCs w:val="18"/>
                <w:vertAlign w:val="baseline"/>
                <w:lang w:val="en-US" w:eastAsia="zh-CN" w:bidi="ar-SA"/>
              </w:rPr>
              <w:t>mum</w:t>
            </w:r>
          </w:p>
        </w:tc>
        <w:tc>
          <w:tcPr>
            <w:tcW w:w="1421" w:type="dxa"/>
            <w:tcBorders>
              <w:left w:val="nil"/>
              <w:bottom w:val="nil"/>
              <w:right w:val="nil"/>
            </w:tcBorders>
          </w:tcPr>
          <w:p w14:paraId="75772BEB">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Mean</w:t>
            </w:r>
          </w:p>
        </w:tc>
        <w:tc>
          <w:tcPr>
            <w:tcW w:w="1421" w:type="dxa"/>
            <w:tcBorders>
              <w:left w:val="nil"/>
              <w:bottom w:val="nil"/>
              <w:right w:val="nil"/>
            </w:tcBorders>
          </w:tcPr>
          <w:p w14:paraId="71D15CAF">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Std. Deviation</w:t>
            </w:r>
          </w:p>
        </w:tc>
      </w:tr>
      <w:tr w14:paraId="759D7E10">
        <w:tc>
          <w:tcPr>
            <w:tcW w:w="1420" w:type="dxa"/>
            <w:tcBorders>
              <w:top w:val="nil"/>
              <w:left w:val="nil"/>
              <w:bottom w:val="nil"/>
              <w:right w:val="nil"/>
            </w:tcBorders>
          </w:tcPr>
          <w:p w14:paraId="0D9CFDA8">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Forethought</w:t>
            </w:r>
          </w:p>
        </w:tc>
        <w:tc>
          <w:tcPr>
            <w:tcW w:w="1420" w:type="dxa"/>
            <w:tcBorders>
              <w:top w:val="nil"/>
              <w:left w:val="nil"/>
              <w:bottom w:val="nil"/>
              <w:right w:val="nil"/>
            </w:tcBorders>
          </w:tcPr>
          <w:p w14:paraId="66371AA6">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3.00</w:t>
            </w:r>
          </w:p>
        </w:tc>
        <w:tc>
          <w:tcPr>
            <w:tcW w:w="1420" w:type="dxa"/>
            <w:tcBorders>
              <w:top w:val="nil"/>
              <w:left w:val="nil"/>
              <w:bottom w:val="nil"/>
              <w:right w:val="nil"/>
            </w:tcBorders>
          </w:tcPr>
          <w:p w14:paraId="7EAFA90A">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5.00</w:t>
            </w:r>
          </w:p>
        </w:tc>
        <w:tc>
          <w:tcPr>
            <w:tcW w:w="1421" w:type="dxa"/>
            <w:tcBorders>
              <w:top w:val="nil"/>
              <w:left w:val="nil"/>
              <w:bottom w:val="nil"/>
              <w:right w:val="nil"/>
            </w:tcBorders>
          </w:tcPr>
          <w:p w14:paraId="3263B87E">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3.8889</w:t>
            </w:r>
          </w:p>
        </w:tc>
        <w:tc>
          <w:tcPr>
            <w:tcW w:w="1421" w:type="dxa"/>
            <w:tcBorders>
              <w:top w:val="nil"/>
              <w:left w:val="nil"/>
              <w:bottom w:val="nil"/>
              <w:right w:val="nil"/>
            </w:tcBorders>
          </w:tcPr>
          <w:p w14:paraId="0778A102">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0.</w:t>
            </w:r>
            <w:r>
              <w:rPr>
                <w:rFonts w:hint="default" w:asciiTheme="minorHAnsi" w:hAnsiTheme="minorHAnsi" w:cstheme="minorBidi"/>
                <w:color w:val="auto"/>
                <w:kern w:val="2"/>
                <w:sz w:val="18"/>
                <w:szCs w:val="18"/>
                <w:lang w:val="en-US" w:eastAsia="zh-CN" w:bidi="ar-SA"/>
              </w:rPr>
              <w:t>43885</w:t>
            </w:r>
          </w:p>
        </w:tc>
      </w:tr>
      <w:tr w14:paraId="169BF3F6">
        <w:tc>
          <w:tcPr>
            <w:tcW w:w="1420" w:type="dxa"/>
            <w:tcBorders>
              <w:top w:val="nil"/>
              <w:left w:val="nil"/>
              <w:bottom w:val="nil"/>
              <w:right w:val="nil"/>
            </w:tcBorders>
          </w:tcPr>
          <w:p w14:paraId="7E4236E9">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Performance</w:t>
            </w:r>
          </w:p>
        </w:tc>
        <w:tc>
          <w:tcPr>
            <w:tcW w:w="1420" w:type="dxa"/>
            <w:tcBorders>
              <w:top w:val="nil"/>
              <w:left w:val="nil"/>
              <w:bottom w:val="nil"/>
              <w:right w:val="nil"/>
            </w:tcBorders>
          </w:tcPr>
          <w:p w14:paraId="60679BCF">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3.25</w:t>
            </w:r>
          </w:p>
        </w:tc>
        <w:tc>
          <w:tcPr>
            <w:tcW w:w="1420" w:type="dxa"/>
            <w:tcBorders>
              <w:top w:val="nil"/>
              <w:left w:val="nil"/>
              <w:bottom w:val="nil"/>
              <w:right w:val="nil"/>
            </w:tcBorders>
          </w:tcPr>
          <w:p w14:paraId="4436BA4D">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5.00</w:t>
            </w:r>
          </w:p>
        </w:tc>
        <w:tc>
          <w:tcPr>
            <w:tcW w:w="1421" w:type="dxa"/>
            <w:tcBorders>
              <w:top w:val="nil"/>
              <w:left w:val="nil"/>
              <w:bottom w:val="nil"/>
              <w:right w:val="nil"/>
            </w:tcBorders>
          </w:tcPr>
          <w:p w14:paraId="3F1D316B">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4.0714</w:t>
            </w:r>
          </w:p>
        </w:tc>
        <w:tc>
          <w:tcPr>
            <w:tcW w:w="1421" w:type="dxa"/>
            <w:tcBorders>
              <w:top w:val="nil"/>
              <w:left w:val="nil"/>
              <w:bottom w:val="nil"/>
              <w:right w:val="nil"/>
            </w:tcBorders>
          </w:tcPr>
          <w:p w14:paraId="76587543">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0.41188</w:t>
            </w:r>
          </w:p>
        </w:tc>
      </w:tr>
      <w:tr w14:paraId="1863B83E">
        <w:tc>
          <w:tcPr>
            <w:tcW w:w="1420" w:type="dxa"/>
            <w:tcBorders>
              <w:top w:val="nil"/>
              <w:left w:val="nil"/>
              <w:right w:val="nil"/>
            </w:tcBorders>
          </w:tcPr>
          <w:p w14:paraId="50546174">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Reflection</w:t>
            </w:r>
          </w:p>
        </w:tc>
        <w:tc>
          <w:tcPr>
            <w:tcW w:w="1420" w:type="dxa"/>
            <w:tcBorders>
              <w:top w:val="nil"/>
              <w:left w:val="nil"/>
              <w:right w:val="nil"/>
            </w:tcBorders>
          </w:tcPr>
          <w:p w14:paraId="04901E38">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2.40</w:t>
            </w:r>
          </w:p>
        </w:tc>
        <w:tc>
          <w:tcPr>
            <w:tcW w:w="1420" w:type="dxa"/>
            <w:tcBorders>
              <w:top w:val="nil"/>
              <w:left w:val="nil"/>
              <w:right w:val="nil"/>
            </w:tcBorders>
          </w:tcPr>
          <w:p w14:paraId="557CCBCD">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4.40</w:t>
            </w:r>
          </w:p>
        </w:tc>
        <w:tc>
          <w:tcPr>
            <w:tcW w:w="1421" w:type="dxa"/>
            <w:tcBorders>
              <w:top w:val="nil"/>
              <w:left w:val="nil"/>
              <w:right w:val="nil"/>
            </w:tcBorders>
          </w:tcPr>
          <w:p w14:paraId="62783411">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3.2286</w:t>
            </w:r>
          </w:p>
        </w:tc>
        <w:tc>
          <w:tcPr>
            <w:tcW w:w="1421" w:type="dxa"/>
            <w:tcBorders>
              <w:top w:val="nil"/>
              <w:left w:val="nil"/>
              <w:right w:val="nil"/>
            </w:tcBorders>
          </w:tcPr>
          <w:p w14:paraId="5840BB6D">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0.50709</w:t>
            </w:r>
          </w:p>
        </w:tc>
      </w:tr>
    </w:tbl>
    <w:p w14:paraId="0432D1CE">
      <w:pPr>
        <w:pStyle w:val="10"/>
        <w:keepNext w:val="0"/>
        <w:keepLines w:val="0"/>
        <w:widowControl/>
        <w:suppressLineNumbers w:val="0"/>
        <w:jc w:val="left"/>
        <w:rPr>
          <w:rFonts w:hint="default" w:ascii="Calibri Italic" w:hAnsi="Calibri Italic" w:cs="Calibri Italic"/>
          <w:b w:val="0"/>
          <w:i/>
          <w:iCs/>
          <w:kern w:val="2"/>
          <w:sz w:val="18"/>
          <w:szCs w:val="18"/>
          <w:lang w:val="en-US" w:eastAsia="zh-CN" w:bidi="ar-SA"/>
        </w:rPr>
      </w:pPr>
    </w:p>
    <w:p w14:paraId="067E1882">
      <w:pPr>
        <w:pStyle w:val="10"/>
        <w:keepNext w:val="0"/>
        <w:keepLines w:val="0"/>
        <w:widowControl/>
        <w:suppressLineNumbers w:val="0"/>
        <w:jc w:val="left"/>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Note: Composite scores reflect the average of items within each SRL phase. </w:t>
      </w:r>
    </w:p>
    <w:p w14:paraId="0DC73682">
      <w:pPr>
        <w:pStyle w:val="10"/>
        <w:keepNext w:val="0"/>
        <w:keepLines w:val="0"/>
        <w:widowControl/>
        <w:suppressLineNumbers w:val="0"/>
        <w:jc w:val="left"/>
        <w:outlineLvl w:val="9"/>
        <w:rPr>
          <w:rFonts w:hint="default" w:ascii="Calibri" w:hAnsi="Calibri" w:cs="Calibri"/>
          <w:b w:val="0"/>
          <w:i w:val="0"/>
          <w:iCs w:val="0"/>
          <w:sz w:val="21"/>
          <w:szCs w:val="21"/>
          <w:lang w:val="en-US" w:eastAsia="zh-CN"/>
        </w:rPr>
      </w:pPr>
    </w:p>
    <w:p w14:paraId="61BAAABE">
      <w:pPr>
        <w:pStyle w:val="10"/>
        <w:keepNext w:val="0"/>
        <w:keepLines w:val="0"/>
        <w:widowControl/>
        <w:suppressLineNumbers w:val="0"/>
        <w:jc w:val="left"/>
        <w:outlineLvl w:val="3"/>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4.1.4.</w:t>
      </w:r>
      <w:r>
        <w:rPr>
          <w:rFonts w:hint="eastAsia" w:ascii="Calibri" w:hAnsi="Calibri" w:cs="Calibri"/>
          <w:b w:val="0"/>
          <w:i w:val="0"/>
          <w:iCs w:val="0"/>
          <w:sz w:val="21"/>
          <w:szCs w:val="21"/>
          <w:lang w:val="en-US" w:eastAsia="zh-CN"/>
        </w:rPr>
        <w:t>3</w:t>
      </w:r>
      <w:r>
        <w:rPr>
          <w:rFonts w:hint="default" w:ascii="Calibri" w:hAnsi="Calibri" w:cs="Calibri"/>
          <w:b w:val="0"/>
          <w:i w:val="0"/>
          <w:iCs w:val="0"/>
          <w:sz w:val="21"/>
          <w:szCs w:val="21"/>
          <w:lang w:val="en-US" w:eastAsia="zh-CN"/>
        </w:rPr>
        <w:t xml:space="preserve"> Group </w:t>
      </w:r>
      <w:r>
        <w:rPr>
          <w:rFonts w:hint="eastAsia" w:ascii="Calibri" w:hAnsi="Calibri" w:cs="Calibri"/>
          <w:b w:val="0"/>
          <w:i w:val="0"/>
          <w:iCs w:val="0"/>
          <w:sz w:val="21"/>
          <w:szCs w:val="21"/>
          <w:lang w:val="en-US" w:eastAsia="zh-CN"/>
        </w:rPr>
        <w:t>D</w:t>
      </w:r>
      <w:r>
        <w:rPr>
          <w:rFonts w:hint="default" w:ascii="Calibri" w:hAnsi="Calibri" w:cs="Calibri"/>
          <w:b w:val="0"/>
          <w:i w:val="0"/>
          <w:iCs w:val="0"/>
          <w:sz w:val="21"/>
          <w:szCs w:val="21"/>
          <w:lang w:val="en-US" w:eastAsia="zh-CN"/>
        </w:rPr>
        <w:t>ifferences in SRL Strategy Use</w:t>
      </w:r>
    </w:p>
    <w:p w14:paraId="392A1F68">
      <w:pPr>
        <w:pStyle w:val="10"/>
        <w:keepNext w:val="0"/>
        <w:keepLines w:val="0"/>
        <w:widowControl/>
        <w:suppressLineNumbers w:val="0"/>
        <w:jc w:val="both"/>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To further explore potential influences on students’ use of SRL strategies, Mann-Whitney U tests were conducted to compare composite SRL scores across three grouping variables: year level, perceived confidence, and training experience. As shown in Table 5, no statistically significant difference were found between groups on any of the three SRL phases (all p&gt;0.05).  </w:t>
      </w:r>
    </w:p>
    <w:p w14:paraId="09CDD2A3">
      <w:pPr>
        <w:pStyle w:val="10"/>
        <w:keepNext w:val="0"/>
        <w:keepLines w:val="0"/>
        <w:widowControl/>
        <w:suppressLineNumbers w:val="0"/>
        <w:jc w:val="both"/>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Among the three variables, students who had training experience -- most of which are informal and self-directed -- showed consistently higher mean scores across all SRL phases compared to those without training. However, these differences did not reach statistical significance, possibly due to the small sample size or lack of systematic training. </w:t>
      </w:r>
    </w:p>
    <w:p w14:paraId="733B9300">
      <w:pPr>
        <w:pStyle w:val="10"/>
        <w:keepNext w:val="0"/>
        <w:keepLines w:val="0"/>
        <w:widowControl/>
        <w:suppressLineNumbers w:val="0"/>
        <w:jc w:val="both"/>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In contrast, students with higher perceived confidence reported slightly lower scores across all SRL phases compared to their less confident peers. This unexpected pattern suggests that a stronger sense of confidence does not necessarily lead to more frequent use of self-regulated learning strategies in GenAI-assisted writing. </w:t>
      </w:r>
    </w:p>
    <w:p w14:paraId="6A3F12A5">
      <w:pPr>
        <w:pStyle w:val="10"/>
        <w:keepNext w:val="0"/>
        <w:keepLines w:val="0"/>
        <w:widowControl/>
        <w:suppressLineNumbers w:val="0"/>
        <w:jc w:val="both"/>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As for the year level, no consistent pattern was observed: third-year and fourth-year students alternated in having higher scores across different SRL dimensions. Taken together, these findings suggest that while training experience may have a small positive influence, confidence and year level did not appear to be strong or consistent predictors of students’ SRL behaviours in this context. </w:t>
      </w:r>
    </w:p>
    <w:p w14:paraId="5CA3CF91">
      <w:pPr>
        <w:pStyle w:val="10"/>
        <w:keepNext w:val="0"/>
        <w:keepLines w:val="0"/>
        <w:widowControl/>
        <w:suppressLineNumbers w:val="0"/>
        <w:jc w:val="both"/>
        <w:outlineLvl w:val="9"/>
        <w:rPr>
          <w:rFonts w:hint="default" w:ascii="Calibri" w:hAnsi="Calibri" w:cs="Calibri"/>
          <w:b w:val="0"/>
          <w:i w:val="0"/>
          <w:iCs w:val="0"/>
          <w:sz w:val="21"/>
          <w:szCs w:val="21"/>
          <w:lang w:val="en-US" w:eastAsia="zh-CN"/>
        </w:rPr>
      </w:pPr>
    </w:p>
    <w:p w14:paraId="02DC7ACF">
      <w:pPr>
        <w:pStyle w:val="10"/>
        <w:keepNext w:val="0"/>
        <w:keepLines w:val="0"/>
        <w:widowControl/>
        <w:suppressLineNumbers w:val="0"/>
        <w:jc w:val="left"/>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Table 5. Group Comparisons of SRL Phase Scores Based on Year Level, Confidence and Training experience</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01"/>
        <w:gridCol w:w="1165"/>
        <w:gridCol w:w="1420"/>
        <w:gridCol w:w="1420"/>
        <w:gridCol w:w="1357"/>
        <w:gridCol w:w="1041"/>
      </w:tblGrid>
      <w:tr w14:paraId="659512A8">
        <w:tc>
          <w:tcPr>
            <w:tcW w:w="1201" w:type="dxa"/>
            <w:tcBorders>
              <w:left w:val="nil"/>
              <w:bottom w:val="nil"/>
              <w:right w:val="nil"/>
            </w:tcBorders>
          </w:tcPr>
          <w:p w14:paraId="4139F513">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Grouping Variable</w:t>
            </w:r>
          </w:p>
        </w:tc>
        <w:tc>
          <w:tcPr>
            <w:tcW w:w="1165" w:type="dxa"/>
            <w:tcBorders>
              <w:left w:val="nil"/>
              <w:bottom w:val="nil"/>
              <w:right w:val="nil"/>
            </w:tcBorders>
          </w:tcPr>
          <w:p w14:paraId="17BF172C">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SRL Phase</w:t>
            </w:r>
          </w:p>
        </w:tc>
        <w:tc>
          <w:tcPr>
            <w:tcW w:w="1420" w:type="dxa"/>
            <w:tcBorders>
              <w:left w:val="nil"/>
              <w:bottom w:val="nil"/>
              <w:right w:val="nil"/>
            </w:tcBorders>
          </w:tcPr>
          <w:p w14:paraId="7E62AC80">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Group A(mean, SD)</w:t>
            </w:r>
          </w:p>
        </w:tc>
        <w:tc>
          <w:tcPr>
            <w:tcW w:w="1420" w:type="dxa"/>
            <w:tcBorders>
              <w:left w:val="nil"/>
              <w:bottom w:val="nil"/>
              <w:right w:val="nil"/>
            </w:tcBorders>
          </w:tcPr>
          <w:p w14:paraId="4B2A3979">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Group B(mean, SD)</w:t>
            </w:r>
          </w:p>
        </w:tc>
        <w:tc>
          <w:tcPr>
            <w:tcW w:w="1357" w:type="dxa"/>
            <w:tcBorders>
              <w:left w:val="nil"/>
              <w:bottom w:val="nil"/>
              <w:right w:val="nil"/>
            </w:tcBorders>
          </w:tcPr>
          <w:p w14:paraId="1950A3A7">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eastAsiaTheme="minorEastAsia" w:cstheme="minorBidi"/>
                <w:kern w:val="2"/>
                <w:sz w:val="18"/>
                <w:szCs w:val="18"/>
                <w:vertAlign w:val="baseline"/>
                <w:lang w:val="en-US" w:eastAsia="zh-CN" w:bidi="ar-SA"/>
              </w:rPr>
              <w:t>Mann–Whitney U</w:t>
            </w:r>
          </w:p>
        </w:tc>
        <w:tc>
          <w:tcPr>
            <w:tcW w:w="1041" w:type="dxa"/>
            <w:tcBorders>
              <w:left w:val="nil"/>
              <w:bottom w:val="nil"/>
              <w:right w:val="nil"/>
            </w:tcBorders>
          </w:tcPr>
          <w:p w14:paraId="5C099E2D">
            <w:pPr>
              <w:pStyle w:val="10"/>
              <w:keepNext w:val="0"/>
              <w:keepLines w:val="0"/>
              <w:widowControl/>
              <w:suppressLineNumbers w:val="0"/>
              <w:jc w:val="left"/>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p(Exact)</w:t>
            </w:r>
          </w:p>
        </w:tc>
      </w:tr>
      <w:tr w14:paraId="691EA38B">
        <w:tc>
          <w:tcPr>
            <w:tcW w:w="1201" w:type="dxa"/>
            <w:vMerge w:val="restart"/>
            <w:tcBorders>
              <w:top w:val="nil"/>
              <w:left w:val="nil"/>
              <w:right w:val="nil"/>
            </w:tcBorders>
          </w:tcPr>
          <w:p w14:paraId="2B850E7A">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Year</w:t>
            </w:r>
          </w:p>
        </w:tc>
        <w:tc>
          <w:tcPr>
            <w:tcW w:w="1165" w:type="dxa"/>
            <w:tcBorders>
              <w:top w:val="nil"/>
              <w:left w:val="nil"/>
              <w:bottom w:val="nil"/>
              <w:right w:val="nil"/>
            </w:tcBorders>
            <w:vAlign w:val="top"/>
          </w:tcPr>
          <w:p w14:paraId="1E2B8E31">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Forethought</w:t>
            </w:r>
          </w:p>
        </w:tc>
        <w:tc>
          <w:tcPr>
            <w:tcW w:w="1420" w:type="dxa"/>
            <w:tcBorders>
              <w:top w:val="nil"/>
              <w:left w:val="nil"/>
              <w:bottom w:val="nil"/>
              <w:right w:val="nil"/>
            </w:tcBorders>
          </w:tcPr>
          <w:p w14:paraId="712E6C9A">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3.9333(0.31371)</w:t>
            </w:r>
          </w:p>
        </w:tc>
        <w:tc>
          <w:tcPr>
            <w:tcW w:w="1420" w:type="dxa"/>
            <w:tcBorders>
              <w:top w:val="nil"/>
              <w:left w:val="nil"/>
              <w:bottom w:val="nil"/>
              <w:right w:val="nil"/>
            </w:tcBorders>
          </w:tcPr>
          <w:p w14:paraId="35A40E9E">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3.7778(0.68853)</w:t>
            </w:r>
          </w:p>
        </w:tc>
        <w:tc>
          <w:tcPr>
            <w:tcW w:w="1357" w:type="dxa"/>
            <w:tcBorders>
              <w:top w:val="nil"/>
              <w:left w:val="nil"/>
              <w:bottom w:val="nil"/>
              <w:right w:val="nil"/>
            </w:tcBorders>
          </w:tcPr>
          <w:p w14:paraId="32F43362">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31.000</w:t>
            </w:r>
          </w:p>
        </w:tc>
        <w:tc>
          <w:tcPr>
            <w:tcW w:w="1041" w:type="dxa"/>
            <w:tcBorders>
              <w:top w:val="nil"/>
              <w:left w:val="nil"/>
              <w:bottom w:val="nil"/>
              <w:right w:val="nil"/>
            </w:tcBorders>
          </w:tcPr>
          <w:p w14:paraId="3B7C1052">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0.302</w:t>
            </w:r>
          </w:p>
        </w:tc>
      </w:tr>
      <w:tr w14:paraId="5FBF7C64">
        <w:trPr>
          <w:trHeight w:val="411" w:hRule="atLeast"/>
        </w:trPr>
        <w:tc>
          <w:tcPr>
            <w:tcW w:w="1201" w:type="dxa"/>
            <w:vMerge w:val="continue"/>
            <w:tcBorders>
              <w:left w:val="nil"/>
              <w:right w:val="nil"/>
            </w:tcBorders>
          </w:tcPr>
          <w:p w14:paraId="2C412AC3">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p>
        </w:tc>
        <w:tc>
          <w:tcPr>
            <w:tcW w:w="1165" w:type="dxa"/>
            <w:tcBorders>
              <w:top w:val="nil"/>
              <w:left w:val="nil"/>
              <w:bottom w:val="nil"/>
              <w:right w:val="nil"/>
            </w:tcBorders>
            <w:vAlign w:val="top"/>
          </w:tcPr>
          <w:p w14:paraId="183DF583">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Performance</w:t>
            </w:r>
          </w:p>
        </w:tc>
        <w:tc>
          <w:tcPr>
            <w:tcW w:w="1420" w:type="dxa"/>
            <w:tcBorders>
              <w:top w:val="nil"/>
              <w:left w:val="nil"/>
              <w:bottom w:val="nil"/>
              <w:right w:val="nil"/>
            </w:tcBorders>
            <w:vAlign w:val="top"/>
          </w:tcPr>
          <w:p w14:paraId="0A7E57BC">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4.0167(0.37161)</w:t>
            </w:r>
          </w:p>
        </w:tc>
        <w:tc>
          <w:tcPr>
            <w:tcW w:w="1420" w:type="dxa"/>
            <w:tcBorders>
              <w:top w:val="nil"/>
              <w:left w:val="nil"/>
              <w:bottom w:val="nil"/>
              <w:right w:val="nil"/>
            </w:tcBorders>
            <w:vAlign w:val="top"/>
          </w:tcPr>
          <w:p w14:paraId="448BD383">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4.2083(0.51031)</w:t>
            </w:r>
          </w:p>
        </w:tc>
        <w:tc>
          <w:tcPr>
            <w:tcW w:w="1357" w:type="dxa"/>
            <w:tcBorders>
              <w:top w:val="nil"/>
              <w:left w:val="nil"/>
              <w:bottom w:val="nil"/>
              <w:right w:val="nil"/>
            </w:tcBorders>
          </w:tcPr>
          <w:p w14:paraId="104F7DFA">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56.500</w:t>
            </w:r>
          </w:p>
        </w:tc>
        <w:tc>
          <w:tcPr>
            <w:tcW w:w="1041" w:type="dxa"/>
            <w:tcBorders>
              <w:top w:val="nil"/>
              <w:left w:val="nil"/>
              <w:bottom w:val="nil"/>
              <w:right w:val="nil"/>
            </w:tcBorders>
          </w:tcPr>
          <w:p w14:paraId="405D86AD">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0.381</w:t>
            </w:r>
          </w:p>
        </w:tc>
      </w:tr>
      <w:tr w14:paraId="0C75238A">
        <w:tc>
          <w:tcPr>
            <w:tcW w:w="1201" w:type="dxa"/>
            <w:vMerge w:val="continue"/>
            <w:tcBorders>
              <w:left w:val="nil"/>
              <w:bottom w:val="nil"/>
              <w:right w:val="nil"/>
            </w:tcBorders>
          </w:tcPr>
          <w:p w14:paraId="2E9FEC59">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p>
        </w:tc>
        <w:tc>
          <w:tcPr>
            <w:tcW w:w="1165" w:type="dxa"/>
            <w:tcBorders>
              <w:top w:val="nil"/>
              <w:left w:val="nil"/>
              <w:bottom w:val="nil"/>
              <w:right w:val="nil"/>
            </w:tcBorders>
            <w:vAlign w:val="top"/>
          </w:tcPr>
          <w:p w14:paraId="7C9A0F10">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Reflection</w:t>
            </w:r>
          </w:p>
        </w:tc>
        <w:tc>
          <w:tcPr>
            <w:tcW w:w="1420" w:type="dxa"/>
            <w:tcBorders>
              <w:top w:val="nil"/>
              <w:left w:val="nil"/>
              <w:bottom w:val="nil"/>
              <w:right w:val="nil"/>
            </w:tcBorders>
          </w:tcPr>
          <w:p w14:paraId="04F10EC6">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3.2533(0.50408)</w:t>
            </w:r>
          </w:p>
        </w:tc>
        <w:tc>
          <w:tcPr>
            <w:tcW w:w="1420" w:type="dxa"/>
            <w:tcBorders>
              <w:top w:val="nil"/>
              <w:left w:val="nil"/>
              <w:bottom w:val="nil"/>
              <w:right w:val="nil"/>
            </w:tcBorders>
          </w:tcPr>
          <w:p w14:paraId="6269FC21">
            <w:pPr>
              <w:pStyle w:val="10"/>
              <w:keepNext w:val="0"/>
              <w:keepLines w:val="0"/>
              <w:widowControl/>
              <w:suppressLineNumbers w:val="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3.1667(0.55737)</w:t>
            </w:r>
          </w:p>
        </w:tc>
        <w:tc>
          <w:tcPr>
            <w:tcW w:w="1357" w:type="dxa"/>
            <w:tcBorders>
              <w:top w:val="nil"/>
              <w:left w:val="nil"/>
              <w:bottom w:val="nil"/>
              <w:right w:val="nil"/>
            </w:tcBorders>
          </w:tcPr>
          <w:p w14:paraId="04FEE955">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43.500</w:t>
            </w:r>
          </w:p>
        </w:tc>
        <w:tc>
          <w:tcPr>
            <w:tcW w:w="1041" w:type="dxa"/>
            <w:tcBorders>
              <w:top w:val="nil"/>
              <w:left w:val="nil"/>
              <w:bottom w:val="nil"/>
              <w:right w:val="nil"/>
            </w:tcBorders>
          </w:tcPr>
          <w:p w14:paraId="161E9908">
            <w:pPr>
              <w:pStyle w:val="10"/>
              <w:keepNext w:val="0"/>
              <w:keepLines w:val="0"/>
              <w:widowControl/>
              <w:suppressLineNumbers w:val="0"/>
              <w:jc w:val="left"/>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0.910</w:t>
            </w:r>
          </w:p>
        </w:tc>
      </w:tr>
      <w:tr w14:paraId="18BEA3A6">
        <w:tc>
          <w:tcPr>
            <w:tcW w:w="1201" w:type="dxa"/>
            <w:vMerge w:val="restart"/>
            <w:tcBorders>
              <w:top w:val="nil"/>
              <w:left w:val="nil"/>
              <w:right w:val="nil"/>
            </w:tcBorders>
            <w:vAlign w:val="top"/>
          </w:tcPr>
          <w:p w14:paraId="75F9F52D">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Confidence</w:t>
            </w:r>
          </w:p>
        </w:tc>
        <w:tc>
          <w:tcPr>
            <w:tcW w:w="1165" w:type="dxa"/>
            <w:tcBorders>
              <w:top w:val="nil"/>
              <w:left w:val="nil"/>
              <w:bottom w:val="nil"/>
              <w:right w:val="nil"/>
            </w:tcBorders>
            <w:vAlign w:val="top"/>
          </w:tcPr>
          <w:p w14:paraId="06FBA624">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Forethought</w:t>
            </w:r>
          </w:p>
        </w:tc>
        <w:tc>
          <w:tcPr>
            <w:tcW w:w="1420" w:type="dxa"/>
            <w:tcBorders>
              <w:top w:val="nil"/>
              <w:left w:val="nil"/>
              <w:bottom w:val="nil"/>
              <w:right w:val="nil"/>
            </w:tcBorders>
            <w:vAlign w:val="top"/>
          </w:tcPr>
          <w:p w14:paraId="401FE3CA">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3.9167(0.43033)</w:t>
            </w:r>
          </w:p>
        </w:tc>
        <w:tc>
          <w:tcPr>
            <w:tcW w:w="1420" w:type="dxa"/>
            <w:tcBorders>
              <w:top w:val="nil"/>
              <w:left w:val="nil"/>
              <w:bottom w:val="nil"/>
              <w:right w:val="nil"/>
            </w:tcBorders>
            <w:vAlign w:val="top"/>
          </w:tcPr>
          <w:p w14:paraId="30E9D718">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3.8000(0.50553)</w:t>
            </w:r>
          </w:p>
        </w:tc>
        <w:tc>
          <w:tcPr>
            <w:tcW w:w="1357" w:type="dxa"/>
            <w:tcBorders>
              <w:top w:val="nil"/>
              <w:left w:val="nil"/>
              <w:bottom w:val="nil"/>
              <w:right w:val="nil"/>
            </w:tcBorders>
            <w:vAlign w:val="top"/>
          </w:tcPr>
          <w:p w14:paraId="179EF82B">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38.500</w:t>
            </w:r>
          </w:p>
        </w:tc>
        <w:tc>
          <w:tcPr>
            <w:tcW w:w="1041" w:type="dxa"/>
            <w:tcBorders>
              <w:top w:val="nil"/>
              <w:left w:val="nil"/>
              <w:bottom w:val="nil"/>
              <w:right w:val="nil"/>
            </w:tcBorders>
            <w:vAlign w:val="top"/>
          </w:tcPr>
          <w:p w14:paraId="17F54061">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0.905</w:t>
            </w:r>
          </w:p>
        </w:tc>
      </w:tr>
      <w:tr w14:paraId="46C9219F">
        <w:tc>
          <w:tcPr>
            <w:tcW w:w="1201" w:type="dxa"/>
            <w:vMerge w:val="continue"/>
            <w:tcBorders>
              <w:left w:val="nil"/>
              <w:right w:val="nil"/>
            </w:tcBorders>
            <w:vAlign w:val="top"/>
          </w:tcPr>
          <w:p w14:paraId="033D76BC">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p>
        </w:tc>
        <w:tc>
          <w:tcPr>
            <w:tcW w:w="1165" w:type="dxa"/>
            <w:tcBorders>
              <w:top w:val="nil"/>
              <w:left w:val="nil"/>
              <w:bottom w:val="nil"/>
              <w:right w:val="nil"/>
            </w:tcBorders>
            <w:vAlign w:val="top"/>
          </w:tcPr>
          <w:p w14:paraId="514C1E3F">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Performance</w:t>
            </w:r>
          </w:p>
        </w:tc>
        <w:tc>
          <w:tcPr>
            <w:tcW w:w="1420" w:type="dxa"/>
            <w:tcBorders>
              <w:top w:val="nil"/>
              <w:left w:val="nil"/>
              <w:bottom w:val="nil"/>
              <w:right w:val="nil"/>
            </w:tcBorders>
            <w:vAlign w:val="top"/>
          </w:tcPr>
          <w:p w14:paraId="7D78626D">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4.0781(0.45386)</w:t>
            </w:r>
          </w:p>
        </w:tc>
        <w:tc>
          <w:tcPr>
            <w:tcW w:w="1420" w:type="dxa"/>
            <w:tcBorders>
              <w:top w:val="nil"/>
              <w:left w:val="nil"/>
              <w:bottom w:val="nil"/>
              <w:right w:val="nil"/>
            </w:tcBorders>
            <w:vAlign w:val="top"/>
          </w:tcPr>
          <w:p w14:paraId="74080871">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4.0500(0.27386)</w:t>
            </w:r>
          </w:p>
        </w:tc>
        <w:tc>
          <w:tcPr>
            <w:tcW w:w="1357" w:type="dxa"/>
            <w:tcBorders>
              <w:top w:val="nil"/>
              <w:left w:val="nil"/>
              <w:bottom w:val="nil"/>
              <w:right w:val="nil"/>
            </w:tcBorders>
            <w:vAlign w:val="top"/>
          </w:tcPr>
          <w:p w14:paraId="0C04F0F9">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39.000</w:t>
            </w:r>
          </w:p>
        </w:tc>
        <w:tc>
          <w:tcPr>
            <w:tcW w:w="1041" w:type="dxa"/>
            <w:tcBorders>
              <w:top w:val="nil"/>
              <w:left w:val="nil"/>
              <w:bottom w:val="nil"/>
              <w:right w:val="nil"/>
            </w:tcBorders>
            <w:vAlign w:val="top"/>
          </w:tcPr>
          <w:p w14:paraId="5E683B35">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0.968</w:t>
            </w:r>
          </w:p>
        </w:tc>
      </w:tr>
      <w:tr w14:paraId="563A88EF">
        <w:tc>
          <w:tcPr>
            <w:tcW w:w="1201" w:type="dxa"/>
            <w:vMerge w:val="continue"/>
            <w:tcBorders>
              <w:left w:val="nil"/>
              <w:bottom w:val="nil"/>
              <w:right w:val="nil"/>
            </w:tcBorders>
            <w:vAlign w:val="top"/>
          </w:tcPr>
          <w:p w14:paraId="18A1F609">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p>
        </w:tc>
        <w:tc>
          <w:tcPr>
            <w:tcW w:w="1165" w:type="dxa"/>
            <w:tcBorders>
              <w:top w:val="nil"/>
              <w:left w:val="nil"/>
              <w:bottom w:val="nil"/>
              <w:right w:val="nil"/>
            </w:tcBorders>
            <w:vAlign w:val="top"/>
          </w:tcPr>
          <w:p w14:paraId="43CBA02F">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Reflection</w:t>
            </w:r>
          </w:p>
        </w:tc>
        <w:tc>
          <w:tcPr>
            <w:tcW w:w="1420" w:type="dxa"/>
            <w:tcBorders>
              <w:top w:val="nil"/>
              <w:left w:val="nil"/>
              <w:bottom w:val="nil"/>
              <w:right w:val="nil"/>
            </w:tcBorders>
            <w:vAlign w:val="top"/>
          </w:tcPr>
          <w:p w14:paraId="115D2771">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3.2750(0.53603)</w:t>
            </w:r>
          </w:p>
        </w:tc>
        <w:tc>
          <w:tcPr>
            <w:tcW w:w="1420" w:type="dxa"/>
            <w:tcBorders>
              <w:top w:val="nil"/>
              <w:left w:val="nil"/>
              <w:bottom w:val="nil"/>
              <w:right w:val="nil"/>
            </w:tcBorders>
            <w:vAlign w:val="top"/>
          </w:tcPr>
          <w:p w14:paraId="3C466C3F">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3.0800(0.41473)</w:t>
            </w:r>
          </w:p>
        </w:tc>
        <w:tc>
          <w:tcPr>
            <w:tcW w:w="1357" w:type="dxa"/>
            <w:tcBorders>
              <w:top w:val="nil"/>
              <w:left w:val="nil"/>
              <w:bottom w:val="nil"/>
              <w:right w:val="nil"/>
            </w:tcBorders>
            <w:vAlign w:val="top"/>
          </w:tcPr>
          <w:p w14:paraId="2215C3E3">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32.500</w:t>
            </w:r>
          </w:p>
        </w:tc>
        <w:tc>
          <w:tcPr>
            <w:tcW w:w="1041" w:type="dxa"/>
            <w:tcBorders>
              <w:top w:val="nil"/>
              <w:left w:val="nil"/>
              <w:bottom w:val="nil"/>
              <w:right w:val="nil"/>
            </w:tcBorders>
            <w:vAlign w:val="top"/>
          </w:tcPr>
          <w:p w14:paraId="375C85C9">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0.548</w:t>
            </w:r>
          </w:p>
        </w:tc>
      </w:tr>
      <w:tr w14:paraId="39BAA301">
        <w:tc>
          <w:tcPr>
            <w:tcW w:w="1201" w:type="dxa"/>
            <w:vMerge w:val="restart"/>
            <w:tcBorders>
              <w:top w:val="nil"/>
              <w:left w:val="nil"/>
              <w:right w:val="nil"/>
            </w:tcBorders>
            <w:vAlign w:val="top"/>
          </w:tcPr>
          <w:p w14:paraId="2080186B">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Training</w:t>
            </w:r>
          </w:p>
        </w:tc>
        <w:tc>
          <w:tcPr>
            <w:tcW w:w="1165" w:type="dxa"/>
            <w:tcBorders>
              <w:top w:val="nil"/>
              <w:left w:val="nil"/>
              <w:bottom w:val="nil"/>
              <w:right w:val="nil"/>
            </w:tcBorders>
            <w:vAlign w:val="top"/>
          </w:tcPr>
          <w:p w14:paraId="12581EB5">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Forethought</w:t>
            </w:r>
          </w:p>
        </w:tc>
        <w:tc>
          <w:tcPr>
            <w:tcW w:w="1420" w:type="dxa"/>
            <w:tcBorders>
              <w:top w:val="nil"/>
              <w:left w:val="nil"/>
              <w:bottom w:val="nil"/>
              <w:right w:val="nil"/>
            </w:tcBorders>
            <w:vAlign w:val="top"/>
          </w:tcPr>
          <w:p w14:paraId="443BE1B4">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3.8222(0.37515)</w:t>
            </w:r>
          </w:p>
        </w:tc>
        <w:tc>
          <w:tcPr>
            <w:tcW w:w="1420" w:type="dxa"/>
            <w:tcBorders>
              <w:top w:val="nil"/>
              <w:left w:val="nil"/>
              <w:bottom w:val="nil"/>
              <w:right w:val="nil"/>
            </w:tcBorders>
            <w:vAlign w:val="top"/>
          </w:tcPr>
          <w:p w14:paraId="020FFE56">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4.0556(0.57413)</w:t>
            </w:r>
          </w:p>
        </w:tc>
        <w:tc>
          <w:tcPr>
            <w:tcW w:w="1357" w:type="dxa"/>
            <w:tcBorders>
              <w:top w:val="nil"/>
              <w:left w:val="nil"/>
              <w:bottom w:val="nil"/>
              <w:right w:val="nil"/>
            </w:tcBorders>
            <w:vAlign w:val="top"/>
          </w:tcPr>
          <w:p w14:paraId="50B45912">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55.000</w:t>
            </w:r>
          </w:p>
        </w:tc>
        <w:tc>
          <w:tcPr>
            <w:tcW w:w="1041" w:type="dxa"/>
            <w:tcBorders>
              <w:top w:val="nil"/>
              <w:left w:val="nil"/>
              <w:bottom w:val="nil"/>
              <w:right w:val="nil"/>
            </w:tcBorders>
            <w:vAlign w:val="top"/>
          </w:tcPr>
          <w:p w14:paraId="051AC40D">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0.470</w:t>
            </w:r>
          </w:p>
        </w:tc>
      </w:tr>
      <w:tr w14:paraId="3F667EFF">
        <w:tc>
          <w:tcPr>
            <w:tcW w:w="1201" w:type="dxa"/>
            <w:vMerge w:val="continue"/>
            <w:tcBorders>
              <w:left w:val="nil"/>
              <w:right w:val="nil"/>
            </w:tcBorders>
            <w:vAlign w:val="top"/>
          </w:tcPr>
          <w:p w14:paraId="30FF237F">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p>
        </w:tc>
        <w:tc>
          <w:tcPr>
            <w:tcW w:w="1165" w:type="dxa"/>
            <w:tcBorders>
              <w:top w:val="nil"/>
              <w:left w:val="nil"/>
              <w:bottom w:val="nil"/>
              <w:right w:val="nil"/>
            </w:tcBorders>
            <w:vAlign w:val="top"/>
          </w:tcPr>
          <w:p w14:paraId="6429DFF7">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Performance</w:t>
            </w:r>
          </w:p>
        </w:tc>
        <w:tc>
          <w:tcPr>
            <w:tcW w:w="1420" w:type="dxa"/>
            <w:tcBorders>
              <w:top w:val="nil"/>
              <w:left w:val="nil"/>
              <w:bottom w:val="nil"/>
              <w:right w:val="nil"/>
            </w:tcBorders>
            <w:vAlign w:val="top"/>
          </w:tcPr>
          <w:p w14:paraId="4DDE60C9">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4.0333(0.37639)</w:t>
            </w:r>
          </w:p>
        </w:tc>
        <w:tc>
          <w:tcPr>
            <w:tcW w:w="1420" w:type="dxa"/>
            <w:tcBorders>
              <w:top w:val="nil"/>
              <w:left w:val="nil"/>
              <w:bottom w:val="nil"/>
              <w:right w:val="nil"/>
            </w:tcBorders>
            <w:vAlign w:val="top"/>
          </w:tcPr>
          <w:p w14:paraId="7471E9BF">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4.1677(0.51640)</w:t>
            </w:r>
          </w:p>
        </w:tc>
        <w:tc>
          <w:tcPr>
            <w:tcW w:w="1357" w:type="dxa"/>
            <w:tcBorders>
              <w:top w:val="nil"/>
              <w:left w:val="nil"/>
              <w:bottom w:val="nil"/>
              <w:right w:val="nil"/>
            </w:tcBorders>
            <w:vAlign w:val="top"/>
          </w:tcPr>
          <w:p w14:paraId="57AF86F0">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51.500</w:t>
            </w:r>
          </w:p>
        </w:tc>
        <w:tc>
          <w:tcPr>
            <w:tcW w:w="1041" w:type="dxa"/>
            <w:tcBorders>
              <w:top w:val="nil"/>
              <w:left w:val="nil"/>
              <w:bottom w:val="nil"/>
              <w:right w:val="nil"/>
            </w:tcBorders>
            <w:vAlign w:val="top"/>
          </w:tcPr>
          <w:p w14:paraId="5D4C4144">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0.622</w:t>
            </w:r>
          </w:p>
        </w:tc>
      </w:tr>
      <w:tr w14:paraId="433B7D68">
        <w:tc>
          <w:tcPr>
            <w:tcW w:w="1201" w:type="dxa"/>
            <w:vMerge w:val="continue"/>
            <w:tcBorders>
              <w:left w:val="nil"/>
              <w:right w:val="nil"/>
            </w:tcBorders>
            <w:vAlign w:val="top"/>
          </w:tcPr>
          <w:p w14:paraId="6B6C6F40">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p>
        </w:tc>
        <w:tc>
          <w:tcPr>
            <w:tcW w:w="1165" w:type="dxa"/>
            <w:tcBorders>
              <w:top w:val="nil"/>
              <w:left w:val="nil"/>
              <w:right w:val="nil"/>
            </w:tcBorders>
            <w:vAlign w:val="top"/>
          </w:tcPr>
          <w:p w14:paraId="6114F114">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Reflection</w:t>
            </w:r>
          </w:p>
        </w:tc>
        <w:tc>
          <w:tcPr>
            <w:tcW w:w="1420" w:type="dxa"/>
            <w:tcBorders>
              <w:top w:val="nil"/>
              <w:left w:val="nil"/>
              <w:right w:val="nil"/>
            </w:tcBorders>
            <w:vAlign w:val="top"/>
          </w:tcPr>
          <w:p w14:paraId="00F01795">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3.1733(0.53914)</w:t>
            </w:r>
          </w:p>
        </w:tc>
        <w:tc>
          <w:tcPr>
            <w:tcW w:w="1420" w:type="dxa"/>
            <w:tcBorders>
              <w:top w:val="nil"/>
              <w:left w:val="nil"/>
              <w:right w:val="nil"/>
            </w:tcBorders>
            <w:vAlign w:val="top"/>
          </w:tcPr>
          <w:p w14:paraId="5BA3D3EB">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3.3667(0.42740)</w:t>
            </w:r>
          </w:p>
        </w:tc>
        <w:tc>
          <w:tcPr>
            <w:tcW w:w="1357" w:type="dxa"/>
            <w:tcBorders>
              <w:top w:val="nil"/>
              <w:left w:val="nil"/>
              <w:right w:val="nil"/>
            </w:tcBorders>
            <w:vAlign w:val="top"/>
          </w:tcPr>
          <w:p w14:paraId="0266F9E8">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58.500</w:t>
            </w:r>
          </w:p>
        </w:tc>
        <w:tc>
          <w:tcPr>
            <w:tcW w:w="1041" w:type="dxa"/>
            <w:tcBorders>
              <w:top w:val="nil"/>
              <w:left w:val="nil"/>
              <w:right w:val="nil"/>
            </w:tcBorders>
            <w:vAlign w:val="top"/>
          </w:tcPr>
          <w:p w14:paraId="646C4FA1">
            <w:pPr>
              <w:pStyle w:val="10"/>
              <w:keepNext w:val="0"/>
              <w:keepLines w:val="0"/>
              <w:widowControl/>
              <w:suppressLineNumbers w:val="0"/>
              <w:ind w:left="0" w:leftChars="0" w:right="0" w:rightChars="0"/>
              <w:jc w:val="left"/>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0.302</w:t>
            </w:r>
          </w:p>
        </w:tc>
      </w:tr>
    </w:tbl>
    <w:p w14:paraId="4B23011C">
      <w:pPr>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ascii="Calibri Italic" w:hAnsi="Calibri Italic" w:cs="Calibri Italic"/>
          <w:b w:val="0"/>
          <w:i/>
          <w:iCs/>
          <w:kern w:val="2"/>
          <w:sz w:val="18"/>
          <w:szCs w:val="18"/>
          <w:lang w:val="en-US" w:eastAsia="zh-CN" w:bidi="ar-SA"/>
        </w:rPr>
      </w:pPr>
      <w:r>
        <w:rPr>
          <w:rFonts w:hint="default" w:ascii="Calibri Italic" w:hAnsi="Calibri Italic" w:cs="Calibri Italic"/>
          <w:b w:val="0"/>
          <w:i/>
          <w:iCs/>
          <w:kern w:val="2"/>
          <w:sz w:val="18"/>
          <w:szCs w:val="18"/>
          <w:lang w:val="en-US" w:eastAsia="zh-CN" w:bidi="ar-SA"/>
        </w:rPr>
        <w:t>Note: Group A=Junior/Lower confidence(0-3)/Untrained, Group B=Senior/Higher Confidence(4-5)/trained.</w:t>
      </w:r>
    </w:p>
    <w:p w14:paraId="41037263">
      <w:pPr>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Mann–Whitney U tests used due to small sample size and ordinal data type. No significant differences were observed at the p&lt;0.05 level. </w:t>
      </w:r>
    </w:p>
    <w:p w14:paraId="61A99AC3">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3DE7F5B9">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4.2 Thematic Findings from Qualitative Analysis  </w:t>
      </w:r>
    </w:p>
    <w:p w14:paraId="1AF6FB7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r>
        <w:rPr>
          <w:rFonts w:hint="default" w:ascii="Calibri" w:hAnsi="Calibri" w:cs="Calibri"/>
          <w:b w:val="0"/>
          <w:i w:val="0"/>
          <w:iCs w:val="0"/>
          <w:sz w:val="21"/>
          <w:szCs w:val="21"/>
          <w:highlight w:val="none"/>
          <w:lang w:val="en-US" w:eastAsia="zh-CN"/>
        </w:rPr>
        <w:t xml:space="preserve">The thematic analysis of qualitative data in this study was guided by the UTAUT framework, focusing on its four core constructs -- performance expectancy, effort expectancy, social influence, and facilitating conditions -- together with behavioural intention. The findings are therefore presented across these five dimensions. Each section begins by outlining how the dimension is defined in this study, followed by a summary of the main themes and selected illustrative quotes. A full overview of themes, sub-themes, and quotes in both the original Mandarin and the English translation is provided in Appendix A (Tables A1-A5). </w:t>
      </w:r>
    </w:p>
    <w:p w14:paraId="0F46276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highlight w:val="none"/>
          <w:lang w:val="en-US" w:eastAsia="zh-CN"/>
        </w:rPr>
      </w:pPr>
    </w:p>
    <w:p w14:paraId="20C2FF9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2"/>
        <w:rPr>
          <w:rFonts w:hint="eastAsia"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4.2.1 </w:t>
      </w:r>
      <w:r>
        <w:rPr>
          <w:rFonts w:hint="eastAsia" w:ascii="Calibri" w:hAnsi="Calibri" w:cs="Calibri"/>
          <w:b w:val="0"/>
          <w:i w:val="0"/>
          <w:iCs w:val="0"/>
          <w:sz w:val="21"/>
          <w:szCs w:val="21"/>
          <w:lang w:val="en-US" w:eastAsia="zh-CN"/>
        </w:rPr>
        <w:t>Performance Expectancy</w:t>
      </w:r>
    </w:p>
    <w:p w14:paraId="780CF1D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In this study, p</w:t>
      </w:r>
      <w:r>
        <w:rPr>
          <w:rFonts w:hint="eastAsia" w:ascii="Calibri" w:hAnsi="Calibri" w:cs="Calibri"/>
          <w:b w:val="0"/>
          <w:i w:val="0"/>
          <w:iCs w:val="0"/>
          <w:sz w:val="21"/>
          <w:szCs w:val="21"/>
          <w:lang w:val="en-US" w:eastAsia="zh-CN"/>
        </w:rPr>
        <w:t>er</w:t>
      </w:r>
      <w:r>
        <w:rPr>
          <w:rFonts w:hint="default" w:ascii="Calibri" w:hAnsi="Calibri" w:cs="Calibri"/>
          <w:b w:val="0"/>
          <w:i w:val="0"/>
          <w:iCs w:val="0"/>
          <w:sz w:val="21"/>
          <w:szCs w:val="21"/>
          <w:lang w:val="en-US" w:eastAsia="zh-CN"/>
        </w:rPr>
        <w:t xml:space="preserve">formance expectancy refers to how students viewed the usefulness of GenAI tools for their academic writing. Interview and questionnaire responses showed that many regarded GenAI as a </w:t>
      </w:r>
      <w:r>
        <w:rPr>
          <w:rFonts w:hint="default" w:ascii="Calibri Italic" w:hAnsi="Calibri Italic" w:cs="Calibri Italic"/>
          <w:b w:val="0"/>
          <w:i/>
          <w:iCs/>
          <w:sz w:val="21"/>
          <w:szCs w:val="21"/>
          <w:lang w:val="en-US" w:eastAsia="zh-CN"/>
        </w:rPr>
        <w:t>writing supporter</w:t>
      </w:r>
      <w:r>
        <w:rPr>
          <w:rFonts w:hint="default" w:ascii="Calibri" w:hAnsi="Calibri" w:cs="Calibri"/>
          <w:b w:val="0"/>
          <w:i w:val="0"/>
          <w:iCs w:val="0"/>
          <w:sz w:val="21"/>
          <w:szCs w:val="21"/>
          <w:lang w:val="en-US" w:eastAsia="zh-CN"/>
        </w:rPr>
        <w:t xml:space="preserve">, helping them polish language, improve logical flow and text structure. Some also describe it as a </w:t>
      </w:r>
      <w:r>
        <w:rPr>
          <w:rFonts w:hint="default" w:ascii="Calibri Italic" w:hAnsi="Calibri Italic" w:cs="Calibri Italic"/>
          <w:b w:val="0"/>
          <w:i/>
          <w:iCs/>
          <w:sz w:val="21"/>
          <w:szCs w:val="21"/>
          <w:lang w:val="en-US" w:eastAsia="zh-CN"/>
        </w:rPr>
        <w:t>research assistant</w:t>
      </w:r>
      <w:r>
        <w:rPr>
          <w:rFonts w:hint="default" w:ascii="Calibri" w:hAnsi="Calibri" w:cs="Calibri"/>
          <w:b w:val="0"/>
          <w:i w:val="0"/>
          <w:iCs w:val="0"/>
          <w:sz w:val="21"/>
          <w:szCs w:val="21"/>
          <w:lang w:val="en-US" w:eastAsia="zh-CN"/>
        </w:rPr>
        <w:t xml:space="preserve">, using it for idea generation, literature searches, information gathering, and citation support. Others highlighted its value as a </w:t>
      </w:r>
      <w:r>
        <w:rPr>
          <w:rFonts w:hint="default" w:ascii="Calibri Italic" w:hAnsi="Calibri Italic" w:cs="Calibri Italic"/>
          <w:b w:val="0"/>
          <w:i/>
          <w:iCs/>
          <w:sz w:val="21"/>
          <w:szCs w:val="21"/>
          <w:lang w:val="en-US" w:eastAsia="zh-CN"/>
        </w:rPr>
        <w:t>learning partner</w:t>
      </w:r>
      <w:r>
        <w:rPr>
          <w:rFonts w:hint="default" w:ascii="Calibri" w:hAnsi="Calibri" w:cs="Calibri"/>
          <w:b w:val="0"/>
          <w:i w:val="0"/>
          <w:iCs w:val="0"/>
          <w:sz w:val="21"/>
          <w:szCs w:val="21"/>
          <w:lang w:val="en-US" w:eastAsia="zh-CN"/>
        </w:rPr>
        <w:t>, noting that they could expand their vocabulary, experiment with sentence variety, and develop other writing and research skills through its use. At the same time, participants also voiced concerns, including problems of accuracy, poor quality of sources, limited applicability of suggestions, unfairness in assessment, questions of academic integrity, and worries about over-reliance. Notably, a few students adopted a more selective stance, viewing the prompting process itself as a way to refine thinking, noting that ‘</w:t>
      </w:r>
      <w:r>
        <w:rPr>
          <w:rFonts w:hint="default" w:ascii="Calibri" w:hAnsi="Calibri" w:cs="Calibri"/>
          <w:b w:val="0"/>
          <w:i/>
          <w:iCs/>
          <w:sz w:val="21"/>
          <w:szCs w:val="21"/>
          <w:lang w:val="en-US" w:eastAsia="zh-CN"/>
        </w:rPr>
        <w:t xml:space="preserve">AI is indeed a useful tool, but prompting process is also a challenge </w:t>
      </w:r>
      <w:r>
        <w:rPr>
          <w:rFonts w:hint="eastAsia" w:ascii="Calibri" w:hAnsi="Calibri" w:cs="Calibri"/>
          <w:b w:val="0"/>
          <w:i/>
          <w:iCs/>
          <w:sz w:val="21"/>
          <w:szCs w:val="21"/>
          <w:lang w:val="en-US" w:eastAsia="zh-CN"/>
        </w:rPr>
        <w:t>…</w:t>
      </w:r>
      <w:r>
        <w:rPr>
          <w:rFonts w:hint="default" w:ascii="Calibri" w:hAnsi="Calibri" w:cs="Calibri"/>
          <w:b w:val="0"/>
          <w:i/>
          <w:iCs/>
          <w:sz w:val="21"/>
          <w:szCs w:val="21"/>
          <w:lang w:val="en-US" w:eastAsia="zh-CN"/>
        </w:rPr>
        <w:t xml:space="preserve"> a way to refine my thinking and expression</w:t>
      </w:r>
      <w:r>
        <w:rPr>
          <w:rFonts w:hint="default" w:ascii="Calibri" w:hAnsi="Calibri" w:cs="Calibri"/>
          <w:b w:val="0"/>
          <w:i w:val="0"/>
          <w:iCs w:val="0"/>
          <w:sz w:val="21"/>
          <w:szCs w:val="21"/>
          <w:lang w:val="en-US" w:eastAsia="zh-CN"/>
        </w:rPr>
        <w:t>.’ (Open Response)</w:t>
      </w:r>
    </w:p>
    <w:p w14:paraId="6716AE7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6EE49448">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4.2.2 Effort Expectancy </w:t>
      </w:r>
    </w:p>
    <w:p w14:paraId="0B178A6A">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In this study, effort Expectancy refers to how students perceived the ease of applying GenAI tools in their academic writing tasks. The analysis reveals three main themes. First, ease of use, with students expressing both smooth and frustrating experiences depending on the tool. As one student explained, ‘</w:t>
      </w:r>
      <w:r>
        <w:rPr>
          <w:rFonts w:hint="default" w:ascii="Calibri Italic" w:hAnsi="Calibri Italic" w:cs="Calibri Italic"/>
          <w:b w:val="0"/>
          <w:i/>
          <w:iCs/>
          <w:sz w:val="21"/>
          <w:szCs w:val="21"/>
          <w:lang w:val="en-US" w:eastAsia="zh-CN"/>
        </w:rPr>
        <w:t>Sometimes, it made me so frustrated that I even jokingly called it (GenAI Tool) ‘big brother’ or ‘big sister’</w:t>
      </w:r>
      <w:r>
        <w:rPr>
          <w:rFonts w:hint="default" w:ascii="Calibri" w:hAnsi="Calibri" w:cs="Calibri"/>
          <w:b w:val="0"/>
          <w:i w:val="0"/>
          <w:iCs w:val="0"/>
          <w:sz w:val="21"/>
          <w:szCs w:val="21"/>
          <w:lang w:val="en-US" w:eastAsia="zh-CN"/>
        </w:rPr>
        <w:t xml:space="preserve"> (Open Response). This humourous remark illustrates students’ occasional dissatisfaction with ease of use and shows how usability challenges could lead to frustration. Second, learning pathways, which describe how students become familiar with and learn to use these tools, primarily through self-exploration with occasional exposure to informal tutorials. Third, user strategies, which capture the ways students actively managed challenges in tool use, including iterative interaction, prompt refinement, tool switching, and verifying the reliability of generated content. </w:t>
      </w:r>
    </w:p>
    <w:p w14:paraId="53E519F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7E08AAE">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4.2.3 Social Influence </w:t>
      </w:r>
    </w:p>
    <w:p w14:paraId="1DCEDC93">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Social influence in this study refers to the extent to which teachers, peers or institutional contexts shaped students’ use of GenAI tools. Questionnaire responses suggested that many students were aware of such external influences but offered little elaboration, with some answers simply stating ‘Yes’. Interview data provided more detailed accounts. Teacher attitudes played were seen as either supportive or restrictive, while peers influenced use through collaboration and sharing of experiences. At the institutional level, students noted the absence of clear policies, with one interviewee calling for explicit guidance: ‘</w:t>
      </w:r>
      <w:r>
        <w:rPr>
          <w:rFonts w:hint="default" w:ascii="Calibri Italic" w:hAnsi="Calibri Italic" w:cs="Calibri Italic"/>
          <w:b w:val="0"/>
          <w:i/>
          <w:iCs/>
          <w:sz w:val="21"/>
          <w:szCs w:val="21"/>
          <w:lang w:val="en-US" w:eastAsia="zh-CN"/>
        </w:rPr>
        <w:t>At present, there seems to be no clear policy on the use of GAI tools. I hope there could be a supportive policy, such as setting an “AI rate”, similar to the similarity check rate for plagiarism</w:t>
      </w:r>
      <w:r>
        <w:rPr>
          <w:rFonts w:hint="default" w:ascii="Calibri" w:hAnsi="Calibri" w:cs="Calibri"/>
          <w:b w:val="0"/>
          <w:i w:val="0"/>
          <w:iCs w:val="0"/>
          <w:sz w:val="21"/>
          <w:szCs w:val="21"/>
          <w:lang w:val="en-US" w:eastAsia="zh-CN"/>
        </w:rPr>
        <w:t xml:space="preserve">’(P1). </w:t>
      </w:r>
    </w:p>
    <w:p w14:paraId="217BFE56">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77F6209">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4.2.4 Facilitating Conditions </w:t>
      </w:r>
    </w:p>
    <w:p w14:paraId="7BD1CCA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Facilitating conditions in this study refers to the organisational and technical resources that enabled or constrained students’ use of GenAI in academic writing. The qualitative analysis revealed three themes: infrastructure, training and policy. First, students’ comments on technical infrastructure largely centred on the affordances of different platforms. </w:t>
      </w:r>
      <w:r>
        <w:rPr>
          <w:rFonts w:hint="default" w:ascii="Calibri Italic" w:hAnsi="Calibri Italic" w:cs="Calibri Italic"/>
          <w:b w:val="0"/>
          <w:i/>
          <w:iCs/>
          <w:sz w:val="21"/>
          <w:szCs w:val="21"/>
          <w:lang w:val="en-US" w:eastAsia="zh-CN"/>
        </w:rPr>
        <w:t>Doubao</w:t>
      </w:r>
      <w:r>
        <w:rPr>
          <w:rFonts w:hint="default" w:ascii="Calibri" w:hAnsi="Calibri" w:cs="Calibri"/>
          <w:b w:val="0"/>
          <w:i w:val="0"/>
          <w:iCs w:val="0"/>
          <w:sz w:val="21"/>
          <w:szCs w:val="21"/>
          <w:lang w:val="en-US" w:eastAsia="zh-CN"/>
        </w:rPr>
        <w:t xml:space="preserve"> was the most frequently mentioned, valued for its ability ‘</w:t>
      </w:r>
      <w:r>
        <w:rPr>
          <w:rFonts w:hint="default" w:ascii="Calibri Italic" w:hAnsi="Calibri Italic" w:cs="Calibri Italic"/>
          <w:b w:val="0"/>
          <w:i/>
          <w:iCs/>
          <w:sz w:val="21"/>
          <w:szCs w:val="21"/>
          <w:lang w:val="en-US" w:eastAsia="zh-CN"/>
        </w:rPr>
        <w:t>to import images and documents</w:t>
      </w:r>
      <w:r>
        <w:rPr>
          <w:rFonts w:hint="default" w:ascii="Calibri" w:hAnsi="Calibri" w:cs="Calibri"/>
          <w:b w:val="0"/>
          <w:i w:val="0"/>
          <w:iCs w:val="0"/>
          <w:sz w:val="21"/>
          <w:szCs w:val="21"/>
          <w:lang w:val="en-US" w:eastAsia="zh-CN"/>
        </w:rPr>
        <w:t xml:space="preserve">’ (P2) across platforms, though students also described it in complex terms, noting both advantages and constraints. </w:t>
      </w:r>
      <w:r>
        <w:rPr>
          <w:rFonts w:hint="default" w:ascii="Calibri Italic" w:hAnsi="Calibri Italic" w:cs="Calibri Italic"/>
          <w:b w:val="0"/>
          <w:i/>
          <w:iCs/>
          <w:sz w:val="21"/>
          <w:szCs w:val="21"/>
          <w:lang w:val="en-US" w:eastAsia="zh-CN"/>
        </w:rPr>
        <w:t xml:space="preserve">DeepSeek, </w:t>
      </w:r>
      <w:r>
        <w:rPr>
          <w:rFonts w:hint="default" w:ascii="Calibri" w:hAnsi="Calibri" w:cs="Calibri"/>
          <w:b w:val="0"/>
          <w:i w:val="0"/>
          <w:iCs w:val="0"/>
          <w:sz w:val="21"/>
          <w:szCs w:val="21"/>
          <w:lang w:val="en-US" w:eastAsia="zh-CN"/>
        </w:rPr>
        <w:t>by contrast, was seen as less reliable, with one student explaining that it often displayed ‘busy at the moment’ message, making it inaccessible at times (P2). In contrast to international GenAI platforms that typically require paid subscriptions, students generally felt that domestic tools were more accessible, with many remarking that ‘</w:t>
      </w:r>
      <w:r>
        <w:rPr>
          <w:rFonts w:hint="default" w:ascii="Calibri Italic" w:hAnsi="Calibri Italic" w:cs="Calibri Italic"/>
          <w:b w:val="0"/>
          <w:i/>
          <w:iCs/>
          <w:sz w:val="21"/>
          <w:szCs w:val="21"/>
          <w:lang w:val="en-US" w:eastAsia="zh-CN"/>
        </w:rPr>
        <w:t>the free versions were already sufficient</w:t>
      </w:r>
      <w:r>
        <w:rPr>
          <w:rFonts w:hint="default" w:ascii="Calibri" w:hAnsi="Calibri" w:cs="Calibri"/>
          <w:b w:val="0"/>
          <w:i w:val="0"/>
          <w:iCs w:val="0"/>
          <w:sz w:val="21"/>
          <w:szCs w:val="21"/>
          <w:lang w:val="en-US" w:eastAsia="zh-CN"/>
        </w:rPr>
        <w:t>’ (P1) for their academic needs. Second, training and support, with most reporting little formal instruction, instead relying on self-learning, such as tutorials on Bilibili (a Chinese video platform, similar to Youtube) or occasional exposure in class. Third, policy guidance was not a theme students raised spontaneously, which shows that policy awareness was strong among students. But when asked directly, most pointed out no clear rules exist and went on to outline their expectations for further policies. One student remarked, ‘</w:t>
      </w:r>
      <w:r>
        <w:rPr>
          <w:rFonts w:hint="default" w:ascii="Calibri Italic" w:hAnsi="Calibri Italic" w:cs="Calibri Italic"/>
          <w:b w:val="0"/>
          <w:i/>
          <w:iCs/>
          <w:sz w:val="21"/>
          <w:szCs w:val="21"/>
          <w:lang w:val="en-US" w:eastAsia="zh-CN"/>
        </w:rPr>
        <w:t>I hope the AI use policy at the university level can be scientific and well-grounded</w:t>
      </w:r>
      <w:r>
        <w:rPr>
          <w:rFonts w:hint="default" w:ascii="Calibri" w:hAnsi="Calibri" w:cs="Calibri"/>
          <w:b w:val="0"/>
          <w:i w:val="0"/>
          <w:iCs w:val="0"/>
          <w:sz w:val="21"/>
          <w:szCs w:val="21"/>
          <w:lang w:val="en-US" w:eastAsia="zh-CN"/>
        </w:rPr>
        <w:t xml:space="preserve">’ (P2). </w:t>
      </w:r>
    </w:p>
    <w:p w14:paraId="573C8FB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18653A69">
      <w:pPr>
        <w:keepNext w:val="0"/>
        <w:keepLines w:val="0"/>
        <w:pageBreakBefore w:val="0"/>
        <w:widowControl w:val="0"/>
        <w:kinsoku/>
        <w:wordWrap/>
        <w:overflowPunct/>
        <w:topLinePunct w:val="0"/>
        <w:autoSpaceDE/>
        <w:autoSpaceDN/>
        <w:bidi w:val="0"/>
        <w:adjustRightInd/>
        <w:snapToGrid/>
        <w:spacing w:line="360" w:lineRule="auto"/>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4.2.5 Behaviour Intention</w:t>
      </w:r>
    </w:p>
    <w:p w14:paraId="1AFDC9A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In this study, behaviour intention refers to students’ stated willingness to continue using GenAI tools in academic writing. Many students expressed positive intentions, emphasising its usefulness in ‘</w:t>
      </w:r>
      <w:r>
        <w:rPr>
          <w:rFonts w:hint="default" w:ascii="Calibri Italic" w:hAnsi="Calibri Italic" w:cs="Calibri Italic"/>
          <w:b w:val="0"/>
          <w:i/>
          <w:iCs/>
          <w:sz w:val="21"/>
          <w:szCs w:val="21"/>
          <w:lang w:val="en-US" w:eastAsia="zh-CN"/>
        </w:rPr>
        <w:t>broadening visions and saving time</w:t>
      </w:r>
      <w:r>
        <w:rPr>
          <w:rFonts w:hint="default" w:ascii="Calibri" w:hAnsi="Calibri" w:cs="Calibri"/>
          <w:b w:val="0"/>
          <w:i w:val="0"/>
          <w:iCs w:val="0"/>
          <w:sz w:val="21"/>
          <w:szCs w:val="21"/>
          <w:lang w:val="en-US" w:eastAsia="zh-CN"/>
        </w:rPr>
        <w:t xml:space="preserve">’ (P2). At the same time, some revealed more ambivalent attitudes. As one participant explained, ‘ </w:t>
      </w:r>
      <w:r>
        <w:rPr>
          <w:rFonts w:hint="default" w:ascii="Calibri Italic" w:hAnsi="Calibri Italic" w:cs="Calibri Italic"/>
          <w:b w:val="0"/>
          <w:i/>
          <w:iCs/>
          <w:sz w:val="21"/>
          <w:szCs w:val="21"/>
          <w:lang w:val="en-US" w:eastAsia="zh-CN"/>
        </w:rPr>
        <w:t xml:space="preserve">I need its help, but I am also afraid of being found out for using it </w:t>
      </w:r>
      <w:r>
        <w:rPr>
          <w:rFonts w:hint="default" w:ascii="Calibri" w:hAnsi="Calibri" w:cs="Calibri"/>
          <w:b w:val="0"/>
          <w:i w:val="0"/>
          <w:iCs w:val="0"/>
          <w:sz w:val="21"/>
          <w:szCs w:val="21"/>
          <w:lang w:val="en-US" w:eastAsia="zh-CN"/>
        </w:rPr>
        <w:t>‘(Open Response). This comment captures tension between recognising the benefits of GenAI and fearing risks to academic integrity. Several students took a conditional stance, noting that the convenience must be balanced against potential drawbacks, ‘</w:t>
      </w:r>
      <w:r>
        <w:rPr>
          <w:rFonts w:hint="default" w:ascii="Calibri Italic" w:hAnsi="Calibri Italic" w:cs="Calibri Italic"/>
          <w:b w:val="0"/>
          <w:i/>
          <w:iCs/>
          <w:sz w:val="21"/>
          <w:szCs w:val="21"/>
          <w:lang w:val="en-US" w:eastAsia="zh-CN"/>
        </w:rPr>
        <w:t>so it needs to be used with care</w:t>
      </w:r>
      <w:r>
        <w:rPr>
          <w:rFonts w:hint="default" w:ascii="Calibri" w:hAnsi="Calibri" w:cs="Calibri"/>
          <w:b w:val="0"/>
          <w:i w:val="0"/>
          <w:iCs w:val="0"/>
          <w:sz w:val="21"/>
          <w:szCs w:val="21"/>
          <w:lang w:val="en-US" w:eastAsia="zh-CN"/>
        </w:rPr>
        <w:t xml:space="preserve">’ (Open Response).   </w:t>
      </w:r>
    </w:p>
    <w:p w14:paraId="3BDCC248">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749A80D">
      <w:pPr>
        <w:outlineLvl w:val="0"/>
        <w:rPr>
          <w:rFonts w:hint="eastAsia" w:ascii="Calibri Regular" w:hAnsi="Calibri Regular" w:cs="Calibri Regular"/>
          <w:b w:val="0"/>
          <w:sz w:val="28"/>
          <w:szCs w:val="28"/>
          <w:lang w:val="en-US" w:eastAsia="zh-CN"/>
        </w:rPr>
      </w:pPr>
      <w:r>
        <w:rPr>
          <w:rFonts w:hint="default" w:ascii="Calibri Regular" w:hAnsi="Calibri Regular" w:cs="Calibri Regular"/>
          <w:b w:val="0"/>
          <w:sz w:val="28"/>
          <w:szCs w:val="28"/>
          <w:lang w:val="en-US"/>
        </w:rPr>
        <w:t>Chapter 5: Discussion</w:t>
      </w:r>
      <w:r>
        <w:rPr>
          <w:rFonts w:hint="eastAsia" w:ascii="Calibri Regular" w:hAnsi="Calibri Regular" w:cs="Calibri Regular"/>
          <w:b w:val="0"/>
          <w:sz w:val="28"/>
          <w:szCs w:val="28"/>
          <w:lang w:val="en-US" w:eastAsia="zh-CN"/>
        </w:rPr>
        <w:t xml:space="preserve"> </w:t>
      </w:r>
    </w:p>
    <w:p w14:paraId="7B5EDCB1">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5.1 Introduction</w:t>
      </w:r>
    </w:p>
    <w:p w14:paraId="0279352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study revealed four key insights into students’ engagement with generative AI tools in their academic writing. These insights emerged from both the quantitative questionnaire and qualitative responses, providing a more comprehensive understanding of students’ practices and perceptions in research-based academic writing. In the following section, these key findings are discussed in relation to the research questions, while also engaging with relevant theories and existing literature to provide a more comprehensive interpretation of the results. </w:t>
      </w:r>
    </w:p>
    <w:p w14:paraId="3409114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67CD5270">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5.2 Discussion of Key Findings  </w:t>
      </w:r>
    </w:p>
    <w:p w14:paraId="1498A9AA">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420" w:leftChars="0" w:hanging="420" w:firstLineChars="0"/>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RQ1: What are the usage patterns of GenAI tools among Chinese university students in the context of academic writing?</w:t>
      </w:r>
    </w:p>
    <w:p w14:paraId="33A0573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41A966E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In the context of teacher support in this study, nearly all students (21 out of 22) reported using GenAI tools to support their academic writing tasks, predominantly relying on Chinese-developed platforms, with only one student mentioning ChatGPT. Their reported frequency was moderately high (M=4.19/6), with the heaviest use occurring in the pre-writing and revising stages.</w:t>
      </w:r>
      <w:r>
        <w:rPr>
          <w:rFonts w:hint="eastAsia" w:ascii="Calibri" w:hAnsi="Calibri" w:cs="Calibri"/>
          <w:b w:val="0"/>
          <w:i w:val="0"/>
          <w:iCs w:val="0"/>
          <w:sz w:val="21"/>
          <w:szCs w:val="21"/>
          <w:lang w:val="en-US" w:eastAsia="zh-CN"/>
        </w:rPr>
        <w:t xml:space="preserve"> </w:t>
      </w:r>
      <w:r>
        <w:rPr>
          <w:rFonts w:hint="default" w:ascii="Calibri" w:hAnsi="Calibri" w:cs="Calibri"/>
          <w:b w:val="0"/>
          <w:i w:val="0"/>
          <w:iCs w:val="0"/>
          <w:sz w:val="21"/>
          <w:szCs w:val="21"/>
          <w:lang w:val="en-US" w:eastAsia="zh-CN"/>
        </w:rPr>
        <w:t>Students primarily used those tools for writing support (language, logic and structure), research assistance (topic generation, literature review, and information search), and learning support. Overall, perceptions were more positive than negative, as students acknowledged the usefulness and ease of use of GenAI tools.</w:t>
      </w:r>
      <w:r>
        <w:rPr>
          <w:rFonts w:hint="default" w:ascii="Calibri" w:hAnsi="Calibri" w:cs="Calibri"/>
          <w:b w:val="0"/>
          <w:i w:val="0"/>
          <w:iCs w:val="0"/>
          <w:sz w:val="21"/>
          <w:szCs w:val="21"/>
          <w:highlight w:val="none"/>
          <w:lang w:val="en-US" w:eastAsia="zh-CN"/>
        </w:rPr>
        <w:t xml:space="preserve"> At the same time, </w:t>
      </w:r>
      <w:r>
        <w:rPr>
          <w:rFonts w:hint="default" w:ascii="Calibri" w:hAnsi="Calibri" w:cs="Calibri"/>
          <w:b w:val="0"/>
          <w:i w:val="0"/>
          <w:iCs w:val="0"/>
          <w:sz w:val="21"/>
          <w:szCs w:val="21"/>
          <w:lang w:val="en-US" w:eastAsia="zh-CN"/>
        </w:rPr>
        <w:t xml:space="preserve">they expressed concerns about accuracy, quality of outputs, misalignment with their current academic abilities, and possible over-reliance. Despite this widespread use, students’ confidence remained only moderate, with most selecting neutral and even the high-confidence group reporting slightly lower mean SRL scores. </w:t>
      </w:r>
    </w:p>
    <w:p w14:paraId="5391FB6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0ED12B9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These findings align closely with prior UTAUT-based studies of technology adoption. Consistent with Venkatesh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’s</w:t>
      </w:r>
      <w:r>
        <w:rPr>
          <w:rFonts w:hint="default" w:ascii="Calibri Italic" w:hAnsi="Calibri Italic" w:cs="Calibri Italic"/>
          <w:b w:val="0"/>
          <w:i/>
          <w:iCs/>
          <w:sz w:val="21"/>
          <w:szCs w:val="21"/>
          <w:lang w:val="en-US" w:eastAsia="zh-CN"/>
        </w:rPr>
        <w:t xml:space="preserve"> </w:t>
      </w:r>
      <w:r>
        <w:rPr>
          <w:rFonts w:hint="default" w:ascii="Calibri" w:hAnsi="Calibri" w:cs="Calibri"/>
          <w:b w:val="0"/>
          <w:i w:val="0"/>
          <w:iCs w:val="0"/>
          <w:sz w:val="21"/>
          <w:szCs w:val="21"/>
          <w:lang w:val="en-US" w:eastAsia="zh-CN"/>
        </w:rPr>
        <w:t xml:space="preserve">(2003) model, students in this study demonstrate strong performance expectancy and recognised the effort expectancy of GenAI tools, yet their confidence did not mirror their high usage, reflecting insufficient facilitating conditions. Dong’s (2024) mixed-methods study of ChatGPT use in L2 writing similarly found that while performance expectancy and effort expectancy predicted behavioural intention, facilitating conditions were the strongest predictor of actual use. Importantly, Dong also observed that social influence negatively affected students’ intention. This resonates with the ambivalence observed here: while teacher support encouraged students to use the tools, the lack of clear institutional policies left some uncertain and even fearful of ‘being found out’. As Holmes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(2023) emphasise, the use of AI in education requires clear legal and organisational frameworks to ensure its enabling, monitoring, and governance. In the absence of such frameworks, learners may remain uncertain about what constitute legitimate and responsible use. This may help explain why, in this study, students -- despite frequent use of GenAI tools -- reported only moderate confidence. </w:t>
      </w:r>
    </w:p>
    <w:p w14:paraId="0878E10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695D577D">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420" w:leftChars="0" w:hanging="420" w:firstLineChars="0"/>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RQ2: What strategies do students employ at different stages of the academic writing process when engaging with GenAI tools? </w:t>
      </w:r>
    </w:p>
    <w:p w14:paraId="7BB7CD2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47886DF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integration of questionnaire results and interview themes provides a holistic picture of how undergraduate students, who are still novice in research, employed SRL strategies when engaging with GenAI throughout the process of research-based academic writing. As illustrated in Figure 10, their strategies can be mapped onto typical stages of research writing -- topic selection, literature review, conducing research, reporting draft, revising, and reflection. Each stage was associated with specific forms of self-regulation, revealing both strengths and weaknesses in students’ use of GenAI. This process highlights how students strategically incorporated GenAI tools at different points in academic writing, but also where their regulation remained limited, particularly in planning and reflection. </w:t>
      </w:r>
    </w:p>
    <w:p w14:paraId="7D81760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6B0A76D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drawing>
          <wp:inline distT="0" distB="0" distL="114300" distR="114300">
            <wp:extent cx="5271135" cy="2226945"/>
            <wp:effectExtent l="0" t="0" r="12065" b="8255"/>
            <wp:docPr id="3" name="图片 3" descr="SRL.dra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SRL.drawio"/>
                    <pic:cNvPicPr>
                      <a:picLocks noChangeAspect="1"/>
                    </pic:cNvPicPr>
                  </pic:nvPicPr>
                  <pic:blipFill>
                    <a:blip r:embed="rId14"/>
                    <a:stretch>
                      <a:fillRect/>
                    </a:stretch>
                  </pic:blipFill>
                  <pic:spPr>
                    <a:xfrm>
                      <a:off x="0" y="0"/>
                      <a:ext cx="5271135" cy="2226945"/>
                    </a:xfrm>
                    <a:prstGeom prst="rect">
                      <a:avLst/>
                    </a:prstGeom>
                  </pic:spPr>
                </pic:pic>
              </a:graphicData>
            </a:graphic>
          </wp:inline>
        </w:drawing>
      </w:r>
    </w:p>
    <w:p w14:paraId="702BEBE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Figure 10. SRL Strategies across stages of research-based academic writing with GenAI tools</w:t>
      </w:r>
    </w:p>
    <w:p w14:paraId="18375E5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671B7E4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following discussion traces students’ SRL strategies across these stages. Students employed goal-setting strategies at the beginning by analysing the task and selecting the tools they are familiar with. GenAI was often seen a brainstorming partner that help students generate ideas, while final decisions remained under students’ control, shaped by group discussion and literature review, and their current academic competence. </w:t>
      </w:r>
      <w:r>
        <w:rPr>
          <w:rFonts w:hint="eastAsia" w:ascii="Calibri" w:hAnsi="Calibri" w:cs="Calibri"/>
          <w:b w:val="0"/>
          <w:i w:val="0"/>
          <w:iCs w:val="0"/>
          <w:sz w:val="21"/>
          <w:szCs w:val="21"/>
          <w:lang w:val="en-US" w:eastAsia="zh-CN"/>
        </w:rPr>
        <w:t xml:space="preserve">In the literature review stage, </w:t>
      </w:r>
      <w:r>
        <w:rPr>
          <w:rFonts w:hint="default" w:ascii="Calibri" w:hAnsi="Calibri" w:cs="Calibri"/>
          <w:b w:val="0"/>
          <w:i w:val="0"/>
          <w:iCs w:val="0"/>
          <w:sz w:val="21"/>
          <w:szCs w:val="21"/>
          <w:lang w:val="en-US" w:eastAsia="zh-CN"/>
        </w:rPr>
        <w:t xml:space="preserve">students reported that the quality of AI-provided references are often unsatisfactory. Nevertheless, </w:t>
      </w:r>
      <w:r>
        <w:rPr>
          <w:rFonts w:hint="eastAsia" w:ascii="Calibri" w:hAnsi="Calibri" w:cs="Calibri"/>
          <w:b w:val="0"/>
          <w:i w:val="0"/>
          <w:iCs w:val="0"/>
          <w:sz w:val="21"/>
          <w:szCs w:val="21"/>
          <w:lang w:val="en-US" w:eastAsia="zh-CN"/>
        </w:rPr>
        <w:t>students demonst</w:t>
      </w:r>
      <w:r>
        <w:rPr>
          <w:rFonts w:hint="default" w:ascii="Calibri" w:hAnsi="Calibri" w:cs="Calibri"/>
          <w:b w:val="0"/>
          <w:i w:val="0"/>
          <w:iCs w:val="0"/>
          <w:sz w:val="21"/>
          <w:szCs w:val="21"/>
          <w:lang w:val="en-US" w:eastAsia="zh-CN"/>
        </w:rPr>
        <w:t xml:space="preserve">rated a degree of critical AI literacy by proactively checking the accuracy and reliability of AI-generated literature. During the research stage, students mainly adopted </w:t>
      </w:r>
      <w:r>
        <w:rPr>
          <w:rFonts w:hint="eastAsia" w:ascii="Calibri" w:hAnsi="Calibri" w:cs="Calibri"/>
          <w:b w:val="0"/>
          <w:i w:val="0"/>
          <w:iCs w:val="0"/>
          <w:sz w:val="21"/>
          <w:szCs w:val="21"/>
          <w:lang w:val="en-US" w:eastAsia="zh-CN"/>
        </w:rPr>
        <w:t xml:space="preserve">self-instruction </w:t>
      </w:r>
      <w:r>
        <w:rPr>
          <w:rFonts w:hint="default" w:ascii="Calibri" w:hAnsi="Calibri" w:cs="Calibri"/>
          <w:b w:val="0"/>
          <w:i w:val="0"/>
          <w:iCs w:val="0"/>
          <w:sz w:val="21"/>
          <w:szCs w:val="21"/>
          <w:lang w:val="en-US" w:eastAsia="zh-CN"/>
        </w:rPr>
        <w:t xml:space="preserve">strategies to decide whether or how to use GenAI. However, students’ accounts suggest that in practice they depended more on their own efforts, with some even noting that online tutorial or social media videos were more helpful than GenAI tools in learning research methods. </w:t>
      </w:r>
      <w:r>
        <w:rPr>
          <w:rFonts w:hint="eastAsia" w:ascii="Calibri" w:hAnsi="Calibri" w:cs="Calibri"/>
          <w:b w:val="0"/>
          <w:i w:val="0"/>
          <w:iCs w:val="0"/>
          <w:sz w:val="21"/>
          <w:szCs w:val="21"/>
          <w:lang w:val="en-US" w:eastAsia="zh-CN"/>
        </w:rPr>
        <w:t>Stud</w:t>
      </w:r>
      <w:r>
        <w:rPr>
          <w:rFonts w:hint="default" w:ascii="Calibri" w:hAnsi="Calibri" w:cs="Calibri"/>
          <w:b w:val="0"/>
          <w:i w:val="0"/>
          <w:iCs w:val="0"/>
          <w:sz w:val="21"/>
          <w:szCs w:val="21"/>
          <w:lang w:val="en-US" w:eastAsia="zh-CN"/>
        </w:rPr>
        <w:t xml:space="preserve">ents’ SRL most active during the drafting stage, where self-monitoring emerged as the strongest strategy. The three self-monitoring items were the highest among all twelve in the questionnaire, and </w:t>
      </w:r>
      <w:r>
        <w:rPr>
          <w:rFonts w:hint="eastAsia" w:ascii="Calibri" w:hAnsi="Calibri" w:cs="Calibri"/>
          <w:b w:val="0"/>
          <w:i w:val="0"/>
          <w:iCs w:val="0"/>
          <w:sz w:val="21"/>
          <w:szCs w:val="21"/>
          <w:lang w:val="en-US" w:eastAsia="zh-CN"/>
        </w:rPr>
        <w:t>Interview</w:t>
      </w:r>
      <w:r>
        <w:rPr>
          <w:rFonts w:hint="default" w:ascii="Calibri" w:hAnsi="Calibri" w:cs="Calibri"/>
          <w:b w:val="0"/>
          <w:i w:val="0"/>
          <w:iCs w:val="0"/>
          <w:sz w:val="21"/>
          <w:szCs w:val="21"/>
          <w:lang w:val="en-US" w:eastAsia="zh-CN"/>
        </w:rPr>
        <w:t xml:space="preserve"> data</w:t>
      </w:r>
      <w:r>
        <w:rPr>
          <w:rFonts w:hint="eastAsia" w:ascii="Calibri" w:hAnsi="Calibri" w:cs="Calibri"/>
          <w:b w:val="0"/>
          <w:i w:val="0"/>
          <w:iCs w:val="0"/>
          <w:sz w:val="21"/>
          <w:szCs w:val="21"/>
          <w:lang w:val="en-US" w:eastAsia="zh-CN"/>
        </w:rPr>
        <w:t xml:space="preserve"> </w:t>
      </w:r>
      <w:r>
        <w:rPr>
          <w:rFonts w:hint="default" w:ascii="Calibri" w:hAnsi="Calibri" w:cs="Calibri"/>
          <w:b w:val="0"/>
          <w:i w:val="0"/>
          <w:iCs w:val="0"/>
          <w:sz w:val="21"/>
          <w:szCs w:val="21"/>
          <w:lang w:val="en-US" w:eastAsia="zh-CN"/>
        </w:rPr>
        <w:t xml:space="preserve">confirmed this trend: all three interviewees emphasised that language improvement was the most prominent function of GenAI tools. Their dynamic ‘use-and-revise’ approach indicates that GenAI was integrated as a co-editor in drafting,  reflecting strong self-observation in Zimmerman’s (2000) terms. By contrast, in the </w:t>
      </w:r>
      <w:r>
        <w:rPr>
          <w:rFonts w:hint="eastAsia" w:ascii="Calibri" w:hAnsi="Calibri" w:cs="Calibri"/>
          <w:b w:val="0"/>
          <w:i w:val="0"/>
          <w:iCs w:val="0"/>
          <w:sz w:val="21"/>
          <w:szCs w:val="21"/>
          <w:lang w:val="en-US" w:eastAsia="zh-CN"/>
        </w:rPr>
        <w:t>revising</w:t>
      </w:r>
      <w:r>
        <w:rPr>
          <w:rFonts w:hint="default" w:ascii="Calibri" w:hAnsi="Calibri" w:cs="Calibri"/>
          <w:b w:val="0"/>
          <w:i w:val="0"/>
          <w:iCs w:val="0"/>
          <w:sz w:val="21"/>
          <w:szCs w:val="21"/>
          <w:lang w:val="en-US" w:eastAsia="zh-CN"/>
        </w:rPr>
        <w:t xml:space="preserve"> phase students rarely engaged in full draft modification or evaluation, and this item, together with the item measuring satisfaction with GenAI-assisted outcomes, received the lowest scores among all twelve questionnaire items. In addition, at the reflection stage, students</w:t>
      </w:r>
      <w:r>
        <w:rPr>
          <w:rFonts w:hint="eastAsia" w:ascii="Calibri" w:hAnsi="Calibri" w:cs="Calibri"/>
          <w:b w:val="0"/>
          <w:i w:val="0"/>
          <w:iCs w:val="0"/>
          <w:sz w:val="21"/>
          <w:szCs w:val="21"/>
          <w:lang w:val="en-US" w:eastAsia="zh-CN"/>
        </w:rPr>
        <w:t xml:space="preserve"> focus</w:t>
      </w:r>
      <w:r>
        <w:rPr>
          <w:rFonts w:hint="default" w:ascii="Calibri" w:hAnsi="Calibri" w:cs="Calibri"/>
          <w:b w:val="0"/>
          <w:i w:val="0"/>
          <w:iCs w:val="0"/>
          <w:sz w:val="21"/>
          <w:szCs w:val="21"/>
          <w:lang w:val="en-US" w:eastAsia="zh-CN"/>
        </w:rPr>
        <w:t xml:space="preserve">ed mainly on </w:t>
      </w:r>
      <w:r>
        <w:rPr>
          <w:rFonts w:hint="eastAsia" w:ascii="Calibri" w:hAnsi="Calibri" w:cs="Calibri"/>
          <w:b w:val="0"/>
          <w:i w:val="0"/>
          <w:iCs w:val="0"/>
          <w:sz w:val="21"/>
          <w:szCs w:val="21"/>
          <w:lang w:val="en-US" w:eastAsia="zh-CN"/>
        </w:rPr>
        <w:t>concerns fo</w:t>
      </w:r>
      <w:r>
        <w:rPr>
          <w:rFonts w:hint="default" w:ascii="Calibri" w:hAnsi="Calibri" w:cs="Calibri"/>
          <w:b w:val="0"/>
          <w:i w:val="0"/>
          <w:iCs w:val="0"/>
          <w:sz w:val="21"/>
          <w:szCs w:val="21"/>
          <w:lang w:val="en-US" w:eastAsia="zh-CN"/>
        </w:rPr>
        <w:t xml:space="preserve">r dependency or fear of detection. This stands in sharp contrast to Ou et al. (2024), who found that doctoral students, through a scaffolded SRL-based curriculum, developed critical GenAI literacy by reflecting on prompting methods, ethical implications, and issues of authorship. This comparison highlights the necessity of more systematic curricular interventions to help undergraduate students, as novice researchers, cultivate critical AI literacy. </w:t>
      </w:r>
    </w:p>
    <w:p w14:paraId="32DE9A7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1C9C612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From a social cognitive perspective, Zimmerman (2000) conceptualises self-regulation as a cyclical process consisting of forethought, performance, and self-reflection phases. In this study, students’ SRL was most active in the performance phase, particularly in monitoring strategies, while both forethought and reflection received relatively lower scores. The weakness in reflection may partly explain why students’ planning behaviours were only moderately developed. Without deep reflection on whether and how GenAI contributed to their writing, students lacked feedback to inform their subsequent goal-setting and strategic planning. Combined with the absence of systematic training and institutional guidance, this meant that both forethought and reflection were less effective than they could be, constraining the development of SRL strategies in the context of AI-supported academic writing. </w:t>
      </w:r>
    </w:p>
    <w:p w14:paraId="4A5D98E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1178A7F4">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420" w:leftChars="0" w:hanging="420" w:firstLineChars="0"/>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RQ3: How do students perceive the role and value of GenAI tools in AI-assisted academic writing? </w:t>
      </w:r>
    </w:p>
    <w:p w14:paraId="79E6C9C8">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18AB72AE">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Students’ overall perceptions of domestic GenAI tools were more positive than negative. They repeatedly described GenAI as useful, convenient, easy to use and expressive. The perceived roles of GenAI were those of a writing supporter, a research assistant, and as a learning partner. Its value was associated with generating new ideas, providing logical outlines, standardising language, offering inspiration, and saving time. These findings are consistent with previously studies that reported students generally perceive GenAI tools as practical and supportive in writing, while also recognising their limitations (Nguyen, L.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2024; Kim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2025). Although these studies focused on ChatGPT, students’ perceptions in the present study of domestic GenAI tools appear broadly similar. </w:t>
      </w:r>
    </w:p>
    <w:p w14:paraId="79626835">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01FB26A4">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Along these positive views, students expressed several concerns. They noted that AI-generated literature often lacked accuracy or quality, and some outputs exceeded their current academic levels, making them difficult to apply. Others worried about over-reliance, which they feared might hinder their writing development, or about potential risks to academic integrity. Some students demonstrated human agency by abandoning GenAI and relying on their own skills when the tool was not helpful. However, this does not necessarily imply strong agency; rather, it reflects a lack of alternative strategies for critically engaging with AI outputs. </w:t>
      </w:r>
    </w:p>
    <w:p w14:paraId="3B4ABE20">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50A85AFA">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 particularly notable theme was applicability. </w:t>
      </w:r>
      <w:r>
        <w:rPr>
          <w:rFonts w:hint="eastAsia" w:ascii="Calibri" w:hAnsi="Calibri" w:cs="Calibri"/>
          <w:b w:val="0"/>
          <w:i w:val="0"/>
          <w:iCs w:val="0"/>
          <w:sz w:val="21"/>
          <w:szCs w:val="21"/>
          <w:lang w:val="en-US" w:eastAsia="zh-CN"/>
        </w:rPr>
        <w:t>S</w:t>
      </w:r>
      <w:r>
        <w:rPr>
          <w:rFonts w:hint="default" w:ascii="Calibri" w:hAnsi="Calibri" w:cs="Calibri"/>
          <w:b w:val="0"/>
          <w:i w:val="0"/>
          <w:iCs w:val="0"/>
          <w:sz w:val="21"/>
          <w:szCs w:val="21"/>
          <w:lang w:val="en-US" w:eastAsia="zh-CN"/>
        </w:rPr>
        <w:t xml:space="preserve">tudents in this study </w:t>
      </w:r>
      <w:r>
        <w:rPr>
          <w:rFonts w:hint="eastAsia" w:ascii="Calibri" w:hAnsi="Calibri" w:cs="Calibri"/>
          <w:b w:val="0"/>
          <w:i w:val="0"/>
          <w:iCs w:val="0"/>
          <w:sz w:val="21"/>
          <w:szCs w:val="21"/>
          <w:lang w:val="en-US" w:eastAsia="zh-CN"/>
        </w:rPr>
        <w:t xml:space="preserve">reported </w:t>
      </w:r>
      <w:r>
        <w:rPr>
          <w:rFonts w:hint="default" w:ascii="Calibri" w:hAnsi="Calibri" w:cs="Calibri"/>
          <w:b w:val="0"/>
          <w:i w:val="0"/>
          <w:iCs w:val="0"/>
          <w:sz w:val="21"/>
          <w:szCs w:val="21"/>
          <w:lang w:val="en-US" w:eastAsia="zh-CN"/>
        </w:rPr>
        <w:t>that AI content was not always aligned with their current level of expertise</w:t>
      </w:r>
      <w:r>
        <w:rPr>
          <w:rFonts w:hint="eastAsia" w:ascii="Calibri" w:hAnsi="Calibri" w:cs="Calibri"/>
          <w:b w:val="0"/>
          <w:i w:val="0"/>
          <w:iCs w:val="0"/>
          <w:sz w:val="21"/>
          <w:szCs w:val="21"/>
          <w:lang w:val="en-US" w:eastAsia="zh-CN"/>
        </w:rPr>
        <w:t xml:space="preserve"> -- </w:t>
      </w:r>
      <w:r>
        <w:rPr>
          <w:rFonts w:hint="default" w:ascii="Calibri" w:hAnsi="Calibri" w:cs="Calibri"/>
          <w:b w:val="0"/>
          <w:i w:val="0"/>
          <w:iCs w:val="0"/>
          <w:sz w:val="21"/>
          <w:szCs w:val="21"/>
          <w:lang w:val="en-US" w:eastAsia="zh-CN"/>
        </w:rPr>
        <w:t xml:space="preserve">for example, </w:t>
      </w:r>
      <w:r>
        <w:rPr>
          <w:rFonts w:hint="eastAsia" w:ascii="Calibri" w:hAnsi="Calibri" w:cs="Calibri"/>
          <w:b w:val="0"/>
          <w:i w:val="0"/>
          <w:iCs w:val="0"/>
          <w:sz w:val="21"/>
          <w:szCs w:val="21"/>
          <w:lang w:val="en-US" w:eastAsia="zh-CN"/>
        </w:rPr>
        <w:t xml:space="preserve">when </w:t>
      </w:r>
      <w:r>
        <w:rPr>
          <w:rFonts w:hint="default" w:ascii="Calibri" w:hAnsi="Calibri" w:cs="Calibri"/>
          <w:b w:val="0"/>
          <w:i w:val="0"/>
          <w:iCs w:val="0"/>
          <w:sz w:val="21"/>
          <w:szCs w:val="21"/>
          <w:lang w:val="en-US" w:eastAsia="zh-CN"/>
        </w:rPr>
        <w:t>GenAI</w:t>
      </w:r>
      <w:r>
        <w:rPr>
          <w:rFonts w:hint="eastAsia" w:ascii="Calibri" w:hAnsi="Calibri" w:cs="Calibri"/>
          <w:b w:val="0"/>
          <w:i w:val="0"/>
          <w:iCs w:val="0"/>
          <w:sz w:val="21"/>
          <w:szCs w:val="21"/>
          <w:lang w:val="en-US" w:eastAsia="zh-CN"/>
        </w:rPr>
        <w:t xml:space="preserve"> sug</w:t>
      </w:r>
      <w:r>
        <w:rPr>
          <w:rFonts w:hint="default" w:ascii="Calibri" w:hAnsi="Calibri" w:cs="Calibri"/>
          <w:b w:val="0"/>
          <w:i w:val="0"/>
          <w:iCs w:val="0"/>
          <w:sz w:val="21"/>
          <w:szCs w:val="21"/>
          <w:lang w:val="en-US" w:eastAsia="zh-CN"/>
        </w:rPr>
        <w:t xml:space="preserve">gested research methodologies that exceeded their competence. This resonate with Kasneci </w:t>
      </w:r>
      <w:r>
        <w:rPr>
          <w:rFonts w:hint="default" w:ascii="Calibri Italic" w:hAnsi="Calibri Italic" w:cs="Calibri Italic"/>
          <w:b w:val="0"/>
          <w:i/>
          <w:iCs/>
          <w:sz w:val="21"/>
          <w:szCs w:val="21"/>
          <w:lang w:val="en-US" w:eastAsia="zh-CN"/>
        </w:rPr>
        <w:t xml:space="preserve">et al. </w:t>
      </w:r>
      <w:r>
        <w:rPr>
          <w:rFonts w:hint="default" w:ascii="Calibri" w:hAnsi="Calibri" w:cs="Calibri"/>
          <w:b w:val="0"/>
          <w:i w:val="0"/>
          <w:iCs w:val="0"/>
          <w:sz w:val="21"/>
          <w:szCs w:val="21"/>
          <w:lang w:val="en-US" w:eastAsia="zh-CN"/>
        </w:rPr>
        <w:t xml:space="preserve">(2023), who argue that large language models currently lack adaptability. Such limitations help explain why students sometimes found GenAI outputs useful but at other times inaccessible. This invites us to reconsider Vygotsky’s (1978) concept of the zone of proximal development and to ask whether there exists an ‘AI zone of proximal development’, in which GenAI outputs are only beneficial within certain boundaries of learners’ ability. </w:t>
      </w:r>
    </w:p>
    <w:p w14:paraId="3AAC78C7">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p>
    <w:p w14:paraId="3196DED1">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Finally, students also raised concerns about fairness. They did not perceive access to different platforms or paid version of GenAI tools as a major concern, since they had equal access to mostly free domestic platforms. Instead, their sense of unfairness arose from outcomes; some noted that it would feel unjust if peers relied entirely on AI to complete assignments and nevertheless received higher grades. In this way, the fairness issue was shifted from access to concerns about academic integrity and assessment practices in the Chinese context. </w:t>
      </w:r>
    </w:p>
    <w:p w14:paraId="79D429A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p>
    <w:p w14:paraId="24DCF677">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420" w:leftChars="0" w:hanging="420" w:firstLineChars="0"/>
        <w:textAlignment w:val="auto"/>
        <w:outlineLvl w:val="2"/>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RQ4: What personal, social, and pedagogical factors influence students’ behaviours and perceptions regarding the use of GenAI tools?</w:t>
      </w:r>
    </w:p>
    <w:p w14:paraId="543E07B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 study also explored the personal, social, and pedagogical factors that may shape students’ behaviours and perceptions in using GenAI tools. </w:t>
      </w:r>
    </w:p>
    <w:p w14:paraId="7A6F4DAE">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63079FB">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At the personal level, the questionnaire included items on year of study, self-reported confidence of using GenAI tools, AI literacy, and previous training. Among these, year and confidence showed no significant group difference in SRL strategies. Students with previous training training displayed slightly higher scores than those without training, but the difference did not reach statistically significance. With regard to AI literacy, students reported relatively high level of awareness and understanding of AI. However, whether this literacy directly translates into actual usage behaviour remains uncertain. As the current findings are based on self-reported data, further studies employing observation methods, for example, would be needed to examine potential gap between what students claim to know and what they actually do in practice. </w:t>
      </w:r>
    </w:p>
    <w:p w14:paraId="5334701F">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77DE361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There are three salient factors at the social level: peer influence, teacher support and institutional policy. First, peer influence was particularly evident in this group writing task. Peer discussion and mutual assistance shaped how students used GenAI and provided an important means of overcoming challenges, although such influence lacked systematic depth. Peer influence in this study reflects a form of informal learning, similar to what Eraut (2004) observed in workplace contexts, where individuals acquire knowledge through interaction rather than formal instruction. Second, teacher support proved to be a key condition for students’ adoption of GenAI tools in completing the writing task. With explicit encouragement from the instructor, students actively explored patterns of human-AI collaboration, applying different strategies across stages of research-based writing, and their positive experiences reinforced their intention to use GenAI in the similar tasks in the future. Finally, the absence of clear institutional policy, though not sufficient to prevent adoption, created a sense of uncertainty. Students wanted to use GenAI but feared being flagged for a high AI rate; they hoped for institutional guidelines but also worried that such policies might not be sufficiently supportive or scientifically grounded. This also reflects what the UTAUT framework suggests, weak facilitating conditions can negatively influence students’ engagement with GenAI. </w:t>
      </w:r>
    </w:p>
    <w:p w14:paraId="2655CC1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04B19A61">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While social factors shape the immediate climate of GenAI use, pedagogical factors relate more directly to how institutions design learning opportunities and support mechanism for responsible GenAI adoption. In this study, three themes emerged in the pedagogical factors. First of all, a training gap was evident. Although students with prior training showed slightly higher SRL scores, the majority had not received any formal instruction on GenAI, and their knowledge largely come from informal learning, especially online resources. While this helped fill the gap, it also lacked the systematic training to foster sustained and critical use. Second, students appreciated the supportive stance of the instructor in this course, which encouraged them to explore GenAI use. However, when asked further, they acknowledged that there were no detailed rules of systematic curricular support to guide them. Building on this reported need for clear guidance, this study argues that explicit integration of GenAI into coursework would legitimise its use and provide structured support, which may in turn enhance both confidence and effectiveness. Third, the availability of expertise and assistance. When asked how they resolved challenges in using GenAI, no students mentioned seeking help from their teachers. This absence suggests that they did not perceive instructors as sources of expertise in this area. However, following Thompson </w:t>
      </w:r>
      <w:r>
        <w:rPr>
          <w:rFonts w:hint="default" w:ascii="Calibri Italic" w:hAnsi="Calibri Italic" w:cs="Calibri Italic"/>
          <w:b w:val="0"/>
          <w:i/>
          <w:iCs/>
          <w:sz w:val="21"/>
          <w:szCs w:val="21"/>
          <w:lang w:val="en-US" w:eastAsia="zh-CN"/>
        </w:rPr>
        <w:t>et al</w:t>
      </w:r>
      <w:r>
        <w:rPr>
          <w:rFonts w:hint="default" w:ascii="Calibri" w:hAnsi="Calibri" w:cs="Calibri"/>
          <w:b w:val="0"/>
          <w:i w:val="0"/>
          <w:iCs w:val="0"/>
          <w:sz w:val="21"/>
          <w:szCs w:val="21"/>
          <w:lang w:val="en-US" w:eastAsia="zh-CN"/>
        </w:rPr>
        <w:t xml:space="preserve">. (1991), who defined facilitating conditions as including specialised instruction and expert support,this study suggests that the availability of teachers with sufficient AI literacy constitutes an important pedagogical factor influencing students’ engagement with GenAI.  </w:t>
      </w:r>
    </w:p>
    <w:p w14:paraId="06C80A40">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579CCE9B">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5.3 Contributions to the Field</w:t>
      </w:r>
    </w:p>
    <w:p w14:paraId="74D463B5">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This study made several contributions to the emerging field of research on GenAI and academic writing. Empirically, by combining questionnaire and interview data, the study offers a comprehensive understanding of how Chinese undergraduate -- who predominantly rely on domestic GenAI platforms -- engage with these tools in research-based writing tasks. In doing so, it extends the existing body of research that has largely centred on ChatGPT, even within the Chinese context. Theoretically, this study applies Zimmerman’s cyclical model of SRL to GenAI-assisted academic writing, revealing an uneven pattern in which performance strategies were most active while reflection was weakest and forethought remained constrained. This demonstrates the value of SRL theory in identifying students’ strength and gap in their self-regulation of AI-supported writing. Moreover, the study tentatively uses the notion of ‘AI zone of proximal development’ to explain the mismatch between students’ current abilities and AI outputs, highlighting the conditions under which AI support may or may not be pedagogically useful. </w:t>
      </w:r>
    </w:p>
    <w:p w14:paraId="2F065B4C">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3C673D02">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5.4 Limitations and Reflections on Data Collection</w:t>
      </w:r>
    </w:p>
    <w:p w14:paraId="4B71E4D4">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First, a limitation lies in the interview recruitment process. This study relied entirely on passive recruitment, inviting students to volunteer after completing the questionnaire. This approach resulted in very low participation, with only three students agreeing to be interviewed. While the interviews yielded valuable insights, the small number inevitably restricted the diversity of qualitative perspectives. In future research, more proactive strategies could be adopted, such as directly inviting potential participants. Such an approach may increase participation and generate richer qualitative data. Second, there were also limitations in the data collection process itself. Some of the online interviews were affected by minor audio quality and connectivity issues, which made certain responses difficult to hear clearly. This experience suggests that, where feasible, in-person interviews may improve both sound quality and participant engagement. In addition, the timing of data collection poses a challenge. Due to delays in ethical approval, the questionnaire was launched during the summer brake, which may have reduced participation. In the questionnaire had been administered during the school term, the response rate would likely have been higher. This highlights the importance of timing in research planning, which will be carefully taken into consideration for future data collection.</w:t>
      </w:r>
    </w:p>
    <w:p w14:paraId="31735F6B">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4D1A221A">
      <w:pPr>
        <w:outlineLvl w:val="0"/>
        <w:rPr>
          <w:rFonts w:hint="default" w:ascii="Calibri" w:hAnsi="Calibri" w:cs="Calibri"/>
          <w:b w:val="0"/>
          <w:i w:val="0"/>
          <w:iCs w:val="0"/>
          <w:sz w:val="21"/>
          <w:szCs w:val="21"/>
          <w:lang w:val="en-US" w:eastAsia="zh-CN"/>
        </w:rPr>
      </w:pPr>
      <w:r>
        <w:rPr>
          <w:rFonts w:hint="default" w:ascii="Calibri Regular" w:hAnsi="Calibri Regular" w:cs="Calibri Regular"/>
          <w:b w:val="0"/>
          <w:sz w:val="28"/>
          <w:szCs w:val="28"/>
          <w:lang w:val="en-US"/>
        </w:rPr>
        <w:t xml:space="preserve">Chapter 6: Recommendations </w:t>
      </w:r>
    </w:p>
    <w:p w14:paraId="69CF0102">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 xml:space="preserve">This study has provided valuable insights into how Chinese undergraduate engage with domestically developed generative AI tools in research-based academic writing, but the process itself offers some important lessons. The combination of questionnaire and interview data enabled a more comprehensive perspective, yet their self-reported nature of data and the small number of interviews underscored the challenges of balancing breadth and depth in mixed-methods research. Challenges related to interview recruitment, the timing of administering questionnaires, and technical issues during the online-interview further suggests that future data collection will require stronger planning and a more proactive approach. </w:t>
      </w:r>
    </w:p>
    <w:p w14:paraId="76B11BAD">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p>
    <w:p w14:paraId="28DABE59">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Calibri" w:hAnsi="Calibri" w:cs="Calibri"/>
          <w:b w:val="0"/>
          <w:i w:val="0"/>
          <w:iCs w:val="0"/>
          <w:sz w:val="21"/>
          <w:szCs w:val="21"/>
          <w:lang w:val="en-US" w:eastAsia="zh-CN"/>
        </w:rPr>
      </w:pPr>
      <w:r>
        <w:rPr>
          <w:rFonts w:hint="default" w:ascii="Calibri" w:hAnsi="Calibri" w:cs="Calibri"/>
          <w:b w:val="0"/>
          <w:i w:val="0"/>
          <w:iCs w:val="0"/>
          <w:sz w:val="21"/>
          <w:szCs w:val="21"/>
          <w:lang w:val="en-US" w:eastAsia="zh-CN"/>
        </w:rPr>
        <w:t>Across both the questionnaire and interviews, students often described themselves as using GenAI with a strong sense of awareness and responsibility. However, it is possible that such statements reflect what they believed was expected of them, rather than fully mirroring their actual practices</w:t>
      </w:r>
      <w:bookmarkStart w:id="0" w:name="_GoBack"/>
      <w:bookmarkEnd w:id="0"/>
      <w:r>
        <w:rPr>
          <w:rFonts w:hint="default" w:ascii="Calibri" w:hAnsi="Calibri" w:cs="Calibri"/>
          <w:b w:val="0"/>
          <w:i w:val="0"/>
          <w:iCs w:val="0"/>
          <w:sz w:val="21"/>
          <w:szCs w:val="21"/>
          <w:lang w:val="en-US" w:eastAsia="zh-CN"/>
        </w:rPr>
        <w:t xml:space="preserve">. Further research is needed to see whether such attitudes align with actual behaviour. More broadly, the factors identified in this study as influencing students’ behaviour and perceptions were generated through thematic analysis of self-reported data, and thus should be interpreted with caution. Future studies are needed to validate whether these factors genuinely shape students’ engagement with GenAI and to examine how their practices evolve over time under explicit policy and pedagogical support, in order to foster more confident and in-depth use of GenAI in academic writing. </w:t>
      </w:r>
    </w:p>
    <w:p w14:paraId="066E3DF8">
      <w:pPr>
        <w:rPr>
          <w:rFonts w:hint="default" w:ascii="Calibri Regular" w:hAnsi="Calibri Regular" w:cs="Calibri Regular"/>
          <w:b w:val="0"/>
          <w:sz w:val="28"/>
          <w:szCs w:val="28"/>
          <w:lang w:val="en-US"/>
        </w:rPr>
      </w:pPr>
    </w:p>
    <w:p w14:paraId="775C7467">
      <w:pPr>
        <w:outlineLvl w:val="0"/>
        <w:rPr>
          <w:rFonts w:hint="default" w:ascii="Calibri Regular" w:hAnsi="Calibri Regular" w:cs="Calibri Regular"/>
          <w:b w:val="0"/>
          <w:sz w:val="28"/>
          <w:szCs w:val="28"/>
          <w:lang w:val="en-US"/>
        </w:rPr>
      </w:pPr>
      <w:r>
        <w:rPr>
          <w:rFonts w:hint="default" w:ascii="Calibri Regular" w:hAnsi="Calibri Regular" w:cs="Calibri Regular"/>
          <w:b w:val="0"/>
          <w:sz w:val="28"/>
          <w:szCs w:val="28"/>
          <w:lang w:val="en-US"/>
        </w:rPr>
        <w:t xml:space="preserve">References </w:t>
      </w:r>
    </w:p>
    <w:p w14:paraId="40AF6FA0">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Abbad, M.M.(2021) ‘Using the UTAUT model to understand students’ usage of e-learning systems in developing countries’.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26(6), pp.7205-7224.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"https://doi.org/10.1007/s10639-021-10573-5"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https://doi.org/10.1007/s10639-021-10573-5</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E0EB6C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2E39A88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Alasmari, T. and Zhang, K. (2019) ‘Mobile learning technology acceptance in Saudi Arabian higher education: an extended framework and A mixed-method study’,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24(3), pp. 2127–2144.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"https://doi.org/10.1007/s10639-019-09865-8"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https://doi.org/10.1007/s10639-019-09865-8</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0721F64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4B3E4C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Almaiah, M.A., Alamri, M.M. and AlRahmi, W. (2019) ‘Applying the UTAUT model to explain the students’ acceptance of mobile learning system in higher education’, IEEE Access, 7, pp.174673-174686.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"http://doi.org/10.1109/ACCESS.2019.2957206"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http://doi.org/10.1109/ACCESS.2019.2957206</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2BD2270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A34172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Altalhi, M. (2021) ‘Toward a model for acceptance of MOOCs in higher education: the modified UTAUT model for Saudi Arabia’.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26(2), pp.1589-1605.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"https://doi.org/10.1007/s10639-020-10317-x"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https://doi.org/10.1007/s10639-020-10317-x</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5D69459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2EEF0B9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Baidu Research (2023) </w:t>
      </w:r>
      <w:r>
        <w:rPr>
          <w:rFonts w:hint="default" w:ascii="Calibri Italic" w:hAnsi="Calibri Italic" w:cs="Calibri Italic"/>
          <w:b w:val="0"/>
          <w:i/>
          <w:iCs/>
          <w:sz w:val="21"/>
          <w:szCs w:val="21"/>
          <w:lang w:val="en-US" w:eastAsia="zh-CN"/>
        </w:rPr>
        <w:t>Ernie bot: Baidu’s knowledge -- Enhanced large language model built on full AI stack Technology</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"https://research.baidu.com/Blog/index-view?id=183&amp;utm_source=chatgpt.com"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https://research.baidu.com/Blog/index-view?id=183&amp;utm_source=chatgpt.com</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8 June 8, 2025).</w:t>
      </w:r>
    </w:p>
    <w:p w14:paraId="291CF65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5C749B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Barrot, J.S. (2023) ‘Using ChatGPT for second language writing: Pitfalls and potentials’, Assessing Writing, 57, p. 100745. Available at: https://doi.org/10.1016/j.asw.2023.100745.</w:t>
      </w:r>
    </w:p>
    <w:p w14:paraId="4090AAC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72EFCB1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Beijing Daily (2025) The full-scale R1 empowers university faculty and students in deep inquiry. 21 Feb.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"https://www.sohu.com/a/861693950_163278?utm_source=chatgpt.com"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https://www.sohu.com/a/861693950_163278?utm_source=chatgpt.com</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9 June, 2025).</w:t>
      </w:r>
    </w:p>
    <w:p w14:paraId="78C76F77">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698CE30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Braun, V. and Clarke, V. (2006) ‘Using thematic analysis in psychology’, </w:t>
      </w:r>
      <w:r>
        <w:rPr>
          <w:rFonts w:hint="default" w:ascii="Calibri Italic" w:hAnsi="Calibri Italic" w:cs="Calibri Italic"/>
          <w:b w:val="0"/>
          <w:i/>
          <w:iCs/>
          <w:sz w:val="21"/>
          <w:szCs w:val="21"/>
          <w:lang w:val="en-US" w:eastAsia="zh-CN"/>
        </w:rPr>
        <w:t>Qualitative Research in Psychology</w:t>
      </w:r>
      <w:r>
        <w:rPr>
          <w:rFonts w:hint="default" w:ascii="Calibri Regular" w:hAnsi="Calibri Regular" w:cs="Calibri Regular"/>
          <w:b w:val="0"/>
          <w:sz w:val="21"/>
          <w:szCs w:val="21"/>
          <w:lang w:val="en-US" w:eastAsia="zh-CN"/>
        </w:rPr>
        <w:t xml:space="preserve">, 3:2, pp. 77-101,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"https://doi.org/10.1191/1478088706qp063oa"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https://doi.org/10.1191/1478088706qp063oa</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5BBBD7A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DA0241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British Educational Research Association [BERA] (2024) </w:t>
      </w:r>
      <w:r>
        <w:rPr>
          <w:rFonts w:hint="default" w:ascii="Calibri Italic" w:hAnsi="Calibri Italic" w:cs="Calibri Italic"/>
          <w:b w:val="0"/>
          <w:i/>
          <w:iCs/>
          <w:sz w:val="21"/>
          <w:szCs w:val="21"/>
          <w:lang w:val="en-US" w:eastAsia="zh-CN"/>
        </w:rPr>
        <w:t>Ethical guidelines for educational research</w:t>
      </w:r>
      <w:r>
        <w:rPr>
          <w:rFonts w:hint="default" w:ascii="Calibri Regular" w:hAnsi="Calibri Regular" w:cs="Calibri Regular"/>
          <w:b w:val="0"/>
          <w:sz w:val="21"/>
          <w:szCs w:val="21"/>
          <w:lang w:val="en-US" w:eastAsia="zh-CN"/>
        </w:rPr>
        <w:t xml:space="preserve">. 5th edn.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"http://www.bera.ac.uk/publication/ethicalguidelines-for-educational-research-2024"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www.bera.ac.uk/publication/ethicalguidelines-for-educational-research-2024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(Accessed: 22 June 2025).</w:t>
      </w:r>
    </w:p>
    <w:p w14:paraId="25CE582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CD9829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Cade M. (2025) ‘What to know about DeepSeek and how it is upending A.I.’, </w:t>
      </w:r>
      <w:r>
        <w:rPr>
          <w:rFonts w:hint="default" w:ascii="Calibri Italic" w:hAnsi="Calibri Italic" w:cs="Calibri Italic"/>
          <w:b w:val="0"/>
          <w:i/>
          <w:iCs/>
          <w:sz w:val="21"/>
          <w:szCs w:val="21"/>
          <w:lang w:val="en-US" w:eastAsia="zh-CN"/>
        </w:rPr>
        <w:t>The New York Times</w:t>
      </w:r>
      <w:r>
        <w:rPr>
          <w:rFonts w:hint="default" w:ascii="Calibri Regular" w:hAnsi="Calibri Regular" w:cs="Calibri Regular"/>
          <w:b w:val="0"/>
          <w:sz w:val="21"/>
          <w:szCs w:val="21"/>
          <w:lang w:val="en-US" w:eastAsia="zh-CN"/>
        </w:rPr>
        <w:t xml:space="preserve">, 27 January. Available at: </w:t>
      </w:r>
      <w:r>
        <w:rPr>
          <w:rFonts w:hint="default" w:ascii="Calibri Regular" w:hAnsi="Calibri Regular" w:cs="Calibri Regular"/>
          <w:b w:val="0"/>
          <w:sz w:val="21"/>
          <w:szCs w:val="21"/>
          <w:lang w:val="en-US" w:eastAsia="zh-CN"/>
        </w:rPr>
        <w:br w:type="textWrapping"/>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"https://www.nytimes.com/2025/01/27/technology/what-is-deepseek-china-ai.html#"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https://www.nytimes.com/2025/01/27/technology/what-is-deepseek-china-ai.html#</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9 June 2025).</w:t>
      </w:r>
    </w:p>
    <w:p w14:paraId="71FBA65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285C5232">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Chauhan, P. (2022) ‘Fundamentals of academic writing: A literature review’. </w:t>
      </w:r>
      <w:r>
        <w:rPr>
          <w:rFonts w:hint="default" w:ascii="Calibri Italic" w:hAnsi="Calibri Italic" w:cs="Calibri Italic"/>
          <w:b w:val="0"/>
          <w:i/>
          <w:iCs/>
          <w:sz w:val="21"/>
          <w:szCs w:val="21"/>
          <w:lang w:val="en-US" w:eastAsia="zh-CN"/>
        </w:rPr>
        <w:t>Journal of NELTA</w:t>
      </w:r>
      <w:r>
        <w:rPr>
          <w:rFonts w:hint="default" w:ascii="Calibri Regular" w:hAnsi="Calibri Regular" w:cs="Calibri Regular"/>
          <w:b w:val="0"/>
          <w:sz w:val="21"/>
          <w:szCs w:val="21"/>
          <w:lang w:val="en-US" w:eastAsia="zh-CN"/>
        </w:rPr>
        <w:t xml:space="preserve">, 27(1-2), 161-180.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"https://doi.org/10.3126/nelta.v27i1-2.53201"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https://doi.org/10.3126/nelta.v27i1-2.53201</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2A3A7EDC">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12AF3F2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China Daily (2023) ‘</w:t>
      </w:r>
      <w:r>
        <w:rPr>
          <w:rFonts w:hint="default" w:ascii="Calibri Italic" w:hAnsi="Calibri Italic" w:cs="Calibri Italic"/>
          <w:b w:val="0"/>
          <w:i/>
          <w:iCs/>
          <w:sz w:val="21"/>
          <w:szCs w:val="21"/>
          <w:lang w:val="en-US" w:eastAsia="zh-CN"/>
        </w:rPr>
        <w:t>With 200,000-character input support, Moonshot AI ushers in the era of long-context trillion parameter models</w:t>
      </w:r>
      <w:r>
        <w:rPr>
          <w:rFonts w:hint="default" w:ascii="Calibri Regular" w:hAnsi="Calibri Regular" w:cs="Calibri Regular"/>
          <w:b w:val="0"/>
          <w:sz w:val="21"/>
          <w:szCs w:val="21"/>
          <w:lang w:val="en-US" w:eastAsia="zh-CN"/>
        </w:rPr>
        <w:t xml:space="preserve">’, </w:t>
      </w:r>
    </w:p>
    <w:p w14:paraId="126370D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"https://cn.chinadaily.com.cn/a/202310/10/WS652517eaa310d5acd87694a2.html"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https://cn.chinadaily.com.cn/a/202310/10/WS652517eaa310d5acd87694a2.html</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8 June, 2025).  </w:t>
      </w:r>
    </w:p>
    <w:p w14:paraId="7C09F232">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5A4F0D16">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Clark, T., Foster, L., Sloan, L. and Bryman, A.(2021) </w:t>
      </w:r>
      <w:r>
        <w:rPr>
          <w:rFonts w:hint="default" w:ascii="Calibri Italic" w:hAnsi="Calibri Italic" w:cs="Calibri Italic"/>
          <w:b w:val="0"/>
          <w:i/>
          <w:iCs/>
          <w:sz w:val="21"/>
          <w:szCs w:val="21"/>
          <w:lang w:val="en-US" w:eastAsia="zh-CN"/>
        </w:rPr>
        <w:t xml:space="preserve">Bryman’s social research methods. </w:t>
      </w:r>
      <w:r>
        <w:rPr>
          <w:rFonts w:hint="default" w:ascii="Calibri" w:hAnsi="Calibri" w:cs="Calibri"/>
          <w:b w:val="0"/>
          <w:i w:val="0"/>
          <w:iCs w:val="0"/>
          <w:sz w:val="21"/>
          <w:szCs w:val="21"/>
          <w:lang w:val="en-US" w:eastAsia="zh-CN"/>
        </w:rPr>
        <w:t xml:space="preserve">6th edn. Oxford: Oxford University Press. </w:t>
      </w:r>
    </w:p>
    <w:p w14:paraId="7E06765B">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0D060287">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Corte, E.D., Mason, L., Depaepe, F. and Verschaffel L. (2011) ‘Self-Regulation of mathematical knowledge and skills’, in Zimmerman, B.J. and Schunk, D.H. (eds)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pp. 155-172. </w:t>
      </w:r>
    </w:p>
    <w:p w14:paraId="3D5C9196">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3CB9E0EF">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Creswell, J.W. and Plano Clark, V.L. (2018) </w:t>
      </w:r>
      <w:r>
        <w:rPr>
          <w:rFonts w:hint="default" w:ascii="Calibri Italic" w:hAnsi="Calibri Italic" w:cs="Calibri Italic"/>
          <w:b w:val="0"/>
          <w:i/>
          <w:iCs/>
          <w:sz w:val="21"/>
          <w:szCs w:val="21"/>
          <w:lang w:val="en-US" w:eastAsia="zh-CN"/>
        </w:rPr>
        <w:t>Designing and conducting mixed methods research</w:t>
      </w:r>
      <w:r>
        <w:rPr>
          <w:rFonts w:hint="default" w:ascii="Calibri Regular" w:hAnsi="Calibri Regular" w:cs="Calibri Regular"/>
          <w:b w:val="0"/>
          <w:sz w:val="21"/>
          <w:szCs w:val="21"/>
          <w:lang w:val="en-US" w:eastAsia="zh-CN"/>
        </w:rPr>
        <w:t>. 3rd edn. Thousand Oaks: SAGE.</w:t>
      </w:r>
    </w:p>
    <w:p w14:paraId="492B7E46">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14BB8C5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Dagarin Fojkar, M. and Berčnik, S. (2023) ‘Academic writing in Teaching Research Integrity’, </w:t>
      </w:r>
      <w:r>
        <w:rPr>
          <w:rFonts w:hint="default" w:ascii="Calibri Italic" w:hAnsi="Calibri Italic" w:cs="Calibri Italic"/>
          <w:b w:val="0"/>
          <w:i/>
          <w:iCs/>
          <w:sz w:val="21"/>
          <w:szCs w:val="21"/>
          <w:lang w:val="en-US" w:eastAsia="zh-CN"/>
        </w:rPr>
        <w:t>Centre for Educational Policy Studies Journal</w:t>
      </w:r>
      <w:r>
        <w:rPr>
          <w:rFonts w:hint="default" w:ascii="Calibri Regular" w:hAnsi="Calibri Regular" w:cs="Calibri Regular"/>
          <w:b w:val="0"/>
          <w:sz w:val="21"/>
          <w:szCs w:val="21"/>
          <w:lang w:val="en-US" w:eastAsia="zh-CN"/>
        </w:rPr>
        <w:t xml:space="preserve">, 13(3), pp. 129–154.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"https://doi.org/10.26529/cepsj.1602"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https://doi.org/10.26529/cepsj.1602</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771230F6">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6B999DC1">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eastAsia="Times New Roman" w:cs="Calibri Regular"/>
          <w:lang w:val="en-US"/>
        </w:rPr>
      </w:pPr>
      <w:r>
        <w:rPr>
          <w:rFonts w:hint="default" w:ascii="Calibri Regular" w:hAnsi="Calibri Regular" w:eastAsia="Times New Roman" w:cs="Calibri Regular"/>
          <w:lang w:val="en-US"/>
        </w:rPr>
        <w:t>Denscombe, M. (2010a)</w:t>
      </w:r>
      <w:r>
        <w:rPr>
          <w:rFonts w:hint="default" w:ascii="Calibri Italic" w:hAnsi="Calibri Italic" w:eastAsia="Times New Roman" w:cs="Calibri Italic"/>
          <w:i/>
          <w:iCs/>
          <w:lang w:val="en-US"/>
        </w:rPr>
        <w:t xml:space="preserve"> Ground rules for social research: Guidelines for good practice</w:t>
      </w:r>
      <w:r>
        <w:rPr>
          <w:rFonts w:hint="default" w:ascii="Calibri Regular" w:hAnsi="Calibri Regular" w:eastAsia="Times New Roman" w:cs="Calibri Regular"/>
          <w:lang w:val="en-US"/>
        </w:rPr>
        <w:t>. 2nd edn. Maidenhead: Open University Press.</w:t>
      </w:r>
    </w:p>
    <w:p w14:paraId="3F41889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5D004C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Dong, L. (2024) ‘‘‘Brave New World” or not?: A mixed-methods study of the relationship between second language writing learners’ perceptions of ChatGPT, behaviours of using ChatGPT, and writing proficiency’, </w:t>
      </w:r>
      <w:r>
        <w:rPr>
          <w:rFonts w:hint="default" w:ascii="Calibri Italic" w:hAnsi="Calibri Italic" w:cs="Calibri Italic"/>
          <w:b w:val="0"/>
          <w:i/>
          <w:iCs/>
          <w:sz w:val="21"/>
          <w:szCs w:val="21"/>
          <w:lang w:val="en-US" w:eastAsia="zh-CN"/>
        </w:rPr>
        <w:t>Current Psychology</w:t>
      </w:r>
      <w:r>
        <w:rPr>
          <w:rFonts w:hint="default" w:ascii="Calibri Regular" w:hAnsi="Calibri Regular" w:cs="Calibri Regular"/>
          <w:b w:val="0"/>
          <w:sz w:val="21"/>
          <w:szCs w:val="21"/>
          <w:lang w:val="en-US" w:eastAsia="zh-CN"/>
        </w:rPr>
        <w:t xml:space="preserve">, 43(21), pp. 19481–19495.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"https://doi.org/10.1007/s12144-024-05728-9"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https://doi.org/10.1007/s12144-024-05728-9</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ED750C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06F6C3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Eraut, M. (2004) ‘Informal learning in the workplace’, Studies in continuing education, 26(2), pp. 247–273.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"https://doi.org/10.1080/158037042000225245"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https://doi.org/10.1080/158037042000225245</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7CA93080">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259D95BA">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Calibri Regular" w:hAnsi="Calibri Regular" w:cs="Calibri Regular"/>
          <w:lang w:val="en-US"/>
        </w:rPr>
      </w:pPr>
      <w:r>
        <w:rPr>
          <w:rFonts w:hint="default" w:ascii="Calibri Regular" w:hAnsi="Calibri Regular" w:cs="Calibri Regular"/>
          <w:lang w:val="en-US"/>
        </w:rPr>
        <w:t xml:space="preserve">European Union (2016) General data protection regulation[GDPR]. </w:t>
      </w:r>
      <w:r>
        <w:rPr>
          <w:rFonts w:hint="default" w:ascii="Calibri Italic" w:hAnsi="Calibri Italic" w:cs="Calibri Italic"/>
          <w:i/>
          <w:iCs/>
          <w:lang w:val="en-US"/>
        </w:rPr>
        <w:t>Off J Eur Union,</w:t>
      </w:r>
      <w:r>
        <w:rPr>
          <w:rFonts w:hint="default" w:ascii="Calibri Regular" w:hAnsi="Calibri Regular" w:cs="Calibri Regular"/>
          <w:lang w:val="en-US"/>
        </w:rPr>
        <w:t xml:space="preserve"> L119. </w:t>
      </w:r>
    </w:p>
    <w:p w14:paraId="4715502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lang w:val="en-US"/>
        </w:rPr>
      </w:pPr>
      <w:r>
        <w:rPr>
          <w:rFonts w:hint="default" w:ascii="Calibri Regular" w:hAnsi="Calibri Regular" w:cs="Calibri Regular"/>
          <w:lang w:val="en-US"/>
        </w:rPr>
        <w:t xml:space="preserve">Available at: </w:t>
      </w:r>
      <w:r>
        <w:rPr>
          <w:rFonts w:hint="default" w:ascii="Calibri Regular" w:hAnsi="Calibri Regular" w:cs="Calibri Regular"/>
          <w:lang w:val="en-US"/>
        </w:rPr>
        <w:fldChar w:fldCharType="begin"/>
      </w:r>
      <w:r>
        <w:rPr>
          <w:rFonts w:hint="default" w:ascii="Calibri Regular" w:hAnsi="Calibri Regular" w:cs="Calibri Regular"/>
          <w:lang w:val="en-US"/>
        </w:rPr>
        <w:instrText xml:space="preserve"> HYPERLINK "https://eur-lex.europa.eu/legal-content/EN/TXT/PDF/?uri=CELEX:32016R0679" </w:instrText>
      </w:r>
      <w:r>
        <w:rPr>
          <w:rFonts w:hint="default" w:ascii="Calibri Regular" w:hAnsi="Calibri Regular" w:cs="Calibri Regular"/>
          <w:lang w:val="en-US"/>
        </w:rPr>
        <w:fldChar w:fldCharType="separate"/>
      </w:r>
      <w:r>
        <w:rPr>
          <w:rStyle w:val="8"/>
          <w:rFonts w:hint="default" w:ascii="Calibri Regular" w:hAnsi="Calibri Regular" w:cs="Calibri Regular"/>
          <w:lang w:val="en-US"/>
        </w:rPr>
        <w:t>https://eur-lex.europa.eu/legal-content/EN/TXT/PDF/?uri=CELEX:32016R0679</w:t>
      </w:r>
      <w:r>
        <w:rPr>
          <w:rFonts w:hint="default" w:ascii="Calibri Regular" w:hAnsi="Calibri Regular" w:cs="Calibri Regular"/>
          <w:lang w:val="en-US"/>
        </w:rPr>
        <w:fldChar w:fldCharType="end"/>
      </w:r>
      <w:r>
        <w:rPr>
          <w:rFonts w:hint="default" w:ascii="Calibri Regular" w:hAnsi="Calibri Regular" w:cs="Calibri Regular"/>
          <w:lang w:val="en-US"/>
        </w:rPr>
        <w:t xml:space="preserve"> (Assessed: 22 June 2025).</w:t>
      </w:r>
    </w:p>
    <w:p w14:paraId="7005BCD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lang w:val="en-US" w:eastAsia="zh-CN"/>
        </w:rPr>
      </w:pPr>
    </w:p>
    <w:p w14:paraId="2FBA145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Feuerriegel, S., Hartmann, J., Janiesch, C. and Zschech, P. (2024) Generative AI. </w:t>
      </w:r>
      <w:r>
        <w:rPr>
          <w:rFonts w:hint="default" w:ascii="Calibri Italic" w:hAnsi="Calibri Italic" w:cs="Calibri Italic"/>
          <w:b w:val="0"/>
          <w:i/>
          <w:iCs/>
          <w:sz w:val="21"/>
          <w:szCs w:val="21"/>
          <w:lang w:val="en-US" w:eastAsia="zh-CN"/>
        </w:rPr>
        <w:t>Bus Inf Syst Eng</w:t>
      </w:r>
      <w:r>
        <w:rPr>
          <w:rFonts w:hint="default" w:ascii="Calibri Regular" w:hAnsi="Calibri Regular" w:cs="Calibri Regular"/>
          <w:b w:val="0"/>
          <w:sz w:val="21"/>
          <w:szCs w:val="21"/>
          <w:lang w:val="en-US" w:eastAsia="zh-CN"/>
        </w:rPr>
        <w:t xml:space="preserve"> 66, pp. 111–126.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"https://doi.org/10.1007/s12599-023-00834-7"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https://doi.org/10.1007/s12599-023-00834-7</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7BB5DC56">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8F47BC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Government Digital Service, UK (2025) </w:t>
      </w:r>
      <w:r>
        <w:rPr>
          <w:rFonts w:hint="default" w:ascii="Calibri Italic" w:hAnsi="Calibri Italic" w:cs="Calibri Italic"/>
          <w:b w:val="0"/>
          <w:i/>
          <w:iCs/>
          <w:sz w:val="21"/>
          <w:szCs w:val="21"/>
          <w:lang w:val="en-US" w:eastAsia="zh-CN"/>
        </w:rPr>
        <w:t>Artificial intelligence playbook for the UK government</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"https://assets.publishing.service.gov.uk/media/67aca2f7e400ae62338324bd/AI_Playbook_for_the_UK_Government__12_02_.pdf"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https://assets.publishing.service.gov.uk/media/67aca2f7e400ae62338324bd/AI_Playbook_for_the_UK_Government__12_02_.pdf</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(Assessed:11 June 2025). </w:t>
      </w:r>
    </w:p>
    <w:p w14:paraId="56D6D68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198026C8">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Harris, K.R., Graham, S., MacArthur, C.A., Reid, R. and Mason, L.H. (2011) ‘Self-reglatued learning processes and children’s writing’, in Zimmerman, B.J. and Schunk, D.H. (eds)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pp. 187-202. </w:t>
      </w:r>
    </w:p>
    <w:p w14:paraId="4490CAF1">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68B7A2F0">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Holmes, W., Stracke, C.M., Chounata I.A., Allen, D., Baten, D., Dimitrova, V., Havinga, B., Norremen-Smith, J. and Wasson, B. (2023) ‘AI and Education. A View Through the Lens of Human Rights, Democracy and the Rule of Law. Legal and Organizational Requirements’, in Wang, N., Rebolled-Mendez, G. Matsuda, N. and Santos, O.C. (eds) Artificial Intelligence in Education. Posters and Late Breaking Results, Workshops and Tutorials, Industry and Innovation Tracks, Practitioners, Doctoral Consortium and Blue Sky. Cham: Springer Nature Switzerland (Communications in Computer and Information Science), pp. 79–84.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"https://doi.org/10.1007/978-3-031-36336-8_12"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https://doi.org/10.1007/978-3-031-36336-8_12</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67F3489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6DB6288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IBM (2023) </w:t>
      </w:r>
      <w:r>
        <w:rPr>
          <w:rFonts w:hint="default" w:ascii="Calibri Italic" w:hAnsi="Calibri Italic" w:cs="Calibri Italic"/>
          <w:b w:val="0"/>
          <w:i/>
          <w:iCs/>
          <w:sz w:val="21"/>
          <w:szCs w:val="21"/>
          <w:lang w:val="en-US" w:eastAsia="zh-CN"/>
        </w:rPr>
        <w:t>What is generative AI?</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"https://research.ibm.com/blog/what-is-generative-AI"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https://research.ibm.com/blog/what-is-generative-AI</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11 June 2025).</w:t>
      </w:r>
    </w:p>
    <w:p w14:paraId="3C74771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ECD07A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Imran, M. and Almusharraf, N. (2023) ‘Analyzing the role of ChatGPT as a writing assistant at higher education level: A systematic review of the literature’, </w:t>
      </w:r>
      <w:r>
        <w:rPr>
          <w:rFonts w:hint="default" w:ascii="Calibri Italic" w:hAnsi="Calibri Italic" w:cs="Calibri Italic"/>
          <w:b w:val="0"/>
          <w:i/>
          <w:iCs/>
          <w:sz w:val="21"/>
          <w:szCs w:val="21"/>
          <w:lang w:val="en-US" w:eastAsia="zh-CN"/>
        </w:rPr>
        <w:t>Contemporary Educational Technology</w:t>
      </w:r>
      <w:r>
        <w:rPr>
          <w:rFonts w:hint="default" w:ascii="Calibri Regular" w:hAnsi="Calibri Regular" w:cs="Calibri Regular"/>
          <w:b w:val="0"/>
          <w:sz w:val="21"/>
          <w:szCs w:val="21"/>
          <w:lang w:val="en-US" w:eastAsia="zh-CN"/>
        </w:rPr>
        <w:t xml:space="preserve">, 15(4), p. ep464.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"https://doi.org/10.30935/cedtech/13605"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https://doi.org/10.30935/cedtech/13605</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280BB97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34B99B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Ivankova, N.v., and Stick, S.L.(2007) ‘Students’ persistence in a distributed doctoral program in educational leadership in higher education: A mixed methods study’, </w:t>
      </w:r>
      <w:r>
        <w:rPr>
          <w:rFonts w:hint="default" w:ascii="Calibri Italic" w:hAnsi="Calibri Italic" w:cs="Calibri Italic"/>
          <w:b w:val="0"/>
          <w:i/>
          <w:iCs/>
          <w:sz w:val="21"/>
          <w:szCs w:val="21"/>
          <w:lang w:val="en-US" w:eastAsia="zh-CN"/>
        </w:rPr>
        <w:t>Research in Higher Education</w:t>
      </w:r>
      <w:r>
        <w:rPr>
          <w:rFonts w:hint="default" w:ascii="Calibri Regular" w:hAnsi="Calibri Regular" w:cs="Calibri Regular"/>
          <w:b w:val="0"/>
          <w:sz w:val="21"/>
          <w:szCs w:val="21"/>
          <w:lang w:val="en-US" w:eastAsia="zh-CN"/>
        </w:rPr>
        <w:t xml:space="preserve">, 48(1), 93-135.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"https://doi.org/10.1007/s11162-006-9025-4"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https://doi.org/10.1007/s11162-006-9025-4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4C92745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314A39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Jin, F., Lin, C.-H. and Lai, C. (2025) ‘Modeling AI-assisted writing: How self-regulated learning influences writing outcomes’, </w:t>
      </w:r>
      <w:r>
        <w:rPr>
          <w:rFonts w:hint="default" w:ascii="Calibri Italic" w:hAnsi="Calibri Italic" w:cs="Calibri Italic"/>
          <w:b w:val="0"/>
          <w:i/>
          <w:iCs/>
          <w:sz w:val="21"/>
          <w:szCs w:val="21"/>
          <w:lang w:val="en-US" w:eastAsia="zh-CN"/>
        </w:rPr>
        <w:t>Computers in Human Behavior</w:t>
      </w:r>
      <w:r>
        <w:rPr>
          <w:rFonts w:hint="default" w:ascii="Calibri Regular" w:hAnsi="Calibri Regular" w:cs="Calibri Regular"/>
          <w:b w:val="0"/>
          <w:sz w:val="21"/>
          <w:szCs w:val="21"/>
          <w:lang w:val="en-US" w:eastAsia="zh-CN"/>
        </w:rPr>
        <w:t xml:space="preserve">, 165, p. 108538.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"https://doi.org/10.1016/j.chb.2024.108538"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https://doi.org/10.1016/j.chb.2024.108538</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1B5D8D7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F78DE2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Kasneci, E., Sessler, K., Küchemann, S., Bannert, M., Dementieva, D., Fischer, F. Gasser, U. Groh, G., Günnemann, S., Hüllermeier, E., Krusche, S., Kutyniok, G, Michaeli, T., Nerdel, C., Pfeffer J.,  Poquet, O., Sailer, M., Schmidt, A., Seidel, T., Stadler, M., Weller, J., Kuhn, J., Kasneci, G.(2023) ‘ChatGPT for good? On opportunities and challenges of large language models for education’, Learning and Individual Differences, 103, p. 102274.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"https://doi.org/10.1016/j.lindif.2023.102274"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https://doi.org/10.1016/j.lindif.2023.102274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6B5ADBC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67BB165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Kim, J., Yu, S., Detrick, R. and Li, Na. (2025) ‘Exploring students’ perspectives on Generative AI-assisted academic writing’, Education and Information Technologies, 30(1), pp. 1265–1300.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"https://doi.org/10.1007/s10639-024-12878-7"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https://doi.org/10.1007/s10639-024-12878-7</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62900E9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1DC8E8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Kitsantas, A. and Kavussanu. M. (2011) ‘Acquisition of sport knowledge and skill the role of self-regulatory processes’</w:t>
      </w:r>
      <w:r>
        <w:rPr>
          <w:rFonts w:hint="default" w:ascii="Calibri Italic" w:hAnsi="Calibri Italic" w:cs="Calibri Italic"/>
          <w:b w:val="0"/>
          <w:i/>
          <w:iCs/>
          <w:sz w:val="21"/>
          <w:szCs w:val="21"/>
          <w:lang w:val="en-US" w:eastAsia="zh-CN"/>
        </w:rPr>
        <w:t>.</w:t>
      </w:r>
      <w:r>
        <w:rPr>
          <w:rFonts w:hint="default" w:ascii="Calibri Regular" w:hAnsi="Calibri Regular" w:cs="Calibri Regular"/>
          <w:b w:val="0"/>
          <w:sz w:val="21"/>
          <w:szCs w:val="21"/>
          <w:lang w:val="en-US" w:eastAsia="zh-CN"/>
        </w:rPr>
        <w:t xml:space="preserve"> in Zimmerman, B.J. and Schunk, D.H. (eds)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pp. 217-233. </w:t>
      </w:r>
    </w:p>
    <w:p w14:paraId="35D0CC4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14AED49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Kong, S.-C., Lee, J.C.-K. and Tsang, O. (2024) ‘A pedagogical design for self-regulated learning in academic writing using text-based generative artificial intelligence tools: 6-P pedagogy of plan, prompt, preview, produce, peer-review, portfolio-tracking’, </w:t>
      </w:r>
      <w:r>
        <w:rPr>
          <w:rFonts w:hint="default" w:ascii="Calibri Italic" w:hAnsi="Calibri Italic" w:cs="Calibri Italic"/>
          <w:b w:val="0"/>
          <w:i/>
          <w:iCs/>
          <w:sz w:val="21"/>
          <w:szCs w:val="21"/>
          <w:lang w:val="en-US" w:eastAsia="zh-CN"/>
        </w:rPr>
        <w:t>Research and Practice in Technology Enhanced Learning</w:t>
      </w:r>
      <w:r>
        <w:rPr>
          <w:rFonts w:hint="default" w:ascii="Calibri Regular" w:hAnsi="Calibri Regular" w:cs="Calibri Regular"/>
          <w:b w:val="0"/>
          <w:sz w:val="21"/>
          <w:szCs w:val="21"/>
          <w:lang w:val="en-US" w:eastAsia="zh-CN"/>
        </w:rPr>
        <w:t xml:space="preserve">, 19, p. 030.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"https://doi.org/10.58459/rptel.2024.19030"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https://doi.org/10.58459/rptel.2024.19030</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7CA3FFA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2839AE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Lambert, M. (2019) </w:t>
      </w:r>
      <w:r>
        <w:rPr>
          <w:rFonts w:hint="default" w:ascii="Calibri Italic" w:hAnsi="Calibri Italic" w:cs="Calibri Italic"/>
          <w:b w:val="0"/>
          <w:i/>
          <w:iCs/>
          <w:sz w:val="21"/>
          <w:szCs w:val="21"/>
          <w:lang w:val="en-US" w:eastAsia="zh-CN"/>
        </w:rPr>
        <w:t>Practical Research Methods in Education</w:t>
      </w:r>
      <w:r>
        <w:rPr>
          <w:rFonts w:hint="default" w:ascii="Calibri Regular" w:hAnsi="Calibri Regular" w:cs="Calibri Regular"/>
          <w:b w:val="0"/>
          <w:sz w:val="21"/>
          <w:szCs w:val="21"/>
          <w:lang w:val="en-US" w:eastAsia="zh-CN"/>
        </w:rPr>
        <w:t xml:space="preserve">. London: Routledge. </w:t>
      </w:r>
    </w:p>
    <w:p w14:paraId="302F6C5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CB5410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Li, Y. and Zhao, M. (2021) ‘A study on the influencing factors of continued intention to use MOOCs: UTAUT model and CCC moderating effect’. </w:t>
      </w:r>
      <w:r>
        <w:rPr>
          <w:rFonts w:hint="default" w:ascii="Calibri Italic" w:hAnsi="Calibri Italic" w:cs="Calibri Italic"/>
          <w:b w:val="0"/>
          <w:i/>
          <w:iCs/>
          <w:sz w:val="21"/>
          <w:szCs w:val="21"/>
          <w:lang w:val="en-US" w:eastAsia="zh-CN"/>
        </w:rPr>
        <w:t>Frontiers in psychology</w:t>
      </w:r>
      <w:r>
        <w:rPr>
          <w:rFonts w:hint="default" w:ascii="Calibri Regular" w:hAnsi="Calibri Regular" w:cs="Calibri Regular"/>
          <w:b w:val="0"/>
          <w:sz w:val="21"/>
          <w:szCs w:val="21"/>
          <w:lang w:val="en-US" w:eastAsia="zh-CN"/>
        </w:rPr>
        <w:t xml:space="preserve">, 12, p.528259.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"https://doi.org/10.3389/fpsyg.2021.528259"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https://doi.org/10.3389/fpsyg.2021.528259</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414C2DB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A6C667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Long, D. and Magerko, B. (2020) ‘What is AI Literacy? Competencies and Design Considerations’,  the 2020 CHI Conference on Human Factors in Computing Systems: conference proceedings, pp. 1–16.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"https://doi.org/10.1145/3313831.3376727"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https://doi.org/10.1145/3313831.3376727</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F275B9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1CBF8F8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Meniado, J.C., Huyen D. T. T., Panyadilokpong, N. and Lerkomolwit, P. (2024) ‘Using ChatGPT for second language writing: Experiences and perceptions of EFL learners in Thailand and Vietnam’, </w:t>
      </w:r>
      <w:r>
        <w:rPr>
          <w:rFonts w:hint="default" w:ascii="Calibri Italic" w:hAnsi="Calibri Italic" w:cs="Calibri Italic"/>
          <w:b w:val="0"/>
          <w:i/>
          <w:iCs/>
          <w:sz w:val="21"/>
          <w:szCs w:val="21"/>
          <w:lang w:val="en-US" w:eastAsia="zh-CN"/>
        </w:rPr>
        <w:t>Computers and Education: Artificial Intelligence</w:t>
      </w:r>
      <w:r>
        <w:rPr>
          <w:rFonts w:hint="default" w:ascii="Calibri Regular" w:hAnsi="Calibri Regular" w:cs="Calibri Regular"/>
          <w:b w:val="0"/>
          <w:sz w:val="21"/>
          <w:szCs w:val="21"/>
          <w:lang w:val="en-US" w:eastAsia="zh-CN"/>
        </w:rPr>
        <w:t xml:space="preserve">, 7, p. 100313.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"https://doi.org/10.1016/j.caeai.2024.100313n"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https://doi.org/10.1016/j.caeai.2024.100313n</w:t>
      </w:r>
      <w:r>
        <w:rPr>
          <w:rFonts w:hint="default" w:ascii="Calibri Regular" w:hAnsi="Calibri Regular" w:cs="Calibri Regular"/>
          <w:b w:val="0"/>
          <w:sz w:val="21"/>
          <w:szCs w:val="21"/>
          <w:lang w:val="en-US" w:eastAsia="zh-CN"/>
        </w:rPr>
        <w:fldChar w:fldCharType="end"/>
      </w:r>
      <w:r>
        <w:rPr>
          <w:rFonts w:hint="eastAsia" w:ascii="Calibri Regular" w:hAnsi="Calibri Regular" w:cs="Calibri Regular"/>
          <w:b w:val="0"/>
          <w:sz w:val="21"/>
          <w:szCs w:val="21"/>
          <w:lang w:val="en-US" w:eastAsia="zh-CN"/>
        </w:rPr>
        <w:t xml:space="preserve"> </w:t>
      </w:r>
      <w:r>
        <w:rPr>
          <w:rFonts w:hint="default" w:ascii="Calibri Regular" w:hAnsi="Calibri Regular" w:cs="Calibri Regular"/>
          <w:b w:val="0"/>
          <w:sz w:val="21"/>
          <w:szCs w:val="21"/>
          <w:lang w:val="en-US" w:eastAsia="zh-CN"/>
        </w:rPr>
        <w:t xml:space="preserve"> </w:t>
      </w:r>
    </w:p>
    <w:p w14:paraId="5C93BF1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23066C0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Ministry of Education, China. (2025) </w:t>
      </w:r>
      <w:r>
        <w:rPr>
          <w:rFonts w:hint="default" w:ascii="Calibri Italic" w:hAnsi="Calibri Italic" w:cs="Calibri Italic"/>
          <w:b w:val="0"/>
          <w:i/>
          <w:iCs/>
          <w:sz w:val="21"/>
          <w:szCs w:val="21"/>
          <w:lang w:val="en-US" w:eastAsia="zh-CN"/>
        </w:rPr>
        <w:t>China releases white paper on smart education at WDEC</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"http://en.moe.gov.cn/features/2025WorldDigitalEducationConference/Achievements/202505/t20250518_1191052.html?utm_source=chatgpt.com"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http://en.moe.gov.cn/features/2025WorldDigitalEducationConference/Achievements/202505/t20250518_1191052.html?utm_source=chatgpt.com</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8 June 2025).</w:t>
      </w:r>
    </w:p>
    <w:p w14:paraId="2C14149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696C17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Neha, F. and Bhati, D. (2025) ‘A Survey of DeepSeek Models’. </w:t>
      </w:r>
      <w:r>
        <w:rPr>
          <w:rFonts w:hint="default" w:ascii="Calibri Italic" w:hAnsi="Calibri Italic" w:cs="Calibri Italic"/>
          <w:b w:val="0"/>
          <w:i/>
          <w:iCs/>
          <w:sz w:val="21"/>
          <w:szCs w:val="21"/>
          <w:lang w:val="en-US" w:eastAsia="zh-CN"/>
        </w:rPr>
        <w:t>TechRxiv</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"https://doi.org/10.36227/techrxiv.173896582.25938392/v1" </w:instrText>
      </w:r>
      <w:r>
        <w:rPr>
          <w:rFonts w:hint="default" w:ascii="Calibri Regular" w:hAnsi="Calibri Regular" w:cs="Calibri Regular"/>
          <w:b w:val="0"/>
          <w:sz w:val="21"/>
          <w:szCs w:val="21"/>
          <w:lang w:val="en-US" w:eastAsia="zh-CN"/>
        </w:rPr>
        <w:fldChar w:fldCharType="separate"/>
      </w:r>
      <w:r>
        <w:rPr>
          <w:rStyle w:val="8"/>
          <w:rFonts w:hint="default" w:ascii="Calibri Regular" w:hAnsi="Calibri Regular" w:cs="Calibri Regular"/>
          <w:b w:val="0"/>
          <w:sz w:val="21"/>
          <w:szCs w:val="21"/>
          <w:lang w:val="en-US" w:eastAsia="zh-CN"/>
        </w:rPr>
        <w:t>https://doi.org/10.36227/techrxiv.173896582.25938392/v1</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4B808F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34F55A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Niloy, A.C., Akter, S., Sultana, N., Sultana, J. and Rahman., S.I. U. (2024) ‘Is Chatgpt a menace for creative writing ability? An experiment’, </w:t>
      </w:r>
      <w:r>
        <w:rPr>
          <w:rFonts w:hint="default" w:ascii="Calibri Italic" w:hAnsi="Calibri Italic" w:cs="Calibri Italic"/>
          <w:b w:val="0"/>
          <w:i/>
          <w:iCs/>
          <w:sz w:val="21"/>
          <w:szCs w:val="21"/>
          <w:lang w:val="en-US" w:eastAsia="zh-CN"/>
        </w:rPr>
        <w:t>Journal of Computer Assisted Learning</w:t>
      </w:r>
      <w:r>
        <w:rPr>
          <w:rFonts w:hint="default" w:ascii="Calibri Regular" w:hAnsi="Calibri Regular" w:cs="Calibri Regular"/>
          <w:b w:val="0"/>
          <w:sz w:val="21"/>
          <w:szCs w:val="21"/>
          <w:lang w:val="en-US" w:eastAsia="zh-CN"/>
        </w:rPr>
        <w:t xml:space="preserve">, 40(2), pp. 919–930.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"https://doi.org/10.1111/jcal.12929"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https://doi.org/10.1111/jcal.12929</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38FF5D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B24FC1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Nguyen, A., Ilesanmi, F., Dang, B., Vuorenmaa, E.and Järvelä, S. (2024) ‘Hybrid Intelligence in Academic Writing: Examining Self-Regulated Learning Patterns in an AI-Assisted Writing Task’, in Lorig, F., Tucker, J.E., Lindsröm, A.D., Dignum, F., Murukannaiah, P. Theodorou. A. and Yolum, P. (eds) </w:t>
      </w:r>
      <w:r>
        <w:rPr>
          <w:rFonts w:hint="default" w:ascii="Calibri Italic" w:hAnsi="Calibri Italic" w:cs="Calibri Italic"/>
          <w:b w:val="0"/>
          <w:i/>
          <w:iCs/>
          <w:sz w:val="21"/>
          <w:szCs w:val="21"/>
          <w:lang w:val="en-US" w:eastAsia="zh-CN"/>
        </w:rPr>
        <w:t>HHAI 2024: Hybrid Human AI Systems for the Social Good.</w:t>
      </w:r>
      <w:r>
        <w:rPr>
          <w:rFonts w:hint="default" w:ascii="Calibri Regular" w:hAnsi="Calibri Regular" w:cs="Calibri Regular"/>
          <w:b w:val="0"/>
          <w:sz w:val="21"/>
          <w:szCs w:val="21"/>
          <w:lang w:val="en-US" w:eastAsia="zh-CN"/>
        </w:rPr>
        <w:t xml:space="preserve"> IOS Press, pp. 241-254.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"https://doi.org/10.3233/FAIA240198"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https://doi.org/10.3233/FAIA240198</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7AF6AF1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12089FB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Nguyen, L.Q., Le, H.V. and Nguyen, P.T. (2024) ‘A mixed-methods study on the use of chatgpt in the pre-writing stage: EFL learners’ utilization patterns, affective engagement, and writing performance’,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pp. 1-24.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"https://doi.org/10.1007/s10639-024-13231-8"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https://doi.org/10.1007/s10639-024-13231-8</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694A526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0553F2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Nugroho, A.</w:t>
      </w:r>
      <w:r>
        <w:rPr>
          <w:rFonts w:hint="eastAsia" w:ascii="Calibri Regular" w:hAnsi="Calibri Regular" w:cs="Calibri Regular"/>
          <w:b w:val="0"/>
          <w:sz w:val="21"/>
          <w:szCs w:val="21"/>
          <w:lang w:val="en-US" w:eastAsia="zh-CN"/>
        </w:rPr>
        <w:t>，</w:t>
      </w:r>
      <w:r>
        <w:rPr>
          <w:rFonts w:hint="default" w:ascii="Calibri Regular" w:hAnsi="Calibri Regular" w:cs="Calibri Regular"/>
          <w:b w:val="0"/>
          <w:sz w:val="21"/>
          <w:szCs w:val="21"/>
          <w:lang w:val="en-US" w:eastAsia="zh-CN"/>
        </w:rPr>
        <w:t xml:space="preserve">Andriyanti, E., Widodo, P. and Mutiaraningrum I.(2024) ‘Students’ appraisals post-ChatGPT use: Students’ narrative after using ChatGPT for writing’, </w:t>
      </w:r>
      <w:r>
        <w:rPr>
          <w:rFonts w:hint="default" w:ascii="Calibri Italic" w:hAnsi="Calibri Italic" w:cs="Calibri Italic"/>
          <w:b w:val="0"/>
          <w:i/>
          <w:iCs/>
          <w:sz w:val="21"/>
          <w:szCs w:val="21"/>
          <w:lang w:val="en-US" w:eastAsia="zh-CN"/>
        </w:rPr>
        <w:t>Innovations in Education and Teaching International</w:t>
      </w:r>
      <w:r>
        <w:rPr>
          <w:rFonts w:hint="default" w:ascii="Calibri Regular" w:hAnsi="Calibri Regular" w:cs="Calibri Regular"/>
          <w:b w:val="0"/>
          <w:sz w:val="21"/>
          <w:szCs w:val="21"/>
          <w:lang w:val="en-US" w:eastAsia="zh-CN"/>
        </w:rPr>
        <w:t xml:space="preserve">, pp. 1–13.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"https://doi.org/10.1080/14703297.2024.2319184"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https://doi.org/10.1080/14703297.2024.2319184</w:t>
      </w:r>
      <w:r>
        <w:rPr>
          <w:rFonts w:hint="default" w:ascii="Calibri Regular" w:hAnsi="Calibri Regular" w:cs="Calibri Regular"/>
          <w:b w:val="0"/>
          <w:sz w:val="21"/>
          <w:szCs w:val="21"/>
          <w:lang w:val="en-US" w:eastAsia="zh-CN"/>
        </w:rPr>
        <w:fldChar w:fldCharType="end"/>
      </w:r>
      <w:r>
        <w:rPr>
          <w:rFonts w:hint="eastAsia" w:ascii="Calibri Regular" w:hAnsi="Calibri Regular" w:cs="Calibri Regular"/>
          <w:b w:val="0"/>
          <w:sz w:val="21"/>
          <w:szCs w:val="21"/>
          <w:lang w:val="en-US" w:eastAsia="zh-CN"/>
        </w:rPr>
        <w:t xml:space="preserve"> </w:t>
      </w:r>
      <w:r>
        <w:rPr>
          <w:rFonts w:hint="default" w:ascii="Calibri Regular" w:hAnsi="Calibri Regular" w:cs="Calibri Regular"/>
          <w:b w:val="0"/>
          <w:sz w:val="21"/>
          <w:szCs w:val="21"/>
          <w:lang w:val="en-US" w:eastAsia="zh-CN"/>
        </w:rPr>
        <w:t xml:space="preserve"> </w:t>
      </w:r>
    </w:p>
    <w:p w14:paraId="460A6FB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1C43B5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Organisation for Economic Co-operation and Development [OECD](2023) </w:t>
      </w:r>
      <w:r>
        <w:rPr>
          <w:rFonts w:hint="default" w:ascii="Calibri Italic" w:hAnsi="Calibri Italic" w:cs="Calibri Italic"/>
          <w:b w:val="0"/>
          <w:i/>
          <w:iCs/>
          <w:sz w:val="21"/>
          <w:szCs w:val="21"/>
          <w:lang w:val="en-US" w:eastAsia="zh-CN"/>
        </w:rPr>
        <w:t>Policies for the digital transformation of school education</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"https://one.oecd.org/document/EDU/EDPC/SR(2023)2/en/pdf"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https://one.oecd.org/document/EDU/EDPC/SR(2023)2/en/pdf</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at: 7 June 2025).</w:t>
      </w:r>
    </w:p>
    <w:p w14:paraId="258E80D6">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D7957B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Ou, A.W., Khuder, B., Franzetti, S. and Negretti, R. (2024) ‘Conceptualising and cultivating Critical GenAI Literacy in doctoral academic writing’, </w:t>
      </w:r>
      <w:r>
        <w:rPr>
          <w:rFonts w:hint="default" w:ascii="Calibri Italic" w:hAnsi="Calibri Italic" w:cs="Calibri Italic"/>
          <w:b w:val="0"/>
          <w:i/>
          <w:iCs/>
          <w:sz w:val="21"/>
          <w:szCs w:val="21"/>
          <w:lang w:val="en-US" w:eastAsia="zh-CN"/>
        </w:rPr>
        <w:t>Journal of Second Language Writing</w:t>
      </w:r>
      <w:r>
        <w:rPr>
          <w:rFonts w:hint="default" w:ascii="Calibri Regular" w:hAnsi="Calibri Regular" w:cs="Calibri Regular"/>
          <w:b w:val="0"/>
          <w:sz w:val="21"/>
          <w:szCs w:val="21"/>
          <w:lang w:val="en-US" w:eastAsia="zh-CN"/>
        </w:rPr>
        <w:t xml:space="preserve">, 66, p. 101156.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"https://doi.org/10.1016/j.jslw.2024.101156"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https://doi.org/10.1016/j.jslw.2024.101156</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4CBFB6D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BA8BFB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Sinatra, G.M. and Taasoobshirazi, G. (2011) ‘</w:t>
      </w:r>
      <w:r>
        <w:rPr>
          <w:rFonts w:hint="default" w:ascii="Calibri" w:hAnsi="Calibri" w:cs="Calibri"/>
          <w:b w:val="0"/>
          <w:i w:val="0"/>
          <w:iCs w:val="0"/>
          <w:sz w:val="21"/>
          <w:szCs w:val="21"/>
          <w:lang w:val="en-US" w:eastAsia="zh-CN"/>
        </w:rPr>
        <w:t>Intentional conceptual change the self-regulation of science learning’</w:t>
      </w:r>
      <w:r>
        <w:rPr>
          <w:rFonts w:hint="default" w:ascii="Calibri Italic" w:hAnsi="Calibri Italic" w:cs="Calibri Italic"/>
          <w:b w:val="0"/>
          <w:i/>
          <w:iCs/>
          <w:sz w:val="21"/>
          <w:szCs w:val="21"/>
          <w:lang w:val="en-US" w:eastAsia="zh-CN"/>
        </w:rPr>
        <w:t>.</w:t>
      </w:r>
      <w:r>
        <w:rPr>
          <w:rFonts w:hint="default" w:ascii="Calibri Regular" w:hAnsi="Calibri Regular" w:cs="Calibri Regular"/>
          <w:b w:val="0"/>
          <w:sz w:val="21"/>
          <w:szCs w:val="21"/>
          <w:lang w:val="en-US" w:eastAsia="zh-CN"/>
        </w:rPr>
        <w:t xml:space="preserve"> in Zimmerman, B.J. and Schunk, D.H. (eds)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pp. 203-216. </w:t>
      </w:r>
    </w:p>
    <w:p w14:paraId="7C0F213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B64EEC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Smith, H.J., Chen, J. and Liu, X. (2008) ‘Language and rigour in qualitative research: Problems and principles in analyzing data collected in Mandarin’, </w:t>
      </w:r>
      <w:r>
        <w:rPr>
          <w:rFonts w:hint="default" w:ascii="Calibri Italic" w:hAnsi="Calibri Italic" w:cs="Calibri Italic"/>
          <w:b w:val="0"/>
          <w:i/>
          <w:iCs/>
          <w:sz w:val="21"/>
          <w:szCs w:val="21"/>
          <w:lang w:val="en-US" w:eastAsia="zh-CN"/>
        </w:rPr>
        <w:t>BMC medical research methodology</w:t>
      </w:r>
      <w:r>
        <w:rPr>
          <w:rFonts w:hint="default" w:ascii="Calibri Regular" w:hAnsi="Calibri Regular" w:cs="Calibri Regular"/>
          <w:b w:val="0"/>
          <w:sz w:val="21"/>
          <w:szCs w:val="21"/>
          <w:lang w:val="en-US" w:eastAsia="zh-CN"/>
        </w:rPr>
        <w:t xml:space="preserve">, 8, pp.1-8.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"https://doi.org/10.1186/1471-2288-8-44"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https://doi.org/10.1186/1471-2288-8-44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18DE1D4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74095A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Song, C. and Song, Y. (2023) ‘Enhancing academic writing skills and motivation: assessing the efficacy of ChatGPT in AI-assisted language learning for EFL students’, </w:t>
      </w:r>
      <w:r>
        <w:rPr>
          <w:rFonts w:hint="default" w:ascii="Calibri Italic" w:hAnsi="Calibri Italic" w:cs="Calibri Italic"/>
          <w:b w:val="0"/>
          <w:i/>
          <w:iCs/>
          <w:sz w:val="21"/>
          <w:szCs w:val="21"/>
          <w:lang w:val="en-US" w:eastAsia="zh-CN"/>
        </w:rPr>
        <w:t>Frontiers in Psychology</w:t>
      </w:r>
      <w:r>
        <w:rPr>
          <w:rFonts w:hint="default" w:ascii="Calibri Regular" w:hAnsi="Calibri Regular" w:cs="Calibri Regular"/>
          <w:b w:val="0"/>
          <w:sz w:val="21"/>
          <w:szCs w:val="21"/>
          <w:lang w:val="en-US" w:eastAsia="zh-CN"/>
        </w:rPr>
        <w:t xml:space="preserve">, 14.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"https://doi.org/10.3389/fpsyg.2023.1260843"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https://doi.org/10.3389/fpsyg.2023.1260843</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0D4896F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F3088D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Tech Trends (2024) </w:t>
      </w:r>
      <w:r>
        <w:rPr>
          <w:rFonts w:hint="default" w:ascii="Calibri Italic" w:hAnsi="Calibri Italic" w:cs="Calibri Italic"/>
          <w:b w:val="0"/>
          <w:i/>
          <w:iCs/>
          <w:sz w:val="21"/>
          <w:szCs w:val="21"/>
          <w:lang w:val="en-US" w:eastAsia="zh-CN"/>
        </w:rPr>
        <w:t>China’s hottest AI bot? ByteDance’s Doubao tops the charts with 51 million active users</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"https://www.scmp.com/tech/tech-trends/article/3286276/chinas-hottest-ai-bot-bytedances-doubao-tops-charts-51-million-active-users?utm_source=chatgpt.com"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https://www.scmp.com/tech/tech-trends/article/3286276/chinas-hottest-ai-bot-bytedances-doubao-tops-charts-51-million-active-users?utm_source=chatgpt.com</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8 June 2025)</w:t>
      </w:r>
    </w:p>
    <w:p w14:paraId="1C280B7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0979C5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Teng, F. M. (2024). A systematic review of ChatGPT for English as a foreign language writing: opportunities, challenges, and recommendations. </w:t>
      </w:r>
      <w:r>
        <w:rPr>
          <w:rFonts w:hint="default" w:ascii="Calibri Italic" w:hAnsi="Calibri Italic" w:cs="Calibri Italic"/>
          <w:b w:val="0"/>
          <w:i/>
          <w:iCs/>
          <w:sz w:val="21"/>
          <w:szCs w:val="21"/>
          <w:lang w:val="en-US" w:eastAsia="zh-CN"/>
        </w:rPr>
        <w:t>International Journal of TESOL Studies</w:t>
      </w:r>
      <w:r>
        <w:rPr>
          <w:rFonts w:hint="default" w:ascii="Calibri Regular" w:hAnsi="Calibri Regular" w:cs="Calibri Regular"/>
          <w:b w:val="0"/>
          <w:sz w:val="21"/>
          <w:szCs w:val="21"/>
          <w:lang w:val="en-US" w:eastAsia="zh-CN"/>
        </w:rPr>
        <w:t xml:space="preserve">, 6(3), pp. 36-57.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"https://doi.org/10.58304/ijts.20240304"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https://doi.org/10.58304/ijts.20240304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13F4487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2060ADB">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Thompson, R. L., Higgins, C. A., and Howell, J. M. (1991). Personal computing: Toward a conceptual model of utilization. MIS Quarterly, 15(1), 125–143.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"https://doi.org/10.2307/249443"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https://doi.org/10.2307/249443</w:t>
      </w:r>
      <w:r>
        <w:rPr>
          <w:rFonts w:hint="default" w:ascii="Calibri Regular" w:hAnsi="Calibri Regular" w:cs="Calibri Regular"/>
          <w:b w:val="0"/>
          <w:sz w:val="21"/>
          <w:szCs w:val="21"/>
          <w:lang w:val="en-US" w:eastAsia="zh-CN"/>
        </w:rPr>
        <w:fldChar w:fldCharType="end"/>
      </w:r>
    </w:p>
    <w:p w14:paraId="0D64C23A">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p>
    <w:p w14:paraId="0209667B">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Tonks, S.M. and Taboada, A. (2011) ‘Developing self-regulated readers through instruction for reading engagement’, in Zimmerman, B.J. and Schunk, D.H. (eds)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pp. 173-186. </w:t>
      </w:r>
    </w:p>
    <w:p w14:paraId="2F05580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09BFE81">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Tsai, C.Y., Lin, Y.T. and Brown, I.K. (2024) ‘Impacts of ChatGPT-assisted writing for EFL English majors: Feasibility and challenges’,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pp.1-19.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"https://doi.org/10.1007/s10639-024-12722-y"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https://doi.org/10.1007/s10639-024-12722-y</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03B926D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6D9A81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United Nations Educational, Scientific and Cultural Organisation [UNESCO](2023) </w:t>
      </w:r>
      <w:r>
        <w:rPr>
          <w:rFonts w:hint="default" w:ascii="Calibri Italic" w:hAnsi="Calibri Italic" w:cs="Calibri Italic"/>
          <w:b w:val="0"/>
          <w:i/>
          <w:iCs/>
          <w:sz w:val="21"/>
          <w:szCs w:val="21"/>
          <w:lang w:val="en-US" w:eastAsia="zh-CN"/>
        </w:rPr>
        <w:t>Guidance for generative AI in education and research</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"http://doi:10.54675/EWZM9535"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http://doi:10.54675/EWZM9535</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(Accessed: 23 September 2025). </w:t>
      </w:r>
    </w:p>
    <w:p w14:paraId="46DA7FB5">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32F038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lang w:val="en-US" w:eastAsia="zh-CN"/>
        </w:rPr>
      </w:pPr>
      <w:r>
        <w:rPr>
          <w:rFonts w:hint="default" w:ascii="Calibri Regular" w:hAnsi="Calibri Regular" w:cs="Calibri Regular"/>
          <w:lang w:val="en-US" w:eastAsia="zh-CN"/>
        </w:rPr>
        <w:t xml:space="preserve">University of Wales Trinity Saint David [UWTSD](2022) </w:t>
      </w:r>
      <w:r>
        <w:rPr>
          <w:rFonts w:hint="default" w:ascii="Calibri Italic" w:hAnsi="Calibri Italic" w:cs="Calibri Italic"/>
          <w:i/>
          <w:iCs/>
          <w:lang w:val="en-US" w:eastAsia="zh-CN"/>
        </w:rPr>
        <w:t>Research ethics and integrity code of practice.</w:t>
      </w:r>
      <w:r>
        <w:rPr>
          <w:rFonts w:hint="default" w:ascii="Calibri Regular" w:hAnsi="Calibri Regular" w:cs="Calibri Regular"/>
          <w:lang w:val="en-US" w:eastAsia="zh-CN"/>
        </w:rPr>
        <w:t xml:space="preserve"> Available at: </w:t>
      </w:r>
      <w:r>
        <w:rPr>
          <w:rFonts w:hint="default" w:ascii="Calibri Regular" w:hAnsi="Calibri Regular" w:cs="Calibri Regular"/>
          <w:lang w:val="en-US" w:eastAsia="zh-CN"/>
        </w:rPr>
        <w:fldChar w:fldCharType="begin"/>
      </w:r>
      <w:r>
        <w:rPr>
          <w:rFonts w:hint="default" w:ascii="Calibri Regular" w:hAnsi="Calibri Regular" w:cs="Calibri Regular"/>
          <w:lang w:val="en-US" w:eastAsia="zh-CN"/>
        </w:rPr>
        <w:instrText xml:space="preserve"> HYPERLINK "https://www.uwtsd.ac.uk/research/research-integrity-and-ethics" </w:instrText>
      </w:r>
      <w:r>
        <w:rPr>
          <w:rFonts w:hint="default" w:ascii="Calibri Regular" w:hAnsi="Calibri Regular" w:cs="Calibri Regular"/>
          <w:lang w:val="en-US" w:eastAsia="zh-CN"/>
        </w:rPr>
        <w:fldChar w:fldCharType="separate"/>
      </w:r>
      <w:r>
        <w:rPr>
          <w:rStyle w:val="9"/>
          <w:rFonts w:hint="default" w:ascii="Calibri Regular" w:hAnsi="Calibri Regular" w:cs="Calibri Regular"/>
          <w:lang w:val="en-US" w:eastAsia="zh-CN"/>
        </w:rPr>
        <w:t>https://www.uwtsd.ac.uk/research/research-integrity-and-ethics</w:t>
      </w:r>
      <w:r>
        <w:rPr>
          <w:rFonts w:hint="default" w:ascii="Calibri Regular" w:hAnsi="Calibri Regular" w:cs="Calibri Regular"/>
          <w:lang w:val="en-US" w:eastAsia="zh-CN"/>
        </w:rPr>
        <w:fldChar w:fldCharType="end"/>
      </w:r>
      <w:r>
        <w:rPr>
          <w:rFonts w:hint="default" w:ascii="Calibri Regular" w:hAnsi="Calibri Regular" w:cs="Calibri Regular"/>
          <w:lang w:val="en-US" w:eastAsia="zh-CN"/>
        </w:rPr>
        <w:t xml:space="preserve">  (Accessed: 22 June 2025).</w:t>
      </w:r>
    </w:p>
    <w:p w14:paraId="1795648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lang w:val="en-US" w:eastAsia="zh-CN"/>
        </w:rPr>
      </w:pPr>
    </w:p>
    <w:p w14:paraId="3D050F1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Venkatesh, V., Morris, M. G., Davis, G. B., and Davis, F. D. (2003) ‘User acceptance of information technology: Toward a unified view’, </w:t>
      </w:r>
      <w:r>
        <w:rPr>
          <w:rFonts w:hint="default" w:ascii="Calibri Italic" w:hAnsi="Calibri Italic" w:cs="Calibri Italic"/>
          <w:b w:val="0"/>
          <w:i/>
          <w:iCs/>
          <w:sz w:val="21"/>
          <w:szCs w:val="21"/>
          <w:lang w:val="en-US" w:eastAsia="zh-CN"/>
        </w:rPr>
        <w:t>MIS Quarterly</w:t>
      </w:r>
      <w:r>
        <w:rPr>
          <w:rFonts w:hint="default" w:ascii="Calibri Regular" w:hAnsi="Calibri Regular" w:cs="Calibri Regular"/>
          <w:b w:val="0"/>
          <w:sz w:val="21"/>
          <w:szCs w:val="21"/>
          <w:lang w:val="en-US" w:eastAsia="zh-CN"/>
        </w:rPr>
        <w:t xml:space="preserve">, 27(3), pp. 425–478.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"https://doi.org/10.2307/30036540"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https://doi.org/10.2307/30036540</w:t>
      </w:r>
      <w:r>
        <w:rPr>
          <w:rFonts w:hint="default" w:ascii="Calibri Regular" w:hAnsi="Calibri Regular" w:cs="Calibri Regular"/>
          <w:b w:val="0"/>
          <w:sz w:val="21"/>
          <w:szCs w:val="21"/>
          <w:lang w:val="en-US" w:eastAsia="zh-CN"/>
        </w:rPr>
        <w:fldChar w:fldCharType="end"/>
      </w:r>
    </w:p>
    <w:p w14:paraId="1B237B1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0A3FDC9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Venkatesh, V., Thong, J. Y., and Xu, X. (2012) ‘Consumer Acceptance and Use of Information Technology: Extending the Unified Theory of Acceptance and Use of Technology’, </w:t>
      </w:r>
      <w:r>
        <w:rPr>
          <w:rFonts w:hint="default" w:ascii="Calibri Italic" w:hAnsi="Calibri Italic" w:cs="Calibri Italic"/>
          <w:b w:val="0"/>
          <w:i/>
          <w:iCs/>
          <w:sz w:val="21"/>
          <w:szCs w:val="21"/>
          <w:lang w:val="en-US" w:eastAsia="zh-CN"/>
        </w:rPr>
        <w:t>MIS Quarterly</w:t>
      </w:r>
      <w:r>
        <w:rPr>
          <w:rFonts w:hint="default" w:ascii="Calibri Regular" w:hAnsi="Calibri Regular" w:cs="Calibri Regular"/>
          <w:b w:val="0"/>
          <w:sz w:val="21"/>
          <w:szCs w:val="21"/>
          <w:lang w:val="en-US" w:eastAsia="zh-CN"/>
        </w:rPr>
        <w:t xml:space="preserve">, 36(1), pp. 157–178.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"https://doi.org/10.2307/41410412"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https://doi.org/10.2307/41410412</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36B0B95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963306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Vygotsky, L. S. (1978). </w:t>
      </w:r>
      <w:r>
        <w:rPr>
          <w:rFonts w:hint="default" w:ascii="Calibri Italic" w:hAnsi="Calibri Italic" w:cs="Calibri Italic"/>
          <w:b w:val="0"/>
          <w:i/>
          <w:iCs/>
          <w:sz w:val="21"/>
          <w:szCs w:val="21"/>
          <w:lang w:val="en-US" w:eastAsia="zh-CN"/>
        </w:rPr>
        <w:t>Mind in society: The development of higher psychological processes.</w:t>
      </w:r>
      <w:r>
        <w:rPr>
          <w:rFonts w:hint="default" w:ascii="Calibri Regular" w:hAnsi="Calibri Regular" w:cs="Calibri Regular"/>
          <w:b w:val="0"/>
          <w:sz w:val="21"/>
          <w:szCs w:val="21"/>
          <w:lang w:val="en-US" w:eastAsia="zh-CN"/>
        </w:rPr>
        <w:t xml:space="preserve"> Harvard University Press.</w:t>
      </w:r>
    </w:p>
    <w:p w14:paraId="41CA1B38">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Waller, L. and Papi, M. (2017) ‘Motivation and feedback: How implicit theories of intelligence predict L2 writers’ motivation and feedback orientation’, </w:t>
      </w:r>
      <w:r>
        <w:rPr>
          <w:rFonts w:hint="default" w:ascii="Calibri Italic" w:hAnsi="Calibri Italic" w:cs="Calibri Italic"/>
          <w:b w:val="0"/>
          <w:i/>
          <w:iCs/>
          <w:sz w:val="21"/>
          <w:szCs w:val="21"/>
          <w:lang w:val="en-US" w:eastAsia="zh-CN"/>
        </w:rPr>
        <w:t>Journal of Second Language Writing</w:t>
      </w:r>
      <w:r>
        <w:rPr>
          <w:rFonts w:hint="default" w:ascii="Calibri Regular" w:hAnsi="Calibri Regular" w:cs="Calibri Regular"/>
          <w:b w:val="0"/>
          <w:sz w:val="21"/>
          <w:szCs w:val="21"/>
          <w:lang w:val="en-US" w:eastAsia="zh-CN"/>
        </w:rPr>
        <w:t xml:space="preserve">, 35, pp. 54–65.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"https://doi.org/10.1016/j.jslw.2017.01.004"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https://doi.org/10.1016/j.jslw.2017.01.004</w:t>
      </w:r>
      <w:r>
        <w:rPr>
          <w:rFonts w:hint="default" w:ascii="Calibri Regular" w:hAnsi="Calibri Regular" w:cs="Calibri Regular"/>
          <w:b w:val="0"/>
          <w:sz w:val="21"/>
          <w:szCs w:val="21"/>
          <w:lang w:val="en-US" w:eastAsia="zh-CN"/>
        </w:rPr>
        <w:fldChar w:fldCharType="end"/>
      </w:r>
      <w:r>
        <w:rPr>
          <w:rFonts w:hint="eastAsia" w:ascii="Calibri Regular" w:hAnsi="Calibri Regular" w:cs="Calibri Regular"/>
          <w:b w:val="0"/>
          <w:sz w:val="21"/>
          <w:szCs w:val="21"/>
          <w:lang w:val="en-US" w:eastAsia="zh-CN"/>
        </w:rPr>
        <w:t xml:space="preserve"> </w:t>
      </w:r>
      <w:r>
        <w:rPr>
          <w:rFonts w:hint="default" w:ascii="Calibri Regular" w:hAnsi="Calibri Regular" w:cs="Calibri Regular"/>
          <w:b w:val="0"/>
          <w:sz w:val="21"/>
          <w:szCs w:val="21"/>
          <w:lang w:val="en-US" w:eastAsia="zh-CN"/>
        </w:rPr>
        <w:t xml:space="preserve"> </w:t>
      </w:r>
    </w:p>
    <w:p w14:paraId="0963711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9B0004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Werdiningsih, I., Marzuki, Indrawati, I., Rusdin, D., Ivone, F.M, Basthomi, Y., and Zulfahreza (2024) ‘Revolutionizing EFL writing: unveiling the strategic use of ChatGPT by Indonesian master’s students’, </w:t>
      </w:r>
      <w:r>
        <w:rPr>
          <w:rFonts w:hint="default" w:ascii="Calibri Italic" w:hAnsi="Calibri Italic" w:cs="Calibri Italic"/>
          <w:b w:val="0"/>
          <w:i/>
          <w:iCs/>
          <w:sz w:val="21"/>
          <w:szCs w:val="21"/>
          <w:lang w:val="en-US" w:eastAsia="zh-CN"/>
        </w:rPr>
        <w:t>Cogent Education</w:t>
      </w:r>
      <w:r>
        <w:rPr>
          <w:rFonts w:hint="default" w:ascii="Calibri Regular" w:hAnsi="Calibri Regular" w:cs="Calibri Regular"/>
          <w:b w:val="0"/>
          <w:sz w:val="21"/>
          <w:szCs w:val="21"/>
          <w:lang w:val="en-US" w:eastAsia="zh-CN"/>
        </w:rPr>
        <w:t xml:space="preserve">, 11(1), p. 2399431.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"https://doi.org/10.1080/2331186X.2024.2399431"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https://doi.org/10.1080/2331186X.2024.2399431</w:t>
      </w:r>
      <w:r>
        <w:rPr>
          <w:rFonts w:hint="default" w:ascii="Calibri Regular" w:hAnsi="Calibri Regular" w:cs="Calibri Regular"/>
          <w:b w:val="0"/>
          <w:sz w:val="21"/>
          <w:szCs w:val="21"/>
          <w:lang w:val="en-US" w:eastAsia="zh-CN"/>
        </w:rPr>
        <w:fldChar w:fldCharType="end"/>
      </w:r>
      <w:r>
        <w:rPr>
          <w:rFonts w:hint="eastAsia" w:ascii="Calibri Regular" w:hAnsi="Calibri Regular" w:cs="Calibri Regular"/>
          <w:b w:val="0"/>
          <w:sz w:val="21"/>
          <w:szCs w:val="21"/>
          <w:lang w:val="en-US" w:eastAsia="zh-CN"/>
        </w:rPr>
        <w:t xml:space="preserve"> </w:t>
      </w:r>
    </w:p>
    <w:p w14:paraId="1C5EAE2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383CD5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Wu, W., Zhang, B., Li, S. and Liu, H. (2022) ‘Exploring factors of the willingness to accept AI-assisted learning environments: an empirical investigation based on the UTAUT model and perceived risk theory’. </w:t>
      </w:r>
      <w:r>
        <w:rPr>
          <w:rFonts w:hint="default" w:ascii="Calibri Italic" w:hAnsi="Calibri Italic" w:cs="Calibri Italic"/>
          <w:b w:val="0"/>
          <w:i/>
          <w:iCs/>
          <w:sz w:val="21"/>
          <w:szCs w:val="21"/>
          <w:lang w:val="en-US" w:eastAsia="zh-CN"/>
        </w:rPr>
        <w:t>Frontiers in Psychology</w:t>
      </w:r>
      <w:r>
        <w:rPr>
          <w:rFonts w:hint="default" w:ascii="Calibri Regular" w:hAnsi="Calibri Regular" w:cs="Calibri Regular"/>
          <w:b w:val="0"/>
          <w:sz w:val="21"/>
          <w:szCs w:val="21"/>
          <w:lang w:val="en-US" w:eastAsia="zh-CN"/>
        </w:rPr>
        <w:t xml:space="preserve">, 13, p.870777.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"https://doi.org/10.3389/fpsyg.2022.870777"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https://doi.org/10.3389/fpsyg.2022.870777</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5937CE97">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4ADCF84">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Xinhua News Agency (2023) </w:t>
      </w:r>
      <w:r>
        <w:rPr>
          <w:rFonts w:hint="default" w:ascii="Calibri Italic" w:hAnsi="Calibri Italic" w:cs="Calibri Italic"/>
          <w:b w:val="0"/>
          <w:i/>
          <w:iCs/>
          <w:sz w:val="21"/>
          <w:szCs w:val="21"/>
          <w:lang w:val="en-US" w:eastAsia="zh-CN"/>
        </w:rPr>
        <w:t>Education enters the era of large language models: From cognitive to affective intelligence, accelerating the digital transformation of the education sector</w:t>
      </w:r>
      <w:r>
        <w:rPr>
          <w:rFonts w:hint="default" w:ascii="Calibri Regular" w:hAnsi="Calibri Regular" w:cs="Calibri Regular"/>
          <w:b w:val="0"/>
          <w:sz w:val="21"/>
          <w:szCs w:val="21"/>
          <w:lang w:val="en-US" w:eastAsia="zh-CN"/>
        </w:rPr>
        <w:t xml:space="preserve">.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"http://www.xinhuanet.com/2023-11/01/c_1212296044.htm?utm_source=chatgpt.com"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http://www.xinhuanet.com/2023-11/01/c_1212296044.htm?utm_source=chatgpt.com</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(assessed: 8 June 2025).</w:t>
      </w:r>
    </w:p>
    <w:p w14:paraId="311FFD9D">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4F6D7C7A">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Yakubu, M.N., David, N. &amp; Abubakar, N.H.(2025) ‘Students' behavioural intention to use content generative AI for learning and research: A UTAUT theoretical perspective. </w:t>
      </w:r>
      <w:r>
        <w:rPr>
          <w:rFonts w:hint="default" w:ascii="Calibri Italic" w:hAnsi="Calibri Italic" w:cs="Calibri Italic"/>
          <w:b w:val="0"/>
          <w:i/>
          <w:iCs/>
          <w:sz w:val="21"/>
          <w:szCs w:val="21"/>
          <w:lang w:val="en-US" w:eastAsia="zh-CN"/>
        </w:rPr>
        <w:t xml:space="preserve">Education and Information Technologies. </w:t>
      </w:r>
      <w:r>
        <w:rPr>
          <w:rFonts w:hint="default" w:ascii="Calibri Regular" w:hAnsi="Calibri Regular" w:cs="Calibri Regular"/>
          <w:b w:val="0"/>
          <w:sz w:val="21"/>
          <w:szCs w:val="21"/>
          <w:lang w:val="en-US" w:eastAsia="zh-CN"/>
        </w:rPr>
        <w:t xml:space="preserve">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"https://doi.org/10.1007/s10639-025-13441-8"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https://doi.org/10.1007/s10639-025-13441-8</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58758B4C">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C72FB73">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Yan, D. (2023) ‘Impact of ChatGPT on learners in a L2 writing practicum: An exploratory investigation’, </w:t>
      </w:r>
      <w:r>
        <w:rPr>
          <w:rFonts w:hint="default" w:ascii="Calibri Italic" w:hAnsi="Calibri Italic" w:cs="Calibri Italic"/>
          <w:b w:val="0"/>
          <w:i/>
          <w:iCs/>
          <w:sz w:val="21"/>
          <w:szCs w:val="21"/>
          <w:lang w:val="en-US" w:eastAsia="zh-CN"/>
        </w:rPr>
        <w:t>Education and Information Technologies</w:t>
      </w:r>
      <w:r>
        <w:rPr>
          <w:rFonts w:hint="default" w:ascii="Calibri Regular" w:hAnsi="Calibri Regular" w:cs="Calibri Regular"/>
          <w:b w:val="0"/>
          <w:sz w:val="21"/>
          <w:szCs w:val="21"/>
          <w:lang w:val="en-US" w:eastAsia="zh-CN"/>
        </w:rPr>
        <w:t xml:space="preserve">, 28(11), pp. 13943–13967.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"https://doi.org/10.1007/s10639-023-11742-4"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https://doi.org/10.1007/s10639-023-11742-4</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1AFF2742">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5C35D7E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Zimmerman, B.J. (2000) ‘Attaining Self-Regulation’, in Boekaerts,B., Pintrich, P. R. and Zeidner, M. (eds.) </w:t>
      </w:r>
      <w:r>
        <w:rPr>
          <w:rFonts w:hint="default" w:ascii="Calibri Italic" w:hAnsi="Calibri Italic" w:cs="Calibri Italic"/>
          <w:b w:val="0"/>
          <w:i/>
          <w:iCs/>
          <w:sz w:val="21"/>
          <w:szCs w:val="21"/>
          <w:lang w:val="en-US" w:eastAsia="zh-CN"/>
        </w:rPr>
        <w:t>Handbook of Self-Regulation</w:t>
      </w:r>
      <w:r>
        <w:rPr>
          <w:rFonts w:hint="default" w:ascii="Calibri Regular" w:hAnsi="Calibri Regular" w:cs="Calibri Regular"/>
          <w:b w:val="0"/>
          <w:sz w:val="21"/>
          <w:szCs w:val="21"/>
          <w:lang w:val="en-US" w:eastAsia="zh-CN"/>
        </w:rPr>
        <w:t xml:space="preserve">. San Diego:Academic Press, pp. 13–39. Available at: </w:t>
      </w:r>
      <w:r>
        <w:rPr>
          <w:rFonts w:hint="default" w:ascii="Calibri Regular" w:hAnsi="Calibri Regular" w:cs="Calibri Regular"/>
          <w:b w:val="0"/>
          <w:sz w:val="21"/>
          <w:szCs w:val="21"/>
          <w:lang w:val="en-US" w:eastAsia="zh-CN"/>
        </w:rPr>
        <w:fldChar w:fldCharType="begin"/>
      </w:r>
      <w:r>
        <w:rPr>
          <w:rFonts w:hint="default" w:ascii="Calibri Regular" w:hAnsi="Calibri Regular" w:cs="Calibri Regular"/>
          <w:b w:val="0"/>
          <w:sz w:val="21"/>
          <w:szCs w:val="21"/>
          <w:lang w:val="en-US" w:eastAsia="zh-CN"/>
        </w:rPr>
        <w:instrText xml:space="preserve"> HYPERLINK "https://doi.org/10.1016/B978-012109890-2/50031-7" </w:instrText>
      </w:r>
      <w:r>
        <w:rPr>
          <w:rFonts w:hint="default" w:ascii="Calibri Regular" w:hAnsi="Calibri Regular" w:cs="Calibri Regular"/>
          <w:b w:val="0"/>
          <w:sz w:val="21"/>
          <w:szCs w:val="21"/>
          <w:lang w:val="en-US" w:eastAsia="zh-CN"/>
        </w:rPr>
        <w:fldChar w:fldCharType="separate"/>
      </w:r>
      <w:r>
        <w:rPr>
          <w:rStyle w:val="9"/>
          <w:rFonts w:hint="default" w:ascii="Calibri Regular" w:hAnsi="Calibri Regular" w:cs="Calibri Regular"/>
          <w:b w:val="0"/>
          <w:sz w:val="21"/>
          <w:szCs w:val="21"/>
          <w:lang w:val="en-US" w:eastAsia="zh-CN"/>
        </w:rPr>
        <w:t>https://doi.org/10.1016/B978-012109890-2/50031-7</w:t>
      </w:r>
      <w:r>
        <w:rPr>
          <w:rFonts w:hint="default" w:ascii="Calibri Regular" w:hAnsi="Calibri Regular" w:cs="Calibri Regular"/>
          <w:b w:val="0"/>
          <w:sz w:val="21"/>
          <w:szCs w:val="21"/>
          <w:lang w:val="en-US" w:eastAsia="zh-CN"/>
        </w:rPr>
        <w:fldChar w:fldCharType="end"/>
      </w:r>
      <w:r>
        <w:rPr>
          <w:rFonts w:hint="default" w:ascii="Calibri Regular" w:hAnsi="Calibri Regular" w:cs="Calibri Regular"/>
          <w:b w:val="0"/>
          <w:sz w:val="21"/>
          <w:szCs w:val="21"/>
          <w:lang w:val="en-US" w:eastAsia="zh-CN"/>
        </w:rPr>
        <w:t xml:space="preserve"> </w:t>
      </w:r>
    </w:p>
    <w:p w14:paraId="4F2ECB9F">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622482E9">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r>
        <w:rPr>
          <w:rFonts w:hint="default" w:ascii="Calibri Regular" w:hAnsi="Calibri Regular" w:cs="Calibri Regular"/>
          <w:b w:val="0"/>
          <w:sz w:val="21"/>
          <w:szCs w:val="21"/>
          <w:lang w:val="en-US" w:eastAsia="zh-CN"/>
        </w:rPr>
        <w:t xml:space="preserve">Zimmerman, B.J. and Schunk, D.H. (2011) </w:t>
      </w:r>
      <w:r>
        <w:rPr>
          <w:rFonts w:hint="default" w:ascii="Calibri Italic" w:hAnsi="Calibri Italic" w:cs="Calibri Italic"/>
          <w:b w:val="0"/>
          <w:i/>
          <w:iCs/>
          <w:sz w:val="21"/>
          <w:szCs w:val="21"/>
          <w:lang w:val="en-US" w:eastAsia="zh-CN"/>
        </w:rPr>
        <w:t>Handbook of Self-Regulated of Learning and Performan</w:t>
      </w:r>
      <w:r>
        <w:rPr>
          <w:rFonts w:hint="default" w:ascii="Calibri Italic" w:hAnsi="Calibri Italic" w:cs="Calibri Italic"/>
          <w:b w:val="0"/>
          <w:i w:val="0"/>
          <w:iCs w:val="0"/>
          <w:sz w:val="21"/>
          <w:szCs w:val="21"/>
          <w:lang w:val="en-US" w:eastAsia="zh-CN"/>
        </w:rPr>
        <w:t>c</w:t>
      </w:r>
      <w:r>
        <w:rPr>
          <w:rFonts w:hint="default" w:ascii="Calibri Regular" w:hAnsi="Calibri Regular" w:cs="Calibri Regular"/>
          <w:b w:val="0"/>
          <w:i w:val="0"/>
          <w:iCs w:val="0"/>
          <w:sz w:val="21"/>
          <w:szCs w:val="21"/>
          <w:lang w:val="en-US" w:eastAsia="zh-CN"/>
        </w:rPr>
        <w:t>e</w:t>
      </w:r>
      <w:r>
        <w:rPr>
          <w:rFonts w:hint="default" w:ascii="Calibri Regular" w:hAnsi="Calibri Regular" w:cs="Calibri Regular"/>
          <w:b w:val="0"/>
          <w:sz w:val="21"/>
          <w:szCs w:val="21"/>
          <w:lang w:val="en-US" w:eastAsia="zh-CN"/>
        </w:rPr>
        <w:t xml:space="preserve">. London: Routledge. </w:t>
      </w:r>
    </w:p>
    <w:p w14:paraId="08C7F9DE">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7DE7C8AB">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Calibri Regular" w:hAnsi="Calibri Regular" w:cs="Calibri Regular"/>
          <w:b w:val="0"/>
          <w:sz w:val="21"/>
          <w:szCs w:val="21"/>
          <w:lang w:val="en-US" w:eastAsia="zh-CN"/>
        </w:rPr>
      </w:pPr>
    </w:p>
    <w:p w14:paraId="35A82CD2">
      <w:pPr>
        <w:outlineLvl w:val="9"/>
        <w:rPr>
          <w:rFonts w:hint="default" w:ascii="Calibri Regular" w:hAnsi="Calibri Regular" w:cs="Calibri Regular"/>
          <w:b w:val="0"/>
          <w:sz w:val="28"/>
          <w:szCs w:val="28"/>
          <w:lang w:val="en-US"/>
        </w:rPr>
      </w:pPr>
    </w:p>
    <w:p w14:paraId="37FB0471">
      <w:pPr>
        <w:outlineLvl w:val="9"/>
        <w:rPr>
          <w:rFonts w:hint="default" w:ascii="Calibri Regular" w:hAnsi="Calibri Regular" w:cs="Calibri Regular"/>
          <w:b w:val="0"/>
          <w:sz w:val="28"/>
          <w:szCs w:val="28"/>
          <w:lang w:val="en-US"/>
        </w:rPr>
      </w:pPr>
    </w:p>
    <w:p w14:paraId="13FAC780">
      <w:pPr>
        <w:rPr>
          <w:rFonts w:hint="default" w:ascii="Calibri Regular" w:hAnsi="Calibri Regular" w:cs="Calibri Regular"/>
          <w:b w:val="0"/>
          <w:sz w:val="28"/>
          <w:szCs w:val="28"/>
          <w:lang w:val="en-US"/>
        </w:rPr>
      </w:pPr>
    </w:p>
    <w:p w14:paraId="563A514E">
      <w:pPr>
        <w:rPr>
          <w:rFonts w:hint="default" w:ascii="Calibri Regular" w:hAnsi="Calibri Regular" w:cs="Calibri Regular"/>
          <w:b w:val="0"/>
          <w:sz w:val="28"/>
          <w:szCs w:val="28"/>
          <w:lang w:val="en-US"/>
        </w:rPr>
      </w:pPr>
    </w:p>
    <w:p w14:paraId="79E7171B">
      <w:pPr>
        <w:rPr>
          <w:rFonts w:hint="default"/>
          <w:lang w:val="en-US"/>
        </w:rPr>
      </w:pPr>
    </w:p>
    <w:p w14:paraId="1FC80F31">
      <w:pPr>
        <w:rPr>
          <w:rFonts w:hint="default"/>
          <w:sz w:val="36"/>
          <w:szCs w:val="36"/>
          <w:lang w:val="en-US"/>
        </w:rPr>
      </w:pPr>
    </w:p>
    <w:p w14:paraId="02ADCB1D"/>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arial">
    <w:panose1 w:val="020B0604020202090204"/>
    <w:charset w:val="00"/>
    <w:family w:val="auto"/>
    <w:pitch w:val="default"/>
    <w:sig w:usb0="E0000AFF" w:usb1="00007843" w:usb2="00000001" w:usb3="00000000" w:csb0="400001BF" w:csb1="DFF70000"/>
  </w:font>
  <w:font w:name="helvetica">
    <w:panose1 w:val="00000000000000000000"/>
    <w:charset w:val="00"/>
    <w:family w:val="auto"/>
    <w:pitch w:val="default"/>
    <w:sig w:usb0="E00002FF" w:usb1="5000785B" w:usb2="00000000" w:usb3="00000000" w:csb0="2000019F" w:csb1="4F010000"/>
  </w:font>
  <w:font w:name="Calibri Regular">
    <w:panose1 w:val="020F07020304040A0204"/>
    <w:charset w:val="00"/>
    <w:family w:val="auto"/>
    <w:pitch w:val="default"/>
    <w:sig w:usb0="E10002FF" w:usb1="4000ACFF" w:usb2="00000009" w:usb3="00000000" w:csb0="2000019F" w:csb1="00000000"/>
  </w:font>
  <w:font w:name="Calibri Italic">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76F787"/>
    <w:multiLevelType w:val="singleLevel"/>
    <w:tmpl w:val="AF76F787"/>
    <w:lvl w:ilvl="0" w:tentative="0">
      <w:start w:val="1"/>
      <w:numFmt w:val="bullet"/>
      <w:lvlText w:val=""/>
      <w:lvlJc w:val="left"/>
      <w:pPr>
        <w:ind w:left="420" w:hanging="420"/>
      </w:pPr>
      <w:rPr>
        <w:rFonts w:hint="default" w:ascii="Wingdings" w:hAnsi="Wingdings"/>
      </w:rPr>
    </w:lvl>
  </w:abstractNum>
  <w:abstractNum w:abstractNumId="1">
    <w:nsid w:val="BE7A320B"/>
    <w:multiLevelType w:val="singleLevel"/>
    <w:tmpl w:val="BE7A320B"/>
    <w:lvl w:ilvl="0" w:tentative="0">
      <w:start w:val="1"/>
      <w:numFmt w:val="decimal"/>
      <w:suff w:val="space"/>
      <w:lvlText w:val="%1)"/>
      <w:lvlJc w:val="left"/>
    </w:lvl>
  </w:abstractNum>
  <w:abstractNum w:abstractNumId="2">
    <w:nsid w:val="F12D2BA2"/>
    <w:multiLevelType w:val="singleLevel"/>
    <w:tmpl w:val="F12D2BA2"/>
    <w:lvl w:ilvl="0" w:tentative="0">
      <w:start w:val="1"/>
      <w:numFmt w:val="decimal"/>
      <w:suff w:val="space"/>
      <w:lvlText w:val="%1."/>
      <w:lvlJc w:val="left"/>
    </w:lvl>
  </w:abstractNum>
  <w:abstractNum w:abstractNumId="3">
    <w:nsid w:val="F7BF5281"/>
    <w:multiLevelType w:val="singleLevel"/>
    <w:tmpl w:val="F7BF5281"/>
    <w:lvl w:ilvl="0" w:tentative="0">
      <w:start w:val="1"/>
      <w:numFmt w:val="bullet"/>
      <w:lvlText w:val=""/>
      <w:lvlJc w:val="left"/>
      <w:pPr>
        <w:ind w:left="420" w:hanging="420"/>
      </w:pPr>
      <w:rPr>
        <w:rFonts w:hint="default" w:ascii="Wingdings" w:hAnsi="Wingdings"/>
      </w:rPr>
    </w:lvl>
  </w:abstractNum>
  <w:abstractNum w:abstractNumId="4">
    <w:nsid w:val="FBEF65B6"/>
    <w:multiLevelType w:val="singleLevel"/>
    <w:tmpl w:val="FBEF65B6"/>
    <w:lvl w:ilvl="0" w:tentative="0">
      <w:start w:val="2"/>
      <w:numFmt w:val="decimal"/>
      <w:suff w:val="space"/>
      <w:lvlText w:val="%1)"/>
      <w:lvlJc w:val="left"/>
    </w:lvl>
  </w:abstractNum>
  <w:abstractNum w:abstractNumId="5">
    <w:nsid w:val="FFBF4CB0"/>
    <w:multiLevelType w:val="singleLevel"/>
    <w:tmpl w:val="FFBF4CB0"/>
    <w:lvl w:ilvl="0" w:tentative="0">
      <w:start w:val="1"/>
      <w:numFmt w:val="decimal"/>
      <w:suff w:val="space"/>
      <w:lvlText w:val="%1."/>
      <w:lvlJc w:val="left"/>
    </w:lvl>
  </w:abstractNum>
  <w:num w:numId="1">
    <w:abstractNumId w:val="4"/>
  </w:num>
  <w:num w:numId="2">
    <w:abstractNumId w:val="3"/>
  </w:num>
  <w:num w:numId="3">
    <w:abstractNumId w:val="1"/>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6FD8A71"/>
    <w:rsid w:val="19FD6F54"/>
    <w:rsid w:val="1EBD7216"/>
    <w:rsid w:val="1FE4A7AC"/>
    <w:rsid w:val="3CFF8A13"/>
    <w:rsid w:val="3DDF2C8E"/>
    <w:rsid w:val="3DEE8700"/>
    <w:rsid w:val="3FB745D6"/>
    <w:rsid w:val="3FF79CFF"/>
    <w:rsid w:val="3FFE403C"/>
    <w:rsid w:val="52BFF4FE"/>
    <w:rsid w:val="55AF2034"/>
    <w:rsid w:val="572B4FED"/>
    <w:rsid w:val="5BFF5E52"/>
    <w:rsid w:val="5C7E30A3"/>
    <w:rsid w:val="5EDD308B"/>
    <w:rsid w:val="5F755033"/>
    <w:rsid w:val="5FF5C379"/>
    <w:rsid w:val="69EFCAFE"/>
    <w:rsid w:val="6BB35BB6"/>
    <w:rsid w:val="6D2D58ED"/>
    <w:rsid w:val="6EDF683C"/>
    <w:rsid w:val="6FF2A70C"/>
    <w:rsid w:val="6FFC06CC"/>
    <w:rsid w:val="73FC3429"/>
    <w:rsid w:val="7AFF320D"/>
    <w:rsid w:val="7BFE2200"/>
    <w:rsid w:val="7D7E5A50"/>
    <w:rsid w:val="7DBBEE74"/>
    <w:rsid w:val="7DFB2FED"/>
    <w:rsid w:val="7DFFA6E2"/>
    <w:rsid w:val="7F5F24A1"/>
    <w:rsid w:val="7F62B403"/>
    <w:rsid w:val="7F77861F"/>
    <w:rsid w:val="7FB88AE3"/>
    <w:rsid w:val="7FC5CA3F"/>
    <w:rsid w:val="7FDF236D"/>
    <w:rsid w:val="7FFD0B8D"/>
    <w:rsid w:val="7FFF54C4"/>
    <w:rsid w:val="7FFFD58A"/>
    <w:rsid w:val="8BF644DB"/>
    <w:rsid w:val="8FF58D02"/>
    <w:rsid w:val="9DDFC09D"/>
    <w:rsid w:val="ABFFDFFA"/>
    <w:rsid w:val="ADCFB38B"/>
    <w:rsid w:val="AF3F1E7D"/>
    <w:rsid w:val="AF5FA7B2"/>
    <w:rsid w:val="B5DF634E"/>
    <w:rsid w:val="B5E63B6E"/>
    <w:rsid w:val="BD568F8A"/>
    <w:rsid w:val="BF5D4013"/>
    <w:rsid w:val="BF6FFAC5"/>
    <w:rsid w:val="BFA9D365"/>
    <w:rsid w:val="BFDB1C43"/>
    <w:rsid w:val="BFFECDB6"/>
    <w:rsid w:val="CBFB4E02"/>
    <w:rsid w:val="CDFF8402"/>
    <w:rsid w:val="D77F041C"/>
    <w:rsid w:val="D7F3E335"/>
    <w:rsid w:val="D9FD4AFF"/>
    <w:rsid w:val="DEBFFA16"/>
    <w:rsid w:val="DEF7342D"/>
    <w:rsid w:val="E7FFD278"/>
    <w:rsid w:val="ED5E1D4D"/>
    <w:rsid w:val="EDF6BDC9"/>
    <w:rsid w:val="EEF72E4D"/>
    <w:rsid w:val="EFDF1773"/>
    <w:rsid w:val="EFF6ED33"/>
    <w:rsid w:val="F47FD6CB"/>
    <w:rsid w:val="F6EF70A2"/>
    <w:rsid w:val="F7BFA794"/>
    <w:rsid w:val="FAD7BFF7"/>
    <w:rsid w:val="FAE4A8BB"/>
    <w:rsid w:val="FB2DABD6"/>
    <w:rsid w:val="FB8FAD70"/>
    <w:rsid w:val="FC1FAFB6"/>
    <w:rsid w:val="FD17ED98"/>
    <w:rsid w:val="FD7B7FD9"/>
    <w:rsid w:val="FDB7B939"/>
    <w:rsid w:val="FDDF712B"/>
    <w:rsid w:val="FDFFD13C"/>
    <w:rsid w:val="FEEDDC08"/>
    <w:rsid w:val="FEF496C5"/>
    <w:rsid w:val="FF5C171A"/>
    <w:rsid w:val="FF7759E8"/>
    <w:rsid w:val="FFBF01B3"/>
    <w:rsid w:val="FFFBB5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FollowedHyperlink"/>
    <w:basedOn w:val="7"/>
    <w:uiPriority w:val="0"/>
    <w:rPr>
      <w:color w:val="800080"/>
      <w:u w:val="single"/>
    </w:rPr>
  </w:style>
  <w:style w:type="character" w:styleId="9">
    <w:name w:val="Hyperlink"/>
    <w:basedOn w:val="7"/>
    <w:uiPriority w:val="0"/>
    <w:rPr>
      <w:color w:val="0000FF"/>
      <w:u w:val="single"/>
    </w:rPr>
  </w:style>
  <w:style w:type="paragraph" w:customStyle="1" w:styleId="10">
    <w:name w:val="p7"/>
    <w:basedOn w:val="1"/>
    <w:uiPriority w:val="0"/>
    <w:pPr>
      <w:spacing w:before="0" w:beforeAutospacing="0" w:after="0" w:afterAutospacing="0" w:line="400" w:lineRule="atLeast"/>
      <w:ind w:left="0" w:right="0"/>
      <w:jc w:val="left"/>
    </w:pPr>
    <w:rPr>
      <w:rFonts w:ascii="Times New Roman" w:hAnsi="Times New Roman" w:cs="Times New Roman"/>
      <w:kern w:val="0"/>
      <w:sz w:val="24"/>
      <w:szCs w:val="24"/>
      <w:lang w:val="en-US" w:eastAsia="zh-CN" w:bidi="ar"/>
    </w:rPr>
  </w:style>
  <w:style w:type="paragraph" w:customStyle="1" w:styleId="11">
    <w:name w:val="p3"/>
    <w:basedOn w:val="1"/>
    <w:uiPriority w:val="0"/>
    <w:pPr>
      <w:spacing w:before="0" w:beforeAutospacing="0" w:after="0" w:afterAutospacing="0" w:line="320" w:lineRule="atLeast"/>
      <w:ind w:left="60" w:right="0"/>
      <w:jc w:val="left"/>
    </w:pPr>
    <w:rPr>
      <w:rFonts w:ascii="arial" w:hAnsi="arial" w:cs="arial"/>
      <w:color w:val="264A60"/>
      <w:kern w:val="0"/>
      <w:sz w:val="24"/>
      <w:szCs w:val="24"/>
      <w:lang w:val="en-US" w:eastAsia="zh-CN" w:bidi="ar"/>
    </w:rPr>
  </w:style>
  <w:style w:type="paragraph" w:customStyle="1" w:styleId="12">
    <w:name w:val="p1"/>
    <w:basedOn w:val="1"/>
    <w:uiPriority w:val="0"/>
    <w:pPr>
      <w:spacing w:before="0" w:beforeAutospacing="0" w:after="0" w:afterAutospacing="0"/>
      <w:ind w:left="0" w:right="0"/>
      <w:jc w:val="left"/>
    </w:pPr>
    <w:rPr>
      <w:rFonts w:ascii="helvetica" w:hAnsi="helvetica" w:eastAsia="helvetica" w:cs="helvetica"/>
      <w:kern w:val="0"/>
      <w:sz w:val="24"/>
      <w:szCs w:val="24"/>
      <w:lang w:val="en-US" w:eastAsia="zh-CN" w:bidi="ar"/>
    </w:rPr>
  </w:style>
  <w:style w:type="paragraph" w:customStyle="1" w:styleId="13">
    <w:name w:val="p4"/>
    <w:basedOn w:val="1"/>
    <w:uiPriority w:val="0"/>
    <w:pPr>
      <w:spacing w:before="0" w:beforeAutospacing="0" w:after="0" w:afterAutospacing="0" w:line="320" w:lineRule="atLeast"/>
      <w:ind w:left="60" w:right="0"/>
      <w:jc w:val="center"/>
    </w:pPr>
    <w:rPr>
      <w:rFonts w:hint="default" w:ascii="arial" w:hAnsi="arial" w:cs="arial"/>
      <w:color w:val="264A60"/>
      <w:kern w:val="0"/>
      <w:sz w:val="24"/>
      <w:szCs w:val="24"/>
      <w:lang w:val="en-US" w:eastAsia="zh-CN" w:bidi="ar"/>
    </w:rPr>
  </w:style>
  <w:style w:type="paragraph" w:customStyle="1" w:styleId="14">
    <w:name w:val="p2"/>
    <w:basedOn w:val="1"/>
    <w:uiPriority w:val="0"/>
    <w:pPr>
      <w:spacing w:before="0" w:beforeAutospacing="0" w:after="0" w:afterAutospacing="0" w:line="320" w:lineRule="atLeast"/>
      <w:ind w:left="60" w:right="0"/>
      <w:jc w:val="center"/>
    </w:pPr>
    <w:rPr>
      <w:rFonts w:hint="default" w:ascii="arial" w:hAnsi="arial" w:cs="arial"/>
      <w:color w:val="010205"/>
      <w:kern w:val="0"/>
      <w:sz w:val="30"/>
      <w:szCs w:val="30"/>
      <w:lang w:val="en-US" w:eastAsia="zh-CN" w:bidi="ar"/>
    </w:rPr>
  </w:style>
  <w:style w:type="paragraph" w:customStyle="1" w:styleId="15">
    <w:name w:val="p6"/>
    <w:basedOn w:val="1"/>
    <w:uiPriority w:val="0"/>
    <w:pPr>
      <w:spacing w:before="0" w:beforeAutospacing="0" w:after="0" w:afterAutospacing="0" w:line="320" w:lineRule="atLeast"/>
      <w:ind w:left="60" w:right="0"/>
      <w:jc w:val="right"/>
    </w:pPr>
    <w:rPr>
      <w:rFonts w:hint="default" w:ascii="arial" w:hAnsi="arial" w:cs="arial"/>
      <w:color w:val="010205"/>
      <w:kern w:val="0"/>
      <w:sz w:val="24"/>
      <w:szCs w:val="24"/>
      <w:lang w:val="en-US" w:eastAsia="zh-CN" w:bidi="ar"/>
    </w:rPr>
  </w:style>
  <w:style w:type="paragraph" w:customStyle="1" w:styleId="16">
    <w:name w:val="p5"/>
    <w:basedOn w:val="1"/>
    <w:uiPriority w:val="0"/>
    <w:pPr>
      <w:spacing w:before="0" w:beforeAutospacing="0" w:after="0" w:afterAutospacing="0" w:line="320" w:lineRule="atLeast"/>
      <w:ind w:left="60" w:right="0"/>
      <w:jc w:val="left"/>
    </w:pPr>
    <w:rPr>
      <w:rFonts w:hint="default" w:ascii="arial" w:hAnsi="arial" w:cs="arial"/>
      <w:color w:val="264A60"/>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52</Pages>
  <Words>0</Words>
  <Characters>0</Characters>
  <Lines>0</Lines>
  <Paragraphs>0</Paragraphs>
  <TotalTime>18</TotalTime>
  <ScaleCrop>false</ScaleCrop>
  <LinksUpToDate>false</LinksUpToDate>
  <CharactersWithSpaces>0</CharactersWithSpaces>
  <Application>WPS Office_12.1.22553.22553_F1E327BC-269C-435d-A152-05C5408002CA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2025-05-22T02:09:00Z</dcterms:created>
  <dc:creator>anne</dc:creator>
  <cp:lastModifiedBy>anne</cp:lastModifiedBy>
  <dcterms:modified xsi:type="dcterms:W3CDTF">2025-09-24T13:57:14Z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2052-12.1.22553.22553</vt:lpwstr>
  </property>
  <property fmtid="{D5CDD505-2E9C-101B-9397-08002B2CF9AE}" pid="3" name="ICV">
    <vt:lpwstr>648A4BBF536AADB79FB5CE6825A795B4_43</vt:lpwstr>
  </property>
</Properties>
</file>