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b w:val="1"/>
          <w:bCs w:val="1"/>
        </w:rPr>
      </w:pPr>
      <w:r w:rsidDel="00000000" w:rsidR="00000000" w:rsidRPr="00000000">
        <w:rPr>
          <w:rFonts w:ascii="Arial" w:cs="Arial" w:eastAsia="Arial" w:hAnsi="Arial"/>
          <w:b w:val="1"/>
          <w:bCs w:val="1"/>
        </w:rPr>
        <w:drawing>
          <wp:inline distB="114300" distT="114300" distL="114300" distR="114300">
            <wp:extent cx="2809979" cy="1557338"/>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809979" cy="155733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rFonts w:ascii="Arial" w:cs="Arial" w:eastAsia="Arial" w:hAnsi="Arial"/>
          <w:b w:val="1"/>
          <w:bCs w:val="1"/>
          <w:color w:val="073763"/>
        </w:rPr>
      </w:pPr>
      <w:r w:rsidDel="00000000" w:rsidR="00000000" w:rsidRPr="00000000">
        <w:rPr>
          <w:rtl w:val="0"/>
        </w:rPr>
      </w:r>
    </w:p>
    <w:p w:rsidR="00000000" w:rsidDel="00000000" w:rsidP="00000000" w:rsidRDefault="00000000" w:rsidRPr="00000000" w14:paraId="00000003">
      <w:pPr>
        <w:jc w:val="left"/>
        <w:rPr>
          <w:rFonts w:ascii="Arial" w:cs="Arial" w:eastAsia="Arial" w:hAnsi="Arial"/>
          <w:b w:val="1"/>
          <w:bCs w:val="1"/>
          <w:color w:val="0000ff"/>
          <w:u w:val="single"/>
        </w:rPr>
      </w:pPr>
      <w:r w:rsidDel="00000000" w:rsidR="00000000" w:rsidRPr="00000000">
        <w:rPr>
          <w:rFonts w:ascii="Arial" w:cs="Arial" w:eastAsia="Arial" w:hAnsi="Arial"/>
          <w:b w:val="1"/>
          <w:bCs w:val="1"/>
          <w:color w:val="073763"/>
          <w:rtl w:val="0"/>
        </w:rPr>
        <w:t xml:space="preserve">        </w:t>
      </w:r>
      <w:r w:rsidDel="00000000" w:rsidR="00000000" w:rsidRPr="00000000">
        <w:rPr>
          <w:rFonts w:ascii="Arial" w:cs="Arial" w:eastAsia="Arial" w:hAnsi="Arial"/>
          <w:b w:val="1"/>
          <w:bCs w:val="1"/>
          <w:color w:val="0000ff"/>
          <w:rtl w:val="0"/>
        </w:rPr>
        <w:t xml:space="preserve">  </w:t>
      </w:r>
      <w:r w:rsidDel="00000000" w:rsidR="00000000" w:rsidRPr="00000000">
        <w:rPr>
          <w:rFonts w:ascii="Arial" w:cs="Arial" w:eastAsia="Arial" w:hAnsi="Arial"/>
          <w:b w:val="1"/>
          <w:bCs w:val="1"/>
          <w:color w:val="0000ff"/>
          <w:u w:val="single"/>
          <w:rtl w:val="0"/>
        </w:rPr>
        <w:t xml:space="preserve">BA (Hons) Leadership and Management Skills for the Workplace</w:t>
      </w:r>
    </w:p>
    <w:p w:rsidR="00000000" w:rsidDel="00000000" w:rsidP="00000000" w:rsidRDefault="00000000" w:rsidRPr="00000000" w14:paraId="00000004">
      <w:pPr>
        <w:jc w:val="center"/>
        <w:rPr>
          <w:rFonts w:ascii="Arial" w:cs="Arial" w:eastAsia="Arial" w:hAnsi="Arial"/>
          <w:color w:val="1c4587"/>
        </w:rPr>
      </w:pPr>
      <w:r w:rsidDel="00000000" w:rsidR="00000000" w:rsidRPr="00000000">
        <w:rPr>
          <w:rFonts w:ascii="Arial" w:cs="Arial" w:eastAsia="Arial" w:hAnsi="Arial"/>
          <w:color w:val="1c4587"/>
          <w:rtl w:val="0"/>
        </w:rPr>
        <w:t xml:space="preserve">Understanding and Engaging Stakeholders</w:t>
      </w:r>
    </w:p>
    <w:p w:rsidR="00000000" w:rsidDel="00000000" w:rsidP="00000000" w:rsidRDefault="00000000" w:rsidRPr="00000000" w14:paraId="00000005">
      <w:pPr>
        <w:jc w:val="center"/>
        <w:rPr>
          <w:rFonts w:ascii="Arial" w:cs="Arial" w:eastAsia="Arial" w:hAnsi="Arial"/>
          <w:color w:val="0000ff"/>
        </w:rPr>
      </w:pPr>
      <w:r w:rsidDel="00000000" w:rsidR="00000000" w:rsidRPr="00000000">
        <w:rPr>
          <w:rFonts w:ascii="Arial" w:cs="Arial" w:eastAsia="Arial" w:hAnsi="Arial"/>
          <w:b w:val="1"/>
          <w:bCs w:val="1"/>
          <w:color w:val="0000ff"/>
          <w:rtl w:val="0"/>
        </w:rPr>
        <w:t xml:space="preserve">Module Code:</w:t>
      </w:r>
      <w:r w:rsidDel="00000000" w:rsidR="00000000" w:rsidRPr="00000000">
        <w:rPr>
          <w:rFonts w:ascii="Arial" w:cs="Arial" w:eastAsia="Arial" w:hAnsi="Arial"/>
          <w:color w:val="0000ff"/>
          <w:rtl w:val="0"/>
        </w:rPr>
        <w:t xml:space="preserve"> LCLM5001</w:t>
      </w:r>
    </w:p>
    <w:p w:rsidR="00000000" w:rsidDel="00000000" w:rsidP="00000000" w:rsidRDefault="00000000" w:rsidRPr="00000000" w14:paraId="00000006">
      <w:pPr>
        <w:jc w:val="center"/>
        <w:rPr>
          <w:rFonts w:ascii="Arial" w:cs="Arial" w:eastAsia="Arial" w:hAnsi="Arial"/>
          <w:color w:val="0000ff"/>
        </w:rPr>
      </w:pPr>
      <w:r w:rsidDel="00000000" w:rsidR="00000000" w:rsidRPr="00000000">
        <w:rPr>
          <w:rFonts w:ascii="Arial" w:cs="Arial" w:eastAsia="Arial" w:hAnsi="Arial"/>
          <w:color w:val="0000ff"/>
          <w:rtl w:val="0"/>
        </w:rPr>
        <w:t xml:space="preserve">Individual Report</w:t>
      </w:r>
    </w:p>
    <w:p w:rsidR="00000000" w:rsidDel="00000000" w:rsidP="00000000" w:rsidRDefault="00000000" w:rsidRPr="00000000" w14:paraId="00000007">
      <w:pPr>
        <w:jc w:val="center"/>
        <w:rPr>
          <w:rFonts w:ascii="Arial" w:cs="Arial" w:eastAsia="Arial" w:hAnsi="Arial"/>
          <w:color w:val="1c4587"/>
        </w:rPr>
      </w:pPr>
      <w:r w:rsidDel="00000000" w:rsidR="00000000" w:rsidRPr="00000000">
        <w:rPr>
          <w:rFonts w:ascii="Arial" w:cs="Arial" w:eastAsia="Arial" w:hAnsi="Arial"/>
          <w:color w:val="1c4587"/>
          <w:rtl w:val="0"/>
        </w:rPr>
        <w:t xml:space="preserve">Stakeholder Engagement Strategy for the Launch of ConnectPlus</w:t>
      </w:r>
    </w:p>
    <w:p w:rsidR="00000000" w:rsidDel="00000000" w:rsidP="00000000" w:rsidRDefault="00000000" w:rsidRPr="00000000" w14:paraId="00000008">
      <w:pPr>
        <w:jc w:val="center"/>
        <w:rPr>
          <w:rFonts w:ascii="Arial" w:cs="Arial" w:eastAsia="Arial" w:hAnsi="Arial"/>
          <w:color w:val="0000ff"/>
        </w:rPr>
      </w:pPr>
      <w:r w:rsidDel="00000000" w:rsidR="00000000" w:rsidRPr="00000000">
        <w:rPr>
          <w:rFonts w:ascii="Arial" w:cs="Arial" w:eastAsia="Arial" w:hAnsi="Arial"/>
          <w:b w:val="1"/>
          <w:bCs w:val="1"/>
          <w:color w:val="0000ff"/>
          <w:u w:val="single"/>
          <w:rtl w:val="0"/>
        </w:rPr>
        <w:t xml:space="preserve">Company: </w:t>
      </w:r>
      <w:r w:rsidDel="00000000" w:rsidR="00000000" w:rsidRPr="00000000">
        <w:rPr>
          <w:rFonts w:ascii="Arial" w:cs="Arial" w:eastAsia="Arial" w:hAnsi="Arial"/>
          <w:color w:val="0000ff"/>
          <w:u w:val="single"/>
          <w:rtl w:val="0"/>
        </w:rPr>
        <w:t xml:space="preserve"> </w:t>
      </w:r>
      <w:r w:rsidDel="00000000" w:rsidR="00000000" w:rsidRPr="00000000">
        <w:rPr>
          <w:rFonts w:ascii="Arial" w:cs="Arial" w:eastAsia="Arial" w:hAnsi="Arial"/>
          <w:color w:val="0000ff"/>
          <w:rtl w:val="0"/>
        </w:rPr>
        <w:t xml:space="preserve">M&amp;S </w:t>
      </w:r>
    </w:p>
    <w:p w:rsidR="00000000" w:rsidDel="00000000" w:rsidP="00000000" w:rsidRDefault="00000000" w:rsidRPr="00000000" w14:paraId="00000009">
      <w:pPr>
        <w:jc w:val="center"/>
        <w:rPr>
          <w:rFonts w:ascii="Calibri" w:cs="Calibri" w:eastAsia="Calibri" w:hAnsi="Calibri"/>
          <w:color w:val="0000ff"/>
        </w:rPr>
      </w:pPr>
      <w:r w:rsidDel="00000000" w:rsidR="00000000" w:rsidRPr="00000000">
        <w:rPr>
          <w:rFonts w:ascii="Arial" w:cs="Arial" w:eastAsia="Arial" w:hAnsi="Arial"/>
          <w:color w:val="0000ff"/>
          <w:rtl w:val="0"/>
        </w:rPr>
        <w:t xml:space="preserve"> </w:t>
      </w:r>
      <w:r w:rsidDel="00000000" w:rsidR="00000000" w:rsidRPr="00000000">
        <w:rPr>
          <w:rFonts w:ascii="Arial" w:cs="Arial" w:eastAsia="Arial" w:hAnsi="Arial"/>
          <w:b w:val="1"/>
          <w:bCs w:val="1"/>
          <w:color w:val="0000ff"/>
          <w:rtl w:val="0"/>
        </w:rPr>
        <w:t xml:space="preserve">Student Name:  </w:t>
      </w:r>
      <w:r w:rsidDel="00000000" w:rsidR="00000000" w:rsidRPr="00000000">
        <w:rPr>
          <w:rFonts w:ascii="Arial" w:cs="Arial" w:eastAsia="Arial" w:hAnsi="Arial"/>
          <w:color w:val="0000ff"/>
          <w:rtl w:val="0"/>
        </w:rPr>
        <w:t xml:space="preserve">Marcia Aguiar De Melo Mussati</w:t>
      </w:r>
      <w:r w:rsidDel="00000000" w:rsidR="00000000" w:rsidRPr="00000000">
        <w:rPr>
          <w:rFonts w:ascii="Calibri" w:cs="Calibri" w:eastAsia="Calibri" w:hAnsi="Calibri"/>
          <w:color w:val="0000ff"/>
          <w:rtl w:val="0"/>
        </w:rPr>
        <w:t xml:space="preserve"> </w:t>
      </w:r>
      <w:r w:rsidDel="00000000" w:rsidR="00000000" w:rsidRPr="00000000">
        <w:rPr>
          <w:rFonts w:ascii="Arial" w:cs="Arial" w:eastAsia="Arial" w:hAnsi="Arial"/>
          <w:color w:val="0000ff"/>
          <w:rtl w:val="0"/>
        </w:rPr>
        <w:t xml:space="preserve">Ferreira</w:t>
      </w:r>
      <w:r w:rsidDel="00000000" w:rsidR="00000000" w:rsidRPr="00000000">
        <w:rPr>
          <w:rtl w:val="0"/>
        </w:rPr>
      </w:r>
    </w:p>
    <w:p w:rsidR="00000000" w:rsidDel="00000000" w:rsidP="00000000" w:rsidRDefault="00000000" w:rsidRPr="00000000" w14:paraId="0000000A">
      <w:pPr>
        <w:jc w:val="center"/>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Student Number: </w:t>
      </w:r>
      <w:r w:rsidDel="00000000" w:rsidR="00000000" w:rsidRPr="00000000">
        <w:rPr>
          <w:rFonts w:ascii="Arial" w:cs="Arial" w:eastAsia="Arial" w:hAnsi="Arial"/>
          <w:color w:val="0000ff"/>
          <w:rtl w:val="0"/>
        </w:rPr>
        <w:t xml:space="preserve">2441938</w:t>
      </w:r>
      <w:r w:rsidDel="00000000" w:rsidR="00000000" w:rsidRPr="00000000">
        <w:rPr>
          <w:rtl w:val="0"/>
        </w:rPr>
      </w:r>
    </w:p>
    <w:p w:rsidR="00000000" w:rsidDel="00000000" w:rsidP="00000000" w:rsidRDefault="00000000" w:rsidRPr="00000000" w14:paraId="0000000B">
      <w:pPr>
        <w:jc w:val="center"/>
        <w:rPr>
          <w:rFonts w:ascii="Arial" w:cs="Arial" w:eastAsia="Arial" w:hAnsi="Arial"/>
          <w:color w:val="0000ff"/>
        </w:rPr>
      </w:pPr>
      <w:r w:rsidDel="00000000" w:rsidR="00000000" w:rsidRPr="00000000">
        <w:rPr>
          <w:rFonts w:ascii="Arial" w:cs="Arial" w:eastAsia="Arial" w:hAnsi="Arial"/>
          <w:b w:val="1"/>
          <w:bCs w:val="1"/>
          <w:color w:val="0000ff"/>
          <w:rtl w:val="0"/>
        </w:rPr>
        <w:t xml:space="preserve">Module Leader: </w:t>
      </w:r>
      <w:r w:rsidDel="00000000" w:rsidR="00000000" w:rsidRPr="00000000">
        <w:rPr>
          <w:rFonts w:ascii="Arial" w:cs="Arial" w:eastAsia="Arial" w:hAnsi="Arial"/>
          <w:color w:val="0000ff"/>
          <w:rtl w:val="0"/>
        </w:rPr>
        <w:t xml:space="preserve">Muhmmad Tariq</w:t>
      </w:r>
    </w:p>
    <w:p w:rsidR="00000000" w:rsidDel="00000000" w:rsidP="00000000" w:rsidRDefault="00000000" w:rsidRPr="00000000" w14:paraId="0000000C">
      <w:pPr>
        <w:jc w:val="center"/>
        <w:rPr>
          <w:rFonts w:ascii="Arial" w:cs="Arial" w:eastAsia="Arial" w:hAnsi="Arial"/>
          <w:color w:val="0000ff"/>
        </w:rPr>
      </w:pPr>
      <w:r w:rsidDel="00000000" w:rsidR="00000000" w:rsidRPr="00000000">
        <w:rPr>
          <w:rFonts w:ascii="Arial" w:cs="Arial" w:eastAsia="Arial" w:hAnsi="Arial"/>
          <w:b w:val="1"/>
          <w:bCs w:val="1"/>
          <w:color w:val="0000ff"/>
          <w:rtl w:val="0"/>
        </w:rPr>
        <w:t xml:space="preserve">Word Count:</w:t>
      </w:r>
      <w:r w:rsidDel="00000000" w:rsidR="00000000" w:rsidRPr="00000000">
        <w:rPr>
          <w:rFonts w:ascii="Arial" w:cs="Arial" w:eastAsia="Arial" w:hAnsi="Arial"/>
          <w:color w:val="0000ff"/>
          <w:rtl w:val="0"/>
        </w:rPr>
        <w:t xml:space="preserve"> 4000 </w:t>
      </w:r>
    </w:p>
    <w:p w:rsidR="00000000" w:rsidDel="00000000" w:rsidP="00000000" w:rsidRDefault="00000000" w:rsidRPr="00000000" w14:paraId="0000000D">
      <w:pPr>
        <w:jc w:val="center"/>
        <w:rPr>
          <w:rFonts w:ascii="Arial" w:cs="Arial" w:eastAsia="Arial" w:hAnsi="Arial"/>
          <w:color w:val="0000ff"/>
        </w:rPr>
      </w:pPr>
      <w:r w:rsidDel="00000000" w:rsidR="00000000" w:rsidRPr="00000000">
        <w:rPr>
          <w:rFonts w:ascii="Arial" w:cs="Arial" w:eastAsia="Arial" w:hAnsi="Arial"/>
          <w:b w:val="1"/>
          <w:bCs w:val="1"/>
          <w:color w:val="0000ff"/>
          <w:rtl w:val="0"/>
        </w:rPr>
        <w:t xml:space="preserve">Submission Date: </w:t>
      </w:r>
      <w:r w:rsidDel="00000000" w:rsidR="00000000" w:rsidRPr="00000000">
        <w:rPr>
          <w:rFonts w:ascii="Arial" w:cs="Arial" w:eastAsia="Arial" w:hAnsi="Arial"/>
          <w:color w:val="0000ff"/>
          <w:rtl w:val="0"/>
        </w:rPr>
        <w:t xml:space="preserve">18</w:t>
      </w:r>
      <w:r w:rsidDel="00000000" w:rsidR="00000000" w:rsidRPr="00000000">
        <w:rPr>
          <w:rFonts w:ascii="Arial" w:cs="Arial" w:eastAsia="Arial" w:hAnsi="Arial"/>
          <w:color w:val="0000ff"/>
          <w:vertAlign w:val="superscript"/>
          <w:rtl w:val="0"/>
        </w:rPr>
        <w:t xml:space="preserve">th</w:t>
      </w:r>
      <w:r w:rsidDel="00000000" w:rsidR="00000000" w:rsidRPr="00000000">
        <w:rPr>
          <w:rFonts w:ascii="Arial" w:cs="Arial" w:eastAsia="Arial" w:hAnsi="Arial"/>
          <w:color w:val="0000ff"/>
          <w:rtl w:val="0"/>
        </w:rPr>
        <w:t xml:space="preserve"> August 2026 </w:t>
      </w:r>
    </w:p>
    <w:p w:rsidR="00000000" w:rsidDel="00000000" w:rsidP="00000000" w:rsidRDefault="00000000" w:rsidRPr="00000000" w14:paraId="0000000E">
      <w:pPr>
        <w:spacing w:line="360" w:lineRule="auto"/>
        <w:rPr>
          <w:rFonts w:ascii="Arial" w:cs="Arial" w:eastAsia="Arial" w:hAnsi="Arial"/>
          <w:b w:val="1"/>
          <w:bCs w:val="1"/>
          <w:color w:val="0000ff"/>
          <w:sz w:val="22"/>
          <w:szCs w:val="22"/>
        </w:rPr>
      </w:pPr>
      <w:r w:rsidDel="00000000" w:rsidR="00000000" w:rsidRPr="00000000">
        <w:rPr>
          <w:rtl w:val="0"/>
        </w:rPr>
      </w:r>
    </w:p>
    <w:p w:rsidR="00000000" w:rsidDel="00000000" w:rsidP="00000000" w:rsidRDefault="00000000" w:rsidRPr="00000000" w14:paraId="0000000F">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0">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1">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2">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3">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4">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5">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6">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7">
      <w:pPr>
        <w:spacing w:line="360" w:lineRule="auto"/>
        <w:rPr>
          <w:rFonts w:ascii="Arial" w:cs="Arial" w:eastAsia="Arial" w:hAnsi="Arial"/>
          <w:b w:val="1"/>
          <w:bCs w:val="1"/>
          <w:color w:val="0000ff"/>
        </w:rPr>
      </w:pPr>
      <w:r w:rsidDel="00000000" w:rsidR="00000000" w:rsidRPr="00000000">
        <w:rPr>
          <w:rtl w:val="0"/>
        </w:rPr>
      </w:r>
    </w:p>
    <w:p w:rsidR="00000000" w:rsidDel="00000000" w:rsidP="00000000" w:rsidRDefault="00000000" w:rsidRPr="00000000" w14:paraId="00000018">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Executive Summary</w:t>
      </w:r>
    </w:p>
    <w:p w:rsidR="00000000" w:rsidDel="00000000" w:rsidP="00000000" w:rsidRDefault="00000000" w:rsidRPr="00000000" w14:paraId="00000019">
      <w:pPr>
        <w:spacing w:line="360" w:lineRule="auto"/>
        <w:rPr>
          <w:rFonts w:ascii="Arial" w:cs="Arial" w:eastAsia="Arial" w:hAnsi="Arial"/>
          <w:b w:val="1"/>
          <w:bCs w:val="1"/>
          <w:color w:val="0000ff"/>
        </w:rPr>
      </w:pPr>
      <w:r w:rsidDel="00000000" w:rsidR="00000000" w:rsidRPr="00000000">
        <w:rPr>
          <w:rtl w:val="0"/>
        </w:rPr>
      </w:r>
    </w:p>
    <w:p w:rsidR="00000000" w:rsidDel="00000000" w:rsidP="00000000" w:rsidRDefault="00000000" w:rsidRPr="00000000" w14:paraId="0000001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report explored how effective stakeholder engagement could support the successful implementation of </w:t>
      </w:r>
      <w:r w:rsidDel="00000000" w:rsidR="00000000" w:rsidRPr="00000000">
        <w:rPr>
          <w:rFonts w:ascii="Arial" w:cs="Arial" w:eastAsia="Arial" w:hAnsi="Arial"/>
          <w:b w:val="1"/>
          <w:bCs w:val="1"/>
          <w:sz w:val="22"/>
          <w:szCs w:val="22"/>
          <w:highlight w:val="yellow"/>
          <w:rtl w:val="0"/>
        </w:rPr>
        <w:t xml:space="preserve">ConnectPlus</w:t>
      </w:r>
      <w:r w:rsidDel="00000000" w:rsidR="00000000" w:rsidRPr="00000000">
        <w:rPr>
          <w:rFonts w:ascii="Arial" w:cs="Arial" w:eastAsia="Arial" w:hAnsi="Arial"/>
          <w:sz w:val="22"/>
          <w:szCs w:val="22"/>
          <w:highlight w:val="yellow"/>
          <w:rtl w:val="0"/>
        </w:rPr>
        <w:t xml:space="preserve">,</w:t>
      </w:r>
      <w:r w:rsidDel="00000000" w:rsidR="00000000" w:rsidRPr="00000000">
        <w:rPr>
          <w:rFonts w:ascii="Arial" w:cs="Arial" w:eastAsia="Arial" w:hAnsi="Arial"/>
          <w:sz w:val="22"/>
          <w:szCs w:val="22"/>
          <w:rtl w:val="0"/>
        </w:rPr>
        <w:t xml:space="preserve"> a proposed AI-powered enhancement to Marks &amp; Spencer’s existing</w:t>
      </w:r>
      <w:r w:rsidDel="00000000" w:rsidR="00000000" w:rsidRPr="00000000">
        <w:rPr>
          <w:rFonts w:ascii="Arial" w:cs="Arial" w:eastAsia="Arial" w:hAnsi="Arial"/>
          <w:sz w:val="22"/>
          <w:szCs w:val="22"/>
          <w:highlight w:val="yellow"/>
          <w:rtl w:val="0"/>
        </w:rPr>
        <w:t xml:space="preserve"> </w:t>
      </w:r>
      <w:r w:rsidDel="00000000" w:rsidR="00000000" w:rsidRPr="00000000">
        <w:rPr>
          <w:rFonts w:ascii="Arial" w:cs="Arial" w:eastAsia="Arial" w:hAnsi="Arial"/>
          <w:b w:val="1"/>
          <w:bCs w:val="1"/>
          <w:sz w:val="22"/>
          <w:szCs w:val="22"/>
          <w:highlight w:val="yellow"/>
          <w:rtl w:val="0"/>
        </w:rPr>
        <w:t xml:space="preserve">Sparks</w:t>
      </w:r>
      <w:r w:rsidDel="00000000" w:rsidR="00000000" w:rsidRPr="00000000">
        <w:rPr>
          <w:rFonts w:ascii="Arial" w:cs="Arial" w:eastAsia="Arial" w:hAnsi="Arial"/>
          <w:sz w:val="22"/>
          <w:szCs w:val="22"/>
          <w:highlight w:val="yellow"/>
          <w:rtl w:val="0"/>
        </w:rPr>
        <w:t xml:space="preserve"> </w:t>
      </w:r>
      <w:r w:rsidDel="00000000" w:rsidR="00000000" w:rsidRPr="00000000">
        <w:rPr>
          <w:rFonts w:ascii="Arial" w:cs="Arial" w:eastAsia="Arial" w:hAnsi="Arial"/>
          <w:sz w:val="22"/>
          <w:szCs w:val="22"/>
          <w:rtl w:val="0"/>
        </w:rPr>
        <w:t xml:space="preserve">loyalty programme. The platform aims to use artificial intelligence to provide customers with more personalised rewards, tailored product recommendations and a more engaging digital shopping experience. At the same time, it seeks to support Marks &amp; Spencer’s wider business objectives by strengthening customer loyalty, encouraging repeat purchases and responding to changing consumer expectations within the UK retail sector.</w:t>
      </w:r>
    </w:p>
    <w:p w:rsidR="00000000" w:rsidDel="00000000" w:rsidP="00000000" w:rsidRDefault="00000000" w:rsidRPr="00000000" w14:paraId="0000001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report identified and analysed the key internal and external stakeholders involved in the project using recognised stakeholder management frameworks, including Stakeholder Theory, the Power–Interest Matrix and the Stakeholder Salience Model. It also evaluates stakeholder roles, responsibilities, benefits and potential challenges before exploring a range of engagement strategies, including the 4Cs Framework and the RACI Matrix.</w:t>
      </w:r>
    </w:p>
    <w:p w:rsidR="00000000" w:rsidDel="00000000" w:rsidP="00000000" w:rsidRDefault="00000000" w:rsidRPr="00000000" w14:paraId="0000001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Finally, the report considered how sustainable stakeholder engagement may contribute to the long-term success of ConnectPlus. Although the introduction of AI presents challenges, particularly around data privacy, employee adoption and differing stakeholder expectations, these issues could be reduced through transparent communication, responsible leadership and meaningful stakeholder engagement. Overall, the report argued that effective stakeholder management is likely to play a significant role in ensuring ConnectPlus delivers value for both Marks &amp; Spencer and its stakeholders. </w:t>
      </w:r>
    </w:p>
    <w:p w:rsidR="00000000" w:rsidDel="00000000" w:rsidP="00000000" w:rsidRDefault="00000000" w:rsidRPr="00000000" w14:paraId="0000001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E">
      <w:pPr>
        <w:jc w:val="center"/>
        <w:rPr>
          <w:rFonts w:ascii="Arial" w:cs="Arial" w:eastAsia="Arial" w:hAnsi="Arial"/>
        </w:rPr>
      </w:pPr>
      <w:r w:rsidDel="00000000" w:rsidR="00000000" w:rsidRPr="00000000">
        <w:rPr>
          <w:rtl w:val="0"/>
        </w:rPr>
      </w:r>
    </w:p>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23">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28">
      <w:pPr>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 Contents</w:t>
      </w:r>
    </w:p>
    <w:p w:rsidR="00000000" w:rsidDel="00000000" w:rsidP="00000000" w:rsidRDefault="00000000" w:rsidRPr="00000000" w14:paraId="00000029">
      <w:pPr>
        <w:rPr>
          <w:rFonts w:ascii="Arial" w:cs="Arial" w:eastAsia="Arial" w:hAnsi="Arial"/>
          <w:b w:val="1"/>
          <w:bCs w:val="1"/>
          <w:color w:val="ff0000"/>
        </w:rPr>
      </w:pPr>
      <w:r w:rsidDel="00000000" w:rsidR="00000000" w:rsidRPr="00000000">
        <w:rPr>
          <w:rtl w:val="0"/>
        </w:rPr>
      </w:r>
    </w:p>
    <w:p w:rsidR="00000000" w:rsidDel="00000000" w:rsidP="00000000" w:rsidRDefault="00000000" w:rsidRPr="00000000" w14:paraId="0000002A">
      <w:pPr>
        <w:rPr>
          <w:rFonts w:ascii="Arial" w:cs="Arial" w:eastAsia="Arial" w:hAnsi="Arial"/>
          <w:b w:val="1"/>
          <w:bCs w:val="1"/>
          <w:color w:val="ff0000"/>
        </w:rPr>
      </w:pPr>
      <w:r w:rsidDel="00000000" w:rsidR="00000000" w:rsidRPr="00000000">
        <w:rPr>
          <w:rtl w:val="0"/>
        </w:rPr>
      </w:r>
    </w:p>
    <w:tbl>
      <w:tblPr>
        <w:tblStyle w:val="Table1"/>
        <w:tblW w:w="9015.0" w:type="dxa"/>
        <w:jc w:val="left"/>
        <w:tblBorders>
          <w:top w:color="999999" w:space="0" w:sz="4" w:val="single"/>
          <w:left w:color="999999" w:space="0" w:sz="4" w:val="single"/>
          <w:bottom w:color="999999" w:space="0" w:sz="4" w:val="single"/>
          <w:right w:color="999999" w:space="0" w:sz="4" w:val="single"/>
          <w:insideH w:color="999999" w:space="0" w:sz="4" w:val="single"/>
          <w:insideV w:color="999999" w:space="0" w:sz="4" w:val="single"/>
        </w:tblBorders>
        <w:tblLayout w:type="fixed"/>
        <w:tblLook w:val="04A0"/>
      </w:tblPr>
      <w:tblGrid>
        <w:gridCol w:w="8100"/>
        <w:gridCol w:w="915"/>
        <w:tblGridChange w:id="0">
          <w:tblGrid>
            <w:gridCol w:w="8100"/>
            <w:gridCol w:w="915"/>
          </w:tblGrid>
        </w:tblGridChange>
      </w:tblGrid>
      <w:tr>
        <w:trPr>
          <w:cantSplit w:val="0"/>
          <w:tblHeader w:val="0"/>
        </w:trPr>
        <w:tc>
          <w:tcPr>
            <w:shd w:fill="c9daf8" w:val="clear"/>
          </w:tcPr>
          <w:p w:rsidR="00000000" w:rsidDel="00000000" w:rsidP="00000000" w:rsidRDefault="00000000" w:rsidRPr="00000000" w14:paraId="0000002B">
            <w:pPr>
              <w:spacing w:after="160" w:line="360" w:lineRule="auto"/>
              <w:rPr>
                <w:rFonts w:ascii="Arial" w:cs="Arial" w:eastAsia="Arial" w:hAnsi="Arial"/>
                <w:color w:val="a64d79"/>
              </w:rPr>
            </w:pPr>
            <w:r w:rsidDel="00000000" w:rsidR="00000000" w:rsidRPr="00000000">
              <w:rPr>
                <w:rFonts w:ascii="Arial" w:cs="Arial" w:eastAsia="Arial" w:hAnsi="Arial"/>
                <w:color w:val="a64d79"/>
                <w:rtl w:val="0"/>
              </w:rPr>
              <w:t xml:space="preserve">Section</w:t>
            </w:r>
          </w:p>
        </w:tc>
        <w:tc>
          <w:tcPr>
            <w:shd w:fill="c9daf8" w:val="clear"/>
          </w:tcPr>
          <w:p w:rsidR="00000000" w:rsidDel="00000000" w:rsidP="00000000" w:rsidRDefault="00000000" w:rsidRPr="00000000" w14:paraId="0000002C">
            <w:pPr>
              <w:spacing w:after="160" w:line="360" w:lineRule="auto"/>
              <w:rPr>
                <w:rFonts w:ascii="Arial" w:cs="Arial" w:eastAsia="Arial" w:hAnsi="Arial"/>
                <w:color w:val="a64d79"/>
              </w:rPr>
            </w:pPr>
            <w:r w:rsidDel="00000000" w:rsidR="00000000" w:rsidRPr="00000000">
              <w:rPr>
                <w:rFonts w:ascii="Arial" w:cs="Arial" w:eastAsia="Arial" w:hAnsi="Arial"/>
                <w:color w:val="a64d79"/>
                <w:rtl w:val="0"/>
              </w:rPr>
              <w:t xml:space="preserve">Page</w:t>
            </w:r>
          </w:p>
        </w:tc>
      </w:tr>
      <w:tr>
        <w:trPr>
          <w:cantSplit w:val="0"/>
          <w:tblHeader w:val="0"/>
        </w:trPr>
        <w:tc>
          <w:tcPr>
            <w:shd w:fill="c9daf8" w:val="clear"/>
          </w:tcPr>
          <w:p w:rsidR="00000000" w:rsidDel="00000000" w:rsidP="00000000" w:rsidRDefault="00000000" w:rsidRPr="00000000" w14:paraId="0000002D">
            <w:pPr>
              <w:spacing w:after="160" w:line="360" w:lineRule="auto"/>
              <w:rPr>
                <w:rFonts w:ascii="Arial" w:cs="Arial" w:eastAsia="Arial" w:hAnsi="Arial"/>
                <w:color w:val="0000ff"/>
              </w:rPr>
            </w:pPr>
            <w:r w:rsidDel="00000000" w:rsidR="00000000" w:rsidRPr="00000000">
              <w:rPr>
                <w:rFonts w:ascii="Arial" w:cs="Arial" w:eastAsia="Arial" w:hAnsi="Arial"/>
                <w:color w:val="0000ff"/>
                <w:rtl w:val="0"/>
              </w:rPr>
              <w:t xml:space="preserve">Executive Summary</w:t>
            </w:r>
          </w:p>
        </w:tc>
        <w:tc>
          <w:tcPr>
            <w:shd w:fill="c9daf8" w:val="clear"/>
          </w:tcPr>
          <w:p w:rsidR="00000000" w:rsidDel="00000000" w:rsidP="00000000" w:rsidRDefault="00000000" w:rsidRPr="00000000" w14:paraId="0000002E">
            <w:pPr>
              <w:spacing w:after="160" w:line="360" w:lineRule="auto"/>
              <w:rPr>
                <w:rFonts w:ascii="Arial" w:cs="Arial" w:eastAsia="Arial" w:hAnsi="Arial"/>
                <w:color w:val="0000ff"/>
              </w:rPr>
            </w:pPr>
            <w:r w:rsidDel="00000000" w:rsidR="00000000" w:rsidRPr="00000000">
              <w:rPr>
                <w:rFonts w:ascii="Arial" w:cs="Arial" w:eastAsia="Arial" w:hAnsi="Arial"/>
                <w:color w:val="0000ff"/>
                <w:rtl w:val="0"/>
              </w:rPr>
              <w:t xml:space="preserve">2</w:t>
            </w:r>
          </w:p>
        </w:tc>
      </w:tr>
      <w:tr>
        <w:trPr>
          <w:cantSplit w:val="0"/>
          <w:tblHeader w:val="0"/>
        </w:trPr>
        <w:tc>
          <w:tcPr/>
          <w:p w:rsidR="00000000" w:rsidDel="00000000" w:rsidP="00000000" w:rsidRDefault="00000000" w:rsidRPr="00000000" w14:paraId="0000002F">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1.0 Introduction</w:t>
            </w:r>
          </w:p>
        </w:tc>
        <w:tc>
          <w:tcPr/>
          <w:p w:rsidR="00000000" w:rsidDel="00000000" w:rsidP="00000000" w:rsidRDefault="00000000" w:rsidRPr="00000000" w14:paraId="00000030">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r>
      <w:tr>
        <w:trPr>
          <w:cantSplit w:val="0"/>
          <w:tblHeader w:val="0"/>
        </w:trPr>
        <w:tc>
          <w:tcPr/>
          <w:p w:rsidR="00000000" w:rsidDel="00000000" w:rsidP="00000000" w:rsidRDefault="00000000" w:rsidRPr="00000000" w14:paraId="00000031">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2.0 SMART Objectives</w:t>
            </w:r>
          </w:p>
        </w:tc>
        <w:tc>
          <w:tcPr/>
          <w:p w:rsidR="00000000" w:rsidDel="00000000" w:rsidP="00000000" w:rsidRDefault="00000000" w:rsidRPr="00000000" w14:paraId="00000032">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r>
      <w:tr>
        <w:trPr>
          <w:cantSplit w:val="0"/>
          <w:tblHeader w:val="0"/>
        </w:trPr>
        <w:tc>
          <w:tcPr/>
          <w:p w:rsidR="00000000" w:rsidDel="00000000" w:rsidP="00000000" w:rsidRDefault="00000000" w:rsidRPr="00000000" w14:paraId="00000033">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3.0 Identifying and Categorising Key Stakeholders</w:t>
            </w:r>
          </w:p>
        </w:tc>
        <w:tc>
          <w:tcPr/>
          <w:p w:rsidR="00000000" w:rsidDel="00000000" w:rsidP="00000000" w:rsidRDefault="00000000" w:rsidRPr="00000000" w14:paraId="00000034">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r>
      <w:tr>
        <w:trPr>
          <w:cantSplit w:val="0"/>
          <w:tblHeader w:val="0"/>
        </w:trPr>
        <w:tc>
          <w:tcPr/>
          <w:p w:rsidR="00000000" w:rsidDel="00000000" w:rsidP="00000000" w:rsidRDefault="00000000" w:rsidRPr="00000000" w14:paraId="00000035">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3.1 Identification of Internal and External Stakeholders</w:t>
            </w:r>
          </w:p>
        </w:tc>
        <w:tc>
          <w:tcPr/>
          <w:p w:rsidR="00000000" w:rsidDel="00000000" w:rsidP="00000000" w:rsidRDefault="00000000" w:rsidRPr="00000000" w14:paraId="00000036">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r>
      <w:tr>
        <w:trPr>
          <w:cantSplit w:val="0"/>
          <w:tblHeader w:val="0"/>
        </w:trPr>
        <w:tc>
          <w:tcPr/>
          <w:p w:rsidR="00000000" w:rsidDel="00000000" w:rsidP="00000000" w:rsidRDefault="00000000" w:rsidRPr="00000000" w14:paraId="00000037">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3.2 Stakeholder Analysis Using the Power–Interest Matrix</w:t>
            </w:r>
          </w:p>
        </w:tc>
        <w:tc>
          <w:tcPr/>
          <w:p w:rsidR="00000000" w:rsidDel="00000000" w:rsidP="00000000" w:rsidRDefault="00000000" w:rsidRPr="00000000" w14:paraId="00000038">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r>
      <w:tr>
        <w:trPr>
          <w:cantSplit w:val="0"/>
          <w:tblHeader w:val="0"/>
        </w:trPr>
        <w:tc>
          <w:tcPr/>
          <w:p w:rsidR="00000000" w:rsidDel="00000000" w:rsidP="00000000" w:rsidRDefault="00000000" w:rsidRPr="00000000" w14:paraId="00000039">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3.3 Stakeholder Analysis Using the Salience Model</w:t>
            </w:r>
          </w:p>
        </w:tc>
        <w:tc>
          <w:tcPr/>
          <w:p w:rsidR="00000000" w:rsidDel="00000000" w:rsidP="00000000" w:rsidRDefault="00000000" w:rsidRPr="00000000" w14:paraId="0000003A">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r>
      <w:tr>
        <w:trPr>
          <w:cantSplit w:val="0"/>
          <w:tblHeader w:val="0"/>
        </w:trPr>
        <w:tc>
          <w:tcPr/>
          <w:p w:rsidR="00000000" w:rsidDel="00000000" w:rsidP="00000000" w:rsidRDefault="00000000" w:rsidRPr="00000000" w14:paraId="0000003B">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4.0 Roles, Responsibilities, Benefits and Challenges of Stakeholders</w:t>
            </w:r>
          </w:p>
        </w:tc>
        <w:tc>
          <w:tcPr/>
          <w:p w:rsidR="00000000" w:rsidDel="00000000" w:rsidP="00000000" w:rsidRDefault="00000000" w:rsidRPr="00000000" w14:paraId="0000003C">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r>
      <w:tr>
        <w:trPr>
          <w:cantSplit w:val="0"/>
          <w:tblHeader w:val="0"/>
        </w:trPr>
        <w:tc>
          <w:tcPr/>
          <w:p w:rsidR="00000000" w:rsidDel="00000000" w:rsidP="00000000" w:rsidRDefault="00000000" w:rsidRPr="00000000" w14:paraId="0000003D">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5.0 Stakeholder Engagement Process and Conflict Management</w:t>
            </w:r>
          </w:p>
        </w:tc>
        <w:tc>
          <w:tcPr/>
          <w:p w:rsidR="00000000" w:rsidDel="00000000" w:rsidP="00000000" w:rsidRDefault="00000000" w:rsidRPr="00000000" w14:paraId="0000003E">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r>
      <w:tr>
        <w:trPr>
          <w:cantSplit w:val="0"/>
          <w:tblHeader w:val="0"/>
        </w:trPr>
        <w:tc>
          <w:tcPr/>
          <w:p w:rsidR="00000000" w:rsidDel="00000000" w:rsidP="00000000" w:rsidRDefault="00000000" w:rsidRPr="00000000" w14:paraId="0000003F">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5.1 Applying the 4Cs Model</w:t>
            </w:r>
          </w:p>
        </w:tc>
        <w:tc>
          <w:tcPr/>
          <w:p w:rsidR="00000000" w:rsidDel="00000000" w:rsidP="00000000" w:rsidRDefault="00000000" w:rsidRPr="00000000" w14:paraId="00000040">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r>
      <w:tr>
        <w:trPr>
          <w:cantSplit w:val="0"/>
          <w:tblHeader w:val="0"/>
        </w:trPr>
        <w:tc>
          <w:tcPr/>
          <w:p w:rsidR="00000000" w:rsidDel="00000000" w:rsidP="00000000" w:rsidRDefault="00000000" w:rsidRPr="00000000" w14:paraId="00000041">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5.2 Stakeholder Communication Plan</w:t>
            </w:r>
          </w:p>
        </w:tc>
        <w:tc>
          <w:tcPr/>
          <w:p w:rsidR="00000000" w:rsidDel="00000000" w:rsidP="00000000" w:rsidRDefault="00000000" w:rsidRPr="00000000" w14:paraId="00000042">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r>
      <w:tr>
        <w:trPr>
          <w:cantSplit w:val="0"/>
          <w:tblHeader w:val="0"/>
        </w:trPr>
        <w:tc>
          <w:tcPr/>
          <w:p w:rsidR="00000000" w:rsidDel="00000000" w:rsidP="00000000" w:rsidRDefault="00000000" w:rsidRPr="00000000" w14:paraId="00000043">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5.3 RACI Matrix</w:t>
            </w:r>
          </w:p>
        </w:tc>
        <w:tc>
          <w:tcPr/>
          <w:p w:rsidR="00000000" w:rsidDel="00000000" w:rsidP="00000000" w:rsidRDefault="00000000" w:rsidRPr="00000000" w14:paraId="00000044">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r>
      <w:tr>
        <w:trPr>
          <w:cantSplit w:val="0"/>
          <w:tblHeader w:val="0"/>
        </w:trPr>
        <w:tc>
          <w:tcPr/>
          <w:p w:rsidR="00000000" w:rsidDel="00000000" w:rsidP="00000000" w:rsidRDefault="00000000" w:rsidRPr="00000000" w14:paraId="00000045">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5.4 Conflict Management</w:t>
            </w:r>
          </w:p>
        </w:tc>
        <w:tc>
          <w:tcPr/>
          <w:p w:rsidR="00000000" w:rsidDel="00000000" w:rsidP="00000000" w:rsidRDefault="00000000" w:rsidRPr="00000000" w14:paraId="00000046">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r>
      <w:tr>
        <w:trPr>
          <w:cantSplit w:val="0"/>
          <w:tblHeader w:val="0"/>
        </w:trPr>
        <w:tc>
          <w:tcPr/>
          <w:p w:rsidR="00000000" w:rsidDel="00000000" w:rsidP="00000000" w:rsidRDefault="00000000" w:rsidRPr="00000000" w14:paraId="00000047">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6.0 Evaluating the Impact of Sustainable Stakeholder Engagement on Organisational Performance</w:t>
            </w:r>
          </w:p>
        </w:tc>
        <w:tc>
          <w:tcPr/>
          <w:p w:rsidR="00000000" w:rsidDel="00000000" w:rsidP="00000000" w:rsidRDefault="00000000" w:rsidRPr="00000000" w14:paraId="00000048">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r>
      <w:tr>
        <w:trPr>
          <w:cantSplit w:val="0"/>
          <w:tblHeader w:val="0"/>
        </w:trPr>
        <w:tc>
          <w:tcPr/>
          <w:p w:rsidR="00000000" w:rsidDel="00000000" w:rsidP="00000000" w:rsidRDefault="00000000" w:rsidRPr="00000000" w14:paraId="00000049">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7.0 Recommendations</w:t>
            </w:r>
          </w:p>
        </w:tc>
        <w:tc>
          <w:tcPr/>
          <w:p w:rsidR="00000000" w:rsidDel="00000000" w:rsidP="00000000" w:rsidRDefault="00000000" w:rsidRPr="00000000" w14:paraId="0000004A">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r>
      <w:tr>
        <w:trPr>
          <w:cantSplit w:val="0"/>
          <w:tblHeader w:val="0"/>
        </w:trPr>
        <w:tc>
          <w:tcPr/>
          <w:p w:rsidR="00000000" w:rsidDel="00000000" w:rsidP="00000000" w:rsidRDefault="00000000" w:rsidRPr="00000000" w14:paraId="0000004B">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8.0 Conclusion</w:t>
            </w:r>
          </w:p>
        </w:tc>
        <w:tc>
          <w:tcPr/>
          <w:p w:rsidR="00000000" w:rsidDel="00000000" w:rsidP="00000000" w:rsidRDefault="00000000" w:rsidRPr="00000000" w14:paraId="0000004C">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r>
      <w:tr>
        <w:trPr>
          <w:cantSplit w:val="0"/>
          <w:tblHeader w:val="0"/>
        </w:trPr>
        <w:tc>
          <w:tcPr/>
          <w:p w:rsidR="00000000" w:rsidDel="00000000" w:rsidP="00000000" w:rsidRDefault="00000000" w:rsidRPr="00000000" w14:paraId="0000004D">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References</w:t>
            </w:r>
          </w:p>
        </w:tc>
        <w:tc>
          <w:tcPr/>
          <w:p w:rsidR="00000000" w:rsidDel="00000000" w:rsidP="00000000" w:rsidRDefault="00000000" w:rsidRPr="00000000" w14:paraId="0000004E">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r>
    </w:tbl>
    <w:p w:rsidR="00000000" w:rsidDel="00000000" w:rsidP="00000000" w:rsidRDefault="00000000" w:rsidRPr="00000000" w14:paraId="0000004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5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3">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54">
      <w:pPr>
        <w:spacing w:line="360" w:lineRule="auto"/>
        <w:rPr>
          <w:rFonts w:ascii="Arial" w:cs="Arial" w:eastAsia="Arial" w:hAnsi="Arial"/>
          <w:color w:val="0000ff"/>
        </w:rPr>
      </w:pPr>
      <w:r w:rsidDel="00000000" w:rsidR="00000000" w:rsidRPr="00000000">
        <w:rPr>
          <w:rFonts w:ascii="Arial" w:cs="Arial" w:eastAsia="Arial" w:hAnsi="Arial"/>
          <w:color w:val="0000ff"/>
          <w:rtl w:val="0"/>
        </w:rPr>
        <w:t xml:space="preserve">1.0 Introduction</w:t>
      </w:r>
    </w:p>
    <w:p w:rsidR="00000000" w:rsidDel="00000000" w:rsidP="00000000" w:rsidRDefault="00000000" w:rsidRPr="00000000" w14:paraId="0000005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Stakeholder engagement has become an increasingly important aspect of organisational success, particularly as businesses continue to adopt digital technologies to improve customer experiences and remain competitive. While technological innovation can create new opportunities, its success often depends on the willingness of different stakeholder groups to support, adopt and engage with organisational change. As a result, organisations are expected to balance commercial objectives with the needs and expectations of customers, employees, shareholders, suppliers, regulators and the wider community (Freeman, 1984).</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Marks &amp; Spencer (M&amp;S) is one of the UK’s most established retailers, operating across food, clothing, home and beauty. According to Marks &amp; Spencer’s Annual Report (2025/26), the organisation continues to invest in digital capability, customer personalisation and omnichannel retailing as part of its long-term transformation strategy. Consequently, the proposed ConnectPlus platform aligns with the organisation’s wider ambition to strengthen customer relationships while improving digital engagement.</w:t>
      </w:r>
    </w:p>
    <w:p w:rsidR="00000000" w:rsidDel="00000000" w:rsidP="00000000" w:rsidRDefault="00000000" w:rsidRPr="00000000" w14:paraId="0000005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Although the company has built a strong reputation for quality and customer trust, the UK retail market has become increasingly competitive, with organisations investing heavily in digital transformation, artificial intelligence (AI) and personalised customer experiences. At the same time, consumers are becoming more price-conscious due to ongoing cost-of-living pressures, while younger generations increasingly expect convenient, technology-driven shopping experiences that reflect their individual preferences. Consequently, retailers such as M&amp;S must continue adapting their digital services while maintaining the trust and loyalty of their existing customer base.</w:t>
      </w:r>
    </w:p>
    <w:p w:rsidR="00000000" w:rsidDel="00000000" w:rsidP="00000000" w:rsidRDefault="00000000" w:rsidRPr="00000000" w14:paraId="0000005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support these changing expectations, this report proposes the introduction of ConnectPlus, an AI-powered enhancement to the existing Sparks loyalty programme. ConnectPlus would use customer purchasing behaviour, shopping preferences and engagement data to provide personalised offers, tailored recommendations and individual rewards through the M&amp;S mobile application. Rather than replacing Sparks, the platform would strengthen the existing programme by creating a more personalised and responsive customer experience. It could also support wider organisational objectives by improving customer retention, increasing engagement and providing valuable insights into changing consumer behaviour.</w:t>
      </w:r>
    </w:p>
    <w:p w:rsidR="00000000" w:rsidDel="00000000" w:rsidP="00000000" w:rsidRDefault="00000000" w:rsidRPr="00000000" w14:paraId="00000059">
      <w:pPr>
        <w:spacing w:line="360" w:lineRule="auto"/>
        <w:rPr>
          <w:rFonts w:ascii="Arial" w:cs="Arial" w:eastAsia="Arial" w:hAnsi="Arial"/>
          <w:sz w:val="22"/>
          <w:szCs w:val="22"/>
          <w:highlight w:val="yellow"/>
        </w:rPr>
      </w:pPr>
      <w:r w:rsidDel="00000000" w:rsidR="00000000" w:rsidRPr="00000000">
        <w:rPr>
          <w:rFonts w:ascii="Arial" w:cs="Arial" w:eastAsia="Arial" w:hAnsi="Arial"/>
          <w:sz w:val="22"/>
          <w:szCs w:val="22"/>
          <w:highlight w:val="yellow"/>
          <w:rtl w:val="0"/>
        </w:rPr>
        <w:t xml:space="preserve">However, introducing AI into customer loyalty programmes extends beyond technological development. Successful implementation is likely to depend on effective stakeholder relationships, particularly where concerns surrounding data privacy, ethical AI, employee readiness and customer trust exist. Ashcroft (2017) argues that organisations create greater value when they develop strong and meaningful relationships with stakeholders rather than viewing interactions as isolated transactions. Similarly, Christopher, Payne and Ballantyne (2013) suggest that long-term stakeholder relationships often provide greater organisational value than focusing solely on short-term commercial outcomes. Together, these perspectives highlight the importance of building trust and collaboration throughout organisational change.</w:t>
      </w:r>
    </w:p>
    <w:p w:rsidR="00000000" w:rsidDel="00000000" w:rsidP="00000000" w:rsidRDefault="00000000" w:rsidRPr="00000000" w14:paraId="0000005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report therefore examines how stakeholder engagement may support the successful implementation of ConnectPlus at Marks &amp; Spencer. It identifies the project’s key stakeholders before analysing their influence using recognised stakeholder management frameworks. The report also evaluates stakeholder roles, responsibilities, benefits and challenges, before considering appropriate engagement strategies to support collaboration throughout the project. Finally, recommendations are provided on how sustainable stakeholder engagement may contribute to the successful delivery and long-term development of ConnectPlus.</w:t>
      </w:r>
    </w:p>
    <w:p w:rsidR="00000000" w:rsidDel="00000000" w:rsidP="00000000" w:rsidRDefault="00000000" w:rsidRPr="00000000" w14:paraId="0000005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A">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2.0 SMART Objectives</w:t>
      </w:r>
    </w:p>
    <w:p w:rsidR="00000000" w:rsidDel="00000000" w:rsidP="00000000" w:rsidRDefault="00000000" w:rsidRPr="00000000" w14:paraId="0000006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support the successful implementation of ConnectPlus, Marks &amp; Spencer requires clear and measurable objectives that align with both the project goals and stakeholder expectations. Doran (1981) argues that SMART objectives provide a structured approach to planning by ensuring objectives are Specific, Measurable, Achievable, Relevant and Time-bound. While the framework offers a practical way of monitoring progress, it has been criticised for placing greater emphasis on measurable outcomes than on factors such as stakeholder relationships or organisational culture. Consequently, the objectives below combine measurable targets with a strong focus on stakeholder engagement throughout the implementation of ConnectPlus.</w:t>
      </w:r>
    </w:p>
    <w:p w:rsidR="00000000" w:rsidDel="00000000" w:rsidP="00000000" w:rsidRDefault="00000000" w:rsidRPr="00000000" w14:paraId="0000006C">
      <w:pPr>
        <w:spacing w:line="360" w:lineRule="auto"/>
        <w:rPr>
          <w:rFonts w:ascii="Arial" w:cs="Arial" w:eastAsia="Arial" w:hAnsi="Arial"/>
          <w:sz w:val="22"/>
          <w:szCs w:val="22"/>
        </w:rPr>
      </w:pPr>
      <w:r w:rsidDel="00000000" w:rsidR="00000000" w:rsidRPr="00000000">
        <w:rPr>
          <w:rtl w:val="0"/>
        </w:rPr>
      </w:r>
    </w:p>
    <w:tbl>
      <w:tblPr>
        <w:tblStyle w:val="Table2"/>
        <w:tblW w:w="8685.0" w:type="dxa"/>
        <w:jc w:val="left"/>
        <w:tblInd w:w="-4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65"/>
        <w:gridCol w:w="4320"/>
        <w:tblGridChange w:id="0">
          <w:tblGrid>
            <w:gridCol w:w="4365"/>
            <w:gridCol w:w="4320"/>
          </w:tblGrid>
        </w:tblGridChange>
      </w:tblGrid>
      <w:tr>
        <w:trPr>
          <w:cantSplit w:val="0"/>
          <w:trHeight w:val="870" w:hRule="atLeast"/>
          <w:tblHeader w:val="0"/>
        </w:trPr>
        <w:tc>
          <w:tcPr>
            <w:shd w:fill="6d9eeb" w:val="clear"/>
          </w:tcPr>
          <w:p w:rsidR="00000000" w:rsidDel="00000000" w:rsidP="00000000" w:rsidRDefault="00000000" w:rsidRPr="00000000" w14:paraId="0000006D">
            <w:pPr>
              <w:spacing w:after="160" w:line="360" w:lineRule="auto"/>
              <w:rPr>
                <w:rFonts w:ascii="Arial" w:cs="Arial" w:eastAsia="Arial" w:hAnsi="Arial"/>
                <w:b w:val="1"/>
                <w:bCs w:val="1"/>
                <w:color w:val="0000ff"/>
                <w:sz w:val="22"/>
                <w:szCs w:val="22"/>
              </w:rPr>
            </w:pPr>
            <w:r w:rsidDel="00000000" w:rsidR="00000000" w:rsidRPr="00000000">
              <w:rPr>
                <w:rFonts w:ascii="Arial" w:cs="Arial" w:eastAsia="Arial" w:hAnsi="Arial"/>
                <w:b w:val="1"/>
                <w:bCs w:val="1"/>
                <w:color w:val="0000ff"/>
                <w:sz w:val="22"/>
                <w:szCs w:val="22"/>
                <w:rtl w:val="0"/>
              </w:rPr>
              <w:t xml:space="preserve">SMART Element</w:t>
            </w:r>
          </w:p>
        </w:tc>
        <w:tc>
          <w:tcPr>
            <w:shd w:fill="6d9eeb" w:val="clear"/>
          </w:tcPr>
          <w:p w:rsidR="00000000" w:rsidDel="00000000" w:rsidP="00000000" w:rsidRDefault="00000000" w:rsidRPr="00000000" w14:paraId="0000006E">
            <w:pPr>
              <w:spacing w:after="160" w:line="360" w:lineRule="auto"/>
              <w:rPr>
                <w:rFonts w:ascii="Arial" w:cs="Arial" w:eastAsia="Arial" w:hAnsi="Arial"/>
                <w:b w:val="1"/>
                <w:bCs w:val="1"/>
                <w:color w:val="0000ff"/>
                <w:sz w:val="22"/>
                <w:szCs w:val="22"/>
              </w:rPr>
            </w:pPr>
            <w:r w:rsidDel="00000000" w:rsidR="00000000" w:rsidRPr="00000000">
              <w:rPr>
                <w:rFonts w:ascii="Arial" w:cs="Arial" w:eastAsia="Arial" w:hAnsi="Arial"/>
                <w:b w:val="1"/>
                <w:bCs w:val="1"/>
                <w:color w:val="0000ff"/>
                <w:sz w:val="22"/>
                <w:szCs w:val="22"/>
                <w:rtl w:val="0"/>
              </w:rPr>
              <w:t xml:space="preserve">Application to ConnectPlus</w:t>
            </w:r>
          </w:p>
        </w:tc>
      </w:tr>
      <w:tr>
        <w:trPr>
          <w:cantSplit w:val="0"/>
          <w:tblHeader w:val="0"/>
        </w:trPr>
        <w:tc>
          <w:tcPr>
            <w:tcBorders>
              <w:bottom w:color="d5a6bd" w:space="0" w:sz="4" w:val="single"/>
            </w:tcBorders>
            <w:shd w:fill="ff9900" w:val="clear"/>
          </w:tcPr>
          <w:p w:rsidR="00000000" w:rsidDel="00000000" w:rsidP="00000000" w:rsidRDefault="00000000" w:rsidRPr="00000000" w14:paraId="0000006F">
            <w:pPr>
              <w:spacing w:after="160" w:line="360" w:lineRule="auto"/>
              <w:rPr>
                <w:rFonts w:ascii="Arial" w:cs="Arial" w:eastAsia="Arial" w:hAnsi="Arial"/>
                <w:color w:val="073763"/>
              </w:rPr>
            </w:pPr>
            <w:r w:rsidDel="00000000" w:rsidR="00000000" w:rsidRPr="00000000">
              <w:rPr>
                <w:rFonts w:ascii="Arial" w:cs="Arial" w:eastAsia="Arial" w:hAnsi="Arial"/>
                <w:color w:val="073763"/>
                <w:rtl w:val="0"/>
              </w:rPr>
              <w:t xml:space="preserve">Specific</w:t>
            </w:r>
          </w:p>
        </w:tc>
        <w:tc>
          <w:tcPr/>
          <w:p w:rsidR="00000000" w:rsidDel="00000000" w:rsidP="00000000" w:rsidRDefault="00000000" w:rsidRPr="00000000" w14:paraId="00000070">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Launch ConnectPlus as an AI-powered enhancement to the M&amp;S Sparks loyalty programme with personalised rewards and recommendations.</w:t>
            </w:r>
          </w:p>
        </w:tc>
      </w:tr>
      <w:tr>
        <w:trPr>
          <w:cantSplit w:val="0"/>
          <w:tblHeader w:val="0"/>
        </w:trPr>
        <w:tc>
          <w:tcPr>
            <w:tcBorders>
              <w:top w:color="d5a6bd" w:space="0" w:sz="4" w:val="single"/>
              <w:left w:color="d5a6bd" w:space="0" w:sz="4" w:val="single"/>
              <w:bottom w:color="d5a6bd" w:space="0" w:sz="4" w:val="single"/>
              <w:right w:color="d5a6bd" w:space="0" w:sz="4" w:val="single"/>
            </w:tcBorders>
            <w:shd w:fill="a64d79" w:val="clear"/>
          </w:tcPr>
          <w:p w:rsidR="00000000" w:rsidDel="00000000" w:rsidP="00000000" w:rsidRDefault="00000000" w:rsidRPr="00000000" w14:paraId="00000071">
            <w:pPr>
              <w:spacing w:after="160" w:line="360" w:lineRule="auto"/>
              <w:rPr>
                <w:rFonts w:ascii="Arial" w:cs="Arial" w:eastAsia="Arial" w:hAnsi="Arial"/>
                <w:color w:val="073763"/>
              </w:rPr>
            </w:pPr>
            <w:r w:rsidDel="00000000" w:rsidR="00000000" w:rsidRPr="00000000">
              <w:rPr>
                <w:rFonts w:ascii="Arial" w:cs="Arial" w:eastAsia="Arial" w:hAnsi="Arial"/>
                <w:color w:val="073763"/>
                <w:rtl w:val="0"/>
              </w:rPr>
              <w:t xml:space="preserve">Measurable</w:t>
            </w:r>
          </w:p>
        </w:tc>
        <w:tc>
          <w:tcPr>
            <w:tcBorders>
              <w:left w:color="d5a6bd" w:space="0" w:sz="4" w:val="single"/>
            </w:tcBorders>
          </w:tcPr>
          <w:p w:rsidR="00000000" w:rsidDel="00000000" w:rsidP="00000000" w:rsidRDefault="00000000" w:rsidRPr="00000000" w14:paraId="00000072">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20% increase in active Sparks app engagement, 10% increase in personalised offer redemption and 85%  customer satisfaction within 6 months.</w:t>
            </w:r>
          </w:p>
        </w:tc>
      </w:tr>
      <w:tr>
        <w:trPr>
          <w:cantSplit w:val="0"/>
          <w:tblHeader w:val="0"/>
        </w:trPr>
        <w:tc>
          <w:tcPr>
            <w:tcBorders>
              <w:top w:color="d5a6bd" w:space="0" w:sz="4" w:val="single"/>
            </w:tcBorders>
            <w:shd w:fill="00ffff" w:val="clear"/>
          </w:tcPr>
          <w:p w:rsidR="00000000" w:rsidDel="00000000" w:rsidP="00000000" w:rsidRDefault="00000000" w:rsidRPr="00000000" w14:paraId="00000073">
            <w:pPr>
              <w:spacing w:after="160" w:line="360" w:lineRule="auto"/>
              <w:rPr>
                <w:rFonts w:ascii="Arial" w:cs="Arial" w:eastAsia="Arial" w:hAnsi="Arial"/>
                <w:color w:val="073763"/>
              </w:rPr>
            </w:pPr>
            <w:r w:rsidDel="00000000" w:rsidR="00000000" w:rsidRPr="00000000">
              <w:rPr>
                <w:rFonts w:ascii="Arial" w:cs="Arial" w:eastAsia="Arial" w:hAnsi="Arial"/>
                <w:color w:val="073763"/>
                <w:rtl w:val="0"/>
              </w:rPr>
              <w:t xml:space="preserve">Achievable</w:t>
            </w:r>
          </w:p>
        </w:tc>
        <w:tc>
          <w:tcPr>
            <w:shd w:fill="ffffff" w:val="clear"/>
          </w:tcPr>
          <w:p w:rsidR="00000000" w:rsidDel="00000000" w:rsidP="00000000" w:rsidRDefault="00000000" w:rsidRPr="00000000" w14:paraId="00000074">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 existing digital infrastructure, employee training and technology partnerships.</w:t>
            </w:r>
          </w:p>
        </w:tc>
      </w:tr>
      <w:tr>
        <w:trPr>
          <w:cantSplit w:val="0"/>
          <w:tblHeader w:val="0"/>
        </w:trPr>
        <w:tc>
          <w:tcPr>
            <w:shd w:fill="6aa84f" w:val="clear"/>
          </w:tcPr>
          <w:p w:rsidR="00000000" w:rsidDel="00000000" w:rsidP="00000000" w:rsidRDefault="00000000" w:rsidRPr="00000000" w14:paraId="00000075">
            <w:pPr>
              <w:spacing w:after="160" w:line="360" w:lineRule="auto"/>
              <w:rPr>
                <w:rFonts w:ascii="Arial" w:cs="Arial" w:eastAsia="Arial" w:hAnsi="Arial"/>
                <w:color w:val="073763"/>
              </w:rPr>
            </w:pPr>
            <w:r w:rsidDel="00000000" w:rsidR="00000000" w:rsidRPr="00000000">
              <w:rPr>
                <w:rFonts w:ascii="Arial" w:cs="Arial" w:eastAsia="Arial" w:hAnsi="Arial"/>
                <w:color w:val="073763"/>
                <w:rtl w:val="0"/>
              </w:rPr>
              <w:t xml:space="preserve">Relevant</w:t>
            </w:r>
          </w:p>
        </w:tc>
        <w:tc>
          <w:tcPr/>
          <w:p w:rsidR="00000000" w:rsidDel="00000000" w:rsidP="00000000" w:rsidRDefault="00000000" w:rsidRPr="00000000" w14:paraId="00000076">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Support M&amp;S digital transformation, customer loyalty and responsible data use.</w:t>
            </w:r>
          </w:p>
        </w:tc>
      </w:tr>
      <w:tr>
        <w:trPr>
          <w:cantSplit w:val="0"/>
          <w:tblHeader w:val="0"/>
        </w:trPr>
        <w:tc>
          <w:tcPr>
            <w:shd w:fill="cc4125" w:val="clear"/>
          </w:tcPr>
          <w:p w:rsidR="00000000" w:rsidDel="00000000" w:rsidP="00000000" w:rsidRDefault="00000000" w:rsidRPr="00000000" w14:paraId="00000077">
            <w:pPr>
              <w:spacing w:after="160" w:line="360" w:lineRule="auto"/>
              <w:rPr>
                <w:rFonts w:ascii="Arial" w:cs="Arial" w:eastAsia="Arial" w:hAnsi="Arial"/>
                <w:color w:val="073763"/>
              </w:rPr>
            </w:pPr>
            <w:r w:rsidDel="00000000" w:rsidR="00000000" w:rsidRPr="00000000">
              <w:rPr>
                <w:rFonts w:ascii="Arial" w:cs="Arial" w:eastAsia="Arial" w:hAnsi="Arial"/>
                <w:color w:val="073763"/>
                <w:rtl w:val="0"/>
              </w:rPr>
              <w:t xml:space="preserve">Time-bound</w:t>
            </w:r>
          </w:p>
        </w:tc>
        <w:tc>
          <w:tcPr/>
          <w:p w:rsidR="00000000" w:rsidDel="00000000" w:rsidP="00000000" w:rsidRDefault="00000000" w:rsidRPr="00000000" w14:paraId="00000078">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 month development and phased rollout with a 6 -month evaluation.</w:t>
            </w:r>
          </w:p>
        </w:tc>
      </w:tr>
    </w:tbl>
    <w:p w:rsidR="00000000" w:rsidDel="00000000" w:rsidP="00000000" w:rsidRDefault="00000000" w:rsidRPr="00000000" w14:paraId="0000007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Overall, these objectives provide a clear direction for the implementation of ConnectPlus while recognising that project success extends beyond financial performance. Although measurable outcomes such as customer engagement and offer redemption are important indicators, long-term success is also likely to depend on stakeholder trust, employee engagement and responsible management of customer data throughout the project lifecycle.</w:t>
      </w:r>
    </w:p>
    <w:p w:rsidR="00000000" w:rsidDel="00000000" w:rsidP="00000000" w:rsidRDefault="00000000" w:rsidRPr="00000000" w14:paraId="0000007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C">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3.0 Stakeholder Identification and Analysis</w:t>
      </w:r>
    </w:p>
    <w:p w:rsidR="00000000" w:rsidDel="00000000" w:rsidP="00000000" w:rsidRDefault="00000000" w:rsidRPr="00000000" w14:paraId="0000007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successful implementation of ConnectPlus is likely to depend on the ability of Marks &amp; Spencer to identify, understand and engage with a wide range of stakeholders throughout the project. Stakeholders can influence organisational decisions in different ways, meaning some groups may have greater authority, legitimacy or urgency than others. Consequently, organisations that fail to recognise these differences may experience delays, resistance to change or reduced stakeholder trust (Freeman, 1984).</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Freeman’s (1984) Stakeholder Theory provides the foundation for stakeholder management by arguing that organisations should create value for all stakeholders rather than focusing solely on shareholders. Donaldson and Preston (1995) build on this argument by suggesting that stakeholder theory should be viewed not only as a management tool but also as a normative approach, meaning organisations have an ethical responsibility to consider stakeholder interests regardless of their immediate financial contribution. This perspective may be particularly relevant to Marks &amp; Spencer, where maintaining customer trust, ethical governance and responsible use of artificial intelligence could be just as important as achieving commercial objectives through ConnectPlus.This perspective has become increasingly relevant as businesses adopt digital technologies that rely on customer trust, employee engagement and responsible use of data. However, Freeman’s theory does not distinguish between stakeholders who require different levels of attention. Mitchell, Agle and Wood (1997) address this limitation through the Stakeholder Salience Model, suggesting that stakeholders should be prioritised according to their power, legitimacy and urgency. While both frameworks provide valuable insights, Freeman offers a broad strategic perspective, whereas Mitchell et al. provide a more practical approach to prioritising stakeholder relationships during project implementation.</w:t>
      </w:r>
    </w:p>
    <w:p w:rsidR="00000000" w:rsidDel="00000000" w:rsidP="00000000" w:rsidRDefault="00000000" w:rsidRPr="00000000" w14:paraId="0000007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ConnectPlus, using both approaches may provide a more balanced understanding of stakeholder management. Freeman’s theory encourages Marks &amp; Spencer to recognise the interests of all stakeholder groups, while the Salience Model and Power–Interest Matrix may help project managers allocate resources and communication more effectively throughout the implementation process.</w:t>
      </w:r>
    </w:p>
    <w:p w:rsidR="00000000" w:rsidDel="00000000" w:rsidP="00000000" w:rsidRDefault="00000000" w:rsidRPr="00000000" w14:paraId="0000008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1">
      <w:pPr>
        <w:spacing w:line="360" w:lineRule="auto"/>
        <w:rPr>
          <w:rFonts w:ascii="Arial" w:cs="Arial" w:eastAsia="Arial" w:hAnsi="Arial"/>
          <w:b w:val="1"/>
          <w:bCs w:val="1"/>
          <w:color w:val="1c4587"/>
        </w:rPr>
      </w:pPr>
      <w:r w:rsidDel="00000000" w:rsidR="00000000" w:rsidRPr="00000000">
        <w:rPr>
          <w:rFonts w:ascii="Arial" w:cs="Arial" w:eastAsia="Arial" w:hAnsi="Arial"/>
          <w:b w:val="1"/>
          <w:bCs w:val="1"/>
          <w:color w:val="1c4587"/>
          <w:rtl w:val="0"/>
        </w:rPr>
        <w:t xml:space="preserve">3.1 Identification of Internal and External Stakeholders</w:t>
      </w:r>
    </w:p>
    <w:p w:rsidR="00000000" w:rsidDel="00000000" w:rsidP="00000000" w:rsidRDefault="00000000" w:rsidRPr="00000000" w14:paraId="0000008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Internal stakeholders are individuals or groups directly involved in planning, managing and delivering the ConnectPlus project. Their decisions may influence project performance, organisational culture and the successful adoption of new technology.</w:t>
      </w:r>
    </w:p>
    <w:p w:rsidR="00000000" w:rsidDel="00000000" w:rsidP="00000000" w:rsidRDefault="00000000" w:rsidRPr="00000000" w14:paraId="00000083">
      <w:pPr>
        <w:spacing w:after="280" w:before="280" w:line="24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Table 1: Internal and External Stakeholders</w:t>
      </w:r>
    </w:p>
    <w:tbl>
      <w:tblPr>
        <w:tblStyle w:val="Table3"/>
        <w:tblW w:w="9675.0" w:type="dxa"/>
        <w:jc w:val="left"/>
        <w:tblInd w:w="-673.0" w:type="dxa"/>
        <w:tblBorders>
          <w:top w:color="000000" w:space="0" w:sz="6" w:val="single"/>
          <w:left w:color="000000" w:space="0" w:sz="6" w:val="single"/>
          <w:bottom w:color="000000" w:space="0" w:sz="6" w:val="single"/>
          <w:right w:color="000000" w:space="0" w:sz="6" w:val="single"/>
        </w:tblBorders>
        <w:tblLayout w:type="fixed"/>
        <w:tblLook w:val="0400"/>
      </w:tblPr>
      <w:tblGrid>
        <w:gridCol w:w="1785"/>
        <w:gridCol w:w="2550"/>
        <w:gridCol w:w="5340"/>
        <w:tblGridChange w:id="0">
          <w:tblGrid>
            <w:gridCol w:w="1785"/>
            <w:gridCol w:w="2550"/>
            <w:gridCol w:w="5340"/>
          </w:tblGrid>
        </w:tblGridChange>
      </w:tblGrid>
      <w:tr>
        <w:trPr>
          <w:cantSplit w:val="0"/>
          <w:tblHeader w:val="1"/>
        </w:trPr>
        <w:tc>
          <w:tcPr>
            <w:tcBorders>
              <w:top w:color="000000" w:space="0" w:sz="6" w:val="single"/>
              <w:left w:color="000000" w:space="0" w:sz="6" w:val="single"/>
              <w:bottom w:color="000000" w:space="0" w:sz="6" w:val="single"/>
              <w:right w:color="000000" w:space="0" w:sz="6" w:val="single"/>
            </w:tcBorders>
            <w:shd w:fill="93c47d" w:val="clear"/>
            <w:tcMar>
              <w:top w:w="120.0" w:type="dxa"/>
              <w:left w:w="180.0" w:type="dxa"/>
              <w:bottom w:w="120.0" w:type="dxa"/>
              <w:right w:w="180.0" w:type="dxa"/>
            </w:tcMar>
            <w:vAlign w:val="center"/>
          </w:tcPr>
          <w:p w:rsidR="00000000" w:rsidDel="00000000" w:rsidP="00000000" w:rsidRDefault="00000000" w:rsidRPr="00000000" w14:paraId="00000084">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Stakeholder Type</w:t>
            </w:r>
          </w:p>
        </w:tc>
        <w:tc>
          <w:tcPr>
            <w:tcBorders>
              <w:top w:color="000000" w:space="0" w:sz="6" w:val="single"/>
              <w:left w:color="000000" w:space="0" w:sz="6" w:val="single"/>
              <w:bottom w:color="000000" w:space="0" w:sz="6" w:val="single"/>
              <w:right w:color="000000" w:space="0" w:sz="6" w:val="single"/>
            </w:tcBorders>
            <w:shd w:fill="93c47d" w:val="clear"/>
            <w:tcMar>
              <w:top w:w="120.0" w:type="dxa"/>
              <w:left w:w="180.0" w:type="dxa"/>
              <w:bottom w:w="120.0" w:type="dxa"/>
              <w:right w:w="180.0" w:type="dxa"/>
            </w:tcMar>
            <w:vAlign w:val="center"/>
          </w:tcPr>
          <w:p w:rsidR="00000000" w:rsidDel="00000000" w:rsidP="00000000" w:rsidRDefault="00000000" w:rsidRPr="00000000" w14:paraId="00000085">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Stakeholder Group</w:t>
            </w:r>
          </w:p>
        </w:tc>
        <w:tc>
          <w:tcPr>
            <w:tcBorders>
              <w:top w:color="000000" w:space="0" w:sz="6" w:val="single"/>
              <w:left w:color="000000" w:space="0" w:sz="6" w:val="single"/>
              <w:bottom w:color="000000" w:space="0" w:sz="6" w:val="single"/>
              <w:right w:color="000000" w:space="0" w:sz="6" w:val="single"/>
            </w:tcBorders>
            <w:shd w:fill="93c47d" w:val="clear"/>
            <w:tcMar>
              <w:top w:w="120.0" w:type="dxa"/>
              <w:left w:w="180.0" w:type="dxa"/>
              <w:bottom w:w="120.0" w:type="dxa"/>
              <w:right w:w="180.0" w:type="dxa"/>
            </w:tcMar>
            <w:vAlign w:val="center"/>
          </w:tcPr>
          <w:p w:rsidR="00000000" w:rsidDel="00000000" w:rsidP="00000000" w:rsidRDefault="00000000" w:rsidRPr="00000000" w14:paraId="00000086">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    Role in ConnectPlus</w:t>
            </w:r>
          </w:p>
        </w:tc>
      </w:tr>
      <w:tr>
        <w:trPr>
          <w:cantSplit w:val="0"/>
          <w:tblHeader w:val="0"/>
        </w:trPr>
        <w:tc>
          <w:tcPr>
            <w:tcBorders>
              <w:top w:color="000000" w:space="0" w:sz="6" w:val="single"/>
              <w:left w:color="000000" w:space="0" w:sz="6" w:val="single"/>
              <w:bottom w:color="000000" w:space="0" w:sz="6" w:val="single"/>
              <w:right w:color="000000" w:space="0" w:sz="6" w:val="single"/>
            </w:tcBorders>
            <w:shd w:fill="ffd966" w:val="clear"/>
            <w:tcMar>
              <w:top w:w="120.0" w:type="dxa"/>
              <w:left w:w="180.0" w:type="dxa"/>
              <w:bottom w:w="120.0" w:type="dxa"/>
              <w:right w:w="180.0" w:type="dxa"/>
            </w:tcMar>
            <w:vAlign w:val="center"/>
          </w:tcPr>
          <w:p w:rsidR="00000000" w:rsidDel="00000000" w:rsidP="00000000" w:rsidRDefault="00000000" w:rsidRPr="00000000" w14:paraId="00000087">
            <w:pPr>
              <w:spacing w:line="360" w:lineRule="auto"/>
              <w:rPr>
                <w:rFonts w:ascii="Arial" w:cs="Arial" w:eastAsia="Arial" w:hAnsi="Arial"/>
                <w:color w:val="4c1130"/>
              </w:rPr>
            </w:pPr>
            <w:r w:rsidDel="00000000" w:rsidR="00000000" w:rsidRPr="00000000">
              <w:rPr>
                <w:rFonts w:ascii="Arial" w:cs="Arial" w:eastAsia="Arial" w:hAnsi="Arial"/>
                <w:color w:val="4c1130"/>
                <w:rtl w:val="0"/>
              </w:rPr>
              <w:t xml:space="preserve">Internal</w:t>
            </w:r>
          </w:p>
        </w:tc>
        <w:tc>
          <w:tcPr>
            <w:tcBorders>
              <w:top w:color="000000" w:space="0" w:sz="6" w:val="single"/>
              <w:left w:color="000000" w:space="0" w:sz="6" w:val="single"/>
              <w:bottom w:color="000000" w:space="0" w:sz="6" w:val="single"/>
              <w:right w:color="000000" w:space="0" w:sz="6" w:val="single"/>
            </w:tcBorders>
            <w:shd w:fill="ffd966" w:val="clear"/>
            <w:tcMar>
              <w:top w:w="120.0" w:type="dxa"/>
              <w:left w:w="180.0" w:type="dxa"/>
              <w:bottom w:w="120.0" w:type="dxa"/>
              <w:right w:w="180.0" w:type="dxa"/>
            </w:tcMar>
            <w:vAlign w:val="center"/>
          </w:tcPr>
          <w:p w:rsidR="00000000" w:rsidDel="00000000" w:rsidP="00000000" w:rsidRDefault="00000000" w:rsidRPr="00000000" w14:paraId="0000008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Board of Directors</w:t>
            </w:r>
          </w:p>
        </w:tc>
        <w:tc>
          <w:tcPr>
            <w:tcBorders>
              <w:top w:color="000000" w:space="0" w:sz="6" w:val="single"/>
              <w:left w:color="000000" w:space="0" w:sz="6" w:val="single"/>
              <w:bottom w:color="000000" w:space="0" w:sz="6" w:val="single"/>
              <w:right w:color="000000" w:space="0" w:sz="6" w:val="single"/>
            </w:tcBorders>
            <w:shd w:fill="ffd966" w:val="clear"/>
            <w:tcMar>
              <w:top w:w="120.0" w:type="dxa"/>
              <w:left w:w="180.0" w:type="dxa"/>
              <w:bottom w:w="120.0" w:type="dxa"/>
              <w:right w:w="180.0" w:type="dxa"/>
            </w:tcMar>
            <w:vAlign w:val="center"/>
          </w:tcPr>
          <w:p w:rsidR="00000000" w:rsidDel="00000000" w:rsidP="00000000" w:rsidRDefault="00000000" w:rsidRPr="00000000" w14:paraId="0000008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Approve investment, provide strategic direction and oversee governance.</w:t>
            </w:r>
          </w:p>
        </w:tc>
      </w:tr>
      <w:tr>
        <w:trPr>
          <w:cantSplit w:val="0"/>
          <w:tblHeader w:val="0"/>
        </w:trPr>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8A">
            <w:pPr>
              <w:spacing w:line="360" w:lineRule="auto"/>
              <w:rPr>
                <w:rFonts w:ascii="Arial" w:cs="Arial" w:eastAsia="Arial" w:hAnsi="Arial"/>
                <w:color w:val="4c1130"/>
              </w:rPr>
            </w:pPr>
            <w:r w:rsidDel="00000000" w:rsidR="00000000" w:rsidRPr="00000000">
              <w:rPr>
                <w:rFonts w:ascii="Arial" w:cs="Arial" w:eastAsia="Arial" w:hAnsi="Arial"/>
                <w:color w:val="4c1130"/>
                <w:rtl w:val="0"/>
              </w:rPr>
              <w:t xml:space="preserve">Internal</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8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Senior Management &amp; Project Manager</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8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Coordinate implementation, allocate resources and monitor project performance.</w:t>
            </w:r>
          </w:p>
        </w:tc>
      </w:tr>
      <w:tr>
        <w:trPr>
          <w:cantSplit w:val="0"/>
          <w:tblHeader w:val="0"/>
        </w:trPr>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8D">
            <w:pPr>
              <w:spacing w:line="360" w:lineRule="auto"/>
              <w:rPr>
                <w:rFonts w:ascii="Arial" w:cs="Arial" w:eastAsia="Arial" w:hAnsi="Arial"/>
                <w:color w:val="4c1130"/>
              </w:rPr>
            </w:pPr>
            <w:r w:rsidDel="00000000" w:rsidR="00000000" w:rsidRPr="00000000">
              <w:rPr>
                <w:rFonts w:ascii="Arial" w:cs="Arial" w:eastAsia="Arial" w:hAnsi="Arial"/>
                <w:color w:val="4c1130"/>
                <w:rtl w:val="0"/>
              </w:rPr>
              <w:t xml:space="preserve">Internal</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8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Marketing &amp; Digital Teams</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8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Develop personalised campaigns and customer engagement strategies.</w:t>
            </w:r>
          </w:p>
        </w:tc>
      </w:tr>
      <w:tr>
        <w:trPr>
          <w:cantSplit w:val="0"/>
          <w:tblHeader w:val="0"/>
        </w:trPr>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90">
            <w:pPr>
              <w:spacing w:line="360" w:lineRule="auto"/>
              <w:rPr>
                <w:rFonts w:ascii="Arial" w:cs="Arial" w:eastAsia="Arial" w:hAnsi="Arial"/>
                <w:color w:val="4c1130"/>
              </w:rPr>
            </w:pPr>
            <w:r w:rsidDel="00000000" w:rsidR="00000000" w:rsidRPr="00000000">
              <w:rPr>
                <w:rFonts w:ascii="Arial" w:cs="Arial" w:eastAsia="Arial" w:hAnsi="Arial"/>
                <w:color w:val="4c1130"/>
                <w:rtl w:val="0"/>
              </w:rPr>
              <w:t xml:space="preserve">Internal</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9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IT &amp; Data Analytics Teams</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9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Develop, maintain and secure the AI platform while ensuring compliance.</w:t>
            </w:r>
          </w:p>
        </w:tc>
      </w:tr>
      <w:tr>
        <w:trPr>
          <w:cantSplit w:val="0"/>
          <w:tblHeader w:val="0"/>
        </w:trPr>
        <w:tc>
          <w:tcPr>
            <w:tcBorders>
              <w:top w:color="000000" w:space="0" w:sz="6" w:val="single"/>
              <w:left w:color="000000" w:space="0" w:sz="6" w:val="single"/>
              <w:bottom w:color="000000" w:space="0" w:sz="6" w:val="single"/>
              <w:right w:color="000000" w:space="0" w:sz="6" w:val="single"/>
            </w:tcBorders>
            <w:shd w:fill="ffd966" w:val="clear"/>
            <w:tcMar>
              <w:top w:w="120.0" w:type="dxa"/>
              <w:left w:w="180.0" w:type="dxa"/>
              <w:bottom w:w="120.0" w:type="dxa"/>
              <w:right w:w="180.0" w:type="dxa"/>
            </w:tcMar>
            <w:vAlign w:val="center"/>
          </w:tcPr>
          <w:p w:rsidR="00000000" w:rsidDel="00000000" w:rsidP="00000000" w:rsidRDefault="00000000" w:rsidRPr="00000000" w14:paraId="00000093">
            <w:pPr>
              <w:spacing w:line="360" w:lineRule="auto"/>
              <w:rPr>
                <w:rFonts w:ascii="Arial" w:cs="Arial" w:eastAsia="Arial" w:hAnsi="Arial"/>
                <w:color w:val="4c1130"/>
              </w:rPr>
            </w:pPr>
            <w:r w:rsidDel="00000000" w:rsidR="00000000" w:rsidRPr="00000000">
              <w:rPr>
                <w:rFonts w:ascii="Arial" w:cs="Arial" w:eastAsia="Arial" w:hAnsi="Arial"/>
                <w:color w:val="4c1130"/>
                <w:rtl w:val="0"/>
              </w:rPr>
              <w:t xml:space="preserve">Internal</w:t>
            </w:r>
          </w:p>
        </w:tc>
        <w:tc>
          <w:tcPr>
            <w:tcBorders>
              <w:top w:color="000000" w:space="0" w:sz="6" w:val="single"/>
              <w:left w:color="000000" w:space="0" w:sz="6" w:val="single"/>
              <w:bottom w:color="000000" w:space="0" w:sz="6" w:val="single"/>
              <w:right w:color="000000" w:space="0" w:sz="6" w:val="single"/>
            </w:tcBorders>
            <w:shd w:fill="ffd966" w:val="clear"/>
            <w:tcMar>
              <w:top w:w="120.0" w:type="dxa"/>
              <w:left w:w="180.0" w:type="dxa"/>
              <w:bottom w:w="120.0" w:type="dxa"/>
              <w:right w:w="180.0" w:type="dxa"/>
            </w:tcMar>
            <w:vAlign w:val="center"/>
          </w:tcPr>
          <w:p w:rsidR="00000000" w:rsidDel="00000000" w:rsidP="00000000" w:rsidRDefault="00000000" w:rsidRPr="00000000" w14:paraId="0000009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Store &amp; Customer Service Employees</w:t>
            </w:r>
          </w:p>
        </w:tc>
        <w:tc>
          <w:tcPr>
            <w:tcBorders>
              <w:top w:color="000000" w:space="0" w:sz="6" w:val="single"/>
              <w:left w:color="000000" w:space="0" w:sz="6" w:val="single"/>
              <w:bottom w:color="000000" w:space="0" w:sz="6" w:val="single"/>
              <w:right w:color="000000" w:space="0" w:sz="6" w:val="single"/>
            </w:tcBorders>
            <w:shd w:fill="ffd966" w:val="clear"/>
            <w:tcMar>
              <w:top w:w="120.0" w:type="dxa"/>
              <w:left w:w="180.0" w:type="dxa"/>
              <w:bottom w:w="120.0" w:type="dxa"/>
              <w:right w:w="180.0" w:type="dxa"/>
            </w:tcMar>
            <w:vAlign w:val="center"/>
          </w:tcPr>
          <w:p w:rsidR="00000000" w:rsidDel="00000000" w:rsidP="00000000" w:rsidRDefault="00000000" w:rsidRPr="00000000" w14:paraId="0000009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Support customers, encourage adoption and provide operational feedback.</w:t>
            </w:r>
          </w:p>
        </w:tc>
      </w:tr>
      <w:tr>
        <w:trPr>
          <w:cantSplit w:val="0"/>
          <w:tblHeader w:val="0"/>
        </w:trPr>
        <w:tc>
          <w:tcPr>
            <w:tcBorders>
              <w:top w:color="000000" w:space="0" w:sz="6" w:val="single"/>
              <w:left w:color="000000" w:space="0" w:sz="6" w:val="single"/>
              <w:bottom w:color="000000" w:space="0" w:sz="6" w:val="single"/>
              <w:right w:color="000000" w:space="0" w:sz="6" w:val="single"/>
            </w:tcBorders>
            <w:shd w:fill="c27ba0" w:val="clear"/>
            <w:tcMar>
              <w:top w:w="120.0" w:type="dxa"/>
              <w:left w:w="180.0" w:type="dxa"/>
              <w:bottom w:w="120.0" w:type="dxa"/>
              <w:right w:w="180.0" w:type="dxa"/>
            </w:tcMar>
            <w:vAlign w:val="center"/>
          </w:tcPr>
          <w:p w:rsidR="00000000" w:rsidDel="00000000" w:rsidP="00000000" w:rsidRDefault="00000000" w:rsidRPr="00000000" w14:paraId="00000096">
            <w:pPr>
              <w:spacing w:line="360" w:lineRule="auto"/>
              <w:rPr>
                <w:rFonts w:ascii="Arial" w:cs="Arial" w:eastAsia="Arial" w:hAnsi="Arial"/>
                <w:color w:val="4c1130"/>
              </w:rPr>
            </w:pPr>
            <w:r w:rsidDel="00000000" w:rsidR="00000000" w:rsidRPr="00000000">
              <w:rPr>
                <w:rFonts w:ascii="Arial" w:cs="Arial" w:eastAsia="Arial" w:hAnsi="Arial"/>
                <w:color w:val="4c1130"/>
                <w:rtl w:val="0"/>
              </w:rPr>
              <w:t xml:space="preserve">External</w:t>
            </w:r>
          </w:p>
        </w:tc>
        <w:tc>
          <w:tcPr>
            <w:tcBorders>
              <w:top w:color="000000" w:space="0" w:sz="6" w:val="single"/>
              <w:left w:color="000000" w:space="0" w:sz="6" w:val="single"/>
              <w:bottom w:color="000000" w:space="0" w:sz="6" w:val="single"/>
              <w:right w:color="000000" w:space="0" w:sz="6" w:val="single"/>
            </w:tcBorders>
            <w:shd w:fill="c27ba0" w:val="clear"/>
            <w:tcMar>
              <w:top w:w="120.0" w:type="dxa"/>
              <w:left w:w="180.0" w:type="dxa"/>
              <w:bottom w:w="120.0" w:type="dxa"/>
              <w:right w:w="180.0" w:type="dxa"/>
            </w:tcMar>
            <w:vAlign w:val="center"/>
          </w:tcPr>
          <w:p w:rsidR="00000000" w:rsidDel="00000000" w:rsidP="00000000" w:rsidRDefault="00000000" w:rsidRPr="00000000" w14:paraId="0000009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Customers</w:t>
            </w:r>
          </w:p>
        </w:tc>
        <w:tc>
          <w:tcPr>
            <w:tcBorders>
              <w:top w:color="000000" w:space="0" w:sz="6" w:val="single"/>
              <w:left w:color="000000" w:space="0" w:sz="6" w:val="single"/>
              <w:bottom w:color="000000" w:space="0" w:sz="6" w:val="single"/>
              <w:right w:color="000000" w:space="0" w:sz="6" w:val="single"/>
            </w:tcBorders>
            <w:shd w:fill="c27ba0" w:val="clear"/>
            <w:tcMar>
              <w:top w:w="120.0" w:type="dxa"/>
              <w:left w:w="180.0" w:type="dxa"/>
              <w:bottom w:w="120.0" w:type="dxa"/>
              <w:right w:w="180.0" w:type="dxa"/>
            </w:tcMar>
            <w:vAlign w:val="center"/>
          </w:tcPr>
          <w:p w:rsidR="00000000" w:rsidDel="00000000" w:rsidP="00000000" w:rsidRDefault="00000000" w:rsidRPr="00000000" w14:paraId="0000009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 ConnectPlus, provide feedback and influence future platform development.</w:t>
            </w:r>
          </w:p>
        </w:tc>
      </w:tr>
      <w:tr>
        <w:trPr>
          <w:cantSplit w:val="0"/>
          <w:tblHeader w:val="0"/>
        </w:trPr>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99">
            <w:pPr>
              <w:spacing w:line="360" w:lineRule="auto"/>
              <w:rPr>
                <w:rFonts w:ascii="Arial" w:cs="Arial" w:eastAsia="Arial" w:hAnsi="Arial"/>
                <w:color w:val="4c1130"/>
              </w:rPr>
            </w:pPr>
            <w:r w:rsidDel="00000000" w:rsidR="00000000" w:rsidRPr="00000000">
              <w:rPr>
                <w:rFonts w:ascii="Arial" w:cs="Arial" w:eastAsia="Arial" w:hAnsi="Arial"/>
                <w:color w:val="4c1130"/>
                <w:rtl w:val="0"/>
              </w:rPr>
              <w:t xml:space="preserve">External</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9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Shareholders &amp; Investors</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9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Evaluate financial performance and long-term return on investment.</w:t>
            </w:r>
          </w:p>
        </w:tc>
      </w:tr>
      <w:tr>
        <w:trPr>
          <w:cantSplit w:val="0"/>
          <w:tblHeader w:val="0"/>
        </w:trPr>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9C">
            <w:pPr>
              <w:spacing w:line="360" w:lineRule="auto"/>
              <w:rPr>
                <w:rFonts w:ascii="Arial" w:cs="Arial" w:eastAsia="Arial" w:hAnsi="Arial"/>
                <w:color w:val="4c1130"/>
              </w:rPr>
            </w:pPr>
            <w:r w:rsidDel="00000000" w:rsidR="00000000" w:rsidRPr="00000000">
              <w:rPr>
                <w:rFonts w:ascii="Arial" w:cs="Arial" w:eastAsia="Arial" w:hAnsi="Arial"/>
                <w:color w:val="4c1130"/>
                <w:rtl w:val="0"/>
              </w:rPr>
              <w:t xml:space="preserve">External</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9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Technology Partners</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9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Provide AI technology, software support and technical expertise.</w:t>
            </w:r>
          </w:p>
        </w:tc>
      </w:tr>
      <w:tr>
        <w:trPr>
          <w:cantSplit w:val="0"/>
          <w:tblHeader w:val="0"/>
        </w:trPr>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9F">
            <w:pPr>
              <w:spacing w:line="360" w:lineRule="auto"/>
              <w:rPr>
                <w:rFonts w:ascii="Arial" w:cs="Arial" w:eastAsia="Arial" w:hAnsi="Arial"/>
                <w:color w:val="4c1130"/>
              </w:rPr>
            </w:pPr>
            <w:r w:rsidDel="00000000" w:rsidR="00000000" w:rsidRPr="00000000">
              <w:rPr>
                <w:rFonts w:ascii="Arial" w:cs="Arial" w:eastAsia="Arial" w:hAnsi="Arial"/>
                <w:color w:val="4c1130"/>
                <w:rtl w:val="0"/>
              </w:rPr>
              <w:t xml:space="preserve">External</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A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Suppliers</w:t>
            </w:r>
          </w:p>
        </w:tc>
        <w:tc>
          <w:tcPr>
            <w:tcBorders>
              <w:top w:color="000000" w:space="0" w:sz="6" w:val="single"/>
              <w:left w:color="000000" w:space="0" w:sz="6" w:val="single"/>
              <w:bottom w:color="000000" w:space="0" w:sz="6" w:val="single"/>
              <w:right w:color="000000" w:space="0" w:sz="6" w:val="single"/>
            </w:tcBorders>
            <w:tcMar>
              <w:top w:w="120.0" w:type="dxa"/>
              <w:left w:w="180.0" w:type="dxa"/>
              <w:bottom w:w="120.0" w:type="dxa"/>
              <w:right w:w="180.0" w:type="dxa"/>
            </w:tcMar>
            <w:vAlign w:val="center"/>
          </w:tcPr>
          <w:p w:rsidR="00000000" w:rsidDel="00000000" w:rsidP="00000000" w:rsidRDefault="00000000" w:rsidRPr="00000000" w14:paraId="000000A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Support product availability and benefit from improved demand forecasting.</w:t>
            </w:r>
          </w:p>
        </w:tc>
      </w:tr>
      <w:tr>
        <w:trPr>
          <w:cantSplit w:val="0"/>
          <w:tblHeader w:val="0"/>
        </w:trPr>
        <w:tc>
          <w:tcPr>
            <w:tcBorders>
              <w:top w:color="000000" w:space="0" w:sz="6" w:val="single"/>
              <w:left w:color="000000" w:space="0" w:sz="6" w:val="single"/>
              <w:bottom w:color="000000" w:space="0" w:sz="6" w:val="single"/>
              <w:right w:color="000000" w:space="0" w:sz="6" w:val="single"/>
            </w:tcBorders>
            <w:shd w:fill="c27ba0" w:val="clear"/>
            <w:tcMar>
              <w:top w:w="120.0" w:type="dxa"/>
              <w:left w:w="180.0" w:type="dxa"/>
              <w:bottom w:w="120.0" w:type="dxa"/>
              <w:right w:w="180.0" w:type="dxa"/>
            </w:tcMar>
            <w:vAlign w:val="center"/>
          </w:tcPr>
          <w:p w:rsidR="00000000" w:rsidDel="00000000" w:rsidP="00000000" w:rsidRDefault="00000000" w:rsidRPr="00000000" w14:paraId="000000A2">
            <w:pPr>
              <w:spacing w:line="360" w:lineRule="auto"/>
              <w:rPr>
                <w:rFonts w:ascii="Arial" w:cs="Arial" w:eastAsia="Arial" w:hAnsi="Arial"/>
                <w:color w:val="4c1130"/>
              </w:rPr>
            </w:pPr>
            <w:r w:rsidDel="00000000" w:rsidR="00000000" w:rsidRPr="00000000">
              <w:rPr>
                <w:rFonts w:ascii="Arial" w:cs="Arial" w:eastAsia="Arial" w:hAnsi="Arial"/>
                <w:color w:val="4c1130"/>
                <w:rtl w:val="0"/>
              </w:rPr>
              <w:t xml:space="preserve">External</w:t>
            </w:r>
          </w:p>
        </w:tc>
        <w:tc>
          <w:tcPr>
            <w:tcBorders>
              <w:top w:color="000000" w:space="0" w:sz="6" w:val="single"/>
              <w:left w:color="000000" w:space="0" w:sz="6" w:val="single"/>
              <w:bottom w:color="000000" w:space="0" w:sz="6" w:val="single"/>
              <w:right w:color="000000" w:space="0" w:sz="6" w:val="single"/>
            </w:tcBorders>
            <w:shd w:fill="c27ba0" w:val="clear"/>
            <w:tcMar>
              <w:top w:w="120.0" w:type="dxa"/>
              <w:left w:w="180.0" w:type="dxa"/>
              <w:bottom w:w="120.0" w:type="dxa"/>
              <w:right w:w="180.0" w:type="dxa"/>
            </w:tcMar>
            <w:vAlign w:val="center"/>
          </w:tcPr>
          <w:p w:rsidR="00000000" w:rsidDel="00000000" w:rsidP="00000000" w:rsidRDefault="00000000" w:rsidRPr="00000000" w14:paraId="000000A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Regulators (ICO)</w:t>
            </w:r>
          </w:p>
        </w:tc>
        <w:tc>
          <w:tcPr>
            <w:tcBorders>
              <w:top w:color="000000" w:space="0" w:sz="6" w:val="single"/>
              <w:left w:color="000000" w:space="0" w:sz="6" w:val="single"/>
              <w:bottom w:color="000000" w:space="0" w:sz="6" w:val="single"/>
              <w:right w:color="000000" w:space="0" w:sz="6" w:val="single"/>
            </w:tcBorders>
            <w:shd w:fill="c27ba0" w:val="clear"/>
            <w:tcMar>
              <w:top w:w="120.0" w:type="dxa"/>
              <w:left w:w="180.0" w:type="dxa"/>
              <w:bottom w:w="120.0" w:type="dxa"/>
              <w:right w:w="180.0" w:type="dxa"/>
            </w:tcMar>
            <w:vAlign w:val="center"/>
          </w:tcPr>
          <w:p w:rsidR="00000000" w:rsidDel="00000000" w:rsidP="00000000" w:rsidRDefault="00000000" w:rsidRPr="00000000" w14:paraId="000000A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Ensure compliance with UK GDPR and responsible data management.</w:t>
            </w:r>
          </w:p>
        </w:tc>
      </w:tr>
      <w:tr>
        <w:trPr>
          <w:cantSplit w:val="0"/>
          <w:tblHeader w:val="0"/>
        </w:trPr>
        <w:tc>
          <w:tcPr>
            <w:tcBorders>
              <w:top w:color="000000" w:space="0" w:sz="6" w:val="single"/>
              <w:left w:color="000000" w:space="0" w:sz="6" w:val="single"/>
              <w:bottom w:color="000000" w:space="0" w:sz="6" w:val="single"/>
              <w:right w:color="000000" w:space="0" w:sz="6" w:val="single"/>
            </w:tcBorders>
            <w:shd w:fill="c27ba0" w:val="clear"/>
            <w:tcMar>
              <w:top w:w="120.0" w:type="dxa"/>
              <w:left w:w="180.0" w:type="dxa"/>
              <w:bottom w:w="120.0" w:type="dxa"/>
              <w:right w:w="180.0" w:type="dxa"/>
            </w:tcMar>
            <w:vAlign w:val="center"/>
          </w:tcPr>
          <w:p w:rsidR="00000000" w:rsidDel="00000000" w:rsidP="00000000" w:rsidRDefault="00000000" w:rsidRPr="00000000" w14:paraId="000000A5">
            <w:pPr>
              <w:spacing w:line="360" w:lineRule="auto"/>
              <w:rPr>
                <w:rFonts w:ascii="Arial" w:cs="Arial" w:eastAsia="Arial" w:hAnsi="Arial"/>
                <w:color w:val="4c1130"/>
              </w:rPr>
            </w:pPr>
            <w:r w:rsidDel="00000000" w:rsidR="00000000" w:rsidRPr="00000000">
              <w:rPr>
                <w:rFonts w:ascii="Arial" w:cs="Arial" w:eastAsia="Arial" w:hAnsi="Arial"/>
                <w:color w:val="4c1130"/>
                <w:rtl w:val="0"/>
              </w:rPr>
              <w:t xml:space="preserve">External</w:t>
            </w:r>
          </w:p>
        </w:tc>
        <w:tc>
          <w:tcPr>
            <w:tcBorders>
              <w:top w:color="000000" w:space="0" w:sz="6" w:val="single"/>
              <w:left w:color="000000" w:space="0" w:sz="6" w:val="single"/>
              <w:bottom w:color="000000" w:space="0" w:sz="6" w:val="single"/>
              <w:right w:color="000000" w:space="0" w:sz="6" w:val="single"/>
            </w:tcBorders>
            <w:shd w:fill="c27ba0" w:val="clear"/>
            <w:tcMar>
              <w:top w:w="120.0" w:type="dxa"/>
              <w:left w:w="180.0" w:type="dxa"/>
              <w:bottom w:w="120.0" w:type="dxa"/>
              <w:right w:w="180.0" w:type="dxa"/>
            </w:tcMar>
            <w:vAlign w:val="center"/>
          </w:tcPr>
          <w:p w:rsidR="00000000" w:rsidDel="00000000" w:rsidP="00000000" w:rsidRDefault="00000000" w:rsidRPr="00000000" w14:paraId="000000A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Local Communities</w:t>
            </w:r>
          </w:p>
        </w:tc>
        <w:tc>
          <w:tcPr>
            <w:tcBorders>
              <w:top w:color="000000" w:space="0" w:sz="6" w:val="single"/>
              <w:left w:color="000000" w:space="0" w:sz="6" w:val="single"/>
              <w:bottom w:color="000000" w:space="0" w:sz="6" w:val="single"/>
              <w:right w:color="000000" w:space="0" w:sz="6" w:val="single"/>
            </w:tcBorders>
            <w:shd w:fill="c27ba0" w:val="clear"/>
            <w:tcMar>
              <w:top w:w="120.0" w:type="dxa"/>
              <w:left w:w="180.0" w:type="dxa"/>
              <w:bottom w:w="120.0" w:type="dxa"/>
              <w:right w:w="180.0" w:type="dxa"/>
            </w:tcMar>
            <w:vAlign w:val="center"/>
          </w:tcPr>
          <w:p w:rsidR="00000000" w:rsidDel="00000000" w:rsidP="00000000" w:rsidRDefault="00000000" w:rsidRPr="00000000" w14:paraId="000000A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Influence organisational reputation and expect responsible business practices.</w:t>
            </w:r>
          </w:p>
        </w:tc>
      </w:tr>
    </w:tbl>
    <w:p w:rsidR="00000000" w:rsidDel="00000000" w:rsidP="00000000" w:rsidRDefault="00000000" w:rsidRPr="00000000" w14:paraId="000000A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Table 1 demonstrates that ConnectPlus involves a diverse range of internal and external stakeholders whose interests extend beyond the successful delivery of the technology itself. Internal stakeholders are primarily responsible for planning and implementing the platform, whereas external stakeholders influence its long-term success through customer adoption, regulatory compliance and public trust. This distinction highlights the need for Marks &amp; Spencer to adopt different engagement strategies for different stakeholder groups rather than assuming a single approach will be effective.</w:t>
      </w:r>
    </w:p>
    <w:p w:rsidR="00000000" w:rsidDel="00000000" w:rsidP="00000000" w:rsidRDefault="00000000" w:rsidRPr="00000000" w14:paraId="000000A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Identifying these stakeholder groups at an early stage may help Marks &amp; Spencer anticipate potential opportunities and challenges before they affect project delivery. It could also encourage more effective communication and collaboration by recognising that different stakeholders are likely to have different expectations, priorities and levels of influence.</w:t>
      </w:r>
    </w:p>
    <w:p w:rsidR="00000000" w:rsidDel="00000000" w:rsidP="00000000" w:rsidRDefault="00000000" w:rsidRPr="00000000" w14:paraId="000000AB">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D">
      <w:pPr>
        <w:spacing w:line="360" w:lineRule="auto"/>
        <w:rPr>
          <w:rFonts w:ascii="Arial" w:cs="Arial" w:eastAsia="Arial" w:hAnsi="Arial"/>
          <w:b w:val="1"/>
          <w:bCs w:val="1"/>
          <w:color w:val="073763"/>
        </w:rPr>
      </w:pPr>
      <w:r w:rsidDel="00000000" w:rsidR="00000000" w:rsidRPr="00000000">
        <w:rPr>
          <w:rFonts w:ascii="Arial" w:cs="Arial" w:eastAsia="Arial" w:hAnsi="Arial"/>
          <w:b w:val="1"/>
          <w:bCs w:val="1"/>
          <w:color w:val="073763"/>
          <w:rtl w:val="0"/>
        </w:rPr>
        <w:t xml:space="preserve">3.2 Stakeholder Power–Interest Matrix </w:t>
      </w:r>
    </w:p>
    <w:p w:rsidR="00000000" w:rsidDel="00000000" w:rsidP="00000000" w:rsidRDefault="00000000" w:rsidRPr="00000000" w14:paraId="000000AE">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  Table 2. Power–Interest Matrix</w:t>
      </w:r>
    </w:p>
    <w:tbl>
      <w:tblPr>
        <w:tblStyle w:val="Table4"/>
        <w:tblW w:w="8625.0" w:type="dxa"/>
        <w:jc w:val="left"/>
        <w:tblInd w:w="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05"/>
        <w:gridCol w:w="4320"/>
        <w:tblGridChange w:id="0">
          <w:tblGrid>
            <w:gridCol w:w="4305"/>
            <w:gridCol w:w="4320"/>
          </w:tblGrid>
        </w:tblGridChange>
      </w:tblGrid>
      <w:tr>
        <w:trPr>
          <w:cantSplit w:val="0"/>
          <w:tblHeader w:val="1"/>
        </w:trPr>
        <w:tc>
          <w:tcPr>
            <w:shd w:fill="6d9eeb" w:val="clear"/>
          </w:tcPr>
          <w:p w:rsidR="00000000" w:rsidDel="00000000" w:rsidP="00000000" w:rsidRDefault="00000000" w:rsidRPr="00000000" w14:paraId="000000AF">
            <w:pPr>
              <w:spacing w:after="160"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High Power</w:t>
            </w:r>
          </w:p>
        </w:tc>
        <w:tc>
          <w:tcPr>
            <w:shd w:fill="6d9eeb" w:val="clear"/>
          </w:tcPr>
          <w:p w:rsidR="00000000" w:rsidDel="00000000" w:rsidP="00000000" w:rsidRDefault="00000000" w:rsidRPr="00000000" w14:paraId="000000B0">
            <w:pPr>
              <w:spacing w:after="160"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Low Power</w:t>
            </w:r>
          </w:p>
        </w:tc>
      </w:tr>
      <w:tr>
        <w:trPr>
          <w:cantSplit w:val="0"/>
          <w:tblHeader w:val="0"/>
        </w:trPr>
        <w:tc>
          <w:tcPr/>
          <w:p w:rsidR="00000000" w:rsidDel="00000000" w:rsidP="00000000" w:rsidRDefault="00000000" w:rsidRPr="00000000" w14:paraId="000000B1">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High Interest:</w:t>
            </w:r>
            <w:r w:rsidDel="00000000" w:rsidR="00000000" w:rsidRPr="00000000">
              <w:rPr>
                <w:rFonts w:ascii="Arial" w:cs="Arial" w:eastAsia="Arial" w:hAnsi="Arial"/>
                <w:sz w:val="22"/>
                <w:szCs w:val="22"/>
                <w:rtl w:val="0"/>
              </w:rPr>
              <w:t xml:space="preserve"> Board of Directors; Senior Management; Project Manager; IT &amp; Data Analytics Teams (Manage Closely)</w:t>
            </w:r>
          </w:p>
        </w:tc>
        <w:tc>
          <w:tcPr>
            <w:shd w:fill="ffffff" w:val="clear"/>
          </w:tcPr>
          <w:p w:rsidR="00000000" w:rsidDel="00000000" w:rsidP="00000000" w:rsidRDefault="00000000" w:rsidRPr="00000000" w14:paraId="000000B2">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High Interest:</w:t>
            </w:r>
            <w:r w:rsidDel="00000000" w:rsidR="00000000" w:rsidRPr="00000000">
              <w:rPr>
                <w:rFonts w:ascii="Arial" w:cs="Arial" w:eastAsia="Arial" w:hAnsi="Arial"/>
                <w:sz w:val="22"/>
                <w:szCs w:val="22"/>
                <w:rtl w:val="0"/>
              </w:rPr>
              <w:t xml:space="preserve"> Customers; Store Employees; Customer Service Teams (Keep Informed)</w:t>
            </w:r>
          </w:p>
        </w:tc>
      </w:tr>
      <w:tr>
        <w:trPr>
          <w:cantSplit w:val="0"/>
          <w:tblHeader w:val="0"/>
        </w:trPr>
        <w:tc>
          <w:tcPr/>
          <w:p w:rsidR="00000000" w:rsidDel="00000000" w:rsidP="00000000" w:rsidRDefault="00000000" w:rsidRPr="00000000" w14:paraId="000000B3">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Low Interest:</w:t>
            </w:r>
            <w:r w:rsidDel="00000000" w:rsidR="00000000" w:rsidRPr="00000000">
              <w:rPr>
                <w:rFonts w:ascii="Arial" w:cs="Arial" w:eastAsia="Arial" w:hAnsi="Arial"/>
                <w:sz w:val="22"/>
                <w:szCs w:val="22"/>
                <w:rtl w:val="0"/>
              </w:rPr>
              <w:t xml:space="preserve"> Shareholders &amp; Investors; Regulators (ICO); Technology Partners (Keep Satisfied)</w:t>
            </w:r>
          </w:p>
        </w:tc>
        <w:tc>
          <w:tcPr/>
          <w:p w:rsidR="00000000" w:rsidDel="00000000" w:rsidP="00000000" w:rsidRDefault="00000000" w:rsidRPr="00000000" w14:paraId="000000B4">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Low Interest: </w:t>
            </w:r>
            <w:r w:rsidDel="00000000" w:rsidR="00000000" w:rsidRPr="00000000">
              <w:rPr>
                <w:rFonts w:ascii="Arial" w:cs="Arial" w:eastAsia="Arial" w:hAnsi="Arial"/>
                <w:sz w:val="22"/>
                <w:szCs w:val="22"/>
                <w:rtl w:val="0"/>
              </w:rPr>
              <w:t xml:space="preserve">Suppliers; Local Communities (Monitor)</w:t>
            </w:r>
          </w:p>
        </w:tc>
      </w:tr>
    </w:tbl>
    <w:p w:rsidR="00000000" w:rsidDel="00000000" w:rsidP="00000000" w:rsidRDefault="00000000" w:rsidRPr="00000000" w14:paraId="000000B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determine the most appropriate engagement strategy, stakeholders were analysed using Mendelow’s (1991) Power–Interest Matrix. This framework categorises stakeholders according to their level of influence and interest, enabling project managers to prioritise communication and resource allocation throughout the implementation of ConnectPlus.</w:t>
      </w:r>
    </w:p>
    <w:p w:rsidR="00000000" w:rsidDel="00000000" w:rsidP="00000000" w:rsidRDefault="00000000" w:rsidRPr="00000000" w14:paraId="000000B7">
      <w:pPr>
        <w:spacing w:line="360" w:lineRule="auto"/>
        <w:rPr>
          <w:rFonts w:ascii="Arial" w:cs="Arial" w:eastAsia="Arial" w:hAnsi="Arial"/>
          <w:b w:val="1"/>
          <w:bCs w:val="1"/>
          <w:color w:val="073763"/>
        </w:rPr>
      </w:pPr>
      <w:r w:rsidDel="00000000" w:rsidR="00000000" w:rsidRPr="00000000">
        <w:rPr>
          <w:rFonts w:ascii="Arial" w:cs="Arial" w:eastAsia="Arial" w:hAnsi="Arial"/>
          <w:b w:val="1"/>
          <w:bCs w:val="1"/>
          <w:color w:val="073763"/>
          <w:rtl w:val="0"/>
        </w:rPr>
        <w:t xml:space="preserve">3.3 Stakeholder Salience Model</w:t>
      </w:r>
    </w:p>
    <w:p w:rsidR="00000000" w:rsidDel="00000000" w:rsidP="00000000" w:rsidRDefault="00000000" w:rsidRPr="00000000" w14:paraId="000000B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While the Power–Interest Matrix focuses on influence and interest, Mitchell et al.’s (1997) Stakeholder Salience Model considers power, legitimacy and urgency. This provides a more dynamic understanding of stakeholder importance throughout the ConnectPlus project.</w:t>
      </w:r>
    </w:p>
    <w:p w:rsidR="00000000" w:rsidDel="00000000" w:rsidP="00000000" w:rsidRDefault="00000000" w:rsidRPr="00000000" w14:paraId="000000B9">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Table 3. Stakeholder Salience Model</w:t>
      </w:r>
    </w:p>
    <w:tbl>
      <w:tblPr>
        <w:tblStyle w:val="Table5"/>
        <w:tblW w:w="864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28"/>
        <w:gridCol w:w="1728"/>
        <w:gridCol w:w="1728"/>
        <w:gridCol w:w="1728"/>
        <w:gridCol w:w="1728"/>
        <w:tblGridChange w:id="0">
          <w:tblGrid>
            <w:gridCol w:w="1728"/>
            <w:gridCol w:w="1728"/>
            <w:gridCol w:w="1728"/>
            <w:gridCol w:w="1728"/>
            <w:gridCol w:w="1728"/>
          </w:tblGrid>
        </w:tblGridChange>
      </w:tblGrid>
      <w:tr>
        <w:trPr>
          <w:cantSplit w:val="0"/>
          <w:tblHeader w:val="0"/>
        </w:trPr>
        <w:tc>
          <w:tcPr>
            <w:shd w:fill="a4c2f4" w:val="clear"/>
          </w:tcPr>
          <w:p w:rsidR="00000000" w:rsidDel="00000000" w:rsidP="00000000" w:rsidRDefault="00000000" w:rsidRPr="00000000" w14:paraId="000000BA">
            <w:pPr>
              <w:spacing w:after="160" w:line="360" w:lineRule="auto"/>
              <w:rPr>
                <w:rFonts w:ascii="Arial" w:cs="Arial" w:eastAsia="Arial" w:hAnsi="Arial"/>
                <w:b w:val="1"/>
                <w:bCs w:val="1"/>
                <w:color w:val="0000ff"/>
                <w:sz w:val="22"/>
                <w:szCs w:val="22"/>
              </w:rPr>
            </w:pPr>
            <w:r w:rsidDel="00000000" w:rsidR="00000000" w:rsidRPr="00000000">
              <w:rPr>
                <w:rFonts w:ascii="Arial" w:cs="Arial" w:eastAsia="Arial" w:hAnsi="Arial"/>
                <w:b w:val="1"/>
                <w:bCs w:val="1"/>
                <w:color w:val="0000ff"/>
                <w:sz w:val="22"/>
                <w:szCs w:val="22"/>
                <w:rtl w:val="0"/>
              </w:rPr>
              <w:t xml:space="preserve">Stakeholder</w:t>
            </w:r>
          </w:p>
        </w:tc>
        <w:tc>
          <w:tcPr>
            <w:shd w:fill="a4c2f4" w:val="clear"/>
          </w:tcPr>
          <w:p w:rsidR="00000000" w:rsidDel="00000000" w:rsidP="00000000" w:rsidRDefault="00000000" w:rsidRPr="00000000" w14:paraId="000000BB">
            <w:pPr>
              <w:spacing w:after="160" w:line="360" w:lineRule="auto"/>
              <w:rPr>
                <w:rFonts w:ascii="Arial" w:cs="Arial" w:eastAsia="Arial" w:hAnsi="Arial"/>
                <w:b w:val="1"/>
                <w:bCs w:val="1"/>
                <w:color w:val="0000ff"/>
                <w:sz w:val="22"/>
                <w:szCs w:val="22"/>
              </w:rPr>
            </w:pPr>
            <w:r w:rsidDel="00000000" w:rsidR="00000000" w:rsidRPr="00000000">
              <w:rPr>
                <w:rFonts w:ascii="Arial" w:cs="Arial" w:eastAsia="Arial" w:hAnsi="Arial"/>
                <w:b w:val="1"/>
                <w:bCs w:val="1"/>
                <w:color w:val="0000ff"/>
                <w:sz w:val="22"/>
                <w:szCs w:val="22"/>
                <w:rtl w:val="0"/>
              </w:rPr>
              <w:t xml:space="preserve">Power</w:t>
            </w:r>
          </w:p>
        </w:tc>
        <w:tc>
          <w:tcPr>
            <w:shd w:fill="a4c2f4" w:val="clear"/>
          </w:tcPr>
          <w:p w:rsidR="00000000" w:rsidDel="00000000" w:rsidP="00000000" w:rsidRDefault="00000000" w:rsidRPr="00000000" w14:paraId="000000BC">
            <w:pPr>
              <w:spacing w:after="160" w:line="360" w:lineRule="auto"/>
              <w:rPr>
                <w:rFonts w:ascii="Arial" w:cs="Arial" w:eastAsia="Arial" w:hAnsi="Arial"/>
                <w:b w:val="1"/>
                <w:bCs w:val="1"/>
                <w:color w:val="0000ff"/>
                <w:sz w:val="22"/>
                <w:szCs w:val="22"/>
              </w:rPr>
            </w:pPr>
            <w:r w:rsidDel="00000000" w:rsidR="00000000" w:rsidRPr="00000000">
              <w:rPr>
                <w:rFonts w:ascii="Arial" w:cs="Arial" w:eastAsia="Arial" w:hAnsi="Arial"/>
                <w:b w:val="1"/>
                <w:bCs w:val="1"/>
                <w:color w:val="0000ff"/>
                <w:sz w:val="22"/>
                <w:szCs w:val="22"/>
                <w:rtl w:val="0"/>
              </w:rPr>
              <w:t xml:space="preserve">Legitimacy</w:t>
            </w:r>
          </w:p>
        </w:tc>
        <w:tc>
          <w:tcPr>
            <w:shd w:fill="a4c2f4" w:val="clear"/>
          </w:tcPr>
          <w:p w:rsidR="00000000" w:rsidDel="00000000" w:rsidP="00000000" w:rsidRDefault="00000000" w:rsidRPr="00000000" w14:paraId="000000BD">
            <w:pPr>
              <w:spacing w:after="160" w:line="360" w:lineRule="auto"/>
              <w:rPr>
                <w:rFonts w:ascii="Arial" w:cs="Arial" w:eastAsia="Arial" w:hAnsi="Arial"/>
                <w:b w:val="1"/>
                <w:bCs w:val="1"/>
                <w:color w:val="0000ff"/>
                <w:sz w:val="22"/>
                <w:szCs w:val="22"/>
              </w:rPr>
            </w:pPr>
            <w:r w:rsidDel="00000000" w:rsidR="00000000" w:rsidRPr="00000000">
              <w:rPr>
                <w:rFonts w:ascii="Arial" w:cs="Arial" w:eastAsia="Arial" w:hAnsi="Arial"/>
                <w:b w:val="1"/>
                <w:bCs w:val="1"/>
                <w:color w:val="0000ff"/>
                <w:sz w:val="22"/>
                <w:szCs w:val="22"/>
                <w:rtl w:val="0"/>
              </w:rPr>
              <w:t xml:space="preserve">Urgency</w:t>
            </w:r>
          </w:p>
        </w:tc>
        <w:tc>
          <w:tcPr>
            <w:shd w:fill="a4c2f4" w:val="clear"/>
          </w:tcPr>
          <w:p w:rsidR="00000000" w:rsidDel="00000000" w:rsidP="00000000" w:rsidRDefault="00000000" w:rsidRPr="00000000" w14:paraId="000000BE">
            <w:pPr>
              <w:spacing w:after="160" w:line="360" w:lineRule="auto"/>
              <w:rPr>
                <w:rFonts w:ascii="Arial" w:cs="Arial" w:eastAsia="Arial" w:hAnsi="Arial"/>
                <w:b w:val="1"/>
                <w:bCs w:val="1"/>
                <w:color w:val="0000ff"/>
                <w:sz w:val="22"/>
                <w:szCs w:val="22"/>
              </w:rPr>
            </w:pPr>
            <w:r w:rsidDel="00000000" w:rsidR="00000000" w:rsidRPr="00000000">
              <w:rPr>
                <w:rFonts w:ascii="Arial" w:cs="Arial" w:eastAsia="Arial" w:hAnsi="Arial"/>
                <w:b w:val="1"/>
                <w:bCs w:val="1"/>
                <w:color w:val="0000ff"/>
                <w:sz w:val="22"/>
                <w:szCs w:val="22"/>
                <w:rtl w:val="0"/>
              </w:rPr>
              <w:t xml:space="preserve">Priority</w:t>
            </w:r>
          </w:p>
        </w:tc>
      </w:tr>
      <w:tr>
        <w:trPr>
          <w:cantSplit w:val="0"/>
          <w:tblHeader w:val="0"/>
        </w:trPr>
        <w:tc>
          <w:tcPr/>
          <w:p w:rsidR="00000000" w:rsidDel="00000000" w:rsidP="00000000" w:rsidRDefault="00000000" w:rsidRPr="00000000" w14:paraId="000000BF">
            <w:pPr>
              <w:spacing w:after="160" w:line="360" w:lineRule="auto"/>
              <w:rPr>
                <w:rFonts w:ascii="Arial" w:cs="Arial" w:eastAsia="Arial" w:hAnsi="Arial"/>
                <w:color w:val="073763"/>
              </w:rPr>
            </w:pPr>
            <w:r w:rsidDel="00000000" w:rsidR="00000000" w:rsidRPr="00000000">
              <w:rPr>
                <w:rFonts w:ascii="Arial" w:cs="Arial" w:eastAsia="Arial" w:hAnsi="Arial"/>
                <w:color w:val="073763"/>
                <w:rtl w:val="0"/>
              </w:rPr>
              <w:t xml:space="preserve">Board of Directors</w:t>
            </w:r>
          </w:p>
        </w:tc>
        <w:tc>
          <w:tcPr/>
          <w:p w:rsidR="00000000" w:rsidDel="00000000" w:rsidP="00000000" w:rsidRDefault="00000000" w:rsidRPr="00000000" w14:paraId="000000C0">
            <w:pPr>
              <w:spacing w:after="160" w:line="360" w:lineRule="auto"/>
              <w:rPr>
                <w:rFonts w:ascii="Arial" w:cs="Arial" w:eastAsia="Arial" w:hAnsi="Arial"/>
                <w:sz w:val="22"/>
                <w:szCs w:val="22"/>
              </w:rPr>
            </w:pPr>
            <w:sdt>
              <w:sdtPr>
                <w:id w:val="2126956079"/>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C1">
            <w:pPr>
              <w:spacing w:after="160" w:line="360" w:lineRule="auto"/>
              <w:rPr>
                <w:rFonts w:ascii="Arial" w:cs="Arial" w:eastAsia="Arial" w:hAnsi="Arial"/>
                <w:sz w:val="22"/>
                <w:szCs w:val="22"/>
              </w:rPr>
            </w:pPr>
            <w:sdt>
              <w:sdtPr>
                <w:id w:val="-1695153239"/>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C2">
            <w:pPr>
              <w:spacing w:after="160" w:line="360" w:lineRule="auto"/>
              <w:rPr>
                <w:rFonts w:ascii="Arial" w:cs="Arial" w:eastAsia="Arial" w:hAnsi="Arial"/>
                <w:sz w:val="22"/>
                <w:szCs w:val="22"/>
              </w:rPr>
            </w:pPr>
            <w:sdt>
              <w:sdtPr>
                <w:id w:val="-629450859"/>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C3">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Definitive</w:t>
            </w:r>
          </w:p>
        </w:tc>
      </w:tr>
      <w:tr>
        <w:trPr>
          <w:cantSplit w:val="0"/>
          <w:tblHeader w:val="0"/>
        </w:trPr>
        <w:tc>
          <w:tcPr/>
          <w:p w:rsidR="00000000" w:rsidDel="00000000" w:rsidP="00000000" w:rsidRDefault="00000000" w:rsidRPr="00000000" w14:paraId="000000C4">
            <w:pPr>
              <w:spacing w:after="160" w:line="360" w:lineRule="auto"/>
              <w:rPr>
                <w:rFonts w:ascii="Arial" w:cs="Arial" w:eastAsia="Arial" w:hAnsi="Arial"/>
                <w:color w:val="073763"/>
              </w:rPr>
            </w:pPr>
            <w:r w:rsidDel="00000000" w:rsidR="00000000" w:rsidRPr="00000000">
              <w:rPr>
                <w:rFonts w:ascii="Arial" w:cs="Arial" w:eastAsia="Arial" w:hAnsi="Arial"/>
                <w:color w:val="073763"/>
                <w:rtl w:val="0"/>
              </w:rPr>
              <w:t xml:space="preserve">Senior Management</w:t>
            </w:r>
          </w:p>
        </w:tc>
        <w:tc>
          <w:tcPr/>
          <w:p w:rsidR="00000000" w:rsidDel="00000000" w:rsidP="00000000" w:rsidRDefault="00000000" w:rsidRPr="00000000" w14:paraId="000000C5">
            <w:pPr>
              <w:spacing w:after="160" w:line="360" w:lineRule="auto"/>
              <w:rPr>
                <w:rFonts w:ascii="Arial" w:cs="Arial" w:eastAsia="Arial" w:hAnsi="Arial"/>
                <w:sz w:val="22"/>
                <w:szCs w:val="22"/>
              </w:rPr>
            </w:pPr>
            <w:sdt>
              <w:sdtPr>
                <w:id w:val="1908992872"/>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C6">
            <w:pPr>
              <w:spacing w:after="160" w:line="360" w:lineRule="auto"/>
              <w:rPr>
                <w:rFonts w:ascii="Arial" w:cs="Arial" w:eastAsia="Arial" w:hAnsi="Arial"/>
                <w:sz w:val="22"/>
                <w:szCs w:val="22"/>
              </w:rPr>
            </w:pPr>
            <w:sdt>
              <w:sdtPr>
                <w:id w:val="571916593"/>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C7">
            <w:pPr>
              <w:spacing w:after="160" w:line="360" w:lineRule="auto"/>
              <w:rPr>
                <w:rFonts w:ascii="Arial" w:cs="Arial" w:eastAsia="Arial" w:hAnsi="Arial"/>
                <w:sz w:val="22"/>
                <w:szCs w:val="22"/>
              </w:rPr>
            </w:pPr>
            <w:sdt>
              <w:sdtPr>
                <w:id w:val="-1629563129"/>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C8">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Definitive</w:t>
            </w:r>
          </w:p>
        </w:tc>
      </w:tr>
      <w:tr>
        <w:trPr>
          <w:cantSplit w:val="0"/>
          <w:tblHeader w:val="0"/>
        </w:trPr>
        <w:tc>
          <w:tcPr/>
          <w:p w:rsidR="00000000" w:rsidDel="00000000" w:rsidP="00000000" w:rsidRDefault="00000000" w:rsidRPr="00000000" w14:paraId="000000C9">
            <w:pPr>
              <w:spacing w:after="160" w:line="360" w:lineRule="auto"/>
              <w:rPr>
                <w:rFonts w:ascii="Arial" w:cs="Arial" w:eastAsia="Arial" w:hAnsi="Arial"/>
                <w:color w:val="073763"/>
              </w:rPr>
            </w:pPr>
            <w:r w:rsidDel="00000000" w:rsidR="00000000" w:rsidRPr="00000000">
              <w:rPr>
                <w:rFonts w:ascii="Arial" w:cs="Arial" w:eastAsia="Arial" w:hAnsi="Arial"/>
                <w:color w:val="073763"/>
                <w:rtl w:val="0"/>
              </w:rPr>
              <w:t xml:space="preserve">Project Manager</w:t>
            </w:r>
          </w:p>
        </w:tc>
        <w:tc>
          <w:tcPr/>
          <w:p w:rsidR="00000000" w:rsidDel="00000000" w:rsidP="00000000" w:rsidRDefault="00000000" w:rsidRPr="00000000" w14:paraId="000000CA">
            <w:pPr>
              <w:spacing w:after="160" w:line="360" w:lineRule="auto"/>
              <w:rPr>
                <w:rFonts w:ascii="Arial" w:cs="Arial" w:eastAsia="Arial" w:hAnsi="Arial"/>
                <w:sz w:val="22"/>
                <w:szCs w:val="22"/>
              </w:rPr>
            </w:pPr>
            <w:sdt>
              <w:sdtPr>
                <w:id w:val="-31937741"/>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CB">
            <w:pPr>
              <w:spacing w:after="160" w:line="360" w:lineRule="auto"/>
              <w:rPr>
                <w:rFonts w:ascii="Arial" w:cs="Arial" w:eastAsia="Arial" w:hAnsi="Arial"/>
                <w:sz w:val="22"/>
                <w:szCs w:val="22"/>
              </w:rPr>
            </w:pPr>
            <w:sdt>
              <w:sdtPr>
                <w:id w:val="958878810"/>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CC">
            <w:pPr>
              <w:spacing w:after="160" w:line="360" w:lineRule="auto"/>
              <w:rPr>
                <w:rFonts w:ascii="Arial" w:cs="Arial" w:eastAsia="Arial" w:hAnsi="Arial"/>
                <w:sz w:val="22"/>
                <w:szCs w:val="22"/>
              </w:rPr>
            </w:pPr>
            <w:sdt>
              <w:sdtPr>
                <w:id w:val="1178701247"/>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CD">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Definitive</w:t>
            </w:r>
          </w:p>
        </w:tc>
      </w:tr>
      <w:tr>
        <w:trPr>
          <w:cantSplit w:val="0"/>
          <w:tblHeader w:val="0"/>
        </w:trPr>
        <w:tc>
          <w:tcPr/>
          <w:p w:rsidR="00000000" w:rsidDel="00000000" w:rsidP="00000000" w:rsidRDefault="00000000" w:rsidRPr="00000000" w14:paraId="000000CE">
            <w:pPr>
              <w:spacing w:after="160" w:line="360" w:lineRule="auto"/>
              <w:rPr>
                <w:rFonts w:ascii="Arial" w:cs="Arial" w:eastAsia="Arial" w:hAnsi="Arial"/>
                <w:color w:val="073763"/>
              </w:rPr>
            </w:pPr>
            <w:r w:rsidDel="00000000" w:rsidR="00000000" w:rsidRPr="00000000">
              <w:rPr>
                <w:rFonts w:ascii="Arial" w:cs="Arial" w:eastAsia="Arial" w:hAnsi="Arial"/>
                <w:color w:val="073763"/>
                <w:rtl w:val="0"/>
              </w:rPr>
              <w:t xml:space="preserve">Customers</w:t>
            </w:r>
          </w:p>
        </w:tc>
        <w:tc>
          <w:tcPr/>
          <w:p w:rsidR="00000000" w:rsidDel="00000000" w:rsidP="00000000" w:rsidRDefault="00000000" w:rsidRPr="00000000" w14:paraId="000000CF">
            <w:pPr>
              <w:spacing w:after="160" w:line="360" w:lineRule="auto"/>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D0">
            <w:pPr>
              <w:spacing w:after="160" w:line="360" w:lineRule="auto"/>
              <w:rPr>
                <w:rFonts w:ascii="Arial" w:cs="Arial" w:eastAsia="Arial" w:hAnsi="Arial"/>
                <w:sz w:val="22"/>
                <w:szCs w:val="22"/>
              </w:rPr>
            </w:pPr>
            <w:sdt>
              <w:sdtPr>
                <w:id w:val="865942171"/>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D1">
            <w:pPr>
              <w:spacing w:after="160" w:line="360" w:lineRule="auto"/>
              <w:rPr>
                <w:rFonts w:ascii="Arial" w:cs="Arial" w:eastAsia="Arial" w:hAnsi="Arial"/>
                <w:sz w:val="22"/>
                <w:szCs w:val="22"/>
              </w:rPr>
            </w:pPr>
            <w:sdt>
              <w:sdtPr>
                <w:id w:val="1508915268"/>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D2">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Dependent</w:t>
            </w:r>
          </w:p>
        </w:tc>
      </w:tr>
      <w:tr>
        <w:trPr>
          <w:cantSplit w:val="0"/>
          <w:tblHeader w:val="0"/>
        </w:trPr>
        <w:tc>
          <w:tcPr/>
          <w:p w:rsidR="00000000" w:rsidDel="00000000" w:rsidP="00000000" w:rsidRDefault="00000000" w:rsidRPr="00000000" w14:paraId="000000D3">
            <w:pPr>
              <w:spacing w:after="160" w:line="360" w:lineRule="auto"/>
              <w:rPr>
                <w:rFonts w:ascii="Arial" w:cs="Arial" w:eastAsia="Arial" w:hAnsi="Arial"/>
                <w:color w:val="073763"/>
              </w:rPr>
            </w:pPr>
            <w:r w:rsidDel="00000000" w:rsidR="00000000" w:rsidRPr="00000000">
              <w:rPr>
                <w:rFonts w:ascii="Arial" w:cs="Arial" w:eastAsia="Arial" w:hAnsi="Arial"/>
                <w:color w:val="073763"/>
                <w:rtl w:val="0"/>
              </w:rPr>
              <w:t xml:space="preserve">Store Employees</w:t>
            </w:r>
          </w:p>
        </w:tc>
        <w:tc>
          <w:tcPr/>
          <w:p w:rsidR="00000000" w:rsidDel="00000000" w:rsidP="00000000" w:rsidRDefault="00000000" w:rsidRPr="00000000" w14:paraId="000000D4">
            <w:pPr>
              <w:spacing w:after="160" w:line="360" w:lineRule="auto"/>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D5">
            <w:pPr>
              <w:spacing w:after="160" w:line="360" w:lineRule="auto"/>
              <w:rPr>
                <w:rFonts w:ascii="Arial" w:cs="Arial" w:eastAsia="Arial" w:hAnsi="Arial"/>
                <w:sz w:val="22"/>
                <w:szCs w:val="22"/>
              </w:rPr>
            </w:pPr>
            <w:sdt>
              <w:sdtPr>
                <w:id w:val="275074228"/>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D6">
            <w:pPr>
              <w:spacing w:after="160" w:line="360" w:lineRule="auto"/>
              <w:rPr>
                <w:rFonts w:ascii="Arial" w:cs="Arial" w:eastAsia="Arial" w:hAnsi="Arial"/>
                <w:sz w:val="22"/>
                <w:szCs w:val="22"/>
              </w:rPr>
            </w:pPr>
            <w:sdt>
              <w:sdtPr>
                <w:id w:val="327064788"/>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D7">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Dependent</w:t>
            </w:r>
          </w:p>
        </w:tc>
      </w:tr>
      <w:tr>
        <w:trPr>
          <w:cantSplit w:val="0"/>
          <w:tblHeader w:val="0"/>
        </w:trPr>
        <w:tc>
          <w:tcPr/>
          <w:p w:rsidR="00000000" w:rsidDel="00000000" w:rsidP="00000000" w:rsidRDefault="00000000" w:rsidRPr="00000000" w14:paraId="000000D8">
            <w:pPr>
              <w:spacing w:after="160" w:line="360" w:lineRule="auto"/>
              <w:rPr>
                <w:rFonts w:ascii="Arial" w:cs="Arial" w:eastAsia="Arial" w:hAnsi="Arial"/>
                <w:color w:val="073763"/>
              </w:rPr>
            </w:pPr>
            <w:r w:rsidDel="00000000" w:rsidR="00000000" w:rsidRPr="00000000">
              <w:rPr>
                <w:rFonts w:ascii="Arial" w:cs="Arial" w:eastAsia="Arial" w:hAnsi="Arial"/>
                <w:color w:val="073763"/>
                <w:rtl w:val="0"/>
              </w:rPr>
              <w:t xml:space="preserve">Shareholders</w:t>
            </w:r>
          </w:p>
        </w:tc>
        <w:tc>
          <w:tcPr/>
          <w:p w:rsidR="00000000" w:rsidDel="00000000" w:rsidP="00000000" w:rsidRDefault="00000000" w:rsidRPr="00000000" w14:paraId="000000D9">
            <w:pPr>
              <w:spacing w:after="160" w:line="360" w:lineRule="auto"/>
              <w:rPr>
                <w:rFonts w:ascii="Arial" w:cs="Arial" w:eastAsia="Arial" w:hAnsi="Arial"/>
                <w:sz w:val="22"/>
                <w:szCs w:val="22"/>
              </w:rPr>
            </w:pPr>
            <w:sdt>
              <w:sdtPr>
                <w:id w:val="2002725410"/>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DA">
            <w:pPr>
              <w:spacing w:after="160" w:line="360" w:lineRule="auto"/>
              <w:rPr>
                <w:rFonts w:ascii="Arial" w:cs="Arial" w:eastAsia="Arial" w:hAnsi="Arial"/>
                <w:sz w:val="22"/>
                <w:szCs w:val="22"/>
              </w:rPr>
            </w:pPr>
            <w:sdt>
              <w:sdtPr>
                <w:id w:val="-1801189380"/>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DB">
            <w:pPr>
              <w:spacing w:after="160" w:line="360" w:lineRule="auto"/>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DC">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Dominant</w:t>
            </w:r>
          </w:p>
        </w:tc>
      </w:tr>
      <w:tr>
        <w:trPr>
          <w:cantSplit w:val="0"/>
          <w:tblHeader w:val="0"/>
        </w:trPr>
        <w:tc>
          <w:tcPr/>
          <w:p w:rsidR="00000000" w:rsidDel="00000000" w:rsidP="00000000" w:rsidRDefault="00000000" w:rsidRPr="00000000" w14:paraId="000000DD">
            <w:pPr>
              <w:spacing w:after="160" w:line="360" w:lineRule="auto"/>
              <w:rPr>
                <w:rFonts w:ascii="Arial" w:cs="Arial" w:eastAsia="Arial" w:hAnsi="Arial"/>
                <w:color w:val="073763"/>
              </w:rPr>
            </w:pPr>
            <w:r w:rsidDel="00000000" w:rsidR="00000000" w:rsidRPr="00000000">
              <w:rPr>
                <w:rFonts w:ascii="Arial" w:cs="Arial" w:eastAsia="Arial" w:hAnsi="Arial"/>
                <w:color w:val="073763"/>
                <w:rtl w:val="0"/>
              </w:rPr>
              <w:t xml:space="preserve">Technology Partners</w:t>
            </w:r>
          </w:p>
        </w:tc>
        <w:tc>
          <w:tcPr/>
          <w:p w:rsidR="00000000" w:rsidDel="00000000" w:rsidP="00000000" w:rsidRDefault="00000000" w:rsidRPr="00000000" w14:paraId="000000DE">
            <w:pPr>
              <w:spacing w:after="160" w:line="360" w:lineRule="auto"/>
              <w:rPr>
                <w:rFonts w:ascii="Arial" w:cs="Arial" w:eastAsia="Arial" w:hAnsi="Arial"/>
                <w:sz w:val="22"/>
                <w:szCs w:val="22"/>
              </w:rPr>
            </w:pPr>
            <w:sdt>
              <w:sdtPr>
                <w:id w:val="-569027181"/>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DF">
            <w:pPr>
              <w:spacing w:after="160" w:line="360" w:lineRule="auto"/>
              <w:rPr>
                <w:rFonts w:ascii="Arial" w:cs="Arial" w:eastAsia="Arial" w:hAnsi="Arial"/>
                <w:sz w:val="22"/>
                <w:szCs w:val="22"/>
              </w:rPr>
            </w:pPr>
            <w:sdt>
              <w:sdtPr>
                <w:id w:val="-2120145375"/>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E0">
            <w:pPr>
              <w:spacing w:after="160" w:line="360" w:lineRule="auto"/>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E1">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Dominant</w:t>
            </w:r>
          </w:p>
        </w:tc>
      </w:tr>
      <w:tr>
        <w:trPr>
          <w:cantSplit w:val="0"/>
          <w:tblHeader w:val="0"/>
        </w:trPr>
        <w:tc>
          <w:tcPr/>
          <w:p w:rsidR="00000000" w:rsidDel="00000000" w:rsidP="00000000" w:rsidRDefault="00000000" w:rsidRPr="00000000" w14:paraId="000000E2">
            <w:pPr>
              <w:spacing w:after="160" w:line="360" w:lineRule="auto"/>
              <w:rPr>
                <w:rFonts w:ascii="Arial" w:cs="Arial" w:eastAsia="Arial" w:hAnsi="Arial"/>
                <w:color w:val="073763"/>
              </w:rPr>
            </w:pPr>
            <w:r w:rsidDel="00000000" w:rsidR="00000000" w:rsidRPr="00000000">
              <w:rPr>
                <w:rFonts w:ascii="Arial" w:cs="Arial" w:eastAsia="Arial" w:hAnsi="Arial"/>
                <w:color w:val="073763"/>
                <w:rtl w:val="0"/>
              </w:rPr>
              <w:t xml:space="preserve">ICO / Regulators</w:t>
            </w:r>
          </w:p>
        </w:tc>
        <w:tc>
          <w:tcPr/>
          <w:p w:rsidR="00000000" w:rsidDel="00000000" w:rsidP="00000000" w:rsidRDefault="00000000" w:rsidRPr="00000000" w14:paraId="000000E3">
            <w:pPr>
              <w:spacing w:after="160" w:line="360" w:lineRule="auto"/>
              <w:rPr>
                <w:rFonts w:ascii="Arial" w:cs="Arial" w:eastAsia="Arial" w:hAnsi="Arial"/>
                <w:sz w:val="22"/>
                <w:szCs w:val="22"/>
              </w:rPr>
            </w:pPr>
            <w:sdt>
              <w:sdtPr>
                <w:id w:val="-629059135"/>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E4">
            <w:pPr>
              <w:spacing w:after="160" w:line="360" w:lineRule="auto"/>
              <w:rPr>
                <w:rFonts w:ascii="Arial" w:cs="Arial" w:eastAsia="Arial" w:hAnsi="Arial"/>
                <w:sz w:val="22"/>
                <w:szCs w:val="22"/>
              </w:rPr>
            </w:pPr>
            <w:sdt>
              <w:sdtPr>
                <w:id w:val="-1369670798"/>
                <w:tag w:val="goog_rdk_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E5">
            <w:pPr>
              <w:spacing w:after="160" w:line="360" w:lineRule="auto"/>
              <w:rPr>
                <w:rFonts w:ascii="Arial" w:cs="Arial" w:eastAsia="Arial" w:hAnsi="Arial"/>
                <w:sz w:val="22"/>
                <w:szCs w:val="22"/>
              </w:rPr>
            </w:pPr>
            <w:sdt>
              <w:sdtPr>
                <w:id w:val="1843731772"/>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E6">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Definitive</w:t>
            </w:r>
          </w:p>
        </w:tc>
      </w:tr>
      <w:tr>
        <w:trPr>
          <w:cantSplit w:val="0"/>
          <w:tblHeader w:val="0"/>
        </w:trPr>
        <w:tc>
          <w:tcPr/>
          <w:p w:rsidR="00000000" w:rsidDel="00000000" w:rsidP="00000000" w:rsidRDefault="00000000" w:rsidRPr="00000000" w14:paraId="000000E7">
            <w:pPr>
              <w:spacing w:after="160" w:line="360" w:lineRule="auto"/>
              <w:rPr>
                <w:rFonts w:ascii="Arial" w:cs="Arial" w:eastAsia="Arial" w:hAnsi="Arial"/>
                <w:color w:val="073763"/>
              </w:rPr>
            </w:pPr>
            <w:r w:rsidDel="00000000" w:rsidR="00000000" w:rsidRPr="00000000">
              <w:rPr>
                <w:rFonts w:ascii="Arial" w:cs="Arial" w:eastAsia="Arial" w:hAnsi="Arial"/>
                <w:color w:val="073763"/>
                <w:rtl w:val="0"/>
              </w:rPr>
              <w:t xml:space="preserve">Suppliers</w:t>
            </w:r>
          </w:p>
        </w:tc>
        <w:tc>
          <w:tcPr/>
          <w:p w:rsidR="00000000" w:rsidDel="00000000" w:rsidP="00000000" w:rsidRDefault="00000000" w:rsidRPr="00000000" w14:paraId="000000E8">
            <w:pPr>
              <w:spacing w:after="160" w:line="360" w:lineRule="auto"/>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E9">
            <w:pPr>
              <w:spacing w:after="160" w:line="360" w:lineRule="auto"/>
              <w:rPr>
                <w:rFonts w:ascii="Arial" w:cs="Arial" w:eastAsia="Arial" w:hAnsi="Arial"/>
                <w:sz w:val="22"/>
                <w:szCs w:val="22"/>
              </w:rPr>
            </w:pPr>
            <w:sdt>
              <w:sdtPr>
                <w:id w:val="-103009980"/>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EA">
            <w:pPr>
              <w:spacing w:after="160" w:line="360" w:lineRule="auto"/>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EB">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Discretionary</w:t>
            </w:r>
          </w:p>
        </w:tc>
      </w:tr>
      <w:tr>
        <w:trPr>
          <w:cantSplit w:val="0"/>
          <w:tblHeader w:val="0"/>
        </w:trPr>
        <w:tc>
          <w:tcPr/>
          <w:p w:rsidR="00000000" w:rsidDel="00000000" w:rsidP="00000000" w:rsidRDefault="00000000" w:rsidRPr="00000000" w14:paraId="000000EC">
            <w:pPr>
              <w:spacing w:after="160" w:line="360" w:lineRule="auto"/>
              <w:rPr>
                <w:rFonts w:ascii="Arial" w:cs="Arial" w:eastAsia="Arial" w:hAnsi="Arial"/>
                <w:color w:val="073763"/>
              </w:rPr>
            </w:pPr>
            <w:r w:rsidDel="00000000" w:rsidR="00000000" w:rsidRPr="00000000">
              <w:rPr>
                <w:rFonts w:ascii="Arial" w:cs="Arial" w:eastAsia="Arial" w:hAnsi="Arial"/>
                <w:color w:val="073763"/>
                <w:rtl w:val="0"/>
              </w:rPr>
              <w:t xml:space="preserve">Local Communities</w:t>
            </w:r>
          </w:p>
        </w:tc>
        <w:tc>
          <w:tcPr/>
          <w:p w:rsidR="00000000" w:rsidDel="00000000" w:rsidP="00000000" w:rsidRDefault="00000000" w:rsidRPr="00000000" w14:paraId="000000ED">
            <w:pPr>
              <w:spacing w:after="160" w:line="360" w:lineRule="auto"/>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EE">
            <w:pPr>
              <w:spacing w:after="160" w:line="360" w:lineRule="auto"/>
              <w:rPr>
                <w:rFonts w:ascii="Arial" w:cs="Arial" w:eastAsia="Arial" w:hAnsi="Arial"/>
                <w:sz w:val="22"/>
                <w:szCs w:val="22"/>
              </w:rPr>
            </w:pPr>
            <w:sdt>
              <w:sdtPr>
                <w:id w:val="1363905239"/>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p w:rsidR="00000000" w:rsidDel="00000000" w:rsidP="00000000" w:rsidRDefault="00000000" w:rsidRPr="00000000" w14:paraId="000000EF">
            <w:pPr>
              <w:spacing w:after="160" w:line="360" w:lineRule="auto"/>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F0">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Discretionary</w:t>
            </w:r>
          </w:p>
        </w:tc>
      </w:tr>
    </w:tbl>
    <w:p w:rsidR="00000000" w:rsidDel="00000000" w:rsidP="00000000" w:rsidRDefault="00000000" w:rsidRPr="00000000" w14:paraId="000000F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2">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4.0 Roles, Responsibilities, Benefits and Challenges of Key Stakeholders</w:t>
      </w:r>
    </w:p>
    <w:p w:rsidR="00000000" w:rsidDel="00000000" w:rsidP="00000000" w:rsidRDefault="00000000" w:rsidRPr="00000000" w14:paraId="000000F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Following the identification and prioritisation of stakeholders, it is important to understand the role each group plays during the implementation of ConnectPlus. Effective stakeholder management extends beyond identifying who is involved; it also requires organisations to recognise the value each stakeholder brings, the responsibilities they hold and the challenges they may experience throughout the project (Clarkson, 1995). Rowley (1997) further argues that organisations rarely manage stakeholders in isolation, as relationships between stakeholder groups often influence organisational decision-making. Consequently, Marks &amp; Spencer must adopt a collaborative approach that considers how stakeholder interests interact rather than addressing each group independently. </w:t>
      </w:r>
    </w:p>
    <w:p w:rsidR="00000000" w:rsidDel="00000000" w:rsidP="00000000" w:rsidRDefault="00000000" w:rsidRPr="00000000" w14:paraId="000000F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Table 4 summarises the key stakeholder groups involved in ConnectPlus and highlights their primary roles, responsibilities, potential benefits and associated challenges.</w:t>
      </w:r>
    </w:p>
    <w:p w:rsidR="00000000" w:rsidDel="00000000" w:rsidP="00000000" w:rsidRDefault="00000000" w:rsidRPr="00000000" w14:paraId="000000F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6">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Table 4. Roles, Responsibilities, Benefits and Challenges of ConnectPlus Stakeholders</w:t>
      </w:r>
    </w:p>
    <w:tbl>
      <w:tblPr>
        <w:tblStyle w:val="Table6"/>
        <w:tblW w:w="8640.0" w:type="dxa"/>
        <w:jc w:val="left"/>
        <w:tblBorders>
          <w:top w:color="999999" w:space="0" w:sz="4" w:val="single"/>
          <w:left w:color="999999" w:space="0" w:sz="4" w:val="single"/>
          <w:bottom w:color="999999" w:space="0" w:sz="4" w:val="single"/>
          <w:right w:color="999999" w:space="0" w:sz="4" w:val="single"/>
          <w:insideH w:color="999999" w:space="0" w:sz="4" w:val="single"/>
          <w:insideV w:color="999999" w:space="0" w:sz="4" w:val="single"/>
        </w:tblBorders>
        <w:tblLayout w:type="fixed"/>
        <w:tblLook w:val="04A0"/>
      </w:tblPr>
      <w:tblGrid>
        <w:gridCol w:w="2160"/>
        <w:gridCol w:w="2160"/>
        <w:gridCol w:w="2160"/>
        <w:gridCol w:w="2160"/>
        <w:tblGridChange w:id="0">
          <w:tblGrid>
            <w:gridCol w:w="2160"/>
            <w:gridCol w:w="2160"/>
            <w:gridCol w:w="2160"/>
            <w:gridCol w:w="2160"/>
          </w:tblGrid>
        </w:tblGridChange>
      </w:tblGrid>
      <w:tr>
        <w:trPr>
          <w:cantSplit w:val="0"/>
          <w:tblHeader w:val="0"/>
        </w:trPr>
        <w:tc>
          <w:tcPr>
            <w:shd w:fill="a4c2f4" w:val="clear"/>
          </w:tcPr>
          <w:p w:rsidR="00000000" w:rsidDel="00000000" w:rsidP="00000000" w:rsidRDefault="00000000" w:rsidRPr="00000000" w14:paraId="000000F7">
            <w:pPr>
              <w:spacing w:after="160" w:line="360" w:lineRule="auto"/>
              <w:rPr>
                <w:rFonts w:ascii="Arial" w:cs="Arial" w:eastAsia="Arial" w:hAnsi="Arial"/>
                <w:color w:val="0000ff"/>
              </w:rPr>
            </w:pPr>
            <w:r w:rsidDel="00000000" w:rsidR="00000000" w:rsidRPr="00000000">
              <w:rPr>
                <w:rFonts w:ascii="Arial" w:cs="Arial" w:eastAsia="Arial" w:hAnsi="Arial"/>
                <w:color w:val="0000ff"/>
                <w:rtl w:val="0"/>
              </w:rPr>
              <w:t xml:space="preserve">Stakeholder</w:t>
            </w:r>
          </w:p>
        </w:tc>
        <w:tc>
          <w:tcPr>
            <w:shd w:fill="a4c2f4" w:val="clear"/>
          </w:tcPr>
          <w:p w:rsidR="00000000" w:rsidDel="00000000" w:rsidP="00000000" w:rsidRDefault="00000000" w:rsidRPr="00000000" w14:paraId="000000F8">
            <w:pPr>
              <w:spacing w:after="160" w:line="360" w:lineRule="auto"/>
              <w:rPr>
                <w:rFonts w:ascii="Arial" w:cs="Arial" w:eastAsia="Arial" w:hAnsi="Arial"/>
                <w:color w:val="0000ff"/>
              </w:rPr>
            </w:pPr>
            <w:r w:rsidDel="00000000" w:rsidR="00000000" w:rsidRPr="00000000">
              <w:rPr>
                <w:rFonts w:ascii="Arial" w:cs="Arial" w:eastAsia="Arial" w:hAnsi="Arial"/>
                <w:color w:val="0000ff"/>
                <w:rtl w:val="0"/>
              </w:rPr>
              <w:t xml:space="preserve">Role &amp; Responsibilities</w:t>
            </w:r>
          </w:p>
        </w:tc>
        <w:tc>
          <w:tcPr>
            <w:shd w:fill="a4c2f4" w:val="clear"/>
          </w:tcPr>
          <w:p w:rsidR="00000000" w:rsidDel="00000000" w:rsidP="00000000" w:rsidRDefault="00000000" w:rsidRPr="00000000" w14:paraId="000000F9">
            <w:pPr>
              <w:spacing w:after="160" w:line="360" w:lineRule="auto"/>
              <w:rPr>
                <w:rFonts w:ascii="Arial" w:cs="Arial" w:eastAsia="Arial" w:hAnsi="Arial"/>
                <w:color w:val="0000ff"/>
              </w:rPr>
            </w:pPr>
            <w:r w:rsidDel="00000000" w:rsidR="00000000" w:rsidRPr="00000000">
              <w:rPr>
                <w:rFonts w:ascii="Arial" w:cs="Arial" w:eastAsia="Arial" w:hAnsi="Arial"/>
                <w:color w:val="0000ff"/>
                <w:rtl w:val="0"/>
              </w:rPr>
              <w:t xml:space="preserve">Benefits</w:t>
            </w:r>
          </w:p>
        </w:tc>
        <w:tc>
          <w:tcPr>
            <w:shd w:fill="a4c2f4" w:val="clear"/>
          </w:tcPr>
          <w:p w:rsidR="00000000" w:rsidDel="00000000" w:rsidP="00000000" w:rsidRDefault="00000000" w:rsidRPr="00000000" w14:paraId="000000FA">
            <w:pPr>
              <w:spacing w:after="160" w:line="360" w:lineRule="auto"/>
              <w:rPr>
                <w:rFonts w:ascii="Arial" w:cs="Arial" w:eastAsia="Arial" w:hAnsi="Arial"/>
                <w:color w:val="0000ff"/>
              </w:rPr>
            </w:pPr>
            <w:r w:rsidDel="00000000" w:rsidR="00000000" w:rsidRPr="00000000">
              <w:rPr>
                <w:rFonts w:ascii="Arial" w:cs="Arial" w:eastAsia="Arial" w:hAnsi="Arial"/>
                <w:color w:val="0000ff"/>
                <w:rtl w:val="0"/>
              </w:rPr>
              <w:t xml:space="preserve">Challenges</w:t>
            </w:r>
          </w:p>
        </w:tc>
      </w:tr>
      <w:tr>
        <w:trPr>
          <w:cantSplit w:val="0"/>
          <w:tblHeader w:val="0"/>
        </w:trPr>
        <w:tc>
          <w:tcPr/>
          <w:p w:rsidR="00000000" w:rsidDel="00000000" w:rsidP="00000000" w:rsidRDefault="00000000" w:rsidRPr="00000000" w14:paraId="000000FB">
            <w:pPr>
              <w:spacing w:after="160" w:line="360" w:lineRule="auto"/>
              <w:rPr>
                <w:rFonts w:ascii="Arial" w:cs="Arial" w:eastAsia="Arial" w:hAnsi="Arial"/>
                <w:b w:val="0"/>
                <w:bCs w:val="0"/>
                <w:color w:val="073763"/>
              </w:rPr>
            </w:pPr>
            <w:r w:rsidDel="00000000" w:rsidR="00000000" w:rsidRPr="00000000">
              <w:rPr>
                <w:rFonts w:ascii="Arial" w:cs="Arial" w:eastAsia="Arial" w:hAnsi="Arial"/>
                <w:b w:val="0"/>
                <w:bCs w:val="0"/>
                <w:color w:val="073763"/>
                <w:rtl w:val="0"/>
              </w:rPr>
              <w:t xml:space="preserve">Board of Directors</w:t>
            </w:r>
          </w:p>
        </w:tc>
        <w:tc>
          <w:tcPr/>
          <w:p w:rsidR="00000000" w:rsidDel="00000000" w:rsidP="00000000" w:rsidRDefault="00000000" w:rsidRPr="00000000" w14:paraId="000000FC">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Strategic oversight and investment approval</w:t>
            </w:r>
          </w:p>
        </w:tc>
        <w:tc>
          <w:tcPr/>
          <w:p w:rsidR="00000000" w:rsidDel="00000000" w:rsidP="00000000" w:rsidRDefault="00000000" w:rsidRPr="00000000" w14:paraId="000000FD">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Supports growth and governance</w:t>
            </w:r>
          </w:p>
        </w:tc>
        <w:tc>
          <w:tcPr>
            <w:shd w:fill="ffffff" w:val="clear"/>
          </w:tcPr>
          <w:p w:rsidR="00000000" w:rsidDel="00000000" w:rsidP="00000000" w:rsidRDefault="00000000" w:rsidRPr="00000000" w14:paraId="000000FE">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Balancing risk and investment</w:t>
            </w:r>
          </w:p>
        </w:tc>
      </w:tr>
      <w:tr>
        <w:trPr>
          <w:cantSplit w:val="0"/>
          <w:tblHeader w:val="0"/>
        </w:trPr>
        <w:tc>
          <w:tcPr/>
          <w:p w:rsidR="00000000" w:rsidDel="00000000" w:rsidP="00000000" w:rsidRDefault="00000000" w:rsidRPr="00000000" w14:paraId="000000FF">
            <w:pPr>
              <w:spacing w:after="160" w:line="360" w:lineRule="auto"/>
              <w:rPr>
                <w:rFonts w:ascii="Arial" w:cs="Arial" w:eastAsia="Arial" w:hAnsi="Arial"/>
                <w:b w:val="0"/>
                <w:bCs w:val="0"/>
                <w:color w:val="073763"/>
                <w:highlight w:val="white"/>
              </w:rPr>
            </w:pPr>
            <w:r w:rsidDel="00000000" w:rsidR="00000000" w:rsidRPr="00000000">
              <w:rPr>
                <w:rFonts w:ascii="Arial" w:cs="Arial" w:eastAsia="Arial" w:hAnsi="Arial"/>
                <w:b w:val="0"/>
                <w:bCs w:val="0"/>
                <w:color w:val="073763"/>
                <w:highlight w:val="white"/>
                <w:rtl w:val="0"/>
              </w:rPr>
              <w:t xml:space="preserve">Senior Management &amp; Project Manager</w:t>
            </w:r>
          </w:p>
        </w:tc>
        <w:tc>
          <w:tcPr/>
          <w:p w:rsidR="00000000" w:rsidDel="00000000" w:rsidP="00000000" w:rsidRDefault="00000000" w:rsidRPr="00000000" w14:paraId="00000100">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Project delivery and coordination</w:t>
            </w:r>
          </w:p>
        </w:tc>
        <w:tc>
          <w:tcPr/>
          <w:p w:rsidR="00000000" w:rsidDel="00000000" w:rsidP="00000000" w:rsidRDefault="00000000" w:rsidRPr="00000000" w14:paraId="00000101">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Improved implementation</w:t>
            </w:r>
          </w:p>
        </w:tc>
        <w:tc>
          <w:tcPr/>
          <w:p w:rsidR="00000000" w:rsidDel="00000000" w:rsidP="00000000" w:rsidRDefault="00000000" w:rsidRPr="00000000" w14:paraId="00000102">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Managing competing priorities</w:t>
            </w:r>
          </w:p>
        </w:tc>
      </w:tr>
      <w:tr>
        <w:trPr>
          <w:cantSplit w:val="0"/>
          <w:tblHeader w:val="0"/>
        </w:trPr>
        <w:tc>
          <w:tcPr/>
          <w:p w:rsidR="00000000" w:rsidDel="00000000" w:rsidP="00000000" w:rsidRDefault="00000000" w:rsidRPr="00000000" w14:paraId="00000103">
            <w:pPr>
              <w:spacing w:after="160" w:line="360" w:lineRule="auto"/>
              <w:rPr>
                <w:rFonts w:ascii="Arial" w:cs="Arial" w:eastAsia="Arial" w:hAnsi="Arial"/>
                <w:b w:val="0"/>
                <w:bCs w:val="0"/>
                <w:color w:val="073763"/>
                <w:highlight w:val="white"/>
              </w:rPr>
            </w:pPr>
            <w:r w:rsidDel="00000000" w:rsidR="00000000" w:rsidRPr="00000000">
              <w:rPr>
                <w:rFonts w:ascii="Arial" w:cs="Arial" w:eastAsia="Arial" w:hAnsi="Arial"/>
                <w:b w:val="0"/>
                <w:bCs w:val="0"/>
                <w:color w:val="073763"/>
                <w:highlight w:val="white"/>
                <w:rtl w:val="0"/>
              </w:rPr>
              <w:t xml:space="preserve">Marketing &amp; Digital Teams</w:t>
            </w:r>
          </w:p>
        </w:tc>
        <w:tc>
          <w:tcPr/>
          <w:p w:rsidR="00000000" w:rsidDel="00000000" w:rsidP="00000000" w:rsidRDefault="00000000" w:rsidRPr="00000000" w14:paraId="00000104">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Customer campaigns</w:t>
            </w:r>
          </w:p>
        </w:tc>
        <w:tc>
          <w:tcPr/>
          <w:p w:rsidR="00000000" w:rsidDel="00000000" w:rsidP="00000000" w:rsidRDefault="00000000" w:rsidRPr="00000000" w14:paraId="00000105">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Stronger engagement</w:t>
            </w:r>
          </w:p>
        </w:tc>
        <w:tc>
          <w:tcPr/>
          <w:p w:rsidR="00000000" w:rsidDel="00000000" w:rsidP="00000000" w:rsidRDefault="00000000" w:rsidRPr="00000000" w14:paraId="00000106">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Maintaining relevant personalisation</w:t>
            </w:r>
          </w:p>
        </w:tc>
      </w:tr>
      <w:tr>
        <w:trPr>
          <w:cantSplit w:val="0"/>
          <w:tblHeader w:val="0"/>
        </w:trPr>
        <w:tc>
          <w:tcPr/>
          <w:p w:rsidR="00000000" w:rsidDel="00000000" w:rsidP="00000000" w:rsidRDefault="00000000" w:rsidRPr="00000000" w14:paraId="00000107">
            <w:pPr>
              <w:spacing w:after="160" w:line="360" w:lineRule="auto"/>
              <w:rPr>
                <w:rFonts w:ascii="Arial" w:cs="Arial" w:eastAsia="Arial" w:hAnsi="Arial"/>
                <w:b w:val="0"/>
                <w:bCs w:val="0"/>
                <w:color w:val="073763"/>
                <w:highlight w:val="white"/>
              </w:rPr>
            </w:pPr>
            <w:r w:rsidDel="00000000" w:rsidR="00000000" w:rsidRPr="00000000">
              <w:rPr>
                <w:rFonts w:ascii="Arial" w:cs="Arial" w:eastAsia="Arial" w:hAnsi="Arial"/>
                <w:b w:val="0"/>
                <w:bCs w:val="0"/>
                <w:color w:val="073763"/>
                <w:highlight w:val="white"/>
                <w:rtl w:val="0"/>
              </w:rPr>
              <w:t xml:space="preserve">IT &amp; Data Teams</w:t>
            </w:r>
          </w:p>
        </w:tc>
        <w:tc>
          <w:tcPr/>
          <w:p w:rsidR="00000000" w:rsidDel="00000000" w:rsidP="00000000" w:rsidRDefault="00000000" w:rsidRPr="00000000" w14:paraId="00000108">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Develop and maintain AI platform</w:t>
            </w:r>
          </w:p>
        </w:tc>
        <w:tc>
          <w:tcPr/>
          <w:p w:rsidR="00000000" w:rsidDel="00000000" w:rsidP="00000000" w:rsidRDefault="00000000" w:rsidRPr="00000000" w14:paraId="00000109">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Innovation and insights</w:t>
            </w:r>
          </w:p>
        </w:tc>
        <w:tc>
          <w:tcPr/>
          <w:p w:rsidR="00000000" w:rsidDel="00000000" w:rsidP="00000000" w:rsidRDefault="00000000" w:rsidRPr="00000000" w14:paraId="0000010A">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Cybersecurity and bias risks</w:t>
            </w:r>
          </w:p>
        </w:tc>
      </w:tr>
      <w:tr>
        <w:trPr>
          <w:cantSplit w:val="0"/>
          <w:tblHeader w:val="0"/>
        </w:trPr>
        <w:tc>
          <w:tcPr/>
          <w:p w:rsidR="00000000" w:rsidDel="00000000" w:rsidP="00000000" w:rsidRDefault="00000000" w:rsidRPr="00000000" w14:paraId="0000010B">
            <w:pPr>
              <w:spacing w:after="160" w:line="360" w:lineRule="auto"/>
              <w:rPr>
                <w:rFonts w:ascii="Arial" w:cs="Arial" w:eastAsia="Arial" w:hAnsi="Arial"/>
                <w:b w:val="0"/>
                <w:bCs w:val="0"/>
                <w:color w:val="073763"/>
                <w:highlight w:val="white"/>
              </w:rPr>
            </w:pPr>
            <w:r w:rsidDel="00000000" w:rsidR="00000000" w:rsidRPr="00000000">
              <w:rPr>
                <w:rFonts w:ascii="Arial" w:cs="Arial" w:eastAsia="Arial" w:hAnsi="Arial"/>
                <w:b w:val="0"/>
                <w:bCs w:val="0"/>
                <w:color w:val="073763"/>
                <w:highlight w:val="white"/>
                <w:rtl w:val="0"/>
              </w:rPr>
              <w:t xml:space="preserve">Employees</w:t>
            </w:r>
          </w:p>
        </w:tc>
        <w:tc>
          <w:tcPr/>
          <w:p w:rsidR="00000000" w:rsidDel="00000000" w:rsidP="00000000" w:rsidRDefault="00000000" w:rsidRPr="00000000" w14:paraId="0000010C">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Support customers and adoption</w:t>
            </w:r>
          </w:p>
        </w:tc>
        <w:tc>
          <w:tcPr/>
          <w:p w:rsidR="00000000" w:rsidDel="00000000" w:rsidP="00000000" w:rsidRDefault="00000000" w:rsidRPr="00000000" w14:paraId="0000010D">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Improved customer service</w:t>
            </w:r>
          </w:p>
        </w:tc>
        <w:tc>
          <w:tcPr/>
          <w:p w:rsidR="00000000" w:rsidDel="00000000" w:rsidP="00000000" w:rsidRDefault="00000000" w:rsidRPr="00000000" w14:paraId="0000010E">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Training and change resistance</w:t>
            </w:r>
          </w:p>
        </w:tc>
      </w:tr>
      <w:tr>
        <w:trPr>
          <w:cantSplit w:val="0"/>
          <w:tblHeader w:val="0"/>
        </w:trPr>
        <w:tc>
          <w:tcPr/>
          <w:p w:rsidR="00000000" w:rsidDel="00000000" w:rsidP="00000000" w:rsidRDefault="00000000" w:rsidRPr="00000000" w14:paraId="0000010F">
            <w:pPr>
              <w:spacing w:after="160" w:line="360" w:lineRule="auto"/>
              <w:rPr>
                <w:rFonts w:ascii="Arial" w:cs="Arial" w:eastAsia="Arial" w:hAnsi="Arial"/>
                <w:b w:val="0"/>
                <w:bCs w:val="0"/>
                <w:color w:val="073763"/>
                <w:highlight w:val="white"/>
              </w:rPr>
            </w:pPr>
            <w:r w:rsidDel="00000000" w:rsidR="00000000" w:rsidRPr="00000000">
              <w:rPr>
                <w:rFonts w:ascii="Arial" w:cs="Arial" w:eastAsia="Arial" w:hAnsi="Arial"/>
                <w:b w:val="0"/>
                <w:bCs w:val="0"/>
                <w:color w:val="073763"/>
                <w:highlight w:val="white"/>
                <w:rtl w:val="0"/>
              </w:rPr>
              <w:t xml:space="preserve">Customers</w:t>
            </w:r>
          </w:p>
        </w:tc>
        <w:tc>
          <w:tcPr/>
          <w:p w:rsidR="00000000" w:rsidDel="00000000" w:rsidP="00000000" w:rsidRDefault="00000000" w:rsidRPr="00000000" w14:paraId="00000110">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 platform and provide feedback</w:t>
            </w:r>
          </w:p>
        </w:tc>
        <w:tc>
          <w:tcPr/>
          <w:p w:rsidR="00000000" w:rsidDel="00000000" w:rsidP="00000000" w:rsidRDefault="00000000" w:rsidRPr="00000000" w14:paraId="00000111">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Personalised rewards</w:t>
            </w:r>
          </w:p>
        </w:tc>
        <w:tc>
          <w:tcPr/>
          <w:p w:rsidR="00000000" w:rsidDel="00000000" w:rsidP="00000000" w:rsidRDefault="00000000" w:rsidRPr="00000000" w14:paraId="00000112">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Privacy concerns</w:t>
            </w:r>
          </w:p>
        </w:tc>
      </w:tr>
      <w:tr>
        <w:trPr>
          <w:cantSplit w:val="0"/>
          <w:tblHeader w:val="0"/>
        </w:trPr>
        <w:tc>
          <w:tcPr/>
          <w:p w:rsidR="00000000" w:rsidDel="00000000" w:rsidP="00000000" w:rsidRDefault="00000000" w:rsidRPr="00000000" w14:paraId="00000113">
            <w:pPr>
              <w:spacing w:after="160" w:line="360" w:lineRule="auto"/>
              <w:rPr>
                <w:rFonts w:ascii="Arial" w:cs="Arial" w:eastAsia="Arial" w:hAnsi="Arial"/>
                <w:b w:val="0"/>
                <w:bCs w:val="0"/>
                <w:color w:val="073763"/>
                <w:highlight w:val="white"/>
              </w:rPr>
            </w:pPr>
            <w:r w:rsidDel="00000000" w:rsidR="00000000" w:rsidRPr="00000000">
              <w:rPr>
                <w:rFonts w:ascii="Arial" w:cs="Arial" w:eastAsia="Arial" w:hAnsi="Arial"/>
                <w:b w:val="0"/>
                <w:bCs w:val="0"/>
                <w:color w:val="073763"/>
                <w:highlight w:val="white"/>
                <w:rtl w:val="0"/>
              </w:rPr>
              <w:t xml:space="preserve">Shareholders</w:t>
            </w:r>
          </w:p>
        </w:tc>
        <w:tc>
          <w:tcPr/>
          <w:p w:rsidR="00000000" w:rsidDel="00000000" w:rsidP="00000000" w:rsidRDefault="00000000" w:rsidRPr="00000000" w14:paraId="00000114">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Monitor performance</w:t>
            </w:r>
          </w:p>
        </w:tc>
        <w:tc>
          <w:tcPr/>
          <w:p w:rsidR="00000000" w:rsidDel="00000000" w:rsidP="00000000" w:rsidRDefault="00000000" w:rsidRPr="00000000" w14:paraId="00000115">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Long-term returns</w:t>
            </w:r>
          </w:p>
        </w:tc>
        <w:tc>
          <w:tcPr/>
          <w:p w:rsidR="00000000" w:rsidDel="00000000" w:rsidP="00000000" w:rsidRDefault="00000000" w:rsidRPr="00000000" w14:paraId="00000116">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Implementation costs</w:t>
            </w:r>
          </w:p>
        </w:tc>
      </w:tr>
      <w:tr>
        <w:trPr>
          <w:cantSplit w:val="0"/>
          <w:tblHeader w:val="0"/>
        </w:trPr>
        <w:tc>
          <w:tcPr/>
          <w:p w:rsidR="00000000" w:rsidDel="00000000" w:rsidP="00000000" w:rsidRDefault="00000000" w:rsidRPr="00000000" w14:paraId="00000117">
            <w:pPr>
              <w:spacing w:after="160" w:line="360" w:lineRule="auto"/>
              <w:rPr>
                <w:rFonts w:ascii="Arial" w:cs="Arial" w:eastAsia="Arial" w:hAnsi="Arial"/>
                <w:b w:val="0"/>
                <w:bCs w:val="0"/>
                <w:color w:val="073763"/>
                <w:highlight w:val="white"/>
              </w:rPr>
            </w:pPr>
            <w:r w:rsidDel="00000000" w:rsidR="00000000" w:rsidRPr="00000000">
              <w:rPr>
                <w:rFonts w:ascii="Arial" w:cs="Arial" w:eastAsia="Arial" w:hAnsi="Arial"/>
                <w:b w:val="0"/>
                <w:bCs w:val="0"/>
                <w:color w:val="073763"/>
                <w:highlight w:val="white"/>
                <w:rtl w:val="0"/>
              </w:rPr>
              <w:t xml:space="preserve">Technology Partners</w:t>
            </w:r>
          </w:p>
        </w:tc>
        <w:tc>
          <w:tcPr/>
          <w:p w:rsidR="00000000" w:rsidDel="00000000" w:rsidP="00000000" w:rsidRDefault="00000000" w:rsidRPr="00000000" w14:paraId="00000118">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Technical expertise</w:t>
            </w:r>
          </w:p>
        </w:tc>
        <w:tc>
          <w:tcPr/>
          <w:p w:rsidR="00000000" w:rsidDel="00000000" w:rsidP="00000000" w:rsidRDefault="00000000" w:rsidRPr="00000000" w14:paraId="00000119">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Innovation</w:t>
            </w:r>
          </w:p>
        </w:tc>
        <w:tc>
          <w:tcPr/>
          <w:p w:rsidR="00000000" w:rsidDel="00000000" w:rsidP="00000000" w:rsidRDefault="00000000" w:rsidRPr="00000000" w14:paraId="0000011A">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Systems integration</w:t>
            </w:r>
          </w:p>
        </w:tc>
      </w:tr>
      <w:tr>
        <w:trPr>
          <w:cantSplit w:val="0"/>
          <w:tblHeader w:val="0"/>
        </w:trPr>
        <w:tc>
          <w:tcPr/>
          <w:p w:rsidR="00000000" w:rsidDel="00000000" w:rsidP="00000000" w:rsidRDefault="00000000" w:rsidRPr="00000000" w14:paraId="0000011B">
            <w:pPr>
              <w:spacing w:after="160" w:line="360" w:lineRule="auto"/>
              <w:rPr>
                <w:rFonts w:ascii="Arial" w:cs="Arial" w:eastAsia="Arial" w:hAnsi="Arial"/>
                <w:b w:val="0"/>
                <w:bCs w:val="0"/>
                <w:color w:val="073763"/>
                <w:highlight w:val="white"/>
              </w:rPr>
            </w:pPr>
            <w:r w:rsidDel="00000000" w:rsidR="00000000" w:rsidRPr="00000000">
              <w:rPr>
                <w:rFonts w:ascii="Arial" w:cs="Arial" w:eastAsia="Arial" w:hAnsi="Arial"/>
                <w:b w:val="0"/>
                <w:bCs w:val="0"/>
                <w:color w:val="073763"/>
                <w:highlight w:val="white"/>
                <w:rtl w:val="0"/>
              </w:rPr>
              <w:t xml:space="preserve">Regulators</w:t>
            </w:r>
          </w:p>
        </w:tc>
        <w:tc>
          <w:tcPr/>
          <w:p w:rsidR="00000000" w:rsidDel="00000000" w:rsidP="00000000" w:rsidRDefault="00000000" w:rsidRPr="00000000" w14:paraId="0000011C">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Ensure compliance</w:t>
            </w:r>
          </w:p>
        </w:tc>
        <w:tc>
          <w:tcPr/>
          <w:p w:rsidR="00000000" w:rsidDel="00000000" w:rsidP="00000000" w:rsidRDefault="00000000" w:rsidRPr="00000000" w14:paraId="0000011D">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Ethical governance</w:t>
            </w:r>
          </w:p>
        </w:tc>
        <w:tc>
          <w:tcPr/>
          <w:p w:rsidR="00000000" w:rsidDel="00000000" w:rsidP="00000000" w:rsidRDefault="00000000" w:rsidRPr="00000000" w14:paraId="0000011E">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Changing regulation</w:t>
            </w:r>
          </w:p>
        </w:tc>
      </w:tr>
    </w:tbl>
    <w:p w:rsidR="00000000" w:rsidDel="00000000" w:rsidP="00000000" w:rsidRDefault="00000000" w:rsidRPr="00000000" w14:paraId="0000011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table highlights that stakeholders contribute in different ways throughout the implementation of ConnectPlus. Internal stakeholders are primarily responsible for planning, delivering and monitoring the project, whereas external stakeholders influence its long-term success through investment, regulation and customer adoption. Although these responsibilities differ, no stakeholder group operates independently. Decisions made by senior management may affect employees, while customer feedback could influence future developments of the AI platform. This reflects Rowley’s (1997) argument that stakeholder relationships should be viewed as interconnected networks rather than separate groups with isolated interests.</w:t>
      </w:r>
    </w:p>
    <w:p w:rsidR="00000000" w:rsidDel="00000000" w:rsidP="00000000" w:rsidRDefault="00000000" w:rsidRPr="00000000" w14:paraId="0000012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potential benefits of ConnectPlus also vary between stakeholder groups. Customers may receive a more personalised shopping experience, while employees could benefit from improved digital tools and clearer customer insights. Shareholders are likely to focus on financial performance, whereas regulators prioritise ethical data management and legal compliance. Harrison and Wicks (2013) suggest that organisations create sustainable value when they consider these differing expectations instead of concentrating solely on financial outcomes. For Marks &amp; Spencer, balancing these interests may strengthen trust in ConnectPlus and support the company’s wider digital transformation strategy.</w:t>
      </w:r>
    </w:p>
    <w:p w:rsidR="00000000" w:rsidDel="00000000" w:rsidP="00000000" w:rsidRDefault="00000000" w:rsidRPr="00000000" w14:paraId="0000012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Despite these opportunities, several challenges remain. Employees may initially resist adopting new AI technologies if they feel insufficiently trained or concerned about changing job roles. Similarly, customers may hesitate to share personal information unless they are confident that their data will be managed securely and transparently. Public discussion surrounding artificial intelligence has also intensified in recent years, meaning organisations introducing AI-powered services are increasingly expected to demonstrate fairness, accountability and responsible governance. Consequently, maintaining open communication with stakeholders is likely to become just as important as the technology itself during the successful implementation of ConnectPlus.</w:t>
      </w:r>
    </w:p>
    <w:p w:rsidR="00000000" w:rsidDel="00000000" w:rsidP="00000000" w:rsidRDefault="00000000" w:rsidRPr="00000000" w14:paraId="0000012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4">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5.0 Stakeholder Engagement Strategies</w:t>
      </w:r>
    </w:p>
    <w:p w:rsidR="00000000" w:rsidDel="00000000" w:rsidP="00000000" w:rsidRDefault="00000000" w:rsidRPr="00000000" w14:paraId="0000012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Identifying stakeholders is only the first step in successful stakeholder management. Organisations must also develop effective strategies to build trust, encourage collaboration and maintain positive relationships throughout the project lifecycle. This is particularly important when implementing digital technologies such as ConnectPlus, where stakeholder expectations may change as the project develops. Ashcroft (2017) argues that successful organisations create value by developing meaningful relationships rather than treating stakeholder engagement as a one-off activity. Similarly, Christopher, Payne and Ballantyne (2013) suggest that long-term relationships are more likely to create sustainable value than focusing solely on individual transactions. For Marks &amp; Spencer, this may mean maintaining regular communication with stakeholders before, during and after the implementation of ConnectPlus.</w:t>
      </w:r>
    </w:p>
    <w:p w:rsidR="00000000" w:rsidDel="00000000" w:rsidP="00000000" w:rsidRDefault="00000000" w:rsidRPr="00000000" w14:paraId="0000012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Although several engagement models exist, no single approach is suitable for every stakeholder group. Consequently, Marks &amp; Spencer should adopt a combination of communication, consultation and collaborative decision-making to ensure stakeholder relationships remain responsive throughout the project.</w:t>
      </w:r>
    </w:p>
    <w:p w:rsidR="00000000" w:rsidDel="00000000" w:rsidP="00000000" w:rsidRDefault="00000000" w:rsidRPr="00000000" w14:paraId="0000012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Aaltonen and Kujala (2016) argue that stakeholder engagement within projects should remain flexible because stakeholder priorities often evolve throughout implementation. Rather than following a fixed engagement strategy, project managers should continually consider stakeholder expectations and adapt communication accordingly. This may be particularly important during the rollout of ConnectPlus, where technological developments, customer feedback and regulatory changes could influence stakeholder priorities over time.</w:t>
      </w:r>
    </w:p>
    <w:p w:rsidR="00000000" w:rsidDel="00000000" w:rsidP="00000000" w:rsidRDefault="00000000" w:rsidRPr="00000000" w14:paraId="00000128">
      <w:pPr>
        <w:spacing w:line="360" w:lineRule="auto"/>
        <w:rPr>
          <w:rFonts w:ascii="Arial" w:cs="Arial" w:eastAsia="Arial" w:hAnsi="Arial"/>
          <w:b w:val="1"/>
          <w:bCs w:val="1"/>
          <w:color w:val="1c4587"/>
        </w:rPr>
      </w:pPr>
      <w:r w:rsidDel="00000000" w:rsidR="00000000" w:rsidRPr="00000000">
        <w:rPr>
          <w:rFonts w:ascii="Arial" w:cs="Arial" w:eastAsia="Arial" w:hAnsi="Arial"/>
          <w:b w:val="1"/>
          <w:bCs w:val="1"/>
          <w:color w:val="1c4587"/>
          <w:rtl w:val="0"/>
        </w:rPr>
        <w:t xml:space="preserve">5.1 The 4Cs Framework</w:t>
      </w:r>
    </w:p>
    <w:p w:rsidR="00000000" w:rsidDel="00000000" w:rsidP="00000000" w:rsidRDefault="00000000" w:rsidRPr="00000000" w14:paraId="0000012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One practical approach to stakeholder engagement is the 4Cs Framework, which focuses on Communication, Consultation, Collaboration and Commitment. Rather than viewing stakeholder engagement as a single event, the framework encourages organisations to develop relationships throughout the life of a project. This may be particularly beneficial for ConnectPlus, where customer expectations, artificial intelligence and data protection requirements are likely to evolve over time.</w:t>
      </w:r>
    </w:p>
    <w:p w:rsidR="00000000" w:rsidDel="00000000" w:rsidP="00000000" w:rsidRDefault="00000000" w:rsidRPr="00000000" w14:paraId="0000012A">
      <w:pPr>
        <w:spacing w:line="360" w:lineRule="auto"/>
        <w:rPr>
          <w:rFonts w:ascii="Arial" w:cs="Arial" w:eastAsia="Arial" w:hAnsi="Arial"/>
          <w:b w:val="1"/>
          <w:bCs w:val="1"/>
          <w:color w:val="1c4587"/>
        </w:rPr>
      </w:pPr>
      <w:r w:rsidDel="00000000" w:rsidR="00000000" w:rsidRPr="00000000">
        <w:rPr>
          <w:rFonts w:ascii="Arial" w:cs="Arial" w:eastAsia="Arial" w:hAnsi="Arial"/>
          <w:b w:val="1"/>
          <w:bCs w:val="1"/>
          <w:color w:val="1c4587"/>
          <w:rtl w:val="0"/>
        </w:rPr>
        <w:t xml:space="preserve">Communication</w:t>
      </w:r>
    </w:p>
    <w:p w:rsidR="00000000" w:rsidDel="00000000" w:rsidP="00000000" w:rsidRDefault="00000000" w:rsidRPr="00000000" w14:paraId="0000012B">
      <w:pPr>
        <w:spacing w:line="360" w:lineRule="auto"/>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Communication forms the foundation of stakeholder engagement because it allows organisations to explain project objectives, manage expectations and respond to concerns. Marks &amp; Spencer should provide regular updates through internal meetings, email, newsletters, the company intranet and the Sparks mobile application. Customers could also receive clear explanations regarding how their personal information is collected, stored and used within ConnectPlus. </w:t>
      </w:r>
      <w:r w:rsidDel="00000000" w:rsidR="00000000" w:rsidRPr="00000000">
        <w:rPr>
          <w:rFonts w:ascii="Arial" w:cs="Arial" w:eastAsia="Arial" w:hAnsi="Arial"/>
          <w:sz w:val="22"/>
          <w:szCs w:val="22"/>
          <w:highlight w:val="yellow"/>
          <w:rtl w:val="0"/>
        </w:rPr>
        <w:t xml:space="preserve">Transparent communication may help strengthen trust, particularly as public awareness of AI and data privacy continues to increase.</w:t>
      </w:r>
    </w:p>
    <w:p w:rsidR="00000000" w:rsidDel="00000000" w:rsidP="00000000" w:rsidRDefault="00000000" w:rsidRPr="00000000" w14:paraId="0000012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D">
      <w:pPr>
        <w:spacing w:line="360" w:lineRule="auto"/>
        <w:rPr>
          <w:rFonts w:ascii="Arial" w:cs="Arial" w:eastAsia="Arial" w:hAnsi="Arial"/>
          <w:b w:val="1"/>
          <w:bCs w:val="1"/>
          <w:color w:val="073763"/>
        </w:rPr>
      </w:pPr>
      <w:r w:rsidDel="00000000" w:rsidR="00000000" w:rsidRPr="00000000">
        <w:rPr>
          <w:rFonts w:ascii="Arial" w:cs="Arial" w:eastAsia="Arial" w:hAnsi="Arial"/>
          <w:b w:val="1"/>
          <w:bCs w:val="1"/>
          <w:color w:val="073763"/>
          <w:rtl w:val="0"/>
        </w:rPr>
        <w:t xml:space="preserve">Consultation</w:t>
      </w:r>
    </w:p>
    <w:p w:rsidR="00000000" w:rsidDel="00000000" w:rsidP="00000000" w:rsidRDefault="00000000" w:rsidRPr="00000000" w14:paraId="0000012E">
      <w:pPr>
        <w:spacing w:line="360" w:lineRule="auto"/>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Consultation encourages stakeholders to contribute their opinions before key decisions are made.</w:t>
      </w:r>
      <w:r w:rsidDel="00000000" w:rsidR="00000000" w:rsidRPr="00000000">
        <w:rPr>
          <w:rFonts w:ascii="Arial" w:cs="Arial" w:eastAsia="Arial" w:hAnsi="Arial"/>
          <w:sz w:val="22"/>
          <w:szCs w:val="22"/>
          <w:rtl w:val="0"/>
        </w:rPr>
        <w:t xml:space="preserve"> During the development of ConnectPlus, Marks &amp; Spencer could gather feedback through employee workshops, customer focus groups, surveys and pilot testing. This may help identify usability issues at an early stage while demonstrating that stakeholder opinions are valued. Reed et al. (2009) argue that involving stakeholders during decision-making often improves the quality and legitimacy of organisational decisions, rather than relying solely on management assumptions.</w:t>
      </w:r>
    </w:p>
    <w:p w:rsidR="00000000" w:rsidDel="00000000" w:rsidP="00000000" w:rsidRDefault="00000000" w:rsidRPr="00000000" w14:paraId="0000012F">
      <w:pPr>
        <w:spacing w:line="360" w:lineRule="auto"/>
        <w:rPr>
          <w:rFonts w:ascii="Arial" w:cs="Arial" w:eastAsia="Arial" w:hAnsi="Arial"/>
          <w:b w:val="1"/>
          <w:bCs w:val="1"/>
          <w:color w:val="1c4587"/>
        </w:rPr>
      </w:pPr>
      <w:r w:rsidDel="00000000" w:rsidR="00000000" w:rsidRPr="00000000">
        <w:rPr>
          <w:rFonts w:ascii="Arial" w:cs="Arial" w:eastAsia="Arial" w:hAnsi="Arial"/>
          <w:b w:val="1"/>
          <w:bCs w:val="1"/>
          <w:color w:val="1c4587"/>
          <w:rtl w:val="0"/>
        </w:rPr>
        <w:t xml:space="preserve">Collaboration</w:t>
      </w:r>
    </w:p>
    <w:p w:rsidR="00000000" w:rsidDel="00000000" w:rsidP="00000000" w:rsidRDefault="00000000" w:rsidRPr="00000000" w14:paraId="00000130">
      <w:pPr>
        <w:spacing w:line="360" w:lineRule="auto"/>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Collaboration involves stakeholders working together to achieve shared objectives</w:t>
      </w:r>
      <w:r w:rsidDel="00000000" w:rsidR="00000000" w:rsidRPr="00000000">
        <w:rPr>
          <w:rFonts w:ascii="Arial" w:cs="Arial" w:eastAsia="Arial" w:hAnsi="Arial"/>
          <w:sz w:val="22"/>
          <w:szCs w:val="22"/>
          <w:rtl w:val="0"/>
        </w:rPr>
        <w:t xml:space="preserve">. For ConnectPlus, this may include cooperation between marketing teams, IT specialists, store employees and external technology partners during the design and testing of AI features. Cross-functional working may improve innovation by combining different skills, experiences and perspectives. However, successful collaboration depends upon clearly defined roles and effective communication to avoid duplication of work or conflicting priorities.</w:t>
      </w:r>
    </w:p>
    <w:p w:rsidR="00000000" w:rsidDel="00000000" w:rsidP="00000000" w:rsidRDefault="00000000" w:rsidRPr="00000000" w14:paraId="00000131">
      <w:pPr>
        <w:spacing w:line="360" w:lineRule="auto"/>
        <w:rPr>
          <w:rFonts w:ascii="Arial" w:cs="Arial" w:eastAsia="Arial" w:hAnsi="Arial"/>
          <w:b w:val="1"/>
          <w:bCs w:val="1"/>
          <w:color w:val="1c4587"/>
        </w:rPr>
      </w:pPr>
      <w:r w:rsidDel="00000000" w:rsidR="00000000" w:rsidRPr="00000000">
        <w:rPr>
          <w:rFonts w:ascii="Arial" w:cs="Arial" w:eastAsia="Arial" w:hAnsi="Arial"/>
          <w:b w:val="1"/>
          <w:bCs w:val="1"/>
          <w:color w:val="1c4587"/>
          <w:rtl w:val="0"/>
        </w:rPr>
        <w:t xml:space="preserve">Commitment</w:t>
      </w:r>
    </w:p>
    <w:p w:rsidR="00000000" w:rsidDel="00000000" w:rsidP="00000000" w:rsidRDefault="00000000" w:rsidRPr="00000000" w14:paraId="0000013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final stage focuses on maintaining stakeholder commitment beyond the initial launch of the project. </w:t>
      </w:r>
      <w:r w:rsidDel="00000000" w:rsidR="00000000" w:rsidRPr="00000000">
        <w:rPr>
          <w:rFonts w:ascii="Arial" w:cs="Arial" w:eastAsia="Arial" w:hAnsi="Arial"/>
          <w:sz w:val="22"/>
          <w:szCs w:val="22"/>
          <w:highlight w:val="yellow"/>
          <w:rtl w:val="0"/>
        </w:rPr>
        <w:t xml:space="preserve">Marks &amp; Spencer should continue monitoring stakeholder satisfaction through customer feedback, employee engagement surveys and performance reviews</w:t>
      </w:r>
      <w:r w:rsidDel="00000000" w:rsidR="00000000" w:rsidRPr="00000000">
        <w:rPr>
          <w:rFonts w:ascii="Arial" w:cs="Arial" w:eastAsia="Arial" w:hAnsi="Arial"/>
          <w:sz w:val="22"/>
          <w:szCs w:val="22"/>
          <w:rtl w:val="0"/>
        </w:rPr>
        <w:t xml:space="preserve">. Maintaining </w:t>
      </w:r>
    </w:p>
    <w:p w:rsidR="00000000" w:rsidDel="00000000" w:rsidP="00000000" w:rsidRDefault="00000000" w:rsidRPr="00000000" w14:paraId="0000013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these relationships after implementation may encourage continuous improvement and demonstrate that stakeholder engagement is an ongoing organisational responsibility rather than a short-term objective.</w:t>
      </w:r>
    </w:p>
    <w:p w:rsidR="00000000" w:rsidDel="00000000" w:rsidP="00000000" w:rsidRDefault="00000000" w:rsidRPr="00000000" w14:paraId="0000013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Overall, the 4Cs Framework provides a structured approach to stakeholder engagement. However, maintaining long-term commitment may require significant organisational resources, particularly within large organisations where stakeholder expectations can change rapidly. Consequently, the framework should be viewed as a flexible guide rather than a fixed process.</w:t>
      </w:r>
    </w:p>
    <w:p w:rsidR="00000000" w:rsidDel="00000000" w:rsidP="00000000" w:rsidRDefault="00000000" w:rsidRPr="00000000" w14:paraId="0000013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6">
      <w:pPr>
        <w:spacing w:line="360" w:lineRule="auto"/>
        <w:rPr>
          <w:rFonts w:ascii="Arial" w:cs="Arial" w:eastAsia="Arial" w:hAnsi="Arial"/>
          <w:color w:val="1c4587"/>
        </w:rPr>
      </w:pPr>
      <w:r w:rsidDel="00000000" w:rsidR="00000000" w:rsidRPr="00000000">
        <w:rPr>
          <w:rFonts w:ascii="Arial" w:cs="Arial" w:eastAsia="Arial" w:hAnsi="Arial"/>
          <w:color w:val="1c4587"/>
          <w:rtl w:val="0"/>
        </w:rPr>
        <w:t xml:space="preserve">5.2 Stakeholder Communication Plan</w:t>
      </w:r>
    </w:p>
    <w:p w:rsidR="00000000" w:rsidDel="00000000" w:rsidP="00000000" w:rsidRDefault="00000000" w:rsidRPr="00000000" w14:paraId="0000013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Alongside the 4Cs Framework, Marks &amp; Spencer should implement a structured communication plan to ensure stakeholders receive appropriate information throughout the implementation of ConnectPlus.</w:t>
      </w:r>
    </w:p>
    <w:p w:rsidR="00000000" w:rsidDel="00000000" w:rsidP="00000000" w:rsidRDefault="00000000" w:rsidRPr="00000000" w14:paraId="00000138">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Table 5. Stakeholder Communication Plan</w:t>
      </w:r>
    </w:p>
    <w:tbl>
      <w:tblPr>
        <w:tblStyle w:val="Table7"/>
        <w:tblW w:w="9060.0" w:type="dxa"/>
        <w:jc w:val="left"/>
        <w:tblInd w:w="-45.0" w:type="dxa"/>
        <w:tblBorders>
          <w:top w:color="999999" w:space="0" w:sz="4" w:val="single"/>
          <w:left w:color="999999" w:space="0" w:sz="4" w:val="single"/>
          <w:bottom w:color="999999" w:space="0" w:sz="4" w:val="single"/>
          <w:right w:color="999999" w:space="0" w:sz="4" w:val="single"/>
          <w:insideH w:color="999999" w:space="0" w:sz="4" w:val="single"/>
          <w:insideV w:color="999999" w:space="0" w:sz="4" w:val="single"/>
        </w:tblBorders>
        <w:tblLayout w:type="fixed"/>
        <w:tblLook w:val="04A0"/>
      </w:tblPr>
      <w:tblGrid>
        <w:gridCol w:w="1770"/>
        <w:gridCol w:w="1725"/>
        <w:gridCol w:w="2115"/>
        <w:gridCol w:w="1725"/>
        <w:gridCol w:w="1725"/>
        <w:tblGridChange w:id="0">
          <w:tblGrid>
            <w:gridCol w:w="1770"/>
            <w:gridCol w:w="1725"/>
            <w:gridCol w:w="2115"/>
            <w:gridCol w:w="1725"/>
            <w:gridCol w:w="1725"/>
          </w:tblGrid>
        </w:tblGridChange>
      </w:tblGrid>
      <w:tr>
        <w:trPr>
          <w:cantSplit w:val="0"/>
          <w:tblHeader w:val="0"/>
        </w:trPr>
        <w:tc>
          <w:tcPr>
            <w:shd w:fill="a4c2f4" w:val="clear"/>
          </w:tcPr>
          <w:p w:rsidR="00000000" w:rsidDel="00000000" w:rsidP="00000000" w:rsidRDefault="00000000" w:rsidRPr="00000000" w14:paraId="00000139">
            <w:pPr>
              <w:spacing w:after="160" w:line="360" w:lineRule="auto"/>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Stakeholder</w:t>
            </w:r>
          </w:p>
        </w:tc>
        <w:tc>
          <w:tcPr>
            <w:shd w:fill="a4c2f4" w:val="clear"/>
          </w:tcPr>
          <w:p w:rsidR="00000000" w:rsidDel="00000000" w:rsidP="00000000" w:rsidRDefault="00000000" w:rsidRPr="00000000" w14:paraId="0000013A">
            <w:pPr>
              <w:spacing w:after="160" w:line="360" w:lineRule="auto"/>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Information</w:t>
            </w:r>
          </w:p>
        </w:tc>
        <w:tc>
          <w:tcPr>
            <w:shd w:fill="a4c2f4" w:val="clear"/>
          </w:tcPr>
          <w:p w:rsidR="00000000" w:rsidDel="00000000" w:rsidP="00000000" w:rsidRDefault="00000000" w:rsidRPr="00000000" w14:paraId="0000013B">
            <w:pPr>
              <w:spacing w:after="160" w:line="360" w:lineRule="auto"/>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Method</w:t>
            </w:r>
          </w:p>
        </w:tc>
        <w:tc>
          <w:tcPr>
            <w:shd w:fill="a4c2f4" w:val="clear"/>
          </w:tcPr>
          <w:p w:rsidR="00000000" w:rsidDel="00000000" w:rsidP="00000000" w:rsidRDefault="00000000" w:rsidRPr="00000000" w14:paraId="0000013C">
            <w:pPr>
              <w:spacing w:after="160" w:line="360" w:lineRule="auto"/>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Frequency</w:t>
            </w:r>
          </w:p>
        </w:tc>
        <w:tc>
          <w:tcPr>
            <w:shd w:fill="a4c2f4" w:val="clear"/>
          </w:tcPr>
          <w:p w:rsidR="00000000" w:rsidDel="00000000" w:rsidP="00000000" w:rsidRDefault="00000000" w:rsidRPr="00000000" w14:paraId="0000013D">
            <w:pPr>
              <w:spacing w:after="160" w:line="360" w:lineRule="auto"/>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Owner</w:t>
            </w:r>
          </w:p>
        </w:tc>
      </w:tr>
      <w:tr>
        <w:trPr>
          <w:cantSplit w:val="0"/>
          <w:tblHeader w:val="0"/>
        </w:trPr>
        <w:tc>
          <w:tcPr/>
          <w:p w:rsidR="00000000" w:rsidDel="00000000" w:rsidP="00000000" w:rsidRDefault="00000000" w:rsidRPr="00000000" w14:paraId="0000013E">
            <w:pPr>
              <w:spacing w:after="160" w:line="360" w:lineRule="auto"/>
              <w:rPr>
                <w:rFonts w:ascii="Arial" w:cs="Arial" w:eastAsia="Arial" w:hAnsi="Arial"/>
                <w:b w:val="0"/>
                <w:bCs w:val="0"/>
                <w:color w:val="1c4587"/>
              </w:rPr>
            </w:pPr>
            <w:r w:rsidDel="00000000" w:rsidR="00000000" w:rsidRPr="00000000">
              <w:rPr>
                <w:rFonts w:ascii="Arial" w:cs="Arial" w:eastAsia="Arial" w:hAnsi="Arial"/>
                <w:b w:val="0"/>
                <w:bCs w:val="0"/>
                <w:color w:val="1c4587"/>
                <w:rtl w:val="0"/>
              </w:rPr>
              <w:t xml:space="preserve">Board of Directors</w:t>
            </w:r>
          </w:p>
        </w:tc>
        <w:tc>
          <w:tcPr/>
          <w:p w:rsidR="00000000" w:rsidDel="00000000" w:rsidP="00000000" w:rsidRDefault="00000000" w:rsidRPr="00000000" w14:paraId="0000013F">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Progress, risks, finance</w:t>
            </w:r>
          </w:p>
        </w:tc>
        <w:tc>
          <w:tcPr/>
          <w:p w:rsidR="00000000" w:rsidDel="00000000" w:rsidP="00000000" w:rsidRDefault="00000000" w:rsidRPr="00000000" w14:paraId="00000140">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Board meetings</w:t>
            </w:r>
          </w:p>
        </w:tc>
        <w:tc>
          <w:tcPr/>
          <w:p w:rsidR="00000000" w:rsidDel="00000000" w:rsidP="00000000" w:rsidRDefault="00000000" w:rsidRPr="00000000" w14:paraId="00000141">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Monthly</w:t>
            </w:r>
          </w:p>
        </w:tc>
        <w:tc>
          <w:tcPr/>
          <w:p w:rsidR="00000000" w:rsidDel="00000000" w:rsidP="00000000" w:rsidRDefault="00000000" w:rsidRPr="00000000" w14:paraId="00000142">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Project Manager</w:t>
            </w:r>
          </w:p>
        </w:tc>
      </w:tr>
      <w:tr>
        <w:trPr>
          <w:cantSplit w:val="0"/>
          <w:tblHeader w:val="0"/>
        </w:trPr>
        <w:tc>
          <w:tcPr/>
          <w:p w:rsidR="00000000" w:rsidDel="00000000" w:rsidP="00000000" w:rsidRDefault="00000000" w:rsidRPr="00000000" w14:paraId="00000143">
            <w:pPr>
              <w:spacing w:after="160" w:line="360" w:lineRule="auto"/>
              <w:rPr>
                <w:rFonts w:ascii="Arial" w:cs="Arial" w:eastAsia="Arial" w:hAnsi="Arial"/>
                <w:b w:val="0"/>
                <w:bCs w:val="0"/>
                <w:color w:val="1c4587"/>
              </w:rPr>
            </w:pPr>
            <w:r w:rsidDel="00000000" w:rsidR="00000000" w:rsidRPr="00000000">
              <w:rPr>
                <w:rFonts w:ascii="Arial" w:cs="Arial" w:eastAsia="Arial" w:hAnsi="Arial"/>
                <w:b w:val="0"/>
                <w:bCs w:val="0"/>
                <w:color w:val="1c4587"/>
                <w:rtl w:val="0"/>
              </w:rPr>
              <w:t xml:space="preserve">Senior Management</w:t>
            </w:r>
          </w:p>
        </w:tc>
        <w:tc>
          <w:tcPr/>
          <w:p w:rsidR="00000000" w:rsidDel="00000000" w:rsidP="00000000" w:rsidRDefault="00000000" w:rsidRPr="00000000" w14:paraId="00000144">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Milestones and resources</w:t>
            </w:r>
          </w:p>
        </w:tc>
        <w:tc>
          <w:tcPr/>
          <w:p w:rsidR="00000000" w:rsidDel="00000000" w:rsidP="00000000" w:rsidRDefault="00000000" w:rsidRPr="00000000" w14:paraId="00000145">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Meetings</w:t>
            </w:r>
          </w:p>
        </w:tc>
        <w:tc>
          <w:tcPr/>
          <w:p w:rsidR="00000000" w:rsidDel="00000000" w:rsidP="00000000" w:rsidRDefault="00000000" w:rsidRPr="00000000" w14:paraId="00000146">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Fortnightly</w:t>
            </w:r>
          </w:p>
        </w:tc>
        <w:tc>
          <w:tcPr/>
          <w:p w:rsidR="00000000" w:rsidDel="00000000" w:rsidP="00000000" w:rsidRDefault="00000000" w:rsidRPr="00000000" w14:paraId="00000147">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Project Manager</w:t>
            </w:r>
          </w:p>
        </w:tc>
      </w:tr>
      <w:tr>
        <w:trPr>
          <w:cantSplit w:val="0"/>
          <w:tblHeader w:val="0"/>
        </w:trPr>
        <w:tc>
          <w:tcPr/>
          <w:p w:rsidR="00000000" w:rsidDel="00000000" w:rsidP="00000000" w:rsidRDefault="00000000" w:rsidRPr="00000000" w14:paraId="00000148">
            <w:pPr>
              <w:spacing w:after="160" w:line="360" w:lineRule="auto"/>
              <w:rPr>
                <w:rFonts w:ascii="Arial" w:cs="Arial" w:eastAsia="Arial" w:hAnsi="Arial"/>
                <w:b w:val="0"/>
                <w:bCs w:val="0"/>
                <w:color w:val="1c4587"/>
              </w:rPr>
            </w:pPr>
            <w:r w:rsidDel="00000000" w:rsidR="00000000" w:rsidRPr="00000000">
              <w:rPr>
                <w:rFonts w:ascii="Arial" w:cs="Arial" w:eastAsia="Arial" w:hAnsi="Arial"/>
                <w:b w:val="0"/>
                <w:bCs w:val="0"/>
                <w:color w:val="1c4587"/>
                <w:rtl w:val="0"/>
              </w:rPr>
              <w:t xml:space="preserve">Employees</w:t>
            </w:r>
          </w:p>
        </w:tc>
        <w:tc>
          <w:tcPr/>
          <w:p w:rsidR="00000000" w:rsidDel="00000000" w:rsidP="00000000" w:rsidRDefault="00000000" w:rsidRPr="00000000" w14:paraId="00000149">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Training and updates</w:t>
            </w:r>
          </w:p>
        </w:tc>
        <w:tc>
          <w:tcPr/>
          <w:p w:rsidR="00000000" w:rsidDel="00000000" w:rsidP="00000000" w:rsidRDefault="00000000" w:rsidRPr="00000000" w14:paraId="0000014A">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Workshops/Intranet</w:t>
            </w:r>
          </w:p>
        </w:tc>
        <w:tc>
          <w:tcPr/>
          <w:p w:rsidR="00000000" w:rsidDel="00000000" w:rsidP="00000000" w:rsidRDefault="00000000" w:rsidRPr="00000000" w14:paraId="0000014B">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Monthly</w:t>
            </w:r>
          </w:p>
        </w:tc>
        <w:tc>
          <w:tcPr/>
          <w:p w:rsidR="00000000" w:rsidDel="00000000" w:rsidP="00000000" w:rsidRDefault="00000000" w:rsidRPr="00000000" w14:paraId="0000014C">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HR</w:t>
            </w:r>
          </w:p>
        </w:tc>
      </w:tr>
      <w:tr>
        <w:trPr>
          <w:cantSplit w:val="0"/>
          <w:tblHeader w:val="0"/>
        </w:trPr>
        <w:tc>
          <w:tcPr/>
          <w:p w:rsidR="00000000" w:rsidDel="00000000" w:rsidP="00000000" w:rsidRDefault="00000000" w:rsidRPr="00000000" w14:paraId="0000014D">
            <w:pPr>
              <w:spacing w:after="160" w:line="360" w:lineRule="auto"/>
              <w:rPr>
                <w:rFonts w:ascii="Arial" w:cs="Arial" w:eastAsia="Arial" w:hAnsi="Arial"/>
                <w:b w:val="0"/>
                <w:bCs w:val="0"/>
                <w:color w:val="1c4587"/>
              </w:rPr>
            </w:pPr>
            <w:r w:rsidDel="00000000" w:rsidR="00000000" w:rsidRPr="00000000">
              <w:rPr>
                <w:rFonts w:ascii="Arial" w:cs="Arial" w:eastAsia="Arial" w:hAnsi="Arial"/>
                <w:b w:val="0"/>
                <w:bCs w:val="0"/>
                <w:color w:val="1c4587"/>
                <w:rtl w:val="0"/>
              </w:rPr>
              <w:t xml:space="preserve">Customers</w:t>
            </w:r>
          </w:p>
        </w:tc>
        <w:tc>
          <w:tcPr/>
          <w:p w:rsidR="00000000" w:rsidDel="00000000" w:rsidP="00000000" w:rsidRDefault="00000000" w:rsidRPr="00000000" w14:paraId="0000014E">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Features and rewards</w:t>
            </w:r>
          </w:p>
        </w:tc>
        <w:tc>
          <w:tcPr/>
          <w:p w:rsidR="00000000" w:rsidDel="00000000" w:rsidP="00000000" w:rsidRDefault="00000000" w:rsidRPr="00000000" w14:paraId="0000014F">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App, email, social media</w:t>
            </w:r>
          </w:p>
        </w:tc>
        <w:tc>
          <w:tcPr/>
          <w:p w:rsidR="00000000" w:rsidDel="00000000" w:rsidP="00000000" w:rsidRDefault="00000000" w:rsidRPr="00000000" w14:paraId="00000150">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Ongoing</w:t>
            </w:r>
          </w:p>
        </w:tc>
        <w:tc>
          <w:tcPr/>
          <w:p w:rsidR="00000000" w:rsidDel="00000000" w:rsidP="00000000" w:rsidRDefault="00000000" w:rsidRPr="00000000" w14:paraId="00000151">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Marketing</w:t>
            </w:r>
          </w:p>
        </w:tc>
      </w:tr>
      <w:tr>
        <w:trPr>
          <w:cantSplit w:val="0"/>
          <w:tblHeader w:val="0"/>
        </w:trPr>
        <w:tc>
          <w:tcPr/>
          <w:p w:rsidR="00000000" w:rsidDel="00000000" w:rsidP="00000000" w:rsidRDefault="00000000" w:rsidRPr="00000000" w14:paraId="00000152">
            <w:pPr>
              <w:spacing w:after="160" w:line="360" w:lineRule="auto"/>
              <w:rPr>
                <w:rFonts w:ascii="Arial" w:cs="Arial" w:eastAsia="Arial" w:hAnsi="Arial"/>
                <w:b w:val="0"/>
                <w:bCs w:val="0"/>
                <w:color w:val="1c4587"/>
              </w:rPr>
            </w:pPr>
            <w:r w:rsidDel="00000000" w:rsidR="00000000" w:rsidRPr="00000000">
              <w:rPr>
                <w:rFonts w:ascii="Arial" w:cs="Arial" w:eastAsia="Arial" w:hAnsi="Arial"/>
                <w:b w:val="0"/>
                <w:bCs w:val="0"/>
                <w:color w:val="1c4587"/>
                <w:rtl w:val="0"/>
              </w:rPr>
              <w:t xml:space="preserve">Technology Partners</w:t>
            </w:r>
          </w:p>
        </w:tc>
        <w:tc>
          <w:tcPr/>
          <w:p w:rsidR="00000000" w:rsidDel="00000000" w:rsidP="00000000" w:rsidRDefault="00000000" w:rsidRPr="00000000" w14:paraId="00000153">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Technical updates</w:t>
            </w:r>
          </w:p>
        </w:tc>
        <w:tc>
          <w:tcPr/>
          <w:p w:rsidR="00000000" w:rsidDel="00000000" w:rsidP="00000000" w:rsidRDefault="00000000" w:rsidRPr="00000000" w14:paraId="00000154">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Project meetings</w:t>
            </w:r>
          </w:p>
        </w:tc>
        <w:tc>
          <w:tcPr/>
          <w:p w:rsidR="00000000" w:rsidDel="00000000" w:rsidP="00000000" w:rsidRDefault="00000000" w:rsidRPr="00000000" w14:paraId="00000155">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Weekly</w:t>
            </w:r>
          </w:p>
        </w:tc>
        <w:tc>
          <w:tcPr/>
          <w:p w:rsidR="00000000" w:rsidDel="00000000" w:rsidP="00000000" w:rsidRDefault="00000000" w:rsidRPr="00000000" w14:paraId="00000156">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IT Manager</w:t>
            </w:r>
          </w:p>
        </w:tc>
      </w:tr>
      <w:tr>
        <w:trPr>
          <w:cantSplit w:val="0"/>
          <w:tblHeader w:val="0"/>
        </w:trPr>
        <w:tc>
          <w:tcPr/>
          <w:p w:rsidR="00000000" w:rsidDel="00000000" w:rsidP="00000000" w:rsidRDefault="00000000" w:rsidRPr="00000000" w14:paraId="00000157">
            <w:pPr>
              <w:spacing w:after="160" w:line="360" w:lineRule="auto"/>
              <w:rPr>
                <w:rFonts w:ascii="Arial" w:cs="Arial" w:eastAsia="Arial" w:hAnsi="Arial"/>
                <w:b w:val="0"/>
                <w:bCs w:val="0"/>
                <w:color w:val="1c4587"/>
              </w:rPr>
            </w:pPr>
            <w:r w:rsidDel="00000000" w:rsidR="00000000" w:rsidRPr="00000000">
              <w:rPr>
                <w:rFonts w:ascii="Arial" w:cs="Arial" w:eastAsia="Arial" w:hAnsi="Arial"/>
                <w:b w:val="0"/>
                <w:bCs w:val="0"/>
                <w:color w:val="1c4587"/>
                <w:rtl w:val="0"/>
              </w:rPr>
              <w:t xml:space="preserve">Regulators</w:t>
            </w:r>
          </w:p>
        </w:tc>
        <w:tc>
          <w:tcPr/>
          <w:p w:rsidR="00000000" w:rsidDel="00000000" w:rsidP="00000000" w:rsidRDefault="00000000" w:rsidRPr="00000000" w14:paraId="00000158">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Compliance reports</w:t>
            </w:r>
          </w:p>
        </w:tc>
        <w:tc>
          <w:tcPr/>
          <w:p w:rsidR="00000000" w:rsidDel="00000000" w:rsidP="00000000" w:rsidRDefault="00000000" w:rsidRPr="00000000" w14:paraId="00000159">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Formal documentation</w:t>
            </w:r>
          </w:p>
        </w:tc>
        <w:tc>
          <w:tcPr/>
          <w:p w:rsidR="00000000" w:rsidDel="00000000" w:rsidP="00000000" w:rsidRDefault="00000000" w:rsidRPr="00000000" w14:paraId="0000015A">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As required</w:t>
            </w:r>
          </w:p>
        </w:tc>
        <w:tc>
          <w:tcPr/>
          <w:p w:rsidR="00000000" w:rsidDel="00000000" w:rsidP="00000000" w:rsidRDefault="00000000" w:rsidRPr="00000000" w14:paraId="0000015B">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Compliance Team</w:t>
            </w:r>
          </w:p>
        </w:tc>
      </w:tr>
    </w:tbl>
    <w:p w:rsidR="00000000" w:rsidDel="00000000" w:rsidP="00000000" w:rsidRDefault="00000000" w:rsidRPr="00000000" w14:paraId="0000015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structured communication plan may reduce uncertainty by ensuring stakeholders receive relevant information at appropriate stages of the project. It may also minimise misunderstandings and encourage greater transparency throughout the implementation of ConnectPlus.</w:t>
      </w:r>
    </w:p>
    <w:p w:rsidR="00000000" w:rsidDel="00000000" w:rsidP="00000000" w:rsidRDefault="00000000" w:rsidRPr="00000000" w14:paraId="0000015E">
      <w:pPr>
        <w:spacing w:line="360" w:lineRule="auto"/>
        <w:rPr>
          <w:rFonts w:ascii="Arial" w:cs="Arial" w:eastAsia="Arial" w:hAnsi="Arial"/>
          <w:color w:val="1c4587"/>
        </w:rPr>
      </w:pPr>
      <w:r w:rsidDel="00000000" w:rsidR="00000000" w:rsidRPr="00000000">
        <w:rPr>
          <w:rFonts w:ascii="Arial" w:cs="Arial" w:eastAsia="Arial" w:hAnsi="Arial"/>
          <w:color w:val="1c4587"/>
          <w:rtl w:val="0"/>
        </w:rPr>
        <w:t xml:space="preserve">5.3 RACI Matrix</w:t>
      </w:r>
    </w:p>
    <w:p w:rsidR="00000000" w:rsidDel="00000000" w:rsidP="00000000" w:rsidRDefault="00000000" w:rsidRPr="00000000" w14:paraId="0000015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Alongside effective communication and stakeholder engagement, clearly defining roles and responsibilities is essential for successful project delivery. One widely used project management tool is the RACI Matrix, which helps clarify who is responsible for completing tasks, who is accountable for final decisions, who should be consulted during decision-making and who simply needs to be kept informed. By establishing these responsibilities at an early stage, organisations may reduce confusion, minimise duplication of work and improve accountability throughout the project lifecycle (Project Management Institute, 2021).</w:t>
      </w:r>
    </w:p>
    <w:p w:rsidR="00000000" w:rsidDel="00000000" w:rsidP="00000000" w:rsidRDefault="00000000" w:rsidRPr="00000000" w14:paraId="0000016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ConnectPlus, the RACI Matrix may also support collaboration between departments by ensuring each stakeholder understands their role during implementation. This is particularly important within digital transformation projects where responsibilities often overlap across technical, operational and customer-facing teams.</w:t>
      </w:r>
    </w:p>
    <w:p w:rsidR="00000000" w:rsidDel="00000000" w:rsidP="00000000" w:rsidRDefault="00000000" w:rsidRPr="00000000" w14:paraId="00000162">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Table 6. RACI Matrix for ConnectPlus</w:t>
      </w:r>
    </w:p>
    <w:tbl>
      <w:tblPr>
        <w:tblStyle w:val="Table8"/>
        <w:tblW w:w="934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5"/>
        <w:gridCol w:w="1560"/>
        <w:gridCol w:w="1440"/>
        <w:gridCol w:w="1275"/>
        <w:gridCol w:w="1470"/>
        <w:gridCol w:w="1095"/>
        <w:gridCol w:w="1110"/>
        <w:tblGridChange w:id="0">
          <w:tblGrid>
            <w:gridCol w:w="1395"/>
            <w:gridCol w:w="1560"/>
            <w:gridCol w:w="1440"/>
            <w:gridCol w:w="1275"/>
            <w:gridCol w:w="1470"/>
            <w:gridCol w:w="1095"/>
            <w:gridCol w:w="1110"/>
          </w:tblGrid>
        </w:tblGridChange>
      </w:tblGrid>
      <w:tr>
        <w:trPr>
          <w:cantSplit w:val="0"/>
          <w:tblHeader w:val="0"/>
        </w:trPr>
        <w:tc>
          <w:tcPr>
            <w:shd w:fill="c9daf8" w:val="clear"/>
          </w:tcPr>
          <w:p w:rsidR="00000000" w:rsidDel="00000000" w:rsidP="00000000" w:rsidRDefault="00000000" w:rsidRPr="00000000" w14:paraId="00000163">
            <w:pPr>
              <w:rPr>
                <w:rFonts w:ascii="Arial" w:cs="Arial" w:eastAsia="Arial" w:hAnsi="Arial"/>
                <w:color w:val="0000ff"/>
              </w:rPr>
            </w:pPr>
            <w:r w:rsidDel="00000000" w:rsidR="00000000" w:rsidRPr="00000000">
              <w:rPr>
                <w:rFonts w:ascii="Arial" w:cs="Arial" w:eastAsia="Arial" w:hAnsi="Arial"/>
                <w:color w:val="0000ff"/>
                <w:rtl w:val="0"/>
              </w:rPr>
              <w:t xml:space="preserve">Activity</w:t>
            </w:r>
          </w:p>
        </w:tc>
        <w:tc>
          <w:tcPr>
            <w:shd w:fill="c9daf8" w:val="clear"/>
          </w:tcPr>
          <w:p w:rsidR="00000000" w:rsidDel="00000000" w:rsidP="00000000" w:rsidRDefault="00000000" w:rsidRPr="00000000" w14:paraId="00000164">
            <w:pPr>
              <w:rPr>
                <w:rFonts w:ascii="Arial" w:cs="Arial" w:eastAsia="Arial" w:hAnsi="Arial"/>
                <w:color w:val="0000ff"/>
              </w:rPr>
            </w:pPr>
            <w:r w:rsidDel="00000000" w:rsidR="00000000" w:rsidRPr="00000000">
              <w:rPr>
                <w:rFonts w:ascii="Arial" w:cs="Arial" w:eastAsia="Arial" w:hAnsi="Arial"/>
                <w:color w:val="0000ff"/>
                <w:rtl w:val="0"/>
              </w:rPr>
              <w:t xml:space="preserve">Board</w:t>
            </w:r>
          </w:p>
        </w:tc>
        <w:tc>
          <w:tcPr>
            <w:shd w:fill="c9daf8" w:val="clear"/>
          </w:tcPr>
          <w:p w:rsidR="00000000" w:rsidDel="00000000" w:rsidP="00000000" w:rsidRDefault="00000000" w:rsidRPr="00000000" w14:paraId="00000165">
            <w:pPr>
              <w:rPr>
                <w:rFonts w:ascii="Arial" w:cs="Arial" w:eastAsia="Arial" w:hAnsi="Arial"/>
                <w:color w:val="0000ff"/>
              </w:rPr>
            </w:pPr>
            <w:r w:rsidDel="00000000" w:rsidR="00000000" w:rsidRPr="00000000">
              <w:rPr>
                <w:rFonts w:ascii="Arial" w:cs="Arial" w:eastAsia="Arial" w:hAnsi="Arial"/>
                <w:color w:val="0000ff"/>
                <w:rtl w:val="0"/>
              </w:rPr>
              <w:t xml:space="preserve">Project Manager</w:t>
            </w:r>
          </w:p>
        </w:tc>
        <w:tc>
          <w:tcPr>
            <w:shd w:fill="c9daf8" w:val="clear"/>
          </w:tcPr>
          <w:p w:rsidR="00000000" w:rsidDel="00000000" w:rsidP="00000000" w:rsidRDefault="00000000" w:rsidRPr="00000000" w14:paraId="00000166">
            <w:pPr>
              <w:rPr>
                <w:rFonts w:ascii="Arial" w:cs="Arial" w:eastAsia="Arial" w:hAnsi="Arial"/>
                <w:color w:val="0000ff"/>
              </w:rPr>
            </w:pPr>
            <w:r w:rsidDel="00000000" w:rsidR="00000000" w:rsidRPr="00000000">
              <w:rPr>
                <w:rFonts w:ascii="Arial" w:cs="Arial" w:eastAsia="Arial" w:hAnsi="Arial"/>
                <w:color w:val="0000ff"/>
                <w:rtl w:val="0"/>
              </w:rPr>
              <w:t xml:space="preserve">Marketing</w:t>
            </w:r>
          </w:p>
        </w:tc>
        <w:tc>
          <w:tcPr>
            <w:shd w:fill="c9daf8" w:val="clear"/>
          </w:tcPr>
          <w:p w:rsidR="00000000" w:rsidDel="00000000" w:rsidP="00000000" w:rsidRDefault="00000000" w:rsidRPr="00000000" w14:paraId="00000167">
            <w:pPr>
              <w:rPr>
                <w:rFonts w:ascii="Arial" w:cs="Arial" w:eastAsia="Arial" w:hAnsi="Arial"/>
                <w:color w:val="0000ff"/>
              </w:rPr>
            </w:pPr>
            <w:r w:rsidDel="00000000" w:rsidR="00000000" w:rsidRPr="00000000">
              <w:rPr>
                <w:rFonts w:ascii="Arial" w:cs="Arial" w:eastAsia="Arial" w:hAnsi="Arial"/>
                <w:color w:val="0000ff"/>
                <w:rtl w:val="0"/>
              </w:rPr>
              <w:t xml:space="preserve">IT/Data</w:t>
            </w:r>
          </w:p>
        </w:tc>
        <w:tc>
          <w:tcPr>
            <w:shd w:fill="c9daf8" w:val="clear"/>
          </w:tcPr>
          <w:p w:rsidR="00000000" w:rsidDel="00000000" w:rsidP="00000000" w:rsidRDefault="00000000" w:rsidRPr="00000000" w14:paraId="00000168">
            <w:pPr>
              <w:rPr>
                <w:rFonts w:ascii="Arial" w:cs="Arial" w:eastAsia="Arial" w:hAnsi="Arial"/>
                <w:color w:val="0000ff"/>
              </w:rPr>
            </w:pPr>
            <w:r w:rsidDel="00000000" w:rsidR="00000000" w:rsidRPr="00000000">
              <w:rPr>
                <w:rFonts w:ascii="Arial" w:cs="Arial" w:eastAsia="Arial" w:hAnsi="Arial"/>
                <w:color w:val="0000ff"/>
                <w:rtl w:val="0"/>
              </w:rPr>
              <w:t xml:space="preserve">Employees</w:t>
            </w:r>
          </w:p>
        </w:tc>
        <w:tc>
          <w:tcPr>
            <w:shd w:fill="c9daf8" w:val="clear"/>
          </w:tcPr>
          <w:p w:rsidR="00000000" w:rsidDel="00000000" w:rsidP="00000000" w:rsidRDefault="00000000" w:rsidRPr="00000000" w14:paraId="00000169">
            <w:pPr>
              <w:rPr>
                <w:rFonts w:ascii="Arial" w:cs="Arial" w:eastAsia="Arial" w:hAnsi="Arial"/>
                <w:color w:val="0000ff"/>
              </w:rPr>
            </w:pPr>
            <w:r w:rsidDel="00000000" w:rsidR="00000000" w:rsidRPr="00000000">
              <w:rPr>
                <w:rFonts w:ascii="Arial" w:cs="Arial" w:eastAsia="Arial" w:hAnsi="Arial"/>
                <w:color w:val="0000ff"/>
                <w:rtl w:val="0"/>
              </w:rPr>
              <w:t xml:space="preserve">Compliance</w:t>
            </w:r>
          </w:p>
        </w:tc>
      </w:tr>
      <w:tr>
        <w:trPr>
          <w:cantSplit w:val="0"/>
          <w:trHeight w:val="655.95703125" w:hRule="atLeast"/>
          <w:tblHeader w:val="0"/>
        </w:trPr>
        <w:tc>
          <w:tcPr/>
          <w:p w:rsidR="00000000" w:rsidDel="00000000" w:rsidP="00000000" w:rsidRDefault="00000000" w:rsidRPr="00000000" w14:paraId="0000016A">
            <w:pPr>
              <w:rPr>
                <w:rFonts w:ascii="Arial" w:cs="Arial" w:eastAsia="Arial" w:hAnsi="Arial"/>
                <w:color w:val="073763"/>
                <w:sz w:val="22"/>
                <w:szCs w:val="22"/>
              </w:rPr>
            </w:pPr>
            <w:r w:rsidDel="00000000" w:rsidR="00000000" w:rsidRPr="00000000">
              <w:rPr>
                <w:rFonts w:ascii="Arial" w:cs="Arial" w:eastAsia="Arial" w:hAnsi="Arial"/>
                <w:color w:val="073763"/>
                <w:sz w:val="22"/>
                <w:szCs w:val="22"/>
                <w:rtl w:val="0"/>
              </w:rPr>
              <w:t xml:space="preserve">Project approval</w:t>
            </w:r>
          </w:p>
        </w:tc>
        <w:tc>
          <w:tcPr>
            <w:shd w:fill="45b0e1" w:val="clear"/>
          </w:tcPr>
          <w:p w:rsidR="00000000" w:rsidDel="00000000" w:rsidP="00000000" w:rsidRDefault="00000000" w:rsidRPr="00000000" w14:paraId="0000016B">
            <w:pPr>
              <w:rPr>
                <w:rFonts w:ascii="Arial" w:cs="Arial" w:eastAsia="Arial" w:hAnsi="Arial"/>
                <w:sz w:val="22"/>
                <w:szCs w:val="22"/>
              </w:rPr>
            </w:pPr>
            <w:r w:rsidDel="00000000" w:rsidR="00000000" w:rsidRPr="00000000">
              <w:rPr>
                <w:rFonts w:ascii="Arial" w:cs="Arial" w:eastAsia="Arial" w:hAnsi="Arial"/>
                <w:sz w:val="22"/>
                <w:szCs w:val="22"/>
                <w:rtl w:val="0"/>
              </w:rPr>
              <w:t xml:space="preserve">A</w:t>
            </w:r>
          </w:p>
        </w:tc>
        <w:tc>
          <w:tcPr>
            <w:shd w:fill="47d45a" w:val="clear"/>
          </w:tcPr>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R</w:t>
            </w:r>
          </w:p>
        </w:tc>
        <w:tc>
          <w:tcPr>
            <w:shd w:fill="d76dcc" w:val="clear"/>
          </w:tcPr>
          <w:p w:rsidR="00000000" w:rsidDel="00000000" w:rsidP="00000000" w:rsidRDefault="00000000" w:rsidRPr="00000000" w14:paraId="0000016D">
            <w:pPr>
              <w:rPr>
                <w:rFonts w:ascii="Arial" w:cs="Arial" w:eastAsia="Arial" w:hAnsi="Arial"/>
                <w:sz w:val="22"/>
                <w:szCs w:val="22"/>
              </w:rPr>
            </w:pPr>
            <w:r w:rsidDel="00000000" w:rsidR="00000000" w:rsidRPr="00000000">
              <w:rPr>
                <w:rFonts w:ascii="Arial" w:cs="Arial" w:eastAsia="Arial" w:hAnsi="Arial"/>
                <w:sz w:val="22"/>
                <w:szCs w:val="22"/>
                <w:rtl w:val="0"/>
              </w:rPr>
              <w:t xml:space="preserve">I</w:t>
            </w:r>
          </w:p>
        </w:tc>
        <w:tc>
          <w:tcPr>
            <w:shd w:fill="d76dcc" w:val="clear"/>
          </w:tcPr>
          <w:p w:rsidR="00000000" w:rsidDel="00000000" w:rsidP="00000000" w:rsidRDefault="00000000" w:rsidRPr="00000000" w14:paraId="0000016E">
            <w:pPr>
              <w:rPr>
                <w:rFonts w:ascii="Arial" w:cs="Arial" w:eastAsia="Arial" w:hAnsi="Arial"/>
                <w:sz w:val="22"/>
                <w:szCs w:val="22"/>
              </w:rPr>
            </w:pPr>
            <w:r w:rsidDel="00000000" w:rsidR="00000000" w:rsidRPr="00000000">
              <w:rPr>
                <w:rFonts w:ascii="Arial" w:cs="Arial" w:eastAsia="Arial" w:hAnsi="Arial"/>
                <w:sz w:val="22"/>
                <w:szCs w:val="22"/>
                <w:rtl w:val="0"/>
              </w:rPr>
              <w:t xml:space="preserve">I</w:t>
            </w:r>
          </w:p>
        </w:tc>
        <w:tc>
          <w:tcPr>
            <w:shd w:fill="d76dcc" w:val="clear"/>
          </w:tcPr>
          <w:p w:rsidR="00000000" w:rsidDel="00000000" w:rsidP="00000000" w:rsidRDefault="00000000" w:rsidRPr="00000000" w14:paraId="0000016F">
            <w:pPr>
              <w:rPr>
                <w:rFonts w:ascii="Arial" w:cs="Arial" w:eastAsia="Arial" w:hAnsi="Arial"/>
                <w:sz w:val="22"/>
                <w:szCs w:val="22"/>
              </w:rPr>
            </w:pPr>
            <w:r w:rsidDel="00000000" w:rsidR="00000000" w:rsidRPr="00000000">
              <w:rPr>
                <w:rFonts w:ascii="Arial" w:cs="Arial" w:eastAsia="Arial" w:hAnsi="Arial"/>
                <w:sz w:val="22"/>
                <w:szCs w:val="22"/>
                <w:rtl w:val="0"/>
              </w:rPr>
              <w:t xml:space="preserve">I</w:t>
            </w:r>
          </w:p>
        </w:tc>
        <w:tc>
          <w:tcPr>
            <w:shd w:fill="ffff00" w:val="clear"/>
          </w:tcPr>
          <w:p w:rsidR="00000000" w:rsidDel="00000000" w:rsidP="00000000" w:rsidRDefault="00000000" w:rsidRPr="00000000" w14:paraId="00000170">
            <w:pPr>
              <w:rPr>
                <w:rFonts w:ascii="Arial" w:cs="Arial" w:eastAsia="Arial" w:hAnsi="Arial"/>
                <w:sz w:val="22"/>
                <w:szCs w:val="22"/>
              </w:rPr>
            </w:pPr>
            <w:r w:rsidDel="00000000" w:rsidR="00000000" w:rsidRPr="00000000">
              <w:rPr>
                <w:rFonts w:ascii="Arial" w:cs="Arial" w:eastAsia="Arial" w:hAnsi="Arial"/>
                <w:sz w:val="22"/>
                <w:szCs w:val="22"/>
                <w:rtl w:val="0"/>
              </w:rPr>
              <w:t xml:space="preserve">C</w:t>
            </w:r>
          </w:p>
        </w:tc>
      </w:tr>
      <w:tr>
        <w:trPr>
          <w:cantSplit w:val="0"/>
          <w:trHeight w:val="610.95703125" w:hRule="atLeast"/>
          <w:tblHeader w:val="0"/>
        </w:trPr>
        <w:tc>
          <w:tcPr/>
          <w:p w:rsidR="00000000" w:rsidDel="00000000" w:rsidP="00000000" w:rsidRDefault="00000000" w:rsidRPr="00000000" w14:paraId="00000171">
            <w:pPr>
              <w:rPr>
                <w:rFonts w:ascii="Arial" w:cs="Arial" w:eastAsia="Arial" w:hAnsi="Arial"/>
                <w:color w:val="073763"/>
                <w:sz w:val="22"/>
                <w:szCs w:val="22"/>
              </w:rPr>
            </w:pPr>
            <w:r w:rsidDel="00000000" w:rsidR="00000000" w:rsidRPr="00000000">
              <w:rPr>
                <w:rFonts w:ascii="Arial" w:cs="Arial" w:eastAsia="Arial" w:hAnsi="Arial"/>
                <w:color w:val="073763"/>
                <w:sz w:val="22"/>
                <w:szCs w:val="22"/>
                <w:rtl w:val="0"/>
              </w:rPr>
              <w:t xml:space="preserve">AI development</w:t>
            </w:r>
          </w:p>
        </w:tc>
        <w:tc>
          <w:tcPr>
            <w:shd w:fill="d76dcc" w:val="clear"/>
          </w:tcPr>
          <w:p w:rsidR="00000000" w:rsidDel="00000000" w:rsidP="00000000" w:rsidRDefault="00000000" w:rsidRPr="00000000" w14:paraId="00000172">
            <w:pPr>
              <w:rPr>
                <w:rFonts w:ascii="Arial" w:cs="Arial" w:eastAsia="Arial" w:hAnsi="Arial"/>
                <w:sz w:val="22"/>
                <w:szCs w:val="22"/>
              </w:rPr>
            </w:pPr>
            <w:r w:rsidDel="00000000" w:rsidR="00000000" w:rsidRPr="00000000">
              <w:rPr>
                <w:rFonts w:ascii="Arial" w:cs="Arial" w:eastAsia="Arial" w:hAnsi="Arial"/>
                <w:sz w:val="22"/>
                <w:szCs w:val="22"/>
                <w:rtl w:val="0"/>
              </w:rPr>
              <w:t xml:space="preserve">I</w:t>
            </w:r>
          </w:p>
        </w:tc>
        <w:tc>
          <w:tcPr>
            <w:shd w:fill="45b0e1" w:val="clear"/>
          </w:tcPr>
          <w:p w:rsidR="00000000" w:rsidDel="00000000" w:rsidP="00000000" w:rsidRDefault="00000000" w:rsidRPr="00000000" w14:paraId="00000173">
            <w:pPr>
              <w:rPr>
                <w:rFonts w:ascii="Arial" w:cs="Arial" w:eastAsia="Arial" w:hAnsi="Arial"/>
                <w:sz w:val="22"/>
                <w:szCs w:val="22"/>
              </w:rPr>
            </w:pPr>
            <w:r w:rsidDel="00000000" w:rsidR="00000000" w:rsidRPr="00000000">
              <w:rPr>
                <w:rFonts w:ascii="Arial" w:cs="Arial" w:eastAsia="Arial" w:hAnsi="Arial"/>
                <w:sz w:val="22"/>
                <w:szCs w:val="22"/>
                <w:rtl w:val="0"/>
              </w:rPr>
              <w:t xml:space="preserve">A</w:t>
            </w:r>
          </w:p>
        </w:tc>
        <w:tc>
          <w:tcPr>
            <w:shd w:fill="ffff00" w:val="clear"/>
          </w:tcPr>
          <w:p w:rsidR="00000000" w:rsidDel="00000000" w:rsidP="00000000" w:rsidRDefault="00000000" w:rsidRPr="00000000" w14:paraId="00000174">
            <w:pPr>
              <w:rPr>
                <w:rFonts w:ascii="Arial" w:cs="Arial" w:eastAsia="Arial" w:hAnsi="Arial"/>
                <w:sz w:val="22"/>
                <w:szCs w:val="22"/>
              </w:rPr>
            </w:pPr>
            <w:r w:rsidDel="00000000" w:rsidR="00000000" w:rsidRPr="00000000">
              <w:rPr>
                <w:rFonts w:ascii="Arial" w:cs="Arial" w:eastAsia="Arial" w:hAnsi="Arial"/>
                <w:sz w:val="22"/>
                <w:szCs w:val="22"/>
                <w:rtl w:val="0"/>
              </w:rPr>
              <w:t xml:space="preserve">C</w:t>
            </w:r>
          </w:p>
        </w:tc>
        <w:tc>
          <w:tcPr>
            <w:shd w:fill="47d45a" w:val="clear"/>
          </w:tcPr>
          <w:p w:rsidR="00000000" w:rsidDel="00000000" w:rsidP="00000000" w:rsidRDefault="00000000" w:rsidRPr="00000000" w14:paraId="00000175">
            <w:pPr>
              <w:rPr>
                <w:rFonts w:ascii="Arial" w:cs="Arial" w:eastAsia="Arial" w:hAnsi="Arial"/>
                <w:sz w:val="22"/>
                <w:szCs w:val="22"/>
              </w:rPr>
            </w:pPr>
            <w:r w:rsidDel="00000000" w:rsidR="00000000" w:rsidRPr="00000000">
              <w:rPr>
                <w:rFonts w:ascii="Arial" w:cs="Arial" w:eastAsia="Arial" w:hAnsi="Arial"/>
                <w:sz w:val="22"/>
                <w:szCs w:val="22"/>
                <w:rtl w:val="0"/>
              </w:rPr>
              <w:t xml:space="preserve">R</w:t>
            </w:r>
          </w:p>
        </w:tc>
        <w:tc>
          <w:tcPr>
            <w:shd w:fill="d76dcc" w:val="clear"/>
          </w:tcPr>
          <w:p w:rsidR="00000000" w:rsidDel="00000000" w:rsidP="00000000" w:rsidRDefault="00000000" w:rsidRPr="00000000" w14:paraId="00000176">
            <w:pPr>
              <w:rPr>
                <w:rFonts w:ascii="Arial" w:cs="Arial" w:eastAsia="Arial" w:hAnsi="Arial"/>
                <w:sz w:val="22"/>
                <w:szCs w:val="22"/>
              </w:rPr>
            </w:pPr>
            <w:r w:rsidDel="00000000" w:rsidR="00000000" w:rsidRPr="00000000">
              <w:rPr>
                <w:rFonts w:ascii="Arial" w:cs="Arial" w:eastAsia="Arial" w:hAnsi="Arial"/>
                <w:sz w:val="22"/>
                <w:szCs w:val="22"/>
                <w:rtl w:val="0"/>
              </w:rPr>
              <w:t xml:space="preserve">I</w:t>
            </w:r>
          </w:p>
        </w:tc>
        <w:tc>
          <w:tcPr>
            <w:shd w:fill="ffff00" w:val="clear"/>
          </w:tcPr>
          <w:p w:rsidR="00000000" w:rsidDel="00000000" w:rsidP="00000000" w:rsidRDefault="00000000" w:rsidRPr="00000000" w14:paraId="00000177">
            <w:pPr>
              <w:rPr>
                <w:rFonts w:ascii="Arial" w:cs="Arial" w:eastAsia="Arial" w:hAnsi="Arial"/>
                <w:sz w:val="22"/>
                <w:szCs w:val="22"/>
              </w:rPr>
            </w:pPr>
            <w:r w:rsidDel="00000000" w:rsidR="00000000" w:rsidRPr="00000000">
              <w:rPr>
                <w:rFonts w:ascii="Arial" w:cs="Arial" w:eastAsia="Arial" w:hAnsi="Arial"/>
                <w:sz w:val="22"/>
                <w:szCs w:val="22"/>
                <w:rtl w:val="0"/>
              </w:rPr>
              <w:t xml:space="preserve">C</w:t>
            </w:r>
          </w:p>
        </w:tc>
      </w:tr>
      <w:tr>
        <w:trPr>
          <w:cantSplit w:val="0"/>
          <w:trHeight w:val="640.95703125" w:hRule="atLeast"/>
          <w:tblHeader w:val="0"/>
        </w:trPr>
        <w:tc>
          <w:tcPr/>
          <w:p w:rsidR="00000000" w:rsidDel="00000000" w:rsidP="00000000" w:rsidRDefault="00000000" w:rsidRPr="00000000" w14:paraId="00000178">
            <w:pPr>
              <w:rPr>
                <w:rFonts w:ascii="Arial" w:cs="Arial" w:eastAsia="Arial" w:hAnsi="Arial"/>
                <w:color w:val="073763"/>
                <w:sz w:val="22"/>
                <w:szCs w:val="22"/>
              </w:rPr>
            </w:pPr>
            <w:r w:rsidDel="00000000" w:rsidR="00000000" w:rsidRPr="00000000">
              <w:rPr>
                <w:rFonts w:ascii="Arial" w:cs="Arial" w:eastAsia="Arial" w:hAnsi="Arial"/>
                <w:color w:val="073763"/>
                <w:sz w:val="22"/>
                <w:szCs w:val="22"/>
                <w:rtl w:val="0"/>
              </w:rPr>
              <w:t xml:space="preserve">Customer communication</w:t>
            </w:r>
          </w:p>
        </w:tc>
        <w:tc>
          <w:tcPr>
            <w:shd w:fill="d76dcc" w:val="clear"/>
          </w:tcPr>
          <w:p w:rsidR="00000000" w:rsidDel="00000000" w:rsidP="00000000" w:rsidRDefault="00000000" w:rsidRPr="00000000" w14:paraId="00000179">
            <w:pPr>
              <w:rPr>
                <w:rFonts w:ascii="Arial" w:cs="Arial" w:eastAsia="Arial" w:hAnsi="Arial"/>
                <w:sz w:val="22"/>
                <w:szCs w:val="22"/>
              </w:rPr>
            </w:pPr>
            <w:r w:rsidDel="00000000" w:rsidR="00000000" w:rsidRPr="00000000">
              <w:rPr>
                <w:rFonts w:ascii="Arial" w:cs="Arial" w:eastAsia="Arial" w:hAnsi="Arial"/>
                <w:sz w:val="22"/>
                <w:szCs w:val="22"/>
                <w:rtl w:val="0"/>
              </w:rPr>
              <w:t xml:space="preserve">I</w:t>
            </w:r>
          </w:p>
        </w:tc>
        <w:tc>
          <w:tcPr>
            <w:shd w:fill="45b0e1" w:val="clear"/>
          </w:tcPr>
          <w:p w:rsidR="00000000" w:rsidDel="00000000" w:rsidP="00000000" w:rsidRDefault="00000000" w:rsidRPr="00000000" w14:paraId="0000017A">
            <w:pPr>
              <w:rPr>
                <w:rFonts w:ascii="Arial" w:cs="Arial" w:eastAsia="Arial" w:hAnsi="Arial"/>
                <w:sz w:val="22"/>
                <w:szCs w:val="22"/>
              </w:rPr>
            </w:pPr>
            <w:r w:rsidDel="00000000" w:rsidR="00000000" w:rsidRPr="00000000">
              <w:rPr>
                <w:rFonts w:ascii="Arial" w:cs="Arial" w:eastAsia="Arial" w:hAnsi="Arial"/>
                <w:sz w:val="22"/>
                <w:szCs w:val="22"/>
                <w:rtl w:val="0"/>
              </w:rPr>
              <w:t xml:space="preserve">A</w:t>
            </w:r>
          </w:p>
        </w:tc>
        <w:tc>
          <w:tcPr>
            <w:shd w:fill="47d45a" w:val="clear"/>
          </w:tcPr>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sz w:val="22"/>
                <w:szCs w:val="22"/>
                <w:rtl w:val="0"/>
              </w:rPr>
              <w:t xml:space="preserve">R</w:t>
            </w:r>
          </w:p>
        </w:tc>
        <w:tc>
          <w:tcPr>
            <w:shd w:fill="ffff00" w:val="clear"/>
          </w:tcPr>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C</w:t>
            </w:r>
          </w:p>
        </w:tc>
        <w:tc>
          <w:tcPr>
            <w:shd w:fill="ffff00" w:val="clear"/>
          </w:tcPr>
          <w:p w:rsidR="00000000" w:rsidDel="00000000" w:rsidP="00000000" w:rsidRDefault="00000000" w:rsidRPr="00000000" w14:paraId="0000017D">
            <w:pPr>
              <w:rPr>
                <w:rFonts w:ascii="Arial" w:cs="Arial" w:eastAsia="Arial" w:hAnsi="Arial"/>
                <w:sz w:val="22"/>
                <w:szCs w:val="22"/>
              </w:rPr>
            </w:pPr>
            <w:r w:rsidDel="00000000" w:rsidR="00000000" w:rsidRPr="00000000">
              <w:rPr>
                <w:rFonts w:ascii="Arial" w:cs="Arial" w:eastAsia="Arial" w:hAnsi="Arial"/>
                <w:sz w:val="22"/>
                <w:szCs w:val="22"/>
                <w:rtl w:val="0"/>
              </w:rPr>
              <w:t xml:space="preserve">C</w:t>
            </w:r>
          </w:p>
        </w:tc>
        <w:tc>
          <w:tcPr>
            <w:shd w:fill="d76dcc" w:val="clear"/>
          </w:tcPr>
          <w:p w:rsidR="00000000" w:rsidDel="00000000" w:rsidP="00000000" w:rsidRDefault="00000000" w:rsidRPr="00000000" w14:paraId="0000017E">
            <w:pPr>
              <w:rPr>
                <w:rFonts w:ascii="Arial" w:cs="Arial" w:eastAsia="Arial" w:hAnsi="Arial"/>
                <w:sz w:val="22"/>
                <w:szCs w:val="22"/>
              </w:rPr>
            </w:pPr>
            <w:r w:rsidDel="00000000" w:rsidR="00000000" w:rsidRPr="00000000">
              <w:rPr>
                <w:rFonts w:ascii="Arial" w:cs="Arial" w:eastAsia="Arial" w:hAnsi="Arial"/>
                <w:sz w:val="22"/>
                <w:szCs w:val="22"/>
                <w:rtl w:val="0"/>
              </w:rPr>
              <w:t xml:space="preserve">I</w:t>
            </w:r>
          </w:p>
        </w:tc>
      </w:tr>
      <w:tr>
        <w:trPr>
          <w:cantSplit w:val="0"/>
          <w:trHeight w:val="625.95703125" w:hRule="atLeast"/>
          <w:tblHeader w:val="0"/>
        </w:trPr>
        <w:tc>
          <w:tcPr/>
          <w:p w:rsidR="00000000" w:rsidDel="00000000" w:rsidP="00000000" w:rsidRDefault="00000000" w:rsidRPr="00000000" w14:paraId="0000017F">
            <w:pPr>
              <w:rPr>
                <w:rFonts w:ascii="Arial" w:cs="Arial" w:eastAsia="Arial" w:hAnsi="Arial"/>
                <w:color w:val="073763"/>
                <w:sz w:val="22"/>
                <w:szCs w:val="22"/>
              </w:rPr>
            </w:pPr>
            <w:r w:rsidDel="00000000" w:rsidR="00000000" w:rsidRPr="00000000">
              <w:rPr>
                <w:rFonts w:ascii="Arial" w:cs="Arial" w:eastAsia="Arial" w:hAnsi="Arial"/>
                <w:color w:val="073763"/>
                <w:sz w:val="22"/>
                <w:szCs w:val="22"/>
                <w:rtl w:val="0"/>
              </w:rPr>
              <w:t xml:space="preserve">Employee training</w:t>
            </w:r>
          </w:p>
        </w:tc>
        <w:tc>
          <w:tcPr>
            <w:shd w:fill="c27ba0" w:val="clear"/>
          </w:tcPr>
          <w:p w:rsidR="00000000" w:rsidDel="00000000" w:rsidP="00000000" w:rsidRDefault="00000000" w:rsidRPr="00000000" w14:paraId="00000180">
            <w:pPr>
              <w:rPr>
                <w:rFonts w:ascii="Arial" w:cs="Arial" w:eastAsia="Arial" w:hAnsi="Arial"/>
                <w:sz w:val="22"/>
                <w:szCs w:val="22"/>
              </w:rPr>
            </w:pPr>
            <w:r w:rsidDel="00000000" w:rsidR="00000000" w:rsidRPr="00000000">
              <w:rPr>
                <w:rFonts w:ascii="Arial" w:cs="Arial" w:eastAsia="Arial" w:hAnsi="Arial"/>
                <w:sz w:val="22"/>
                <w:szCs w:val="22"/>
                <w:rtl w:val="0"/>
              </w:rPr>
              <w:t xml:space="preserve">I</w:t>
            </w:r>
          </w:p>
        </w:tc>
        <w:tc>
          <w:tcPr>
            <w:shd w:fill="6d9eeb" w:val="clear"/>
          </w:tcPr>
          <w:p w:rsidR="00000000" w:rsidDel="00000000" w:rsidP="00000000" w:rsidRDefault="00000000" w:rsidRPr="00000000" w14:paraId="00000181">
            <w:pPr>
              <w:rPr>
                <w:rFonts w:ascii="Arial" w:cs="Arial" w:eastAsia="Arial" w:hAnsi="Arial"/>
                <w:sz w:val="22"/>
                <w:szCs w:val="22"/>
              </w:rPr>
            </w:pPr>
            <w:r w:rsidDel="00000000" w:rsidR="00000000" w:rsidRPr="00000000">
              <w:rPr>
                <w:rFonts w:ascii="Arial" w:cs="Arial" w:eastAsia="Arial" w:hAnsi="Arial"/>
                <w:sz w:val="22"/>
                <w:szCs w:val="22"/>
                <w:rtl w:val="0"/>
              </w:rPr>
              <w:t xml:space="preserve">A</w:t>
            </w:r>
          </w:p>
        </w:tc>
        <w:tc>
          <w:tcPr>
            <w:shd w:fill="ffff00" w:val="clear"/>
          </w:tcPr>
          <w:p w:rsidR="00000000" w:rsidDel="00000000" w:rsidP="00000000" w:rsidRDefault="00000000" w:rsidRPr="00000000" w14:paraId="00000182">
            <w:pPr>
              <w:rPr>
                <w:rFonts w:ascii="Arial" w:cs="Arial" w:eastAsia="Arial" w:hAnsi="Arial"/>
                <w:sz w:val="22"/>
                <w:szCs w:val="22"/>
              </w:rPr>
            </w:pPr>
            <w:r w:rsidDel="00000000" w:rsidR="00000000" w:rsidRPr="00000000">
              <w:rPr>
                <w:rFonts w:ascii="Arial" w:cs="Arial" w:eastAsia="Arial" w:hAnsi="Arial"/>
                <w:sz w:val="22"/>
                <w:szCs w:val="22"/>
                <w:rtl w:val="0"/>
              </w:rPr>
              <w:t xml:space="preserve">C</w:t>
            </w:r>
          </w:p>
        </w:tc>
        <w:tc>
          <w:tcPr>
            <w:shd w:fill="ffff00" w:val="clear"/>
          </w:tcPr>
          <w:p w:rsidR="00000000" w:rsidDel="00000000" w:rsidP="00000000" w:rsidRDefault="00000000" w:rsidRPr="00000000" w14:paraId="00000183">
            <w:pPr>
              <w:rPr>
                <w:rFonts w:ascii="Arial" w:cs="Arial" w:eastAsia="Arial" w:hAnsi="Arial"/>
                <w:sz w:val="22"/>
                <w:szCs w:val="22"/>
              </w:rPr>
            </w:pPr>
            <w:r w:rsidDel="00000000" w:rsidR="00000000" w:rsidRPr="00000000">
              <w:rPr>
                <w:rFonts w:ascii="Arial" w:cs="Arial" w:eastAsia="Arial" w:hAnsi="Arial"/>
                <w:sz w:val="22"/>
                <w:szCs w:val="22"/>
                <w:rtl w:val="0"/>
              </w:rPr>
              <w:t xml:space="preserve">C</w:t>
            </w:r>
          </w:p>
        </w:tc>
        <w:tc>
          <w:tcPr>
            <w:shd w:fill="00ff00" w:val="clear"/>
          </w:tcPr>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sz w:val="22"/>
                <w:szCs w:val="22"/>
                <w:rtl w:val="0"/>
              </w:rPr>
              <w:t xml:space="preserve">R</w:t>
            </w:r>
          </w:p>
        </w:tc>
        <w:tc>
          <w:tcPr>
            <w:shd w:fill="c27ba0" w:val="clear"/>
          </w:tcPr>
          <w:p w:rsidR="00000000" w:rsidDel="00000000" w:rsidP="00000000" w:rsidRDefault="00000000" w:rsidRPr="00000000" w14:paraId="00000185">
            <w:pPr>
              <w:rPr>
                <w:rFonts w:ascii="Arial" w:cs="Arial" w:eastAsia="Arial" w:hAnsi="Arial"/>
                <w:sz w:val="22"/>
                <w:szCs w:val="22"/>
              </w:rPr>
            </w:pPr>
            <w:r w:rsidDel="00000000" w:rsidR="00000000" w:rsidRPr="00000000">
              <w:rPr>
                <w:rFonts w:ascii="Arial" w:cs="Arial" w:eastAsia="Arial" w:hAnsi="Arial"/>
                <w:sz w:val="22"/>
                <w:szCs w:val="22"/>
                <w:rtl w:val="0"/>
              </w:rPr>
              <w:t xml:space="preserve">I</w:t>
            </w:r>
          </w:p>
        </w:tc>
      </w:tr>
      <w:tr>
        <w:trPr>
          <w:cantSplit w:val="0"/>
          <w:trHeight w:val="670.95703125" w:hRule="atLeast"/>
          <w:tblHeader w:val="0"/>
        </w:trPr>
        <w:tc>
          <w:tcPr/>
          <w:p w:rsidR="00000000" w:rsidDel="00000000" w:rsidP="00000000" w:rsidRDefault="00000000" w:rsidRPr="00000000" w14:paraId="00000186">
            <w:pPr>
              <w:rPr>
                <w:rFonts w:ascii="Arial" w:cs="Arial" w:eastAsia="Arial" w:hAnsi="Arial"/>
                <w:color w:val="073763"/>
                <w:sz w:val="22"/>
                <w:szCs w:val="22"/>
              </w:rPr>
            </w:pPr>
            <w:r w:rsidDel="00000000" w:rsidR="00000000" w:rsidRPr="00000000">
              <w:rPr>
                <w:rFonts w:ascii="Arial" w:cs="Arial" w:eastAsia="Arial" w:hAnsi="Arial"/>
                <w:color w:val="073763"/>
                <w:sz w:val="22"/>
                <w:szCs w:val="22"/>
                <w:rtl w:val="0"/>
              </w:rPr>
              <w:t xml:space="preserve">GDPR compliance</w:t>
            </w:r>
          </w:p>
        </w:tc>
        <w:tc>
          <w:tcPr>
            <w:shd w:fill="c27ba0" w:val="clear"/>
          </w:tcPr>
          <w:p w:rsidR="00000000" w:rsidDel="00000000" w:rsidP="00000000" w:rsidRDefault="00000000" w:rsidRPr="00000000" w14:paraId="00000187">
            <w:pPr>
              <w:rPr>
                <w:rFonts w:ascii="Arial" w:cs="Arial" w:eastAsia="Arial" w:hAnsi="Arial"/>
                <w:sz w:val="22"/>
                <w:szCs w:val="22"/>
              </w:rPr>
            </w:pPr>
            <w:r w:rsidDel="00000000" w:rsidR="00000000" w:rsidRPr="00000000">
              <w:rPr>
                <w:rFonts w:ascii="Arial" w:cs="Arial" w:eastAsia="Arial" w:hAnsi="Arial"/>
                <w:sz w:val="22"/>
                <w:szCs w:val="22"/>
                <w:rtl w:val="0"/>
              </w:rPr>
              <w:t xml:space="preserve">I</w:t>
            </w:r>
          </w:p>
        </w:tc>
        <w:tc>
          <w:tcPr>
            <w:shd w:fill="ffff00" w:val="clear"/>
          </w:tcPr>
          <w:p w:rsidR="00000000" w:rsidDel="00000000" w:rsidP="00000000" w:rsidRDefault="00000000" w:rsidRPr="00000000" w14:paraId="00000188">
            <w:pPr>
              <w:rPr>
                <w:rFonts w:ascii="Arial" w:cs="Arial" w:eastAsia="Arial" w:hAnsi="Arial"/>
                <w:sz w:val="22"/>
                <w:szCs w:val="22"/>
              </w:rPr>
            </w:pPr>
            <w:r w:rsidDel="00000000" w:rsidR="00000000" w:rsidRPr="00000000">
              <w:rPr>
                <w:rFonts w:ascii="Arial" w:cs="Arial" w:eastAsia="Arial" w:hAnsi="Arial"/>
                <w:sz w:val="22"/>
                <w:szCs w:val="22"/>
                <w:rtl w:val="0"/>
              </w:rPr>
              <w:t xml:space="preserve">C</w:t>
            </w:r>
          </w:p>
        </w:tc>
        <w:tc>
          <w:tcPr>
            <w:shd w:fill="c27ba0" w:val="clear"/>
          </w:tcPr>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sz w:val="22"/>
                <w:szCs w:val="22"/>
                <w:rtl w:val="0"/>
              </w:rPr>
              <w:t xml:space="preserve">I</w:t>
            </w:r>
          </w:p>
        </w:tc>
        <w:tc>
          <w:tcPr>
            <w:shd w:fill="00ff00" w:val="clear"/>
          </w:tcPr>
          <w:p w:rsidR="00000000" w:rsidDel="00000000" w:rsidP="00000000" w:rsidRDefault="00000000" w:rsidRPr="00000000" w14:paraId="0000018A">
            <w:pPr>
              <w:rPr>
                <w:rFonts w:ascii="Arial" w:cs="Arial" w:eastAsia="Arial" w:hAnsi="Arial"/>
                <w:sz w:val="22"/>
                <w:szCs w:val="22"/>
              </w:rPr>
            </w:pPr>
            <w:r w:rsidDel="00000000" w:rsidR="00000000" w:rsidRPr="00000000">
              <w:rPr>
                <w:rFonts w:ascii="Arial" w:cs="Arial" w:eastAsia="Arial" w:hAnsi="Arial"/>
                <w:sz w:val="22"/>
                <w:szCs w:val="22"/>
                <w:rtl w:val="0"/>
              </w:rPr>
              <w:t xml:space="preserve">R</w:t>
            </w:r>
          </w:p>
        </w:tc>
        <w:tc>
          <w:tcPr>
            <w:shd w:fill="c27ba0" w:val="clear"/>
          </w:tcPr>
          <w:p w:rsidR="00000000" w:rsidDel="00000000" w:rsidP="00000000" w:rsidRDefault="00000000" w:rsidRPr="00000000" w14:paraId="0000018B">
            <w:pPr>
              <w:rPr>
                <w:rFonts w:ascii="Arial" w:cs="Arial" w:eastAsia="Arial" w:hAnsi="Arial"/>
                <w:sz w:val="22"/>
                <w:szCs w:val="22"/>
              </w:rPr>
            </w:pPr>
            <w:r w:rsidDel="00000000" w:rsidR="00000000" w:rsidRPr="00000000">
              <w:rPr>
                <w:rFonts w:ascii="Arial" w:cs="Arial" w:eastAsia="Arial" w:hAnsi="Arial"/>
                <w:sz w:val="22"/>
                <w:szCs w:val="22"/>
                <w:rtl w:val="0"/>
              </w:rPr>
              <w:t xml:space="preserve">I</w:t>
            </w:r>
          </w:p>
        </w:tc>
        <w:tc>
          <w:tcPr>
            <w:shd w:fill="6d9eeb" w:val="clear"/>
          </w:tcPr>
          <w:p w:rsidR="00000000" w:rsidDel="00000000" w:rsidP="00000000" w:rsidRDefault="00000000" w:rsidRPr="00000000" w14:paraId="0000018C">
            <w:pPr>
              <w:rPr>
                <w:rFonts w:ascii="Arial" w:cs="Arial" w:eastAsia="Arial" w:hAnsi="Arial"/>
                <w:sz w:val="22"/>
                <w:szCs w:val="22"/>
              </w:rPr>
            </w:pPr>
            <w:r w:rsidDel="00000000" w:rsidR="00000000" w:rsidRPr="00000000">
              <w:rPr>
                <w:rFonts w:ascii="Arial" w:cs="Arial" w:eastAsia="Arial" w:hAnsi="Arial"/>
                <w:sz w:val="22"/>
                <w:szCs w:val="22"/>
                <w:rtl w:val="0"/>
              </w:rPr>
              <w:t xml:space="preserve">A</w:t>
            </w:r>
          </w:p>
        </w:tc>
      </w:tr>
      <w:tr>
        <w:trPr>
          <w:cantSplit w:val="0"/>
          <w:trHeight w:val="595.95703125" w:hRule="atLeast"/>
          <w:tblHeader w:val="0"/>
        </w:trPr>
        <w:tc>
          <w:tcPr/>
          <w:p w:rsidR="00000000" w:rsidDel="00000000" w:rsidP="00000000" w:rsidRDefault="00000000" w:rsidRPr="00000000" w14:paraId="0000018D">
            <w:pPr>
              <w:rPr>
                <w:rFonts w:ascii="Arial" w:cs="Arial" w:eastAsia="Arial" w:hAnsi="Arial"/>
                <w:color w:val="073763"/>
                <w:sz w:val="22"/>
                <w:szCs w:val="22"/>
              </w:rPr>
            </w:pPr>
            <w:r w:rsidDel="00000000" w:rsidR="00000000" w:rsidRPr="00000000">
              <w:rPr>
                <w:rFonts w:ascii="Arial" w:cs="Arial" w:eastAsia="Arial" w:hAnsi="Arial"/>
                <w:color w:val="073763"/>
                <w:sz w:val="22"/>
                <w:szCs w:val="22"/>
                <w:rtl w:val="0"/>
              </w:rPr>
              <w:t xml:space="preserve">Project evaluation</w:t>
            </w:r>
          </w:p>
        </w:tc>
        <w:tc>
          <w:tcPr>
            <w:shd w:fill="6d9eeb" w:val="clear"/>
          </w:tcPr>
          <w:p w:rsidR="00000000" w:rsidDel="00000000" w:rsidP="00000000" w:rsidRDefault="00000000" w:rsidRPr="00000000" w14:paraId="0000018E">
            <w:pPr>
              <w:rPr>
                <w:rFonts w:ascii="Arial" w:cs="Arial" w:eastAsia="Arial" w:hAnsi="Arial"/>
                <w:sz w:val="22"/>
                <w:szCs w:val="22"/>
              </w:rPr>
            </w:pPr>
            <w:r w:rsidDel="00000000" w:rsidR="00000000" w:rsidRPr="00000000">
              <w:rPr>
                <w:rFonts w:ascii="Arial" w:cs="Arial" w:eastAsia="Arial" w:hAnsi="Arial"/>
                <w:sz w:val="22"/>
                <w:szCs w:val="22"/>
                <w:rtl w:val="0"/>
              </w:rPr>
              <w:t xml:space="preserve">A</w:t>
            </w:r>
          </w:p>
        </w:tc>
        <w:tc>
          <w:tcPr>
            <w:shd w:fill="00ff00" w:val="clear"/>
          </w:tcPr>
          <w:p w:rsidR="00000000" w:rsidDel="00000000" w:rsidP="00000000" w:rsidRDefault="00000000" w:rsidRPr="00000000" w14:paraId="0000018F">
            <w:pPr>
              <w:rPr>
                <w:rFonts w:ascii="Arial" w:cs="Arial" w:eastAsia="Arial" w:hAnsi="Arial"/>
                <w:sz w:val="22"/>
                <w:szCs w:val="22"/>
              </w:rPr>
            </w:pPr>
            <w:r w:rsidDel="00000000" w:rsidR="00000000" w:rsidRPr="00000000">
              <w:rPr>
                <w:rFonts w:ascii="Arial" w:cs="Arial" w:eastAsia="Arial" w:hAnsi="Arial"/>
                <w:sz w:val="22"/>
                <w:szCs w:val="22"/>
                <w:rtl w:val="0"/>
              </w:rPr>
              <w:t xml:space="preserve">R</w:t>
            </w:r>
          </w:p>
        </w:tc>
        <w:tc>
          <w:tcPr>
            <w:shd w:fill="ffff00" w:val="clear"/>
          </w:tcPr>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C</w:t>
            </w:r>
          </w:p>
        </w:tc>
        <w:tc>
          <w:tcPr>
            <w:shd w:fill="ffff00" w:val="clear"/>
          </w:tcPr>
          <w:p w:rsidR="00000000" w:rsidDel="00000000" w:rsidP="00000000" w:rsidRDefault="00000000" w:rsidRPr="00000000" w14:paraId="00000191">
            <w:pPr>
              <w:rPr>
                <w:rFonts w:ascii="Arial" w:cs="Arial" w:eastAsia="Arial" w:hAnsi="Arial"/>
                <w:sz w:val="22"/>
                <w:szCs w:val="22"/>
              </w:rPr>
            </w:pPr>
            <w:r w:rsidDel="00000000" w:rsidR="00000000" w:rsidRPr="00000000">
              <w:rPr>
                <w:rFonts w:ascii="Arial" w:cs="Arial" w:eastAsia="Arial" w:hAnsi="Arial"/>
                <w:sz w:val="22"/>
                <w:szCs w:val="22"/>
                <w:rtl w:val="0"/>
              </w:rPr>
              <w:t xml:space="preserve">C</w:t>
            </w:r>
          </w:p>
        </w:tc>
        <w:tc>
          <w:tcPr>
            <w:shd w:fill="ffff00" w:val="clear"/>
          </w:tcPr>
          <w:p w:rsidR="00000000" w:rsidDel="00000000" w:rsidP="00000000" w:rsidRDefault="00000000" w:rsidRPr="00000000" w14:paraId="00000192">
            <w:pPr>
              <w:rPr>
                <w:rFonts w:ascii="Arial" w:cs="Arial" w:eastAsia="Arial" w:hAnsi="Arial"/>
                <w:sz w:val="22"/>
                <w:szCs w:val="22"/>
              </w:rPr>
            </w:pPr>
            <w:r w:rsidDel="00000000" w:rsidR="00000000" w:rsidRPr="00000000">
              <w:rPr>
                <w:rFonts w:ascii="Arial" w:cs="Arial" w:eastAsia="Arial" w:hAnsi="Arial"/>
                <w:sz w:val="22"/>
                <w:szCs w:val="22"/>
                <w:rtl w:val="0"/>
              </w:rPr>
              <w:t xml:space="preserve">C</w:t>
            </w:r>
          </w:p>
        </w:tc>
        <w:tc>
          <w:tcPr>
            <w:shd w:fill="c27ba0" w:val="clear"/>
          </w:tcPr>
          <w:p w:rsidR="00000000" w:rsidDel="00000000" w:rsidP="00000000" w:rsidRDefault="00000000" w:rsidRPr="00000000" w14:paraId="00000193">
            <w:pPr>
              <w:rPr>
                <w:rFonts w:ascii="Arial" w:cs="Arial" w:eastAsia="Arial" w:hAnsi="Arial"/>
                <w:sz w:val="22"/>
                <w:szCs w:val="22"/>
              </w:rPr>
            </w:pPr>
            <w:r w:rsidDel="00000000" w:rsidR="00000000" w:rsidRPr="00000000">
              <w:rPr>
                <w:rFonts w:ascii="Arial" w:cs="Arial" w:eastAsia="Arial" w:hAnsi="Arial"/>
                <w:sz w:val="22"/>
                <w:szCs w:val="22"/>
                <w:rtl w:val="0"/>
              </w:rPr>
              <w:t xml:space="preserve">I</w:t>
            </w:r>
          </w:p>
        </w:tc>
      </w:tr>
      <w:tr>
        <w:trPr>
          <w:cantSplit w:val="0"/>
          <w:trHeight w:val="1138.828125" w:hRule="atLeast"/>
          <w:tblHeader w:val="0"/>
        </w:trPr>
        <w:tc>
          <w:tcPr/>
          <w:p w:rsidR="00000000" w:rsidDel="00000000" w:rsidP="00000000" w:rsidRDefault="00000000" w:rsidRPr="00000000" w14:paraId="00000194">
            <w:pPr>
              <w:rPr>
                <w:rFonts w:ascii="Arial" w:cs="Arial" w:eastAsia="Arial" w:hAnsi="Arial"/>
                <w:color w:val="073763"/>
                <w:sz w:val="22"/>
                <w:szCs w:val="22"/>
              </w:rPr>
            </w:pPr>
            <w:r w:rsidDel="00000000" w:rsidR="00000000" w:rsidRPr="00000000">
              <w:rPr>
                <w:rtl w:val="0"/>
              </w:rPr>
            </w:r>
          </w:p>
          <w:p w:rsidR="00000000" w:rsidDel="00000000" w:rsidP="00000000" w:rsidRDefault="00000000" w:rsidRPr="00000000" w14:paraId="00000195">
            <w:pPr>
              <w:rPr>
                <w:rFonts w:ascii="Arial" w:cs="Arial" w:eastAsia="Arial" w:hAnsi="Arial"/>
                <w:color w:val="0000ff"/>
              </w:rPr>
            </w:pPr>
            <w:r w:rsidDel="00000000" w:rsidR="00000000" w:rsidRPr="00000000">
              <w:rPr>
                <w:rFonts w:ascii="Arial" w:cs="Arial" w:eastAsia="Arial" w:hAnsi="Arial"/>
                <w:color w:val="0000ff"/>
                <w:rtl w:val="0"/>
              </w:rPr>
              <w:t xml:space="preserve">Note</w:t>
            </w:r>
          </w:p>
        </w:tc>
        <w:tc>
          <w:tcPr>
            <w:shd w:fill="00ff00" w:val="clear"/>
          </w:tcPr>
          <w:p w:rsidR="00000000" w:rsidDel="00000000" w:rsidP="00000000" w:rsidRDefault="00000000" w:rsidRPr="00000000" w14:paraId="00000196">
            <w:pPr>
              <w:rPr>
                <w:rFonts w:ascii="Arial" w:cs="Arial" w:eastAsia="Arial" w:hAnsi="Arial"/>
                <w:sz w:val="18"/>
                <w:szCs w:val="18"/>
              </w:rPr>
            </w:pPr>
            <w:r w:rsidDel="00000000" w:rsidR="00000000" w:rsidRPr="00000000">
              <w:rPr>
                <w:rFonts w:ascii="Arial" w:cs="Arial" w:eastAsia="Arial" w:hAnsi="Arial"/>
                <w:sz w:val="18"/>
                <w:szCs w:val="18"/>
                <w:rtl w:val="0"/>
              </w:rPr>
              <w:t xml:space="preserve">R=Responsible</w:t>
            </w:r>
          </w:p>
        </w:tc>
        <w:tc>
          <w:tcPr>
            <w:shd w:fill="6d9eeb" w:val="clear"/>
          </w:tcPr>
          <w:p w:rsidR="00000000" w:rsidDel="00000000" w:rsidP="00000000" w:rsidRDefault="00000000" w:rsidRPr="00000000" w14:paraId="00000197">
            <w:pPr>
              <w:rPr>
                <w:rFonts w:ascii="Arial" w:cs="Arial" w:eastAsia="Arial" w:hAnsi="Arial"/>
                <w:sz w:val="18"/>
                <w:szCs w:val="18"/>
              </w:rPr>
            </w:pPr>
            <w:r w:rsidDel="00000000" w:rsidR="00000000" w:rsidRPr="00000000">
              <w:rPr>
                <w:rFonts w:ascii="Arial" w:cs="Arial" w:eastAsia="Arial" w:hAnsi="Arial"/>
                <w:sz w:val="18"/>
                <w:szCs w:val="18"/>
                <w:rtl w:val="0"/>
              </w:rPr>
              <w:t xml:space="preserve">A=Accountable</w:t>
            </w:r>
          </w:p>
        </w:tc>
        <w:tc>
          <w:tcPr>
            <w:shd w:fill="ffff00" w:val="clear"/>
          </w:tcPr>
          <w:p w:rsidR="00000000" w:rsidDel="00000000" w:rsidP="00000000" w:rsidRDefault="00000000" w:rsidRPr="00000000" w14:paraId="00000198">
            <w:pPr>
              <w:rPr>
                <w:rFonts w:ascii="Arial" w:cs="Arial" w:eastAsia="Arial" w:hAnsi="Arial"/>
                <w:sz w:val="18"/>
                <w:szCs w:val="18"/>
              </w:rPr>
            </w:pPr>
            <w:r w:rsidDel="00000000" w:rsidR="00000000" w:rsidRPr="00000000">
              <w:rPr>
                <w:rFonts w:ascii="Arial" w:cs="Arial" w:eastAsia="Arial" w:hAnsi="Arial"/>
                <w:sz w:val="18"/>
                <w:szCs w:val="18"/>
                <w:rtl w:val="0"/>
              </w:rPr>
              <w:t xml:space="preserve">C=Consulted</w:t>
            </w:r>
          </w:p>
        </w:tc>
        <w:tc>
          <w:tcPr>
            <w:shd w:fill="c27ba0" w:val="clear"/>
          </w:tcPr>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sz w:val="22"/>
                <w:szCs w:val="22"/>
                <w:rtl w:val="0"/>
              </w:rPr>
              <w:t xml:space="preserve">I=Informed</w:t>
            </w:r>
          </w:p>
        </w:tc>
        <w:tc>
          <w:tcPr>
            <w:shd w:fill="ffffff" w:val="clear"/>
          </w:tcPr>
          <w:p w:rsidR="00000000" w:rsidDel="00000000" w:rsidP="00000000" w:rsidRDefault="00000000" w:rsidRPr="00000000" w14:paraId="0000019A">
            <w:pPr>
              <w:rPr>
                <w:rFonts w:ascii="Arial" w:cs="Arial" w:eastAsia="Arial" w:hAnsi="Arial"/>
                <w:sz w:val="22"/>
                <w:szCs w:val="22"/>
              </w:rPr>
            </w:pPr>
            <w:r w:rsidDel="00000000" w:rsidR="00000000" w:rsidRPr="00000000">
              <w:rPr>
                <w:rtl w:val="0"/>
              </w:rPr>
            </w:r>
          </w:p>
        </w:tc>
        <w:tc>
          <w:tcPr>
            <w:shd w:fill="ffffff" w:val="clear"/>
          </w:tcPr>
          <w:p w:rsidR="00000000" w:rsidDel="00000000" w:rsidP="00000000" w:rsidRDefault="00000000" w:rsidRPr="00000000" w14:paraId="0000019B">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9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D">
      <w:pPr>
        <w:spacing w:line="360" w:lineRule="auto"/>
        <w:rPr>
          <w:rFonts w:ascii="Arial" w:cs="Arial" w:eastAsia="Arial" w:hAnsi="Arial"/>
          <w:b w:val="1"/>
          <w:bCs w:val="1"/>
          <w:color w:val="0000ff"/>
          <w:sz w:val="22"/>
          <w:szCs w:val="22"/>
          <w:u w:val="single"/>
        </w:rPr>
      </w:pPr>
      <w:r w:rsidDel="00000000" w:rsidR="00000000" w:rsidRPr="00000000">
        <w:rPr>
          <w:rFonts w:ascii="Arial" w:cs="Arial" w:eastAsia="Arial" w:hAnsi="Arial"/>
          <w:b w:val="1"/>
          <w:bCs w:val="1"/>
          <w:color w:val="0000ff"/>
          <w:sz w:val="22"/>
          <w:szCs w:val="22"/>
          <w:u w:val="single"/>
          <w:rtl w:val="0"/>
        </w:rPr>
        <w:t xml:space="preserve">Key:</w:t>
      </w:r>
    </w:p>
    <w:p w:rsidR="00000000" w:rsidDel="00000000" w:rsidP="00000000" w:rsidRDefault="00000000" w:rsidRPr="00000000" w14:paraId="0000019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bCs w:val="0"/>
          <w:i w:val="0"/>
          <w:iCs w:val="0"/>
          <w:smallCaps w:val="0"/>
          <w:strike w:val="0"/>
          <w:color w:val="38761d"/>
          <w:sz w:val="22"/>
          <w:szCs w:val="22"/>
          <w:shd w:fill="auto" w:val="clear"/>
          <w:vertAlign w:val="baseline"/>
        </w:rPr>
      </w:pPr>
      <w:r w:rsidDel="00000000" w:rsidR="00000000" w:rsidRPr="00000000">
        <w:rPr>
          <w:rFonts w:ascii="Arial" w:cs="Arial" w:eastAsia="Arial" w:hAnsi="Arial"/>
          <w:b w:val="0"/>
          <w:bCs w:val="0"/>
          <w:i w:val="0"/>
          <w:iCs w:val="0"/>
          <w:smallCaps w:val="0"/>
          <w:strike w:val="0"/>
          <w:color w:val="38761d"/>
          <w:sz w:val="22"/>
          <w:szCs w:val="22"/>
          <w:u w:val="none"/>
          <w:shd w:fill="auto" w:val="clear"/>
          <w:vertAlign w:val="baseline"/>
          <w:rtl w:val="0"/>
        </w:rPr>
        <w:t xml:space="preserve">R – Responsible: Completes the task.</w:t>
      </w:r>
    </w:p>
    <w:p w:rsidR="00000000" w:rsidDel="00000000" w:rsidP="00000000" w:rsidRDefault="00000000" w:rsidRPr="00000000" w14:paraId="0000019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bCs w:val="0"/>
          <w:i w:val="0"/>
          <w:iCs w:val="0"/>
          <w:smallCaps w:val="0"/>
          <w:strike w:val="0"/>
          <w:color w:val="0000ff"/>
          <w:sz w:val="22"/>
          <w:szCs w:val="22"/>
          <w:shd w:fill="auto" w:val="clear"/>
          <w:vertAlign w:val="baseline"/>
        </w:rPr>
      </w:pPr>
      <w:r w:rsidDel="00000000" w:rsidR="00000000" w:rsidRPr="00000000">
        <w:rPr>
          <w:rFonts w:ascii="Arial" w:cs="Arial" w:eastAsia="Arial" w:hAnsi="Arial"/>
          <w:b w:val="0"/>
          <w:bCs w:val="0"/>
          <w:i w:val="0"/>
          <w:iCs w:val="0"/>
          <w:smallCaps w:val="0"/>
          <w:strike w:val="0"/>
          <w:color w:val="0000ff"/>
          <w:sz w:val="22"/>
          <w:szCs w:val="22"/>
          <w:u w:val="none"/>
          <w:shd w:fill="auto" w:val="clear"/>
          <w:vertAlign w:val="baseline"/>
          <w:rtl w:val="0"/>
        </w:rPr>
        <w:t xml:space="preserve">A – Accountable: Has overall ownership and final decision-making authority.</w:t>
      </w:r>
    </w:p>
    <w:p w:rsidR="00000000" w:rsidDel="00000000" w:rsidP="00000000" w:rsidRDefault="00000000" w:rsidRPr="00000000" w14:paraId="000001A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b w:val="0"/>
          <w:bCs w:val="0"/>
          <w:i w:val="0"/>
          <w:iCs w:val="0"/>
          <w:smallCaps w:val="0"/>
          <w:strike w:val="0"/>
          <w:color w:val="f1c232"/>
          <w:sz w:val="22"/>
          <w:szCs w:val="22"/>
          <w:shd w:fill="auto" w:val="clear"/>
          <w:vertAlign w:val="baseline"/>
        </w:rPr>
      </w:pPr>
      <w:r w:rsidDel="00000000" w:rsidR="00000000" w:rsidRPr="00000000">
        <w:rPr>
          <w:rFonts w:ascii="Arial" w:cs="Arial" w:eastAsia="Arial" w:hAnsi="Arial"/>
          <w:b w:val="0"/>
          <w:bCs w:val="0"/>
          <w:i w:val="0"/>
          <w:iCs w:val="0"/>
          <w:smallCaps w:val="0"/>
          <w:strike w:val="0"/>
          <w:color w:val="f1c232"/>
          <w:sz w:val="22"/>
          <w:szCs w:val="22"/>
          <w:u w:val="none"/>
          <w:shd w:fill="auto" w:val="clear"/>
          <w:vertAlign w:val="baseline"/>
          <w:rtl w:val="0"/>
        </w:rPr>
        <w:t xml:space="preserve">C – Consulted: Provides specialist knowledge or advice before decisions are made.</w:t>
      </w:r>
    </w:p>
    <w:p w:rsidR="00000000" w:rsidDel="00000000" w:rsidP="00000000" w:rsidRDefault="00000000" w:rsidRPr="00000000" w14:paraId="000001A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b w:val="0"/>
          <w:bCs w:val="0"/>
          <w:i w:val="0"/>
          <w:iCs w:val="0"/>
          <w:smallCaps w:val="0"/>
          <w:strike w:val="0"/>
          <w:color w:val="d76dcc"/>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d76dcc"/>
          <w:sz w:val="22"/>
          <w:szCs w:val="22"/>
          <w:u w:val="none"/>
          <w:shd w:fill="auto" w:val="clear"/>
          <w:vertAlign w:val="baseline"/>
          <w:rtl w:val="0"/>
        </w:rPr>
        <w:t xml:space="preserve">I –</w:t>
      </w:r>
      <w:r w:rsidDel="00000000" w:rsidR="00000000" w:rsidRPr="00000000">
        <w:rPr>
          <w:rFonts w:ascii="Arial" w:cs="Arial" w:eastAsia="Arial" w:hAnsi="Arial"/>
          <w:b w:val="0"/>
          <w:bCs w:val="0"/>
          <w:i w:val="0"/>
          <w:iCs w:val="0"/>
          <w:smallCaps w:val="0"/>
          <w:strike w:val="0"/>
          <w:color w:val="a64d79"/>
          <w:sz w:val="22"/>
          <w:szCs w:val="22"/>
          <w:u w:val="none"/>
          <w:shd w:fill="auto" w:val="clear"/>
          <w:vertAlign w:val="baseline"/>
          <w:rtl w:val="0"/>
        </w:rPr>
        <w:t xml:space="preserve"> Informed: Receives updates on progress but is not directly responsible for completing the activity.</w:t>
      </w:r>
      <w:r w:rsidDel="00000000" w:rsidR="00000000" w:rsidRPr="00000000">
        <w:rPr>
          <w:rtl w:val="0"/>
        </w:rPr>
      </w:r>
    </w:p>
    <w:p w:rsidR="00000000" w:rsidDel="00000000" w:rsidP="00000000" w:rsidRDefault="00000000" w:rsidRPr="00000000" w14:paraId="000001A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RACI Matrix provides Marks &amp; Spencer with a clear structure for managing stakeholder responsibilities throughout the implementation of ConnectPlus. However, responsibility alone does not guarantee successful stakeholder engagement. Harrison and St. John (1996) argue that organisations should also recognise the importance of communication and relationship management, particularly where projects involve multiple stakeholder groups with differing priorities. Consequently, the RACI Matrix should be viewed as a practical management tool that complements, rather than replaces, ongoing stakeholder engagement.</w:t>
      </w:r>
    </w:p>
    <w:p w:rsidR="00000000" w:rsidDel="00000000" w:rsidP="00000000" w:rsidRDefault="00000000" w:rsidRPr="00000000" w14:paraId="000001A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4">
      <w:pPr>
        <w:spacing w:line="360" w:lineRule="auto"/>
        <w:rPr>
          <w:rFonts w:ascii="Arial" w:cs="Arial" w:eastAsia="Arial" w:hAnsi="Arial"/>
          <w:color w:val="073763"/>
        </w:rPr>
      </w:pPr>
      <w:r w:rsidDel="00000000" w:rsidR="00000000" w:rsidRPr="00000000">
        <w:rPr>
          <w:rFonts w:ascii="Arial" w:cs="Arial" w:eastAsia="Arial" w:hAnsi="Arial"/>
          <w:color w:val="073763"/>
          <w:rtl w:val="0"/>
        </w:rPr>
        <w:t xml:space="preserve">5.4 Managing Stakeholder Conflict</w:t>
      </w:r>
    </w:p>
    <w:p w:rsidR="00000000" w:rsidDel="00000000" w:rsidP="00000000" w:rsidRDefault="00000000" w:rsidRPr="00000000" w14:paraId="000001A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Introducing ConnectPlus is likely to create differing stakeholder priorities throughout the project. While shareholders may focus on financial returns, customers are more likely to prioritise privacy and personalised experiences. Employees may require additional training and reassurance regarding AI technologies, whereas regulators are primarily concerned with legal compliance and responsible data management. These competing expectations have the potential to create conflict if they are not managed effectively.</w:t>
      </w:r>
    </w:p>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Thomas and Kilmann (1974) suggest that conflict should not always be viewed negatively, as constructive disagreement may encourage innovation and improve organisational decision-making when managed appropriately. Rather than avoiding conflict, Marks &amp; Spencer should establish clear communication channels, encourage regular stakeholder feedback and promote collaborative problem-solving throughout the implementation of ConnectPlus. Similarly, Savage et al. (1991) argue that organisations should adopt different management strategies depending on stakeholder behaviour rather than assuming every stakeholder requires the same approach. For example, highly supportive stakeholders may benefit from collaborative involvement, whereas stakeholders expressing concern about AI or data privacy may require greater consultation and reassurance. This reinforces the importance of tailoring stakeholder engagement to different groups rather than relying upon a standardised communication strategy.</w:t>
      </w:r>
    </w:p>
    <w:p w:rsidR="00000000" w:rsidDel="00000000" w:rsidP="00000000" w:rsidRDefault="00000000" w:rsidRPr="00000000" w14:paraId="000001A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practical example may involve customer concerns surrounding the collection and use of personal data. Rather than responding only after complaints arise, Marks &amp; Spencer could proactively explain how customer information is collected, protected and used to generate personalised rewards. This approach may improve transparency while strengthening trust in the platform. Similarly, involving employees during pilot testing may reduce resistance to organisational change by allowing concerns to be identified before the full rollout of ConnectPlus.</w:t>
      </w:r>
    </w:p>
    <w:p w:rsidR="00000000" w:rsidDel="00000000" w:rsidP="00000000" w:rsidRDefault="00000000" w:rsidRPr="00000000" w14:paraId="000001A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Overall, stakeholder conflict should be viewed as an opportunity to improve decision-making rather than simply as a project risk. Organisations that actively listen to stakeholder concerns and respond transparently are often better positioned to build long-term trust and maintain positive stakeholder relationships (Ashcroft, 2017).</w:t>
      </w:r>
    </w:p>
    <w:p w:rsidR="00000000" w:rsidDel="00000000" w:rsidP="00000000" w:rsidRDefault="00000000" w:rsidRPr="00000000" w14:paraId="000001A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A">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6.0 The Impact of Sustainable Stakeholder Engagement</w:t>
      </w:r>
    </w:p>
    <w:p w:rsidR="00000000" w:rsidDel="00000000" w:rsidP="00000000" w:rsidRDefault="00000000" w:rsidRPr="00000000" w14:paraId="000001AB">
      <w:pPr>
        <w:spacing w:line="360" w:lineRule="auto"/>
        <w:rPr>
          <w:rFonts w:ascii="Arial" w:cs="Arial" w:eastAsia="Arial" w:hAnsi="Arial"/>
          <w:b w:val="1"/>
          <w:bCs w:val="1"/>
          <w:color w:val="ff0000"/>
        </w:rPr>
      </w:pPr>
      <w:r w:rsidDel="00000000" w:rsidR="00000000" w:rsidRPr="00000000">
        <w:rPr>
          <w:rtl w:val="0"/>
        </w:rPr>
      </w:r>
    </w:p>
    <w:p w:rsidR="00000000" w:rsidDel="00000000" w:rsidP="00000000" w:rsidRDefault="00000000" w:rsidRPr="00000000" w14:paraId="000001A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Sustainable stakeholder engagement has become increasingly important as organisations face growing expectations to balance commercial success with social responsibility, ethical governance and environmental sustainability. Rather than viewing stakeholder engagement as a short-term activity, organisations are increasingly expected to develop long-term relationships built on trust, transparency and shared value. This approach aligns closely with Marks &amp; Spencer’s Plan A sustainability strategy, which reflects the company’s commitment to responsible business practices alongside continued commercial growth (Marks &amp; Spencer, 2025). Marks &amp; Spencer’s Plan A strategy also reinforces the importance of balancing commercial success with environmental and social responsibility. Although ConnectPlus primarily focuses on customer engagement, its implementation should remain consistent with the organisation’s wider sustainability commitments by promoting transparency, responsible innovation and ethical data management.</w:t>
      </w:r>
    </w:p>
    <w:p w:rsidR="00000000" w:rsidDel="00000000" w:rsidP="00000000" w:rsidRDefault="00000000" w:rsidRPr="00000000" w14:paraId="000001A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Stakeholder engagement may be particularly important during the implementation of ConnectPlus because the platform relies on customers willingly sharing personal information in exchange for more personalised shopping experiences. If customers question how their data is collected or used, confidence in the platform could decline regardless of the quality of the technology itself. Greenwood (2007) argues that genuine stakeholder engagement should move beyond simply managing organisational reputation and instead focus on creating meaningful dialogue between organisations and their stakeholders. This perspective may be especially relevant for ConnectPlus, where maintaining customer trust is likely to influence long-term adoption and continued engagement.</w:t>
      </w:r>
    </w:p>
    <w:p w:rsidR="00000000" w:rsidDel="00000000" w:rsidP="00000000" w:rsidRDefault="00000000" w:rsidRPr="00000000" w14:paraId="000001A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From an employee perspective, sustainable engagement may also improve organisational performance. Employees who understand the purpose of organisational change and feel involved in decision-making are often more willing to adopt new systems and contribute towards continuous improvement. Harrison and Wicks (2013) suggest that organisations create greater value when they recognise and respond to the different interests of stakeholder groups rather than concentrating exclusively on shareholder returns. For Marks &amp; Spencer, encouraging employees to share feedback throughout the implementation of ConnectPlus may improve both customer service and the overall effectiveness of the platform.</w:t>
      </w:r>
    </w:p>
    <w:p w:rsidR="00000000" w:rsidDel="00000000" w:rsidP="00000000" w:rsidRDefault="00000000" w:rsidRPr="00000000" w14:paraId="000001A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Sustainable stakeholder engagement may also strengthen innovation. Customers regularly provide valuable insights into changing shopping behaviours, product preferences and digital expectations. By using this feedback responsibly, Marks &amp; Spencer could continue refining ConnectPlus after its initial launch rather than viewing implementation as a completed project. This reflects Christopher, Payne and Ballantyne’s (2013) view that long-term relationships encourage organisations to create value collaboratively with stakeholders instead of delivering value to them. In practice, customer feedback may influence future AI recommendations, reward structures and accessibility features, allowing the platform to evolve alongside stakeholder needs.</w:t>
      </w:r>
    </w:p>
    <w:p w:rsidR="00000000" w:rsidDel="00000000" w:rsidP="00000000" w:rsidRDefault="00000000" w:rsidRPr="00000000" w14:paraId="000001B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However, maintaining sustainable stakeholder relationships is not without challenges. Public concern surrounding artificial intelligence has increased significantly in recent years, particularly regarding data privacy, algorithmic bias and transparency. Customers are becoming more aware of how organisations collect and process personal information, while regulators continue to strengthen expectations around responsible AI governance. Consequently, Marks &amp; Spencer should ensure ConnectPlus complies with UK GDPR and emerging AI regulations while communicating these safeguards clearly to stakeholders. Although legal compliance is essential, trust is unlikely to develop through regulation alone. Instead, it may depend upon consistent communication, ethical leadership and a willingness to respond to stakeholder concerns throughout the life of the project.</w:t>
      </w:r>
    </w:p>
    <w:p w:rsidR="00000000" w:rsidDel="00000000" w:rsidP="00000000" w:rsidRDefault="00000000" w:rsidRPr="00000000" w14:paraId="000001B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Overall, sustainable stakeholder engagement should not be viewed simply as a mechanism for reducing project risk. It may also provide Marks &amp; Spencer with a competitive advantage by strengthening customer loyalty, encouraging innovation and supporting responsible organisational growth. While implementing ConnectPlus will inevitably present challenges, organisations that invest in long-term stakeholder relationships are often better positioned to adapt to changing market conditions and maintain stakeholder confidence over time (Ashcroft, 2017).</w:t>
      </w:r>
    </w:p>
    <w:p w:rsidR="00000000" w:rsidDel="00000000" w:rsidP="00000000" w:rsidRDefault="00000000" w:rsidRPr="00000000" w14:paraId="000001B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3">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7.0 Recommendations</w:t>
      </w:r>
    </w:p>
    <w:p w:rsidR="00000000" w:rsidDel="00000000" w:rsidP="00000000" w:rsidRDefault="00000000" w:rsidRPr="00000000" w14:paraId="000001B4">
      <w:pPr>
        <w:spacing w:line="360" w:lineRule="auto"/>
        <w:rPr>
          <w:rFonts w:ascii="Arial" w:cs="Arial" w:eastAsia="Arial" w:hAnsi="Arial"/>
          <w:b w:val="1"/>
          <w:bCs w:val="1"/>
          <w:color w:val="ff0000"/>
        </w:rPr>
      </w:pPr>
      <w:r w:rsidDel="00000000" w:rsidR="00000000" w:rsidRPr="00000000">
        <w:rPr>
          <w:rtl w:val="0"/>
        </w:rPr>
      </w:r>
    </w:p>
    <w:p w:rsidR="00000000" w:rsidDel="00000000" w:rsidP="00000000" w:rsidRDefault="00000000" w:rsidRPr="00000000" w14:paraId="000001B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Based on the findings of this report, several recommendations are proposed to support the successful implementation of ConnectPlus at Marks &amp; Spencer.</w:t>
      </w:r>
    </w:p>
    <w:p w:rsidR="00000000" w:rsidDel="00000000" w:rsidP="00000000" w:rsidRDefault="00000000" w:rsidRPr="00000000" w14:paraId="000001B6">
      <w:pPr>
        <w:spacing w:line="360" w:lineRule="auto"/>
        <w:rPr>
          <w:rFonts w:ascii="Arial" w:cs="Arial" w:eastAsia="Arial" w:hAnsi="Arial"/>
          <w:b w:val="1"/>
          <w:bCs w:val="1"/>
          <w:color w:val="073763"/>
          <w:highlight w:val="yellow"/>
          <w:u w:val="single"/>
        </w:rPr>
      </w:pPr>
      <w:r w:rsidDel="00000000" w:rsidR="00000000" w:rsidRPr="00000000">
        <w:rPr>
          <w:rFonts w:ascii="Arial" w:cs="Arial" w:eastAsia="Arial" w:hAnsi="Arial"/>
          <w:b w:val="1"/>
          <w:bCs w:val="1"/>
          <w:color w:val="073763"/>
          <w:highlight w:val="yellow"/>
          <w:u w:val="single"/>
          <w:rtl w:val="0"/>
        </w:rPr>
        <w:t xml:space="preserve">Recommendation 1: Introduce ConnectPlus through a phased launch </w:t>
      </w:r>
    </w:p>
    <w:p w:rsidR="00000000" w:rsidDel="00000000" w:rsidP="00000000" w:rsidRDefault="00000000" w:rsidRPr="00000000" w14:paraId="000001B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Rather than launching ConnectPlus across all UK stores simultaneously, Marks &amp; Spencer should introduce the platform in selected regions before a nationwide rollout. A phased approach may allow the organisation to gather customer and employee feedback, identify technical issues and refine AI features before full implementation. This may reduce project risks while improving stakeholder confidence throughout the launch.</w:t>
      </w:r>
    </w:p>
    <w:p w:rsidR="00000000" w:rsidDel="00000000" w:rsidP="00000000" w:rsidRDefault="00000000" w:rsidRPr="00000000" w14:paraId="000001B8">
      <w:pPr>
        <w:spacing w:line="360" w:lineRule="auto"/>
        <w:rPr>
          <w:rFonts w:ascii="Arial" w:cs="Arial" w:eastAsia="Arial" w:hAnsi="Arial"/>
          <w:b w:val="1"/>
          <w:bCs w:val="1"/>
          <w:color w:val="073763"/>
          <w:highlight w:val="yellow"/>
          <w:u w:val="single"/>
        </w:rPr>
      </w:pPr>
      <w:r w:rsidDel="00000000" w:rsidR="00000000" w:rsidRPr="00000000">
        <w:rPr>
          <w:rFonts w:ascii="Arial" w:cs="Arial" w:eastAsia="Arial" w:hAnsi="Arial"/>
          <w:b w:val="1"/>
          <w:bCs w:val="1"/>
          <w:color w:val="073763"/>
          <w:highlight w:val="yellow"/>
          <w:u w:val="single"/>
          <w:rtl w:val="0"/>
        </w:rPr>
        <w:t xml:space="preserve">Recommendation 2: Invest in employee training and digital capability</w:t>
      </w:r>
    </w:p>
    <w:p w:rsidR="00000000" w:rsidDel="00000000" w:rsidP="00000000" w:rsidRDefault="00000000" w:rsidRPr="00000000" w14:paraId="000001B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Employees will play an important role in encouraging customers to adopt ConnectPlus and answering questions about its features. Consequently, Marks &amp; Spencer should provide practical training that improves employees’ understanding of artificial intelligence, customer data protection and the functionality of the platform. Well-informed employees are more likely to deliver consistent customer experiences and contribute valuable feedback for future improvements.</w:t>
      </w:r>
    </w:p>
    <w:p w:rsidR="00000000" w:rsidDel="00000000" w:rsidP="00000000" w:rsidRDefault="00000000" w:rsidRPr="00000000" w14:paraId="000001BA">
      <w:pPr>
        <w:spacing w:line="360" w:lineRule="auto"/>
        <w:rPr>
          <w:rFonts w:ascii="Arial" w:cs="Arial" w:eastAsia="Arial" w:hAnsi="Arial"/>
          <w:b w:val="1"/>
          <w:bCs w:val="1"/>
          <w:color w:val="073763"/>
          <w:highlight w:val="yellow"/>
          <w:u w:val="single"/>
        </w:rPr>
      </w:pPr>
      <w:r w:rsidDel="00000000" w:rsidR="00000000" w:rsidRPr="00000000">
        <w:rPr>
          <w:rFonts w:ascii="Arial" w:cs="Arial" w:eastAsia="Arial" w:hAnsi="Arial"/>
          <w:b w:val="1"/>
          <w:bCs w:val="1"/>
          <w:color w:val="073763"/>
          <w:highlight w:val="yellow"/>
          <w:u w:val="single"/>
          <w:rtl w:val="0"/>
        </w:rPr>
        <w:t xml:space="preserve">Recommendation 3: Strengthen transparency around AI and customer data</w:t>
      </w:r>
    </w:p>
    <w:p w:rsidR="00000000" w:rsidDel="00000000" w:rsidP="00000000" w:rsidRDefault="00000000" w:rsidRPr="00000000" w14:paraId="000001B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As concerns surrounding artificial intelligence and personal data continue to grow, Marks &amp; Spencer should communicate clearly how customer information is collected, stored and used within ConnectPlus. Providing simple privacy notices, accessible FAQs and regular updates may help build customer trust while demonstrating the organisation’s commitment to responsible and ethical use of AI.</w:t>
      </w:r>
    </w:p>
    <w:p w:rsidR="00000000" w:rsidDel="00000000" w:rsidP="00000000" w:rsidRDefault="00000000" w:rsidRPr="00000000" w14:paraId="000001BC">
      <w:pPr>
        <w:spacing w:line="360" w:lineRule="auto"/>
        <w:rPr>
          <w:rFonts w:ascii="Arial" w:cs="Arial" w:eastAsia="Arial" w:hAnsi="Arial"/>
          <w:b w:val="1"/>
          <w:bCs w:val="1"/>
          <w:color w:val="073763"/>
          <w:highlight w:val="yellow"/>
          <w:u w:val="single"/>
        </w:rPr>
      </w:pPr>
      <w:r w:rsidDel="00000000" w:rsidR="00000000" w:rsidRPr="00000000">
        <w:rPr>
          <w:rFonts w:ascii="Arial" w:cs="Arial" w:eastAsia="Arial" w:hAnsi="Arial"/>
          <w:b w:val="1"/>
          <w:bCs w:val="1"/>
          <w:color w:val="073763"/>
          <w:highlight w:val="yellow"/>
          <w:u w:val="single"/>
          <w:rtl w:val="0"/>
        </w:rPr>
        <w:t xml:space="preserve">Recommendation 4: Establish continuous stakeholder feedback mechanisms</w:t>
      </w:r>
    </w:p>
    <w:p w:rsidR="00000000" w:rsidDel="00000000" w:rsidP="00000000" w:rsidRDefault="00000000" w:rsidRPr="00000000" w14:paraId="000001B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Stakeholder engagement should continue beyond the initial launch of ConnectPlus. Marks &amp; Spencer should regularly collect feedback from customers, employees, technology partners and other key stakeholders through surveys, focus groups and performance reviews. This may help identify emerging issues, improve future updates and ensure the platform continues to meet changing stakeholder expectations.</w:t>
      </w:r>
      <w:r w:rsidDel="00000000" w:rsidR="00000000" w:rsidRPr="00000000">
        <w:br w:type="page"/>
      </w:r>
      <w:r w:rsidDel="00000000" w:rsidR="00000000" w:rsidRPr="00000000">
        <w:rPr>
          <w:rtl w:val="0"/>
        </w:rPr>
      </w:r>
    </w:p>
    <w:p w:rsidR="00000000" w:rsidDel="00000000" w:rsidP="00000000" w:rsidRDefault="00000000" w:rsidRPr="00000000" w14:paraId="000001B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F">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8.0 Conclusion</w:t>
      </w:r>
    </w:p>
    <w:p w:rsidR="00000000" w:rsidDel="00000000" w:rsidP="00000000" w:rsidRDefault="00000000" w:rsidRPr="00000000" w14:paraId="000001C0">
      <w:pPr>
        <w:spacing w:line="360" w:lineRule="auto"/>
        <w:rPr>
          <w:rFonts w:ascii="Arial" w:cs="Arial" w:eastAsia="Arial" w:hAnsi="Arial"/>
          <w:b w:val="1"/>
          <w:bCs w:val="1"/>
          <w:color w:val="ff0000"/>
        </w:rPr>
      </w:pPr>
      <w:r w:rsidDel="00000000" w:rsidR="00000000" w:rsidRPr="00000000">
        <w:rPr>
          <w:rtl w:val="0"/>
        </w:rPr>
      </w:r>
    </w:p>
    <w:p w:rsidR="00000000" w:rsidDel="00000000" w:rsidP="00000000" w:rsidRDefault="00000000" w:rsidRPr="00000000" w14:paraId="000001C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report has explored how effective stakeholder engagement may support the successful implementation of ConnectPlus, an AI-powered enhancement to Marks &amp; Spencer’s existing Sparks loyalty programme. By applying stakeholder management frameworks, including Stakeholder Theory, the Power–Interest Matrix, the Stakeholder Salience Model, the 4Cs approach and the RACI Matrix, the report has demonstrated that successful digital transformation depends upon more than technological innovation alone. Building and maintaining strong stakeholder relationships is equally important.</w:t>
      </w:r>
    </w:p>
    <w:p w:rsidR="00000000" w:rsidDel="00000000" w:rsidP="00000000" w:rsidRDefault="00000000" w:rsidRPr="00000000" w14:paraId="000001C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findings suggest that different stakeholder groups have different expectations and levels of influence throughout the project. Consequently, Marks &amp; Spencer should adopt a flexible approach to stakeholder management by combining structured communication, meaningful consultation and ongoing collaboration. While challenges relating to artificial intelligence, data privacy and organisational change are likely to arise, these may be reduced through transparent leadership, employee engagement and responsible decision-making.</w:t>
      </w:r>
    </w:p>
    <w:p w:rsidR="00000000" w:rsidDel="00000000" w:rsidP="00000000" w:rsidRDefault="00000000" w:rsidRPr="00000000" w14:paraId="000001C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Overall, ConnectPlus has the potential to strengthen customer loyalty, support innovation and contribute to Marks &amp; Spencer’s long-term digital strategy. However, these outcomes are likely to be achieved only if stakeholder engagement remains a continuous process rather than a one-off activity. Developing long-term, trust-based relationships with stakeholders may therefore become one of the most significant factors influencing the future success of ConnectPlus.</w:t>
      </w:r>
    </w:p>
    <w:p w:rsidR="00000000" w:rsidDel="00000000" w:rsidP="00000000" w:rsidRDefault="00000000" w:rsidRPr="00000000" w14:paraId="000001C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7">
      <w:pPr>
        <w:spacing w:line="360" w:lineRule="auto"/>
        <w:rPr>
          <w:rFonts w:ascii="Arial" w:cs="Arial" w:eastAsia="Arial" w:hAnsi="Arial"/>
          <w:b w:val="1"/>
          <w:bCs w:val="1"/>
          <w:color w:val="0000ff"/>
        </w:rPr>
      </w:pPr>
      <w:r w:rsidDel="00000000" w:rsidR="00000000" w:rsidRPr="00000000">
        <w:rPr>
          <w:rFonts w:ascii="Arial" w:cs="Arial" w:eastAsia="Arial" w:hAnsi="Arial"/>
          <w:b w:val="1"/>
          <w:bCs w:val="1"/>
          <w:color w:val="0000ff"/>
          <w:rtl w:val="0"/>
        </w:rPr>
        <w:t xml:space="preserve">References</w:t>
      </w:r>
    </w:p>
    <w:p w:rsidR="00000000" w:rsidDel="00000000" w:rsidP="00000000" w:rsidRDefault="00000000" w:rsidRPr="00000000" w14:paraId="000001C8">
      <w:pPr>
        <w:spacing w:line="360" w:lineRule="auto"/>
        <w:rPr>
          <w:rFonts w:ascii="Arial" w:cs="Arial" w:eastAsia="Arial" w:hAnsi="Arial"/>
          <w:b w:val="1"/>
          <w:bCs w:val="1"/>
          <w:color w:val="ff0000"/>
        </w:rPr>
      </w:pPr>
      <w:r w:rsidDel="00000000" w:rsidR="00000000" w:rsidRPr="00000000">
        <w:rPr>
          <w:rtl w:val="0"/>
        </w:rPr>
      </w:r>
    </w:p>
    <w:p w:rsidR="00000000" w:rsidDel="00000000" w:rsidP="00000000" w:rsidRDefault="00000000" w:rsidRPr="00000000" w14:paraId="000001C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Aaltonen, K. and Kujala, J. (2016) ‘Towards an improved understanding of project stakeholder landscapes’, </w:t>
      </w:r>
      <w:r w:rsidDel="00000000" w:rsidR="00000000" w:rsidRPr="00000000">
        <w:rPr>
          <w:rFonts w:ascii="Arial" w:cs="Arial" w:eastAsia="Arial" w:hAnsi="Arial"/>
          <w:i w:val="1"/>
          <w:iCs w:val="1"/>
          <w:sz w:val="22"/>
          <w:szCs w:val="22"/>
          <w:rtl w:val="0"/>
        </w:rPr>
        <w:t xml:space="preserve">International Journal of Project Management</w:t>
      </w:r>
      <w:r w:rsidDel="00000000" w:rsidR="00000000" w:rsidRPr="00000000">
        <w:rPr>
          <w:rFonts w:ascii="Arial" w:cs="Arial" w:eastAsia="Arial" w:hAnsi="Arial"/>
          <w:sz w:val="22"/>
          <w:szCs w:val="22"/>
          <w:rtl w:val="0"/>
        </w:rPr>
        <w:t xml:space="preserve">, 34(8), pp. 1537–1552.</w:t>
      </w:r>
    </w:p>
    <w:p w:rsidR="00000000" w:rsidDel="00000000" w:rsidP="00000000" w:rsidRDefault="00000000" w:rsidRPr="00000000" w14:paraId="000001C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Ashcroft, J. (2017) </w:t>
      </w:r>
      <w:r w:rsidDel="00000000" w:rsidR="00000000" w:rsidRPr="00000000">
        <w:rPr>
          <w:rFonts w:ascii="Arial" w:cs="Arial" w:eastAsia="Arial" w:hAnsi="Arial"/>
          <w:i w:val="1"/>
          <w:iCs w:val="1"/>
          <w:sz w:val="22"/>
          <w:szCs w:val="22"/>
          <w:rtl w:val="0"/>
        </w:rPr>
        <w:t xml:space="preserve">The Relational Lens: Understanding, Measuring, and Managing Stakeholder Relationships</w:t>
      </w:r>
      <w:r w:rsidDel="00000000" w:rsidR="00000000" w:rsidRPr="00000000">
        <w:rPr>
          <w:rFonts w:ascii="Arial" w:cs="Arial" w:eastAsia="Arial" w:hAnsi="Arial"/>
          <w:sz w:val="22"/>
          <w:szCs w:val="22"/>
          <w:rtl w:val="0"/>
        </w:rPr>
        <w:t xml:space="preserve">. Cambridge: Cambridge University Press.</w:t>
      </w:r>
    </w:p>
    <w:p w:rsidR="00000000" w:rsidDel="00000000" w:rsidP="00000000" w:rsidRDefault="00000000" w:rsidRPr="00000000" w14:paraId="000001C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Bourne, L. (2015) </w:t>
      </w:r>
      <w:r w:rsidDel="00000000" w:rsidR="00000000" w:rsidRPr="00000000">
        <w:rPr>
          <w:rFonts w:ascii="Arial" w:cs="Arial" w:eastAsia="Arial" w:hAnsi="Arial"/>
          <w:i w:val="1"/>
          <w:iCs w:val="1"/>
          <w:sz w:val="22"/>
          <w:szCs w:val="22"/>
          <w:rtl w:val="0"/>
        </w:rPr>
        <w:t xml:space="preserve">Stakeholder Relationship Management: A Maturity Model for Organisational Implementation</w:t>
      </w:r>
      <w:r w:rsidDel="00000000" w:rsidR="00000000" w:rsidRPr="00000000">
        <w:rPr>
          <w:rFonts w:ascii="Arial" w:cs="Arial" w:eastAsia="Arial" w:hAnsi="Arial"/>
          <w:sz w:val="22"/>
          <w:szCs w:val="22"/>
          <w:rtl w:val="0"/>
        </w:rPr>
        <w:t xml:space="preserve">. Farnham: Gower.</w:t>
      </w:r>
    </w:p>
    <w:p w:rsidR="00000000" w:rsidDel="00000000" w:rsidP="00000000" w:rsidRDefault="00000000" w:rsidRPr="00000000" w14:paraId="000001C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Bryson, J.M. (2004) ‘What to do when stakeholders matter: Stakeholder identification and analysis techniques’, </w:t>
      </w:r>
      <w:r w:rsidDel="00000000" w:rsidR="00000000" w:rsidRPr="00000000">
        <w:rPr>
          <w:rFonts w:ascii="Arial" w:cs="Arial" w:eastAsia="Arial" w:hAnsi="Arial"/>
          <w:i w:val="1"/>
          <w:iCs w:val="1"/>
          <w:sz w:val="22"/>
          <w:szCs w:val="22"/>
          <w:rtl w:val="0"/>
        </w:rPr>
        <w:t xml:space="preserve">Public Management Review</w:t>
      </w:r>
      <w:r w:rsidDel="00000000" w:rsidR="00000000" w:rsidRPr="00000000">
        <w:rPr>
          <w:rFonts w:ascii="Arial" w:cs="Arial" w:eastAsia="Arial" w:hAnsi="Arial"/>
          <w:sz w:val="22"/>
          <w:szCs w:val="22"/>
          <w:rtl w:val="0"/>
        </w:rPr>
        <w:t xml:space="preserve">, 6(1), pp. 21–53.</w:t>
      </w:r>
    </w:p>
    <w:p w:rsidR="00000000" w:rsidDel="00000000" w:rsidP="00000000" w:rsidRDefault="00000000" w:rsidRPr="00000000" w14:paraId="000001C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Christopher, M., Payne, A. and Ballantyne, D. (2013) </w:t>
      </w:r>
      <w:r w:rsidDel="00000000" w:rsidR="00000000" w:rsidRPr="00000000">
        <w:rPr>
          <w:rFonts w:ascii="Arial" w:cs="Arial" w:eastAsia="Arial" w:hAnsi="Arial"/>
          <w:i w:val="1"/>
          <w:iCs w:val="1"/>
          <w:sz w:val="22"/>
          <w:szCs w:val="22"/>
          <w:rtl w:val="0"/>
        </w:rPr>
        <w:t xml:space="preserve">Relationship Marketing: Creating Stakeholder Value</w:t>
      </w:r>
      <w:r w:rsidDel="00000000" w:rsidR="00000000" w:rsidRPr="00000000">
        <w:rPr>
          <w:rFonts w:ascii="Arial" w:cs="Arial" w:eastAsia="Arial" w:hAnsi="Arial"/>
          <w:sz w:val="22"/>
          <w:szCs w:val="22"/>
          <w:rtl w:val="0"/>
        </w:rPr>
        <w:t xml:space="preserve">. 2</w:t>
      </w:r>
      <w:r w:rsidDel="00000000" w:rsidR="00000000" w:rsidRPr="00000000">
        <w:rPr>
          <w:rFonts w:ascii="Arial" w:cs="Arial" w:eastAsia="Arial" w:hAnsi="Arial"/>
          <w:sz w:val="22"/>
          <w:szCs w:val="22"/>
          <w:vertAlign w:val="superscript"/>
          <w:rtl w:val="0"/>
        </w:rPr>
        <w:t xml:space="preserve">nd</w:t>
      </w:r>
      <w:r w:rsidDel="00000000" w:rsidR="00000000" w:rsidRPr="00000000">
        <w:rPr>
          <w:rFonts w:ascii="Arial" w:cs="Arial" w:eastAsia="Arial" w:hAnsi="Arial"/>
          <w:sz w:val="22"/>
          <w:szCs w:val="22"/>
          <w:rtl w:val="0"/>
        </w:rPr>
        <w:t xml:space="preserve"> edition. Abingdon: Routledge.</w:t>
      </w:r>
    </w:p>
    <w:p w:rsidR="00000000" w:rsidDel="00000000" w:rsidP="00000000" w:rsidRDefault="00000000" w:rsidRPr="00000000" w14:paraId="000001C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Clarkson, M.B.E. (1995) ‘A stakeholder framework for analysing and evaluating corporate social performance’, </w:t>
      </w:r>
      <w:r w:rsidDel="00000000" w:rsidR="00000000" w:rsidRPr="00000000">
        <w:rPr>
          <w:rFonts w:ascii="Arial" w:cs="Arial" w:eastAsia="Arial" w:hAnsi="Arial"/>
          <w:i w:val="1"/>
          <w:iCs w:val="1"/>
          <w:sz w:val="22"/>
          <w:szCs w:val="22"/>
          <w:rtl w:val="0"/>
        </w:rPr>
        <w:t xml:space="preserve">Academy of Management Review</w:t>
      </w:r>
      <w:r w:rsidDel="00000000" w:rsidR="00000000" w:rsidRPr="00000000">
        <w:rPr>
          <w:rFonts w:ascii="Arial" w:cs="Arial" w:eastAsia="Arial" w:hAnsi="Arial"/>
          <w:sz w:val="22"/>
          <w:szCs w:val="22"/>
          <w:rtl w:val="0"/>
        </w:rPr>
        <w:t xml:space="preserve">, 20(1), pp. 92–117.</w:t>
      </w:r>
    </w:p>
    <w:p w:rsidR="00000000" w:rsidDel="00000000" w:rsidP="00000000" w:rsidRDefault="00000000" w:rsidRPr="00000000" w14:paraId="000001C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Donaldson, T. and Preston, L.E. (1995) ‘The stakeholder theory of the corporation: Concepts, evidence and implications’, </w:t>
      </w:r>
      <w:r w:rsidDel="00000000" w:rsidR="00000000" w:rsidRPr="00000000">
        <w:rPr>
          <w:rFonts w:ascii="Arial" w:cs="Arial" w:eastAsia="Arial" w:hAnsi="Arial"/>
          <w:i w:val="1"/>
          <w:iCs w:val="1"/>
          <w:sz w:val="22"/>
          <w:szCs w:val="22"/>
          <w:rtl w:val="0"/>
        </w:rPr>
        <w:t xml:space="preserve">Academy of Management Review</w:t>
      </w:r>
      <w:r w:rsidDel="00000000" w:rsidR="00000000" w:rsidRPr="00000000">
        <w:rPr>
          <w:rFonts w:ascii="Arial" w:cs="Arial" w:eastAsia="Arial" w:hAnsi="Arial"/>
          <w:sz w:val="22"/>
          <w:szCs w:val="22"/>
          <w:rtl w:val="0"/>
        </w:rPr>
        <w:t xml:space="preserve">, 20(1), pp. 65–91.</w:t>
      </w:r>
    </w:p>
    <w:p w:rsidR="00000000" w:rsidDel="00000000" w:rsidP="00000000" w:rsidRDefault="00000000" w:rsidRPr="00000000" w14:paraId="000001D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Doran, G.T. (1981) ‘There’s a S.M.A.R.T. way to write management’s goals and objectives’, </w:t>
      </w:r>
      <w:r w:rsidDel="00000000" w:rsidR="00000000" w:rsidRPr="00000000">
        <w:rPr>
          <w:rFonts w:ascii="Arial" w:cs="Arial" w:eastAsia="Arial" w:hAnsi="Arial"/>
          <w:i w:val="1"/>
          <w:iCs w:val="1"/>
          <w:sz w:val="22"/>
          <w:szCs w:val="22"/>
          <w:rtl w:val="0"/>
        </w:rPr>
        <w:t xml:space="preserve">Management Review</w:t>
      </w:r>
      <w:r w:rsidDel="00000000" w:rsidR="00000000" w:rsidRPr="00000000">
        <w:rPr>
          <w:rFonts w:ascii="Arial" w:cs="Arial" w:eastAsia="Arial" w:hAnsi="Arial"/>
          <w:sz w:val="22"/>
          <w:szCs w:val="22"/>
          <w:rtl w:val="0"/>
        </w:rPr>
        <w:t xml:space="preserve">, 70(11), pp. 35–36.</w:t>
      </w:r>
    </w:p>
    <w:p w:rsidR="00000000" w:rsidDel="00000000" w:rsidP="00000000" w:rsidRDefault="00000000" w:rsidRPr="00000000" w14:paraId="000001D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Freeman, R.E. (1984) </w:t>
      </w:r>
      <w:r w:rsidDel="00000000" w:rsidR="00000000" w:rsidRPr="00000000">
        <w:rPr>
          <w:rFonts w:ascii="Arial" w:cs="Arial" w:eastAsia="Arial" w:hAnsi="Arial"/>
          <w:i w:val="1"/>
          <w:iCs w:val="1"/>
          <w:sz w:val="22"/>
          <w:szCs w:val="22"/>
          <w:rtl w:val="0"/>
        </w:rPr>
        <w:t xml:space="preserve">Strategic Management: A Stakeholder Approach</w:t>
      </w:r>
      <w:r w:rsidDel="00000000" w:rsidR="00000000" w:rsidRPr="00000000">
        <w:rPr>
          <w:rFonts w:ascii="Arial" w:cs="Arial" w:eastAsia="Arial" w:hAnsi="Arial"/>
          <w:sz w:val="22"/>
          <w:szCs w:val="22"/>
          <w:rtl w:val="0"/>
        </w:rPr>
        <w:t xml:space="preserve">. Boston: Pitman.</w:t>
      </w:r>
    </w:p>
    <w:p w:rsidR="00000000" w:rsidDel="00000000" w:rsidP="00000000" w:rsidRDefault="00000000" w:rsidRPr="00000000" w14:paraId="000001D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Greenwood, M. (2007) ‘Stakeholder engagement: Beyond the myth of corporate responsibility’, </w:t>
      </w:r>
      <w:r w:rsidDel="00000000" w:rsidR="00000000" w:rsidRPr="00000000">
        <w:rPr>
          <w:rFonts w:ascii="Arial" w:cs="Arial" w:eastAsia="Arial" w:hAnsi="Arial"/>
          <w:i w:val="1"/>
          <w:iCs w:val="1"/>
          <w:sz w:val="22"/>
          <w:szCs w:val="22"/>
          <w:rtl w:val="0"/>
        </w:rPr>
        <w:t xml:space="preserve">Journal of Business Ethics</w:t>
      </w:r>
      <w:r w:rsidDel="00000000" w:rsidR="00000000" w:rsidRPr="00000000">
        <w:rPr>
          <w:rFonts w:ascii="Arial" w:cs="Arial" w:eastAsia="Arial" w:hAnsi="Arial"/>
          <w:sz w:val="22"/>
          <w:szCs w:val="22"/>
          <w:rtl w:val="0"/>
        </w:rPr>
        <w:t xml:space="preserve">, 74(4), pp. 315–327.</w:t>
      </w:r>
    </w:p>
    <w:p w:rsidR="00000000" w:rsidDel="00000000" w:rsidP="00000000" w:rsidRDefault="00000000" w:rsidRPr="00000000" w14:paraId="000001D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Harrison, J.S. and St. John, C.H. (1996) </w:t>
      </w:r>
      <w:r w:rsidDel="00000000" w:rsidR="00000000" w:rsidRPr="00000000">
        <w:rPr>
          <w:rFonts w:ascii="Arial" w:cs="Arial" w:eastAsia="Arial" w:hAnsi="Arial"/>
          <w:i w:val="1"/>
          <w:iCs w:val="1"/>
          <w:sz w:val="22"/>
          <w:szCs w:val="22"/>
          <w:rtl w:val="0"/>
        </w:rPr>
        <w:t xml:space="preserve">Managing and Partnering with External Stakeholders</w:t>
      </w:r>
      <w:r w:rsidDel="00000000" w:rsidR="00000000" w:rsidRPr="00000000">
        <w:rPr>
          <w:rFonts w:ascii="Arial" w:cs="Arial" w:eastAsia="Arial" w:hAnsi="Arial"/>
          <w:sz w:val="22"/>
          <w:szCs w:val="22"/>
          <w:rtl w:val="0"/>
        </w:rPr>
        <w:t xml:space="preserve">. Cincinnati: South-Western College Publishing.</w:t>
      </w:r>
    </w:p>
    <w:p w:rsidR="00000000" w:rsidDel="00000000" w:rsidP="00000000" w:rsidRDefault="00000000" w:rsidRPr="00000000" w14:paraId="000001D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Harrison, J.S. and Wicks, A.C. (2013) ‘Stakeholder theory, value and firm performance’, </w:t>
      </w:r>
      <w:r w:rsidDel="00000000" w:rsidR="00000000" w:rsidRPr="00000000">
        <w:rPr>
          <w:rFonts w:ascii="Arial" w:cs="Arial" w:eastAsia="Arial" w:hAnsi="Arial"/>
          <w:i w:val="1"/>
          <w:iCs w:val="1"/>
          <w:sz w:val="22"/>
          <w:szCs w:val="22"/>
          <w:rtl w:val="0"/>
        </w:rPr>
        <w:t xml:space="preserve">Business Ethics Quarterly</w:t>
      </w:r>
      <w:r w:rsidDel="00000000" w:rsidR="00000000" w:rsidRPr="00000000">
        <w:rPr>
          <w:rFonts w:ascii="Arial" w:cs="Arial" w:eastAsia="Arial" w:hAnsi="Arial"/>
          <w:sz w:val="22"/>
          <w:szCs w:val="22"/>
          <w:rtl w:val="0"/>
        </w:rPr>
        <w:t xml:space="preserve">, 23(1), pp. 97–124.</w:t>
      </w:r>
    </w:p>
    <w:p w:rsidR="00000000" w:rsidDel="00000000" w:rsidP="00000000" w:rsidRDefault="00000000" w:rsidRPr="00000000" w14:paraId="000001D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Information Commissioner’s Office (2025) </w:t>
      </w:r>
      <w:r w:rsidDel="00000000" w:rsidR="00000000" w:rsidRPr="00000000">
        <w:rPr>
          <w:rFonts w:ascii="Arial" w:cs="Arial" w:eastAsia="Arial" w:hAnsi="Arial"/>
          <w:i w:val="1"/>
          <w:iCs w:val="1"/>
          <w:sz w:val="22"/>
          <w:szCs w:val="22"/>
          <w:rtl w:val="0"/>
        </w:rPr>
        <w:t xml:space="preserve">Guide to UK GDPR</w:t>
      </w:r>
      <w:r w:rsidDel="00000000" w:rsidR="00000000" w:rsidRPr="00000000">
        <w:rPr>
          <w:rFonts w:ascii="Arial" w:cs="Arial" w:eastAsia="Arial" w:hAnsi="Arial"/>
          <w:sz w:val="22"/>
          <w:szCs w:val="22"/>
          <w:rtl w:val="0"/>
        </w:rPr>
        <w:t xml:space="preserve">. Available at: </w:t>
      </w:r>
      <w:hyperlink r:id="rId8">
        <w:r w:rsidDel="00000000" w:rsidR="00000000" w:rsidRPr="00000000">
          <w:rPr>
            <w:rFonts w:ascii="Arial" w:cs="Arial" w:eastAsia="Arial" w:hAnsi="Arial"/>
            <w:color w:val="467886"/>
            <w:sz w:val="22"/>
            <w:szCs w:val="22"/>
            <w:u w:val="single"/>
            <w:rtl w:val="0"/>
          </w:rPr>
          <w:t xml:space="preserve">https://ico.org.uk/for-organisations/uk-gdpr-guidance-and-resources/</w:t>
        </w:r>
      </w:hyperlink>
      <w:r w:rsidDel="00000000" w:rsidR="00000000" w:rsidRPr="00000000">
        <w:rPr>
          <w:rFonts w:ascii="Arial" w:cs="Arial" w:eastAsia="Arial" w:hAnsi="Arial"/>
          <w:sz w:val="22"/>
          <w:szCs w:val="22"/>
          <w:rtl w:val="0"/>
        </w:rPr>
        <w:t xml:space="preserve">(Accessed: 2 August 2026).</w:t>
      </w:r>
    </w:p>
    <w:p w:rsidR="00000000" w:rsidDel="00000000" w:rsidP="00000000" w:rsidRDefault="00000000" w:rsidRPr="00000000" w14:paraId="000001D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Marks &amp; Spencer plc (2026a) </w:t>
      </w:r>
      <w:r w:rsidDel="00000000" w:rsidR="00000000" w:rsidRPr="00000000">
        <w:rPr>
          <w:rFonts w:ascii="Arial" w:cs="Arial" w:eastAsia="Arial" w:hAnsi="Arial"/>
          <w:i w:val="1"/>
          <w:iCs w:val="1"/>
          <w:sz w:val="22"/>
          <w:szCs w:val="22"/>
          <w:rtl w:val="0"/>
        </w:rPr>
        <w:t xml:space="preserve">Annual Report and Financial Statements 2025/26</w:t>
      </w:r>
      <w:r w:rsidDel="00000000" w:rsidR="00000000" w:rsidRPr="00000000">
        <w:rPr>
          <w:rFonts w:ascii="Arial" w:cs="Arial" w:eastAsia="Arial" w:hAnsi="Arial"/>
          <w:sz w:val="22"/>
          <w:szCs w:val="22"/>
          <w:rtl w:val="0"/>
        </w:rPr>
        <w:t xml:space="preserve">. London: Marks &amp; Spencer plc.</w:t>
      </w:r>
    </w:p>
    <w:p w:rsidR="00000000" w:rsidDel="00000000" w:rsidP="00000000" w:rsidRDefault="00000000" w:rsidRPr="00000000" w14:paraId="000001D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Marks &amp; Spencer plc (2026b) </w:t>
      </w:r>
      <w:r w:rsidDel="00000000" w:rsidR="00000000" w:rsidRPr="00000000">
        <w:rPr>
          <w:rFonts w:ascii="Arial" w:cs="Arial" w:eastAsia="Arial" w:hAnsi="Arial"/>
          <w:i w:val="1"/>
          <w:iCs w:val="1"/>
          <w:sz w:val="22"/>
          <w:szCs w:val="22"/>
          <w:rtl w:val="0"/>
        </w:rPr>
        <w:t xml:space="preserve">Plan A Report and ESG Performance</w:t>
      </w:r>
      <w:r w:rsidDel="00000000" w:rsidR="00000000" w:rsidRPr="00000000">
        <w:rPr>
          <w:rFonts w:ascii="Arial" w:cs="Arial" w:eastAsia="Arial" w:hAnsi="Arial"/>
          <w:sz w:val="22"/>
          <w:szCs w:val="22"/>
          <w:rtl w:val="0"/>
        </w:rPr>
        <w:t xml:space="preserve">. Available at: </w:t>
      </w:r>
      <w:hyperlink r:id="rId9">
        <w:r w:rsidDel="00000000" w:rsidR="00000000" w:rsidRPr="00000000">
          <w:rPr>
            <w:rFonts w:ascii="Arial" w:cs="Arial" w:eastAsia="Arial" w:hAnsi="Arial"/>
            <w:color w:val="467886"/>
            <w:sz w:val="22"/>
            <w:szCs w:val="22"/>
            <w:u w:val="single"/>
            <w:rtl w:val="0"/>
          </w:rPr>
          <w:t xml:space="preserve">https://corporate.marksandspencer.com/sites/marksandspencer/files/marksandspencer/annual-report/marks-and-spencer-group-plc-esg-report-2026.pdf</w:t>
        </w:r>
      </w:hyperlink>
      <w:r w:rsidDel="00000000" w:rsidR="00000000" w:rsidRPr="00000000">
        <w:rPr>
          <w:rFonts w:ascii="Arial" w:cs="Arial" w:eastAsia="Arial" w:hAnsi="Arial"/>
          <w:sz w:val="22"/>
          <w:szCs w:val="22"/>
          <w:rtl w:val="0"/>
        </w:rPr>
        <w:t xml:space="preserve">(Accessed: 2 August 2026).</w:t>
      </w:r>
    </w:p>
    <w:p w:rsidR="00000000" w:rsidDel="00000000" w:rsidP="00000000" w:rsidRDefault="00000000" w:rsidRPr="00000000" w14:paraId="000001D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Mendelow, A.L. (1991) ‘Stakeholder mapping’, </w:t>
      </w:r>
      <w:r w:rsidDel="00000000" w:rsidR="00000000" w:rsidRPr="00000000">
        <w:rPr>
          <w:rFonts w:ascii="Arial" w:cs="Arial" w:eastAsia="Arial" w:hAnsi="Arial"/>
          <w:i w:val="1"/>
          <w:iCs w:val="1"/>
          <w:sz w:val="22"/>
          <w:szCs w:val="22"/>
          <w:rtl w:val="0"/>
        </w:rPr>
        <w:t xml:space="preserve">Proceedings of the Second International Conference on Information Systems</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1D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Mitchell, R.K., Agle, B.R. and Wood, D.J. (1997) ‘Toward a theory of stakeholder identification and salience: Defining the principle of who and what really counts’, </w:t>
      </w:r>
      <w:r w:rsidDel="00000000" w:rsidR="00000000" w:rsidRPr="00000000">
        <w:rPr>
          <w:rFonts w:ascii="Arial" w:cs="Arial" w:eastAsia="Arial" w:hAnsi="Arial"/>
          <w:i w:val="1"/>
          <w:iCs w:val="1"/>
          <w:sz w:val="22"/>
          <w:szCs w:val="22"/>
          <w:rtl w:val="0"/>
        </w:rPr>
        <w:t xml:space="preserve">Academy of Management Review</w:t>
      </w:r>
      <w:r w:rsidDel="00000000" w:rsidR="00000000" w:rsidRPr="00000000">
        <w:rPr>
          <w:rFonts w:ascii="Arial" w:cs="Arial" w:eastAsia="Arial" w:hAnsi="Arial"/>
          <w:sz w:val="22"/>
          <w:szCs w:val="22"/>
          <w:rtl w:val="0"/>
        </w:rPr>
        <w:t xml:space="preserve">, 22(4), pp. 853–886.</w:t>
      </w:r>
    </w:p>
    <w:p w:rsidR="00000000" w:rsidDel="00000000" w:rsidP="00000000" w:rsidRDefault="00000000" w:rsidRPr="00000000" w14:paraId="000001D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Phillips, R. (2003) </w:t>
      </w:r>
      <w:r w:rsidDel="00000000" w:rsidR="00000000" w:rsidRPr="00000000">
        <w:rPr>
          <w:rFonts w:ascii="Arial" w:cs="Arial" w:eastAsia="Arial" w:hAnsi="Arial"/>
          <w:i w:val="1"/>
          <w:iCs w:val="1"/>
          <w:sz w:val="22"/>
          <w:szCs w:val="22"/>
          <w:rtl w:val="0"/>
        </w:rPr>
        <w:t xml:space="preserve">Stakeholder Theory and Organisational Ethics</w:t>
      </w:r>
      <w:r w:rsidDel="00000000" w:rsidR="00000000" w:rsidRPr="00000000">
        <w:rPr>
          <w:rFonts w:ascii="Arial" w:cs="Arial" w:eastAsia="Arial" w:hAnsi="Arial"/>
          <w:sz w:val="22"/>
          <w:szCs w:val="22"/>
          <w:rtl w:val="0"/>
        </w:rPr>
        <w:t xml:space="preserve">. San Francisco: Berrett-Koehler.</w:t>
      </w:r>
    </w:p>
    <w:p w:rsidR="00000000" w:rsidDel="00000000" w:rsidP="00000000" w:rsidRDefault="00000000" w:rsidRPr="00000000" w14:paraId="000001D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Project Management Institute (2021) </w:t>
      </w:r>
      <w:r w:rsidDel="00000000" w:rsidR="00000000" w:rsidRPr="00000000">
        <w:rPr>
          <w:rFonts w:ascii="Arial" w:cs="Arial" w:eastAsia="Arial" w:hAnsi="Arial"/>
          <w:i w:val="1"/>
          <w:iCs w:val="1"/>
          <w:sz w:val="22"/>
          <w:szCs w:val="22"/>
          <w:rtl w:val="0"/>
        </w:rPr>
        <w:t xml:space="preserve">A Guide to the Project Management Body of Knowledge (PMBOK® Guide)</w:t>
      </w:r>
      <w:r w:rsidDel="00000000" w:rsidR="00000000" w:rsidRPr="00000000">
        <w:rPr>
          <w:rFonts w:ascii="Arial" w:cs="Arial" w:eastAsia="Arial" w:hAnsi="Arial"/>
          <w:sz w:val="22"/>
          <w:szCs w:val="22"/>
          <w:rtl w:val="0"/>
        </w:rPr>
        <w:t xml:space="preserve">. 7</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edition. Newtown Square, PA: Project Management Institute.</w:t>
      </w:r>
    </w:p>
    <w:p w:rsidR="00000000" w:rsidDel="00000000" w:rsidP="00000000" w:rsidRDefault="00000000" w:rsidRPr="00000000" w14:paraId="000001D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Reed, M.S., Graves, A., Dandy, N., Posthumus, H., Hubacek, K., Morris, J., Prell, C., Quinn, C.H. and Stringer, L.C. (2009) ‘Who’s in and why? A typology of stakeholder analysis methods for natural resource management’, </w:t>
      </w:r>
      <w:r w:rsidDel="00000000" w:rsidR="00000000" w:rsidRPr="00000000">
        <w:rPr>
          <w:rFonts w:ascii="Arial" w:cs="Arial" w:eastAsia="Arial" w:hAnsi="Arial"/>
          <w:i w:val="1"/>
          <w:iCs w:val="1"/>
          <w:sz w:val="22"/>
          <w:szCs w:val="22"/>
          <w:rtl w:val="0"/>
        </w:rPr>
        <w:t xml:space="preserve">Journal of Environmental Management</w:t>
      </w:r>
      <w:r w:rsidDel="00000000" w:rsidR="00000000" w:rsidRPr="00000000">
        <w:rPr>
          <w:rFonts w:ascii="Arial" w:cs="Arial" w:eastAsia="Arial" w:hAnsi="Arial"/>
          <w:sz w:val="22"/>
          <w:szCs w:val="22"/>
          <w:rtl w:val="0"/>
        </w:rPr>
        <w:t xml:space="preserve">, 90(5), pp. 1933–1949.</w:t>
      </w:r>
    </w:p>
    <w:p w:rsidR="00000000" w:rsidDel="00000000" w:rsidP="00000000" w:rsidRDefault="00000000" w:rsidRPr="00000000" w14:paraId="000001D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Rowley, T.J. (1997) ‘Moving beyond dyadic ties: A network theory of stakeholder influences’, </w:t>
      </w:r>
      <w:r w:rsidDel="00000000" w:rsidR="00000000" w:rsidRPr="00000000">
        <w:rPr>
          <w:rFonts w:ascii="Arial" w:cs="Arial" w:eastAsia="Arial" w:hAnsi="Arial"/>
          <w:i w:val="1"/>
          <w:iCs w:val="1"/>
          <w:sz w:val="22"/>
          <w:szCs w:val="22"/>
          <w:rtl w:val="0"/>
        </w:rPr>
        <w:t xml:space="preserve">Academy of Management Review</w:t>
      </w:r>
      <w:r w:rsidDel="00000000" w:rsidR="00000000" w:rsidRPr="00000000">
        <w:rPr>
          <w:rFonts w:ascii="Arial" w:cs="Arial" w:eastAsia="Arial" w:hAnsi="Arial"/>
          <w:sz w:val="22"/>
          <w:szCs w:val="22"/>
          <w:rtl w:val="0"/>
        </w:rPr>
        <w:t xml:space="preserve">, 22(4), pp. 887–910.</w:t>
      </w:r>
    </w:p>
    <w:p w:rsidR="00000000" w:rsidDel="00000000" w:rsidP="00000000" w:rsidRDefault="00000000" w:rsidRPr="00000000" w14:paraId="000001D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Savage, G.T., Nix, T.W., Whitehead, C.J. and Blair, J.D. (1991) ‘Strategies for assessing and managing organisational stakeholders’, </w:t>
      </w:r>
      <w:r w:rsidDel="00000000" w:rsidR="00000000" w:rsidRPr="00000000">
        <w:rPr>
          <w:rFonts w:ascii="Arial" w:cs="Arial" w:eastAsia="Arial" w:hAnsi="Arial"/>
          <w:i w:val="1"/>
          <w:iCs w:val="1"/>
          <w:sz w:val="22"/>
          <w:szCs w:val="22"/>
          <w:rtl w:val="0"/>
        </w:rPr>
        <w:t xml:space="preserve">Academy of Management Executive</w:t>
      </w:r>
      <w:r w:rsidDel="00000000" w:rsidR="00000000" w:rsidRPr="00000000">
        <w:rPr>
          <w:rFonts w:ascii="Arial" w:cs="Arial" w:eastAsia="Arial" w:hAnsi="Arial"/>
          <w:sz w:val="22"/>
          <w:szCs w:val="22"/>
          <w:rtl w:val="0"/>
        </w:rPr>
        <w:t xml:space="preserve">, 5(2), pp. 61–75.</w:t>
      </w:r>
    </w:p>
    <w:p w:rsidR="00000000" w:rsidDel="00000000" w:rsidP="00000000" w:rsidRDefault="00000000" w:rsidRPr="00000000" w14:paraId="000001D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Thomas, K.W. and Kilmann, R.H. (1974) </w:t>
      </w:r>
      <w:r w:rsidDel="00000000" w:rsidR="00000000" w:rsidRPr="00000000">
        <w:rPr>
          <w:rFonts w:ascii="Arial" w:cs="Arial" w:eastAsia="Arial" w:hAnsi="Arial"/>
          <w:i w:val="1"/>
          <w:iCs w:val="1"/>
          <w:sz w:val="22"/>
          <w:szCs w:val="22"/>
          <w:rtl w:val="0"/>
        </w:rPr>
        <w:t xml:space="preserve">Thomas–Kilmann Conflict Mode Instrument</w:t>
      </w:r>
      <w:r w:rsidDel="00000000" w:rsidR="00000000" w:rsidRPr="00000000">
        <w:rPr>
          <w:rFonts w:ascii="Arial" w:cs="Arial" w:eastAsia="Arial" w:hAnsi="Arial"/>
          <w:sz w:val="22"/>
          <w:szCs w:val="22"/>
          <w:rtl w:val="0"/>
        </w:rPr>
        <w:t xml:space="preserve">. Tuxedo, NY: Xicom.</w:t>
      </w:r>
    </w:p>
    <w:p w:rsidR="00000000" w:rsidDel="00000000" w:rsidP="00000000" w:rsidRDefault="00000000" w:rsidRPr="00000000" w14:paraId="000001E0">
      <w:pPr>
        <w:spacing w:line="360" w:lineRule="auto"/>
        <w:rPr>
          <w:rFonts w:ascii="Arial" w:cs="Arial" w:eastAsia="Arial" w:hAnsi="Arial"/>
          <w:sz w:val="22"/>
          <w:szCs w:val="22"/>
        </w:rPr>
      </w:pPr>
      <w:r w:rsidDel="00000000" w:rsidR="00000000" w:rsidRPr="00000000">
        <w:rPr>
          <w:rtl w:val="0"/>
        </w:rPr>
      </w:r>
    </w:p>
    <w:sectPr>
      <w:footerReference r:id="rId10" w:type="default"/>
      <w:footerReference r:id="rId11"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Arial Unicode MS"/>
  <w:font w:name="Courier New"/>
  <w:font w:name="Aptos"/>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Noto Sans Symbols">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E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E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E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E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566E07"/>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566E07"/>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566E07"/>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566E07"/>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566E07"/>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566E07"/>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566E07"/>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566E07"/>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566E07"/>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566E07"/>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566E07"/>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566E07"/>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566E07"/>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566E07"/>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566E07"/>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566E07"/>
    <w:rPr>
      <w:i w:val="1"/>
      <w:iCs w:val="1"/>
      <w:color w:val="404040" w:themeColor="text1" w:themeTint="0000BF"/>
    </w:rPr>
  </w:style>
  <w:style w:type="paragraph" w:styleId="ListParagraph">
    <w:name w:val="List Paragraph"/>
    <w:basedOn w:val="Normal"/>
    <w:uiPriority w:val="34"/>
    <w:qFormat w:val="1"/>
    <w:rsid w:val="00566E07"/>
    <w:pPr>
      <w:ind w:left="720"/>
      <w:contextualSpacing w:val="1"/>
    </w:pPr>
  </w:style>
  <w:style w:type="character" w:styleId="IntenseEmphasis">
    <w:name w:val="Intense Emphasis"/>
    <w:basedOn w:val="DefaultParagraphFont"/>
    <w:uiPriority w:val="21"/>
    <w:qFormat w:val="1"/>
    <w:rsid w:val="00566E07"/>
    <w:rPr>
      <w:i w:val="1"/>
      <w:iCs w:val="1"/>
      <w:color w:val="0f4761" w:themeColor="accent1" w:themeShade="0000BF"/>
    </w:rPr>
  </w:style>
  <w:style w:type="paragraph" w:styleId="IntenseQuote">
    <w:name w:val="Intense Quote"/>
    <w:basedOn w:val="Normal"/>
    <w:next w:val="Normal"/>
    <w:link w:val="IntenseQuoteChar"/>
    <w:uiPriority w:val="30"/>
    <w:qFormat w:val="1"/>
    <w:rsid w:val="00566E07"/>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566E07"/>
    <w:rPr>
      <w:i w:val="1"/>
      <w:iCs w:val="1"/>
      <w:color w:val="0f4761" w:themeColor="accent1" w:themeShade="0000BF"/>
    </w:rPr>
  </w:style>
  <w:style w:type="character" w:styleId="IntenseReference">
    <w:name w:val="Intense Reference"/>
    <w:basedOn w:val="DefaultParagraphFont"/>
    <w:uiPriority w:val="32"/>
    <w:qFormat w:val="1"/>
    <w:rsid w:val="00566E07"/>
    <w:rPr>
      <w:b w:val="1"/>
      <w:bCs w:val="1"/>
      <w:smallCaps w:val="1"/>
      <w:color w:val="0f4761" w:themeColor="accent1" w:themeShade="0000BF"/>
      <w:spacing w:val="5"/>
    </w:rPr>
  </w:style>
  <w:style w:type="paragraph" w:styleId="Header">
    <w:name w:val="header"/>
    <w:basedOn w:val="Normal"/>
    <w:link w:val="HeaderChar"/>
    <w:uiPriority w:val="99"/>
    <w:unhideWhenUsed w:val="1"/>
    <w:rsid w:val="006054B3"/>
    <w:pPr>
      <w:tabs>
        <w:tab w:val="center" w:pos="4513"/>
        <w:tab w:val="right" w:pos="9026"/>
      </w:tabs>
      <w:spacing w:after="0" w:line="240" w:lineRule="auto"/>
    </w:pPr>
  </w:style>
  <w:style w:type="character" w:styleId="HeaderChar" w:customStyle="1">
    <w:name w:val="Header Char"/>
    <w:basedOn w:val="DefaultParagraphFont"/>
    <w:link w:val="Header"/>
    <w:uiPriority w:val="99"/>
    <w:rsid w:val="006054B3"/>
  </w:style>
  <w:style w:type="paragraph" w:styleId="Footer">
    <w:name w:val="footer"/>
    <w:basedOn w:val="Normal"/>
    <w:link w:val="FooterChar"/>
    <w:uiPriority w:val="99"/>
    <w:unhideWhenUsed w:val="1"/>
    <w:rsid w:val="006054B3"/>
    <w:pPr>
      <w:tabs>
        <w:tab w:val="center" w:pos="4513"/>
        <w:tab w:val="right" w:pos="9026"/>
      </w:tabs>
      <w:spacing w:after="0" w:line="240" w:lineRule="auto"/>
    </w:pPr>
  </w:style>
  <w:style w:type="character" w:styleId="FooterChar" w:customStyle="1">
    <w:name w:val="Footer Char"/>
    <w:basedOn w:val="DefaultParagraphFont"/>
    <w:link w:val="Footer"/>
    <w:uiPriority w:val="99"/>
    <w:rsid w:val="006054B3"/>
  </w:style>
  <w:style w:type="paragraph" w:styleId="p1" w:customStyle="1">
    <w:name w:val="p1"/>
    <w:basedOn w:val="Normal"/>
    <w:rsid w:val="00FA2BD8"/>
    <w:pPr>
      <w:spacing w:after="100" w:afterAutospacing="1" w:before="100" w:beforeAutospacing="1" w:line="240" w:lineRule="auto"/>
    </w:pPr>
    <w:rPr>
      <w:rFonts w:ascii="Times New Roman" w:cs="Times New Roman" w:hAnsi="Times New Roman"/>
      <w:kern w:val="0"/>
    </w:rPr>
  </w:style>
  <w:style w:type="character" w:styleId="Hyperlink">
    <w:name w:val="Hyperlink"/>
    <w:basedOn w:val="DefaultParagraphFont"/>
    <w:uiPriority w:val="99"/>
    <w:unhideWhenUsed w:val="1"/>
    <w:rsid w:val="00275CD0"/>
    <w:rPr>
      <w:color w:val="467886" w:themeColor="hyperlink"/>
      <w:u w:val="single"/>
    </w:rPr>
  </w:style>
  <w:style w:type="character" w:styleId="UnresolvedMention">
    <w:name w:val="Unresolved Mention"/>
    <w:basedOn w:val="DefaultParagraphFont"/>
    <w:uiPriority w:val="99"/>
    <w:semiHidden w:val="1"/>
    <w:unhideWhenUsed w:val="1"/>
    <w:rsid w:val="00275CD0"/>
    <w:rPr>
      <w:color w:val="605e5c"/>
      <w:shd w:color="auto" w:fill="e1dfdd" w:val="clear"/>
    </w:rPr>
  </w:style>
  <w:style w:type="character" w:styleId="FollowedHyperlink">
    <w:name w:val="FollowedHyperlink"/>
    <w:basedOn w:val="DefaultParagraphFont"/>
    <w:uiPriority w:val="99"/>
    <w:semiHidden w:val="1"/>
    <w:unhideWhenUsed w:val="1"/>
    <w:rsid w:val="00275CD0"/>
    <w:rPr>
      <w:color w:val="96607d" w:themeColor="followedHyperlink"/>
      <w:u w:val="single"/>
    </w:rPr>
  </w:style>
  <w:style w:type="table" w:styleId="TableGrid">
    <w:name w:val="Table Grid"/>
    <w:basedOn w:val="TableNormal"/>
    <w:uiPriority w:val="59"/>
    <w:rsid w:val="00B912CA"/>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GridTable4">
    <w:name w:val="Grid Table 4"/>
    <w:basedOn w:val="TableNormal"/>
    <w:uiPriority w:val="49"/>
    <w:rsid w:val="00B912CA"/>
    <w:pPr>
      <w:spacing w:after="0" w:line="240" w:lineRule="auto"/>
    </w:pPr>
    <w:tblPr>
      <w:tblStyleRowBandSize w:val="1"/>
      <w:tblStyleColBandSize w:val="1"/>
      <w:tblBorders>
        <w:top w:color="666666" w:space="0" w:sz="4" w:themeColor="text1" w:themeTint="000099" w:val="single"/>
        <w:left w:color="666666" w:space="0" w:sz="4" w:themeColor="text1" w:themeTint="000099" w:val="single"/>
        <w:bottom w:color="666666" w:space="0" w:sz="4" w:themeColor="text1" w:themeTint="000099" w:val="single"/>
        <w:right w:color="666666" w:space="0" w:sz="4" w:themeColor="text1" w:themeTint="000099" w:val="single"/>
        <w:insideH w:color="666666" w:space="0" w:sz="4" w:themeColor="text1" w:themeTint="000099" w:val="single"/>
        <w:insideV w:color="666666" w:space="0" w:sz="4" w:themeColor="text1" w:themeTint="000099" w:val="single"/>
      </w:tblBorders>
    </w:tblPr>
    <w:tblStylePr w:type="firstRow">
      <w:rPr>
        <w:b w:val="1"/>
        <w:bCs w:val="1"/>
        <w:color w:val="ffffff" w:themeColor="background1"/>
      </w:rPr>
      <w:tblPr/>
      <w:tcPr>
        <w:tcBorders>
          <w:top w:color="000000" w:space="0" w:sz="4" w:themeColor="text1" w:val="single"/>
          <w:left w:color="000000" w:space="0" w:sz="4" w:themeColor="text1" w:val="single"/>
          <w:bottom w:color="000000" w:space="0" w:sz="4" w:themeColor="text1" w:val="single"/>
          <w:right w:color="000000" w:space="0" w:sz="4" w:themeColor="text1" w:val="single"/>
          <w:insideH w:space="0" w:sz="0" w:val="nil"/>
          <w:insideV w:space="0" w:sz="0" w:val="nil"/>
        </w:tcBorders>
        <w:shd w:color="auto" w:fill="000000" w:themeFill="text1" w:val="clear"/>
      </w:tcPr>
    </w:tblStylePr>
    <w:tblStylePr w:type="lastRow">
      <w:rPr>
        <w:b w:val="1"/>
        <w:bCs w:val="1"/>
      </w:rPr>
      <w:tblPr/>
      <w:tcPr>
        <w:tcBorders>
          <w:top w:color="000000" w:space="0" w:sz="4" w:themeColor="text1" w:val="double"/>
        </w:tcBorders>
      </w:tcPr>
    </w:tblStylePr>
    <w:tblStylePr w:type="firstCol">
      <w:rPr>
        <w:b w:val="1"/>
        <w:bCs w:val="1"/>
      </w:rPr>
    </w:tblStylePr>
    <w:tblStylePr w:type="lastCol">
      <w:rPr>
        <w:b w:val="1"/>
        <w:bCs w:val="1"/>
      </w:rPr>
    </w:tblStylePr>
    <w:tblStylePr w:type="band1Vert">
      <w:tblPr/>
      <w:tcPr>
        <w:shd w:color="auto" w:fill="cccccc" w:themeFill="text1" w:themeFillTint="000033" w:val="clear"/>
      </w:tcPr>
    </w:tblStylePr>
    <w:tblStylePr w:type="band1Horz">
      <w:tblPr/>
      <w:tcPr>
        <w:shd w:color="auto" w:fill="cccccc" w:themeFill="text1" w:themeFillTint="000033" w:val="clear"/>
      </w:tcPr>
    </w:tblStylePr>
  </w:style>
  <w:style w:type="table" w:styleId="GridTable6Colourful">
    <w:name w:val="Grid Table 6 Colorful"/>
    <w:basedOn w:val="TableNormal"/>
    <w:uiPriority w:val="51"/>
    <w:rsid w:val="00B912CA"/>
    <w:pPr>
      <w:spacing w:after="0" w:line="240" w:lineRule="auto"/>
    </w:pPr>
    <w:rPr>
      <w:color w:val="000000" w:themeColor="text1"/>
    </w:rPr>
    <w:tblPr>
      <w:tblStyleRowBandSize w:val="1"/>
      <w:tblStyleColBandSize w:val="1"/>
      <w:tblBorders>
        <w:top w:color="666666" w:space="0" w:sz="4" w:themeColor="text1" w:themeTint="000099" w:val="single"/>
        <w:left w:color="666666" w:space="0" w:sz="4" w:themeColor="text1" w:themeTint="000099" w:val="single"/>
        <w:bottom w:color="666666" w:space="0" w:sz="4" w:themeColor="text1" w:themeTint="000099" w:val="single"/>
        <w:right w:color="666666" w:space="0" w:sz="4" w:themeColor="text1" w:themeTint="000099" w:val="single"/>
        <w:insideH w:color="666666" w:space="0" w:sz="4" w:themeColor="text1" w:themeTint="000099" w:val="single"/>
        <w:insideV w:color="666666" w:space="0" w:sz="4" w:themeColor="text1" w:themeTint="000099" w:val="single"/>
      </w:tblBorders>
    </w:tblPr>
    <w:tblStylePr w:type="firstRow">
      <w:rPr>
        <w:b w:val="1"/>
        <w:bCs w:val="1"/>
      </w:rPr>
      <w:tblPr/>
      <w:tcPr>
        <w:tcBorders>
          <w:bottom w:color="666666" w:space="0" w:sz="12" w:themeColor="text1" w:themeTint="000099" w:val="single"/>
        </w:tcBorders>
      </w:tcPr>
    </w:tblStylePr>
    <w:tblStylePr w:type="lastRow">
      <w:rPr>
        <w:b w:val="1"/>
        <w:bCs w:val="1"/>
      </w:rPr>
      <w:tblPr/>
      <w:tcPr>
        <w:tcBorders>
          <w:top w:color="666666" w:space="0" w:sz="4" w:themeColor="text1" w:themeTint="000099" w:val="double"/>
        </w:tcBorders>
      </w:tcPr>
    </w:tblStylePr>
    <w:tblStylePr w:type="firstCol">
      <w:rPr>
        <w:b w:val="1"/>
        <w:bCs w:val="1"/>
      </w:rPr>
    </w:tblStylePr>
    <w:tblStylePr w:type="lastCol">
      <w:rPr>
        <w:b w:val="1"/>
        <w:bCs w:val="1"/>
      </w:rPr>
    </w:tblStylePr>
    <w:tblStylePr w:type="band1Vert">
      <w:tblPr/>
      <w:tcPr>
        <w:shd w:color="auto" w:fill="cccccc" w:themeFill="text1" w:themeFillTint="000033" w:val="clear"/>
      </w:tcPr>
    </w:tblStylePr>
    <w:tblStylePr w:type="band1Horz">
      <w:tblPr/>
      <w:tcPr>
        <w:shd w:color="auto" w:fill="cccccc" w:themeFill="text1" w:themeFillTint="000033" w:val="clear"/>
      </w:tcPr>
    </w:tblStylePr>
  </w:style>
  <w:style w:type="table" w:styleId="GridTable1Light">
    <w:name w:val="Grid Table 1 Light"/>
    <w:basedOn w:val="TableNormal"/>
    <w:uiPriority w:val="46"/>
    <w:rsid w:val="00B912CA"/>
    <w:pPr>
      <w:spacing w:after="0" w:line="240" w:lineRule="auto"/>
    </w:pPr>
    <w:tblPr>
      <w:tblStyleRowBandSize w:val="1"/>
      <w:tblStyleColBandSize w:val="1"/>
      <w:tblBorders>
        <w:top w:color="999999" w:space="0" w:sz="4" w:themeColor="text1" w:themeTint="000066" w:val="single"/>
        <w:left w:color="999999" w:space="0" w:sz="4" w:themeColor="text1" w:themeTint="000066" w:val="single"/>
        <w:bottom w:color="999999" w:space="0" w:sz="4" w:themeColor="text1" w:themeTint="000066" w:val="single"/>
        <w:right w:color="999999" w:space="0" w:sz="4" w:themeColor="text1" w:themeTint="000066" w:val="single"/>
        <w:insideH w:color="999999" w:space="0" w:sz="4" w:themeColor="text1" w:themeTint="000066" w:val="single"/>
        <w:insideV w:color="999999" w:space="0" w:sz="4" w:themeColor="text1" w:themeTint="000066" w:val="single"/>
      </w:tblBorders>
    </w:tblPr>
    <w:tblStylePr w:type="firstRow">
      <w:rPr>
        <w:b w:val="1"/>
        <w:bCs w:val="1"/>
      </w:rPr>
      <w:tblPr/>
      <w:tcPr>
        <w:tcBorders>
          <w:bottom w:color="666666" w:space="0" w:sz="12" w:themeColor="text1" w:themeTint="000099" w:val="single"/>
        </w:tcBorders>
      </w:tcPr>
    </w:tblStylePr>
    <w:tblStylePr w:type="lastRow">
      <w:rPr>
        <w:b w:val="1"/>
        <w:bCs w:val="1"/>
      </w:rPr>
      <w:tblPr/>
      <w:tcPr>
        <w:tcBorders>
          <w:top w:color="666666" w:space="0" w:sz="2" w:themeColor="text1" w:themeTint="000099" w:val="double"/>
        </w:tcBorders>
      </w:tcPr>
    </w:tblStylePr>
    <w:tblStylePr w:type="firstCol">
      <w:rPr>
        <w:b w:val="1"/>
        <w:bCs w:val="1"/>
      </w:rPr>
    </w:tblStylePr>
    <w:tblStylePr w:type="lastCol">
      <w:rPr>
        <w:b w:val="1"/>
        <w:bCs w:val="1"/>
      </w:rPr>
    </w:tblStylePr>
  </w:style>
  <w:style w:type="character" w:styleId="PageNumber">
    <w:name w:val="page number"/>
    <w:basedOn w:val="DefaultParagraphFont"/>
    <w:uiPriority w:val="99"/>
    <w:semiHidden w:val="1"/>
    <w:unhideWhenUsed w:val="1"/>
    <w:rsid w:val="00B912CA"/>
  </w:style>
  <w:style w:type="paragraph" w:styleId="s10" w:customStyle="1">
    <w:name w:val="s10"/>
    <w:basedOn w:val="Normal"/>
    <w:rsid w:val="002F177A"/>
    <w:pPr>
      <w:spacing w:after="100" w:afterAutospacing="1" w:before="100" w:beforeAutospacing="1" w:line="240" w:lineRule="auto"/>
    </w:pPr>
    <w:rPr>
      <w:rFonts w:ascii="Times New Roman" w:cs="Times New Roman" w:hAnsi="Times New Roman"/>
      <w:kern w:val="0"/>
    </w:rPr>
  </w:style>
  <w:style w:type="table" w:styleId="GridTable2">
    <w:name w:val="Grid Table 2"/>
    <w:basedOn w:val="TableNormal"/>
    <w:uiPriority w:val="47"/>
    <w:rsid w:val="00657CEB"/>
    <w:pPr>
      <w:spacing w:after="0" w:line="240" w:lineRule="auto"/>
    </w:pPr>
    <w:tblPr>
      <w:tblStyleRowBandSize w:val="1"/>
      <w:tblStyleColBandSize w:val="1"/>
      <w:tblBorders>
        <w:top w:color="666666" w:space="0" w:sz="2" w:themeColor="text1" w:themeTint="000099" w:val="single"/>
        <w:bottom w:color="666666" w:space="0" w:sz="2" w:themeColor="text1" w:themeTint="000099" w:val="single"/>
        <w:insideH w:color="666666" w:space="0" w:sz="2" w:themeColor="text1" w:themeTint="000099" w:val="single"/>
        <w:insideV w:color="666666" w:space="0" w:sz="2" w:themeColor="text1" w:themeTint="000099" w:val="single"/>
      </w:tblBorders>
    </w:tblPr>
    <w:tblStylePr w:type="firstRow">
      <w:rPr>
        <w:b w:val="1"/>
        <w:bCs w:val="1"/>
      </w:rPr>
      <w:tblPr/>
      <w:tcPr>
        <w:tcBorders>
          <w:top w:space="0" w:sz="0" w:val="nil"/>
          <w:bottom w:color="666666" w:space="0" w:sz="12" w:themeColor="text1" w:themeTint="000099" w:val="single"/>
          <w:insideH w:space="0" w:sz="0" w:val="nil"/>
          <w:insideV w:space="0" w:sz="0" w:val="nil"/>
        </w:tcBorders>
        <w:shd w:color="auto" w:fill="ffffff" w:themeFill="background1" w:val="clear"/>
      </w:tcPr>
    </w:tblStylePr>
    <w:tblStylePr w:type="lastRow">
      <w:rPr>
        <w:b w:val="1"/>
        <w:bCs w:val="1"/>
      </w:rPr>
      <w:tblPr/>
      <w:tcPr>
        <w:tcBorders>
          <w:top w:color="666666" w:space="0" w:sz="2" w:themeColor="text1" w:themeTint="000099" w:val="double"/>
          <w:bottom w:space="0" w:sz="0" w:val="nil"/>
          <w:insideH w:space="0" w:sz="0" w:val="nil"/>
          <w:insideV w:space="0" w:sz="0" w:val="nil"/>
        </w:tcBorders>
        <w:shd w:color="auto" w:fill="ffffff" w:themeFill="background1" w:val="clear"/>
      </w:tcPr>
    </w:tblStylePr>
    <w:tblStylePr w:type="firstCol">
      <w:rPr>
        <w:b w:val="1"/>
        <w:bCs w:val="1"/>
      </w:rPr>
    </w:tblStylePr>
    <w:tblStylePr w:type="lastCol">
      <w:rPr>
        <w:b w:val="1"/>
        <w:bCs w:val="1"/>
      </w:rPr>
    </w:tblStylePr>
    <w:tblStylePr w:type="band1Vert">
      <w:tblPr/>
      <w:tcPr>
        <w:shd w:color="auto" w:fill="cccccc" w:themeFill="text1" w:themeFillTint="000033" w:val="clear"/>
      </w:tcPr>
    </w:tblStylePr>
    <w:tblStylePr w:type="band1Horz">
      <w:tblPr/>
      <w:tcPr>
        <w:shd w:color="auto" w:fill="cccccc" w:themeFill="text1" w:themeFillTint="000033" w:val="clear"/>
      </w:tcPr>
    </w:tblStyle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bCs w:val="1"/>
      </w:rPr>
    </w:tblStylePr>
    <w:tblStylePr w:type="firstRow">
      <w:rPr>
        <w:b w:val="1"/>
        <w:bCs w:val="1"/>
      </w:rPr>
      <w:tcPr>
        <w:tcBorders>
          <w:bottom w:color="666666" w:space="0" w:sz="12" w:val="single"/>
        </w:tcBorders>
      </w:tcPr>
    </w:tblStylePr>
    <w:tblStylePr w:type="lastCol">
      <w:rPr>
        <w:b w:val="1"/>
        <w:bCs w:val="1"/>
      </w:rPr>
    </w:tblStylePr>
    <w:tblStylePr w:type="lastRow">
      <w:rPr>
        <w:b w:val="1"/>
        <w:bCs w:val="1"/>
      </w:rPr>
      <w:tcPr>
        <w:tcBorders>
          <w:top w:color="666666" w:space="0" w:sz="4" w:val="single"/>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160.0" w:type="dxa"/>
        <w:left w:w="160.0" w:type="dxa"/>
        <w:bottom w:w="160.0" w:type="dxa"/>
        <w:right w:w="160.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bCs w:val="1"/>
      </w:rPr>
    </w:tblStylePr>
    <w:tblStylePr w:type="firstRow">
      <w:rPr>
        <w:b w:val="1"/>
        <w:bCs w:val="1"/>
      </w:rPr>
      <w:tcPr>
        <w:tcBorders>
          <w:bottom w:color="666666" w:space="0" w:sz="12" w:val="single"/>
        </w:tcBorders>
      </w:tcPr>
    </w:tblStylePr>
    <w:tblStylePr w:type="lastCol">
      <w:rPr>
        <w:b w:val="1"/>
        <w:bCs w:val="1"/>
      </w:rPr>
    </w:tblStylePr>
    <w:tblStylePr w:type="lastRow">
      <w:rPr>
        <w:b w:val="1"/>
        <w:bCs w:val="1"/>
      </w:rPr>
      <w:tcPr>
        <w:tcBorders>
          <w:top w:color="666666" w:space="0" w:sz="4" w:val="single"/>
        </w:tcBorders>
      </w:tcPr>
    </w:tblStyle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bCs w:val="1"/>
      </w:rPr>
    </w:tblStylePr>
    <w:tblStylePr w:type="firstRow">
      <w:rPr>
        <w:b w:val="1"/>
        <w:bCs w:val="1"/>
      </w:rPr>
      <w:tcPr>
        <w:tcBorders>
          <w:bottom w:color="666666" w:space="0" w:sz="12" w:val="single"/>
        </w:tcBorders>
      </w:tcPr>
    </w:tblStylePr>
    <w:tblStylePr w:type="lastCol">
      <w:rPr>
        <w:b w:val="1"/>
        <w:bCs w:val="1"/>
      </w:rPr>
    </w:tblStylePr>
    <w:tblStylePr w:type="lastRow">
      <w:rPr>
        <w:b w:val="1"/>
        <w:bCs w:val="1"/>
      </w:rPr>
      <w:tcPr>
        <w:tcBorders>
          <w:top w:color="666666" w:space="0" w:sz="4" w:val="single"/>
        </w:tcBorders>
      </w:tcPr>
    </w:tblStyle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hyperlink" Target="https://corporate.marksandspencer.com/sites/marksandspencer/files/marksandspencer/annual-report/marks-and-spencer-group-plc-esg-report-2026.pdf"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ico.org.uk/for-organisations/uk-gdpr-guidance-and-resourc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FoR27hIfr7Awd08qqdyjEfniW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zgAciExSWh1LUxLZXQzd1VQaWN6WTBvLTN6dkY1NlExV2pMTk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2026-08-02T23:18:00Z</dcterms:created>
  <dc:creator>Elizabeth BONTAMBA</dc:creator>
</cp:coreProperties>
</file>