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38815E" w14:textId="77777777" w:rsidR="00B00418" w:rsidRPr="00DD7575" w:rsidRDefault="00B00418" w:rsidP="00853AEC">
      <w:pPr>
        <w:spacing w:line="360" w:lineRule="auto"/>
        <w:jc w:val="center"/>
        <w:rPr>
          <w:rFonts w:ascii="Times New Roman" w:hAnsi="Times New Roman"/>
          <w:b/>
          <w:color w:val="000000" w:themeColor="text1"/>
          <w:sz w:val="24"/>
        </w:rPr>
      </w:pPr>
      <w:r w:rsidRPr="00DD7575">
        <w:rPr>
          <w:noProof/>
          <w:color w:val="000000" w:themeColor="text1"/>
          <w:lang w:val="en-US"/>
        </w:rPr>
        <w:drawing>
          <wp:inline distT="0" distB="0" distL="0" distR="0" wp14:anchorId="00C3BF33" wp14:editId="14CFFADF">
            <wp:extent cx="4448175" cy="17526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458327" cy="1756600"/>
                    </a:xfrm>
                    <a:prstGeom prst="rect">
                      <a:avLst/>
                    </a:prstGeom>
                  </pic:spPr>
                </pic:pic>
              </a:graphicData>
            </a:graphic>
          </wp:inline>
        </w:drawing>
      </w:r>
    </w:p>
    <w:p w14:paraId="37C7F380" w14:textId="5DDF92BA" w:rsidR="007B21A8" w:rsidRPr="00EA3C1D" w:rsidRDefault="007B21A8" w:rsidP="00853AEC">
      <w:pPr>
        <w:spacing w:line="360" w:lineRule="auto"/>
        <w:jc w:val="center"/>
        <w:rPr>
          <w:rFonts w:ascii="Times New Roman" w:hAnsi="Times New Roman"/>
          <w:b/>
          <w:color w:val="000000" w:themeColor="text1"/>
          <w:sz w:val="28"/>
          <w:szCs w:val="28"/>
        </w:rPr>
      </w:pPr>
      <w:r w:rsidRPr="00EA3C1D">
        <w:rPr>
          <w:rFonts w:ascii="Times New Roman" w:hAnsi="Times New Roman"/>
          <w:b/>
          <w:color w:val="000000" w:themeColor="text1"/>
          <w:sz w:val="28"/>
          <w:szCs w:val="28"/>
        </w:rPr>
        <w:t>STUDENT ID: 2316191</w:t>
      </w:r>
    </w:p>
    <w:p w14:paraId="0CD5551D" w14:textId="18EED3A6" w:rsidR="00B00418" w:rsidRPr="00EA3C1D" w:rsidRDefault="004074F0" w:rsidP="00853AEC">
      <w:pPr>
        <w:spacing w:line="360" w:lineRule="auto"/>
        <w:jc w:val="center"/>
        <w:rPr>
          <w:rFonts w:ascii="Times New Roman" w:hAnsi="Times New Roman"/>
          <w:b/>
          <w:color w:val="000000" w:themeColor="text1"/>
          <w:sz w:val="36"/>
          <w:szCs w:val="36"/>
        </w:rPr>
      </w:pPr>
      <w:r w:rsidRPr="00EA3C1D">
        <w:rPr>
          <w:rFonts w:ascii="Times New Roman" w:hAnsi="Times New Roman"/>
          <w:b/>
          <w:color w:val="000000" w:themeColor="text1"/>
          <w:sz w:val="36"/>
          <w:szCs w:val="36"/>
        </w:rPr>
        <w:t xml:space="preserve">CORPORATE FINANCE </w:t>
      </w:r>
      <w:r w:rsidR="00EA3C1D">
        <w:rPr>
          <w:rFonts w:ascii="Times New Roman" w:hAnsi="Times New Roman"/>
          <w:b/>
          <w:color w:val="000000" w:themeColor="text1"/>
          <w:sz w:val="36"/>
          <w:szCs w:val="36"/>
        </w:rPr>
        <w:t>(</w:t>
      </w:r>
      <w:r w:rsidRPr="00EA3C1D">
        <w:rPr>
          <w:rFonts w:ascii="Times New Roman" w:hAnsi="Times New Roman"/>
          <w:b/>
          <w:color w:val="000000" w:themeColor="text1"/>
          <w:sz w:val="36"/>
          <w:szCs w:val="36"/>
        </w:rPr>
        <w:t>LCM</w:t>
      </w:r>
      <w:r w:rsidR="00EA3C1D">
        <w:rPr>
          <w:rFonts w:ascii="Times New Roman" w:hAnsi="Times New Roman"/>
          <w:b/>
          <w:color w:val="000000" w:themeColor="text1"/>
          <w:sz w:val="36"/>
          <w:szCs w:val="36"/>
        </w:rPr>
        <w:t>B7005)</w:t>
      </w:r>
    </w:p>
    <w:p w14:paraId="6F2EE451" w14:textId="77777777" w:rsidR="00B00418" w:rsidRPr="00EA3C1D" w:rsidRDefault="00B00418" w:rsidP="00853AEC">
      <w:pPr>
        <w:spacing w:line="360" w:lineRule="auto"/>
        <w:jc w:val="center"/>
        <w:rPr>
          <w:rFonts w:ascii="Times New Roman" w:hAnsi="Times New Roman"/>
          <w:b/>
          <w:color w:val="000000" w:themeColor="text1"/>
          <w:sz w:val="28"/>
          <w:szCs w:val="28"/>
        </w:rPr>
      </w:pPr>
      <w:r w:rsidRPr="00EA3C1D">
        <w:rPr>
          <w:rFonts w:ascii="Times New Roman" w:hAnsi="Times New Roman"/>
          <w:b/>
          <w:color w:val="000000" w:themeColor="text1"/>
          <w:sz w:val="28"/>
          <w:szCs w:val="28"/>
        </w:rPr>
        <w:t xml:space="preserve">COMPANY: WALMART </w:t>
      </w:r>
    </w:p>
    <w:p w14:paraId="127A3972" w14:textId="77777777" w:rsidR="00624CCD" w:rsidRPr="00DD7575" w:rsidRDefault="00624CCD" w:rsidP="00853AEC">
      <w:pPr>
        <w:spacing w:line="360" w:lineRule="auto"/>
        <w:jc w:val="center"/>
        <w:rPr>
          <w:rFonts w:ascii="Times New Roman" w:hAnsi="Times New Roman"/>
          <w:b/>
          <w:color w:val="000000" w:themeColor="text1"/>
          <w:sz w:val="24"/>
        </w:rPr>
      </w:pPr>
    </w:p>
    <w:p w14:paraId="74F9ECC3" w14:textId="77777777" w:rsidR="00B00418" w:rsidRPr="00DD7575" w:rsidRDefault="00B00418" w:rsidP="00853AEC">
      <w:pPr>
        <w:spacing w:line="360" w:lineRule="auto"/>
        <w:jc w:val="center"/>
        <w:rPr>
          <w:rFonts w:ascii="Times New Roman" w:hAnsi="Times New Roman"/>
          <w:b/>
          <w:color w:val="000000" w:themeColor="text1"/>
          <w:sz w:val="24"/>
        </w:rPr>
      </w:pPr>
      <w:r w:rsidRPr="00DD7575">
        <w:rPr>
          <w:noProof/>
          <w:color w:val="000000" w:themeColor="text1"/>
          <w:lang w:val="en-US"/>
        </w:rPr>
        <w:drawing>
          <wp:inline distT="0" distB="0" distL="0" distR="0" wp14:anchorId="1288C5D2" wp14:editId="2419B739">
            <wp:extent cx="4632209" cy="33813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663085" cy="3403914"/>
                    </a:xfrm>
                    <a:prstGeom prst="rect">
                      <a:avLst/>
                    </a:prstGeom>
                  </pic:spPr>
                </pic:pic>
              </a:graphicData>
            </a:graphic>
          </wp:inline>
        </w:drawing>
      </w:r>
      <w:r w:rsidRPr="00DD7575">
        <w:rPr>
          <w:rFonts w:ascii="Times New Roman" w:hAnsi="Times New Roman"/>
          <w:b/>
          <w:color w:val="000000" w:themeColor="text1"/>
          <w:sz w:val="24"/>
        </w:rPr>
        <w:br w:type="page"/>
      </w:r>
    </w:p>
    <w:p w14:paraId="2A2C9CF5" w14:textId="03B366D4" w:rsidR="00904A21" w:rsidRPr="00501DFA" w:rsidRDefault="00904A21" w:rsidP="00501DFA">
      <w:pPr>
        <w:spacing w:before="240" w:line="360" w:lineRule="auto"/>
        <w:jc w:val="center"/>
        <w:rPr>
          <w:rFonts w:ascii="Times New Roman" w:hAnsi="Times New Roman" w:cs="Times New Roman"/>
          <w:b/>
          <w:bCs/>
          <w:color w:val="000000" w:themeColor="text1"/>
          <w:sz w:val="24"/>
          <w:szCs w:val="24"/>
          <w:lang w:val="en-US"/>
        </w:rPr>
      </w:pPr>
      <w:r w:rsidRPr="00DD7575">
        <w:rPr>
          <w:rFonts w:ascii="Times New Roman" w:hAnsi="Times New Roman"/>
          <w:b/>
          <w:color w:val="000000" w:themeColor="text1"/>
          <w:sz w:val="24"/>
        </w:rPr>
        <w:lastRenderedPageBreak/>
        <w:t>Executive Summar</w:t>
      </w:r>
      <w:r w:rsidR="00501DFA">
        <w:rPr>
          <w:rFonts w:ascii="Times New Roman" w:hAnsi="Times New Roman"/>
          <w:b/>
          <w:color w:val="000000" w:themeColor="text1"/>
          <w:sz w:val="24"/>
        </w:rPr>
        <w:t>y</w:t>
      </w:r>
    </w:p>
    <w:p w14:paraId="4681DF41" w14:textId="7D68862D" w:rsidR="00501DFA" w:rsidRPr="00EA3C1D" w:rsidRDefault="00501DFA" w:rsidP="004E1F32">
      <w:pPr>
        <w:spacing w:line="360" w:lineRule="auto"/>
        <w:rPr>
          <w:rFonts w:ascii="Times New Roman" w:hAnsi="Times New Roman" w:cs="Times New Roman"/>
          <w:b/>
          <w:bCs/>
          <w:sz w:val="24"/>
          <w:szCs w:val="24"/>
        </w:rPr>
      </w:pPr>
      <w:r w:rsidRPr="00501DFA">
        <w:rPr>
          <w:rFonts w:ascii="Times New Roman" w:hAnsi="Times New Roman" w:cs="Times New Roman"/>
          <w:sz w:val="24"/>
          <w:szCs w:val="24"/>
        </w:rPr>
        <w:t>Walmart has demonstrated its preparedness for change and innovation in the retail sector by focusing on enhancing omnichannel capabilities. Utilizing advanced technologies such as artificial intelligence and big data, Walmart is dedicated to enhancing the customer experience and increasing sales both online and offline. This strategic expansion approach reflects Walmart's awareness of the growing e-commerce market and evolving consumer preferences. Despite facing challenges, Walmart has maintained financial stability through prudent financial management and diversified income streams.</w:t>
      </w:r>
      <w:r w:rsidR="004E3E29" w:rsidRPr="00501DFA">
        <w:rPr>
          <w:rFonts w:ascii="Times New Roman" w:hAnsi="Times New Roman" w:cs="Times New Roman"/>
          <w:color w:val="000000" w:themeColor="text1"/>
          <w:sz w:val="24"/>
          <w:szCs w:val="24"/>
        </w:rPr>
        <w:t xml:space="preserve"> </w:t>
      </w:r>
      <w:r w:rsidR="006F440B" w:rsidRPr="00EA3C1D">
        <w:rPr>
          <w:rFonts w:ascii="Times New Roman" w:hAnsi="Times New Roman" w:cs="Times New Roman"/>
          <w:b/>
          <w:bCs/>
          <w:color w:val="000000" w:themeColor="text1"/>
          <w:sz w:val="24"/>
          <w:szCs w:val="24"/>
        </w:rPr>
        <w:t>(</w:t>
      </w:r>
      <w:proofErr w:type="spellStart"/>
      <w:r w:rsidR="006F440B" w:rsidRPr="00EA3C1D">
        <w:rPr>
          <w:rFonts w:ascii="Times New Roman" w:hAnsi="Times New Roman" w:cs="Times New Roman"/>
          <w:b/>
          <w:bCs/>
          <w:color w:val="000000" w:themeColor="text1"/>
          <w:sz w:val="24"/>
          <w:szCs w:val="24"/>
        </w:rPr>
        <w:t>Čirjevskis</w:t>
      </w:r>
      <w:proofErr w:type="spellEnd"/>
      <w:r w:rsidR="006F440B" w:rsidRPr="00EA3C1D">
        <w:rPr>
          <w:rFonts w:ascii="Times New Roman" w:hAnsi="Times New Roman" w:cs="Times New Roman"/>
          <w:b/>
          <w:bCs/>
          <w:color w:val="000000" w:themeColor="text1"/>
          <w:sz w:val="24"/>
          <w:szCs w:val="24"/>
        </w:rPr>
        <w:t>, 2024)</w:t>
      </w:r>
      <w:r w:rsidR="00904A21" w:rsidRPr="00EA3C1D">
        <w:rPr>
          <w:rFonts w:ascii="Times New Roman" w:hAnsi="Times New Roman" w:cs="Times New Roman"/>
          <w:b/>
          <w:bCs/>
          <w:color w:val="000000" w:themeColor="text1"/>
          <w:sz w:val="24"/>
          <w:szCs w:val="24"/>
        </w:rPr>
        <w:t>.</w:t>
      </w:r>
    </w:p>
    <w:p w14:paraId="7F5E9641" w14:textId="40A11441" w:rsidR="00501DFA" w:rsidRPr="00501DFA" w:rsidRDefault="00501DFA" w:rsidP="004E1F32">
      <w:pPr>
        <w:spacing w:line="360" w:lineRule="auto"/>
        <w:rPr>
          <w:rFonts w:ascii="Times New Roman" w:hAnsi="Times New Roman" w:cs="Times New Roman"/>
          <w:sz w:val="24"/>
          <w:szCs w:val="24"/>
        </w:rPr>
      </w:pPr>
      <w:r w:rsidRPr="00501DFA">
        <w:rPr>
          <w:rFonts w:ascii="Times New Roman" w:hAnsi="Times New Roman" w:cs="Times New Roman"/>
          <w:sz w:val="24"/>
          <w:szCs w:val="24"/>
        </w:rPr>
        <w:t>Over the past five years, Walmart has adjusted its liquidity and leverage ratios, highlighting the importance of informed decision-making. Looking ahead, Walmart's strategic focus will revolve around seizing emerging business opportunities and navigating the competitive retail landscape. The company will prioritize digital transformation initiatives, expand into profitable markets, and enhance its product offerings to drive sustainable growth and shareholder value.</w:t>
      </w:r>
      <w:r w:rsidRPr="00501DFA">
        <w:rPr>
          <w:rFonts w:ascii="Times New Roman" w:hAnsi="Times New Roman" w:cs="Times New Roman"/>
          <w:sz w:val="24"/>
          <w:szCs w:val="24"/>
        </w:rPr>
        <w:t xml:space="preserve"> </w:t>
      </w:r>
      <w:r w:rsidRPr="00501DFA">
        <w:rPr>
          <w:rFonts w:ascii="Times New Roman" w:hAnsi="Times New Roman" w:cs="Times New Roman"/>
          <w:sz w:val="24"/>
          <w:szCs w:val="24"/>
        </w:rPr>
        <w:t>In essence, Walmart remains committed to its core principles of offering high-quality products at competitive prices, serving customers and communities, and driving retail innovation. As Walmart embarks on a journey of reinvention, it aims to adapt to the evolving retail landscape and maintain its leadership position in the global retail industry through strategic initiatives.</w:t>
      </w:r>
    </w:p>
    <w:p w14:paraId="79B08A8F" w14:textId="048391ED" w:rsidR="00884DFD" w:rsidRPr="00DD7575" w:rsidRDefault="00884DFD" w:rsidP="004E1F32">
      <w:pPr>
        <w:spacing w:line="360" w:lineRule="auto"/>
        <w:rPr>
          <w:rFonts w:ascii="Times New Roman" w:hAnsi="Times New Roman" w:cs="Times New Roman"/>
          <w:b/>
          <w:bCs/>
          <w:color w:val="000000" w:themeColor="text1"/>
          <w:sz w:val="24"/>
          <w:szCs w:val="24"/>
          <w:lang w:val="en-US"/>
        </w:rPr>
      </w:pPr>
      <w:r w:rsidRPr="00DD7575">
        <w:rPr>
          <w:rFonts w:ascii="Times New Roman" w:hAnsi="Times New Roman" w:cs="Times New Roman"/>
          <w:b/>
          <w:bCs/>
          <w:color w:val="000000" w:themeColor="text1"/>
          <w:sz w:val="24"/>
          <w:szCs w:val="24"/>
          <w:lang w:val="en-US"/>
        </w:rPr>
        <w:br w:type="page"/>
      </w:r>
    </w:p>
    <w:sdt>
      <w:sdtPr>
        <w:rPr>
          <w:rFonts w:asciiTheme="minorHAnsi" w:eastAsiaTheme="minorHAnsi" w:hAnsiTheme="minorHAnsi" w:cstheme="minorBidi"/>
          <w:kern w:val="2"/>
          <w:sz w:val="22"/>
          <w:szCs w:val="22"/>
          <w:lang w:val="en-GB"/>
        </w:rPr>
        <w:id w:val="-1853645773"/>
        <w:docPartObj>
          <w:docPartGallery w:val="Table of Contents"/>
          <w:docPartUnique/>
        </w:docPartObj>
      </w:sdtPr>
      <w:sdtEndPr>
        <w:rPr>
          <w:b/>
          <w:bCs/>
          <w:noProof/>
          <w:color w:val="000000" w:themeColor="text1"/>
        </w:rPr>
      </w:sdtEndPr>
      <w:sdtContent>
        <w:p w14:paraId="04C08DC2" w14:textId="77777777" w:rsidR="00884DFD" w:rsidRPr="00DD7575" w:rsidRDefault="00884DFD" w:rsidP="00FC4F13">
          <w:pPr>
            <w:pStyle w:val="TOCHeading"/>
          </w:pPr>
          <w:r w:rsidRPr="00DD7575">
            <w:t>Table of Contents</w:t>
          </w:r>
        </w:p>
        <w:p w14:paraId="1493A4C9" w14:textId="388D453E" w:rsidR="00C51570" w:rsidRDefault="006153DE">
          <w:pPr>
            <w:pStyle w:val="TOC1"/>
            <w:tabs>
              <w:tab w:val="right" w:leader="dot" w:pos="9350"/>
            </w:tabs>
            <w:rPr>
              <w:rFonts w:eastAsiaTheme="minorEastAsia"/>
              <w:noProof/>
              <w:lang w:val="en-IN" w:eastAsia="en-IN"/>
              <w14:ligatures w14:val="standardContextual"/>
            </w:rPr>
          </w:pPr>
          <w:r w:rsidRPr="00DD7575">
            <w:rPr>
              <w:rFonts w:ascii="Times New Roman" w:hAnsi="Times New Roman" w:cs="Times New Roman"/>
              <w:color w:val="000000" w:themeColor="text1"/>
              <w:sz w:val="24"/>
              <w:szCs w:val="24"/>
            </w:rPr>
            <w:fldChar w:fldCharType="begin"/>
          </w:r>
          <w:r w:rsidR="00884DFD" w:rsidRPr="00DD7575">
            <w:rPr>
              <w:rFonts w:ascii="Times New Roman" w:hAnsi="Times New Roman" w:cs="Times New Roman"/>
              <w:color w:val="000000" w:themeColor="text1"/>
              <w:sz w:val="24"/>
              <w:szCs w:val="24"/>
            </w:rPr>
            <w:instrText xml:space="preserve"> TOC \o "1-3" \h \z \u </w:instrText>
          </w:r>
          <w:r w:rsidRPr="00DD7575">
            <w:rPr>
              <w:rFonts w:ascii="Times New Roman" w:hAnsi="Times New Roman" w:cs="Times New Roman"/>
              <w:color w:val="000000" w:themeColor="text1"/>
              <w:sz w:val="24"/>
              <w:szCs w:val="24"/>
            </w:rPr>
            <w:fldChar w:fldCharType="separate"/>
          </w:r>
          <w:hyperlink w:anchor="_Toc164810551" w:history="1">
            <w:r w:rsidR="00C51570" w:rsidRPr="000267A3">
              <w:rPr>
                <w:rStyle w:val="Hyperlink"/>
                <w:noProof/>
              </w:rPr>
              <w:t>1. Introduction</w:t>
            </w:r>
            <w:r w:rsidR="00C51570">
              <w:rPr>
                <w:noProof/>
                <w:webHidden/>
              </w:rPr>
              <w:tab/>
            </w:r>
            <w:r w:rsidR="00C51570">
              <w:rPr>
                <w:noProof/>
                <w:webHidden/>
              </w:rPr>
              <w:fldChar w:fldCharType="begin"/>
            </w:r>
            <w:r w:rsidR="00C51570">
              <w:rPr>
                <w:noProof/>
                <w:webHidden/>
              </w:rPr>
              <w:instrText xml:space="preserve"> PAGEREF _Toc164810551 \h </w:instrText>
            </w:r>
            <w:r w:rsidR="00C51570">
              <w:rPr>
                <w:noProof/>
                <w:webHidden/>
              </w:rPr>
            </w:r>
            <w:r w:rsidR="00C51570">
              <w:rPr>
                <w:noProof/>
                <w:webHidden/>
              </w:rPr>
              <w:fldChar w:fldCharType="separate"/>
            </w:r>
            <w:r w:rsidR="00C51570">
              <w:rPr>
                <w:noProof/>
                <w:webHidden/>
              </w:rPr>
              <w:t>5</w:t>
            </w:r>
            <w:r w:rsidR="00C51570">
              <w:rPr>
                <w:noProof/>
                <w:webHidden/>
              </w:rPr>
              <w:fldChar w:fldCharType="end"/>
            </w:r>
          </w:hyperlink>
        </w:p>
        <w:p w14:paraId="7F255E40" w14:textId="6789C74E" w:rsidR="00C51570" w:rsidRDefault="00C51570">
          <w:pPr>
            <w:pStyle w:val="TOC1"/>
            <w:tabs>
              <w:tab w:val="right" w:leader="dot" w:pos="9350"/>
            </w:tabs>
            <w:rPr>
              <w:rFonts w:eastAsiaTheme="minorEastAsia"/>
              <w:noProof/>
              <w:lang w:val="en-IN" w:eastAsia="en-IN"/>
              <w14:ligatures w14:val="standardContextual"/>
            </w:rPr>
          </w:pPr>
          <w:hyperlink w:anchor="_Toc164810552" w:history="1">
            <w:r w:rsidRPr="000267A3">
              <w:rPr>
                <w:rStyle w:val="Hyperlink"/>
                <w:noProof/>
              </w:rPr>
              <w:t>2. Company Background and Major Events</w:t>
            </w:r>
            <w:r>
              <w:rPr>
                <w:noProof/>
                <w:webHidden/>
              </w:rPr>
              <w:tab/>
            </w:r>
            <w:r>
              <w:rPr>
                <w:noProof/>
                <w:webHidden/>
              </w:rPr>
              <w:fldChar w:fldCharType="begin"/>
            </w:r>
            <w:r>
              <w:rPr>
                <w:noProof/>
                <w:webHidden/>
              </w:rPr>
              <w:instrText xml:space="preserve"> PAGEREF _Toc164810552 \h </w:instrText>
            </w:r>
            <w:r>
              <w:rPr>
                <w:noProof/>
                <w:webHidden/>
              </w:rPr>
            </w:r>
            <w:r>
              <w:rPr>
                <w:noProof/>
                <w:webHidden/>
              </w:rPr>
              <w:fldChar w:fldCharType="separate"/>
            </w:r>
            <w:r>
              <w:rPr>
                <w:noProof/>
                <w:webHidden/>
              </w:rPr>
              <w:t>5</w:t>
            </w:r>
            <w:r>
              <w:rPr>
                <w:noProof/>
                <w:webHidden/>
              </w:rPr>
              <w:fldChar w:fldCharType="end"/>
            </w:r>
          </w:hyperlink>
        </w:p>
        <w:p w14:paraId="579DB609" w14:textId="14FC20BA" w:rsidR="00C51570" w:rsidRDefault="00C51570">
          <w:pPr>
            <w:pStyle w:val="TOC2"/>
            <w:tabs>
              <w:tab w:val="right" w:leader="dot" w:pos="9350"/>
            </w:tabs>
            <w:rPr>
              <w:rFonts w:eastAsiaTheme="minorEastAsia"/>
              <w:noProof/>
              <w:lang w:val="en-IN" w:eastAsia="en-IN"/>
              <w14:ligatures w14:val="standardContextual"/>
            </w:rPr>
          </w:pPr>
          <w:hyperlink w:anchor="_Toc164810553" w:history="1">
            <w:r w:rsidRPr="000267A3">
              <w:rPr>
                <w:rStyle w:val="Hyperlink"/>
                <w:noProof/>
              </w:rPr>
              <w:t>2.1. Introduction to Walmart and its industry</w:t>
            </w:r>
            <w:r>
              <w:rPr>
                <w:noProof/>
                <w:webHidden/>
              </w:rPr>
              <w:tab/>
            </w:r>
            <w:r>
              <w:rPr>
                <w:noProof/>
                <w:webHidden/>
              </w:rPr>
              <w:fldChar w:fldCharType="begin"/>
            </w:r>
            <w:r>
              <w:rPr>
                <w:noProof/>
                <w:webHidden/>
              </w:rPr>
              <w:instrText xml:space="preserve"> PAGEREF _Toc164810553 \h </w:instrText>
            </w:r>
            <w:r>
              <w:rPr>
                <w:noProof/>
                <w:webHidden/>
              </w:rPr>
            </w:r>
            <w:r>
              <w:rPr>
                <w:noProof/>
                <w:webHidden/>
              </w:rPr>
              <w:fldChar w:fldCharType="separate"/>
            </w:r>
            <w:r>
              <w:rPr>
                <w:noProof/>
                <w:webHidden/>
              </w:rPr>
              <w:t>5</w:t>
            </w:r>
            <w:r>
              <w:rPr>
                <w:noProof/>
                <w:webHidden/>
              </w:rPr>
              <w:fldChar w:fldCharType="end"/>
            </w:r>
          </w:hyperlink>
        </w:p>
        <w:p w14:paraId="585D499D" w14:textId="7ECE0706" w:rsidR="00C51570" w:rsidRDefault="00C51570">
          <w:pPr>
            <w:pStyle w:val="TOC2"/>
            <w:tabs>
              <w:tab w:val="right" w:leader="dot" w:pos="9350"/>
            </w:tabs>
            <w:rPr>
              <w:rFonts w:eastAsiaTheme="minorEastAsia"/>
              <w:noProof/>
              <w:lang w:val="en-IN" w:eastAsia="en-IN"/>
              <w14:ligatures w14:val="standardContextual"/>
            </w:rPr>
          </w:pPr>
          <w:hyperlink w:anchor="_Toc164810554" w:history="1">
            <w:r w:rsidRPr="000267A3">
              <w:rPr>
                <w:rStyle w:val="Hyperlink"/>
                <w:noProof/>
              </w:rPr>
              <w:t>2.2. Overview of its business model and market position</w:t>
            </w:r>
            <w:r>
              <w:rPr>
                <w:noProof/>
                <w:webHidden/>
              </w:rPr>
              <w:tab/>
            </w:r>
            <w:r>
              <w:rPr>
                <w:noProof/>
                <w:webHidden/>
              </w:rPr>
              <w:fldChar w:fldCharType="begin"/>
            </w:r>
            <w:r>
              <w:rPr>
                <w:noProof/>
                <w:webHidden/>
              </w:rPr>
              <w:instrText xml:space="preserve"> PAGEREF _Toc164810554 \h </w:instrText>
            </w:r>
            <w:r>
              <w:rPr>
                <w:noProof/>
                <w:webHidden/>
              </w:rPr>
            </w:r>
            <w:r>
              <w:rPr>
                <w:noProof/>
                <w:webHidden/>
              </w:rPr>
              <w:fldChar w:fldCharType="separate"/>
            </w:r>
            <w:r>
              <w:rPr>
                <w:noProof/>
                <w:webHidden/>
              </w:rPr>
              <w:t>5</w:t>
            </w:r>
            <w:r>
              <w:rPr>
                <w:noProof/>
                <w:webHidden/>
              </w:rPr>
              <w:fldChar w:fldCharType="end"/>
            </w:r>
          </w:hyperlink>
        </w:p>
        <w:p w14:paraId="0DDDFDC8" w14:textId="639C49F3" w:rsidR="00C51570" w:rsidRDefault="00C51570">
          <w:pPr>
            <w:pStyle w:val="TOC2"/>
            <w:tabs>
              <w:tab w:val="right" w:leader="dot" w:pos="9350"/>
            </w:tabs>
            <w:rPr>
              <w:rFonts w:eastAsiaTheme="minorEastAsia"/>
              <w:noProof/>
              <w:lang w:val="en-IN" w:eastAsia="en-IN"/>
              <w14:ligatures w14:val="standardContextual"/>
            </w:rPr>
          </w:pPr>
          <w:hyperlink w:anchor="_Toc164810555" w:history="1">
            <w:r w:rsidRPr="000267A3">
              <w:rPr>
                <w:rStyle w:val="Hyperlink"/>
                <w:noProof/>
              </w:rPr>
              <w:t>2.3. Major events over the past five years</w:t>
            </w:r>
            <w:r>
              <w:rPr>
                <w:noProof/>
                <w:webHidden/>
              </w:rPr>
              <w:tab/>
            </w:r>
            <w:r>
              <w:rPr>
                <w:noProof/>
                <w:webHidden/>
              </w:rPr>
              <w:fldChar w:fldCharType="begin"/>
            </w:r>
            <w:r>
              <w:rPr>
                <w:noProof/>
                <w:webHidden/>
              </w:rPr>
              <w:instrText xml:space="preserve"> PAGEREF _Toc164810555 \h </w:instrText>
            </w:r>
            <w:r>
              <w:rPr>
                <w:noProof/>
                <w:webHidden/>
              </w:rPr>
            </w:r>
            <w:r>
              <w:rPr>
                <w:noProof/>
                <w:webHidden/>
              </w:rPr>
              <w:fldChar w:fldCharType="separate"/>
            </w:r>
            <w:r>
              <w:rPr>
                <w:noProof/>
                <w:webHidden/>
              </w:rPr>
              <w:t>6</w:t>
            </w:r>
            <w:r>
              <w:rPr>
                <w:noProof/>
                <w:webHidden/>
              </w:rPr>
              <w:fldChar w:fldCharType="end"/>
            </w:r>
          </w:hyperlink>
        </w:p>
        <w:p w14:paraId="185D8ACB" w14:textId="5DA3134C" w:rsidR="00C51570" w:rsidRDefault="00C51570">
          <w:pPr>
            <w:pStyle w:val="TOC1"/>
            <w:tabs>
              <w:tab w:val="right" w:leader="dot" w:pos="9350"/>
            </w:tabs>
            <w:rPr>
              <w:rFonts w:eastAsiaTheme="minorEastAsia"/>
              <w:noProof/>
              <w:lang w:val="en-IN" w:eastAsia="en-IN"/>
              <w14:ligatures w14:val="standardContextual"/>
            </w:rPr>
          </w:pPr>
          <w:hyperlink w:anchor="_Toc164810556" w:history="1">
            <w:r w:rsidRPr="000267A3">
              <w:rPr>
                <w:rStyle w:val="Hyperlink"/>
                <w:noProof/>
              </w:rPr>
              <w:t>3. Financial Ratios Analysis</w:t>
            </w:r>
            <w:r>
              <w:rPr>
                <w:noProof/>
                <w:webHidden/>
              </w:rPr>
              <w:tab/>
            </w:r>
            <w:r>
              <w:rPr>
                <w:noProof/>
                <w:webHidden/>
              </w:rPr>
              <w:fldChar w:fldCharType="begin"/>
            </w:r>
            <w:r>
              <w:rPr>
                <w:noProof/>
                <w:webHidden/>
              </w:rPr>
              <w:instrText xml:space="preserve"> PAGEREF _Toc164810556 \h </w:instrText>
            </w:r>
            <w:r>
              <w:rPr>
                <w:noProof/>
                <w:webHidden/>
              </w:rPr>
            </w:r>
            <w:r>
              <w:rPr>
                <w:noProof/>
                <w:webHidden/>
              </w:rPr>
              <w:fldChar w:fldCharType="separate"/>
            </w:r>
            <w:r>
              <w:rPr>
                <w:noProof/>
                <w:webHidden/>
              </w:rPr>
              <w:t>6</w:t>
            </w:r>
            <w:r>
              <w:rPr>
                <w:noProof/>
                <w:webHidden/>
              </w:rPr>
              <w:fldChar w:fldCharType="end"/>
            </w:r>
          </w:hyperlink>
        </w:p>
        <w:p w14:paraId="57A25CDF" w14:textId="260D7ECB" w:rsidR="00C51570" w:rsidRDefault="00C51570">
          <w:pPr>
            <w:pStyle w:val="TOC2"/>
            <w:tabs>
              <w:tab w:val="right" w:leader="dot" w:pos="9350"/>
            </w:tabs>
            <w:rPr>
              <w:rFonts w:eastAsiaTheme="minorEastAsia"/>
              <w:noProof/>
              <w:lang w:val="en-IN" w:eastAsia="en-IN"/>
              <w14:ligatures w14:val="standardContextual"/>
            </w:rPr>
          </w:pPr>
          <w:hyperlink w:anchor="_Toc164810557" w:history="1">
            <w:r w:rsidRPr="000267A3">
              <w:rPr>
                <w:rStyle w:val="Hyperlink"/>
                <w:noProof/>
              </w:rPr>
              <w:t>a) Liquidity and Leverage Ratios</w:t>
            </w:r>
            <w:r>
              <w:rPr>
                <w:noProof/>
                <w:webHidden/>
              </w:rPr>
              <w:tab/>
            </w:r>
            <w:r>
              <w:rPr>
                <w:noProof/>
                <w:webHidden/>
              </w:rPr>
              <w:fldChar w:fldCharType="begin"/>
            </w:r>
            <w:r>
              <w:rPr>
                <w:noProof/>
                <w:webHidden/>
              </w:rPr>
              <w:instrText xml:space="preserve"> PAGEREF _Toc164810557 \h </w:instrText>
            </w:r>
            <w:r>
              <w:rPr>
                <w:noProof/>
                <w:webHidden/>
              </w:rPr>
            </w:r>
            <w:r>
              <w:rPr>
                <w:noProof/>
                <w:webHidden/>
              </w:rPr>
              <w:fldChar w:fldCharType="separate"/>
            </w:r>
            <w:r>
              <w:rPr>
                <w:noProof/>
                <w:webHidden/>
              </w:rPr>
              <w:t>6</w:t>
            </w:r>
            <w:r>
              <w:rPr>
                <w:noProof/>
                <w:webHidden/>
              </w:rPr>
              <w:fldChar w:fldCharType="end"/>
            </w:r>
          </w:hyperlink>
        </w:p>
        <w:p w14:paraId="0AD1A9A9" w14:textId="3A1CC030" w:rsidR="00C51570" w:rsidRDefault="00C51570">
          <w:pPr>
            <w:pStyle w:val="TOC2"/>
            <w:tabs>
              <w:tab w:val="right" w:leader="dot" w:pos="9350"/>
            </w:tabs>
            <w:rPr>
              <w:rFonts w:eastAsiaTheme="minorEastAsia"/>
              <w:noProof/>
              <w:lang w:val="en-IN" w:eastAsia="en-IN"/>
              <w14:ligatures w14:val="standardContextual"/>
            </w:rPr>
          </w:pPr>
          <w:hyperlink w:anchor="_Toc164810558" w:history="1">
            <w:r w:rsidRPr="000267A3">
              <w:rPr>
                <w:rStyle w:val="Hyperlink"/>
                <w:noProof/>
              </w:rPr>
              <w:t>b) Critical Analysis of Financial Performance</w:t>
            </w:r>
            <w:r>
              <w:rPr>
                <w:noProof/>
                <w:webHidden/>
              </w:rPr>
              <w:tab/>
            </w:r>
            <w:r>
              <w:rPr>
                <w:noProof/>
                <w:webHidden/>
              </w:rPr>
              <w:fldChar w:fldCharType="begin"/>
            </w:r>
            <w:r>
              <w:rPr>
                <w:noProof/>
                <w:webHidden/>
              </w:rPr>
              <w:instrText xml:space="preserve"> PAGEREF _Toc164810558 \h </w:instrText>
            </w:r>
            <w:r>
              <w:rPr>
                <w:noProof/>
                <w:webHidden/>
              </w:rPr>
            </w:r>
            <w:r>
              <w:rPr>
                <w:noProof/>
                <w:webHidden/>
              </w:rPr>
              <w:fldChar w:fldCharType="separate"/>
            </w:r>
            <w:r>
              <w:rPr>
                <w:noProof/>
                <w:webHidden/>
              </w:rPr>
              <w:t>9</w:t>
            </w:r>
            <w:r>
              <w:rPr>
                <w:noProof/>
                <w:webHidden/>
              </w:rPr>
              <w:fldChar w:fldCharType="end"/>
            </w:r>
          </w:hyperlink>
        </w:p>
        <w:p w14:paraId="28667949" w14:textId="05823266" w:rsidR="00C51570" w:rsidRDefault="00C51570">
          <w:pPr>
            <w:pStyle w:val="TOC2"/>
            <w:tabs>
              <w:tab w:val="right" w:leader="dot" w:pos="9350"/>
            </w:tabs>
            <w:rPr>
              <w:rFonts w:eastAsiaTheme="minorEastAsia"/>
              <w:noProof/>
              <w:lang w:val="en-IN" w:eastAsia="en-IN"/>
              <w14:ligatures w14:val="standardContextual"/>
            </w:rPr>
          </w:pPr>
          <w:hyperlink w:anchor="_Toc164810559" w:history="1">
            <w:r w:rsidRPr="000267A3">
              <w:rPr>
                <w:rStyle w:val="Hyperlink"/>
                <w:noProof/>
              </w:rPr>
              <w:t>c) Comparison with Competitor (Amazon)</w:t>
            </w:r>
            <w:r>
              <w:rPr>
                <w:noProof/>
                <w:webHidden/>
              </w:rPr>
              <w:tab/>
            </w:r>
            <w:r>
              <w:rPr>
                <w:noProof/>
                <w:webHidden/>
              </w:rPr>
              <w:fldChar w:fldCharType="begin"/>
            </w:r>
            <w:r>
              <w:rPr>
                <w:noProof/>
                <w:webHidden/>
              </w:rPr>
              <w:instrText xml:space="preserve"> PAGEREF _Toc164810559 \h </w:instrText>
            </w:r>
            <w:r>
              <w:rPr>
                <w:noProof/>
                <w:webHidden/>
              </w:rPr>
            </w:r>
            <w:r>
              <w:rPr>
                <w:noProof/>
                <w:webHidden/>
              </w:rPr>
              <w:fldChar w:fldCharType="separate"/>
            </w:r>
            <w:r>
              <w:rPr>
                <w:noProof/>
                <w:webHidden/>
              </w:rPr>
              <w:t>10</w:t>
            </w:r>
            <w:r>
              <w:rPr>
                <w:noProof/>
                <w:webHidden/>
              </w:rPr>
              <w:fldChar w:fldCharType="end"/>
            </w:r>
          </w:hyperlink>
        </w:p>
        <w:p w14:paraId="7E47A488" w14:textId="5D696EF9" w:rsidR="00C51570" w:rsidRDefault="00C51570">
          <w:pPr>
            <w:pStyle w:val="TOC2"/>
            <w:tabs>
              <w:tab w:val="right" w:leader="dot" w:pos="9350"/>
            </w:tabs>
            <w:rPr>
              <w:rFonts w:eastAsiaTheme="minorEastAsia"/>
              <w:noProof/>
              <w:lang w:val="en-IN" w:eastAsia="en-IN"/>
              <w14:ligatures w14:val="standardContextual"/>
            </w:rPr>
          </w:pPr>
          <w:hyperlink w:anchor="_Toc164810560" w:history="1">
            <w:r w:rsidRPr="000267A3">
              <w:rPr>
                <w:rStyle w:val="Hyperlink"/>
                <w:noProof/>
              </w:rPr>
              <w:t>d) Capital Structure Theory</w:t>
            </w:r>
            <w:r>
              <w:rPr>
                <w:noProof/>
                <w:webHidden/>
              </w:rPr>
              <w:tab/>
            </w:r>
            <w:r>
              <w:rPr>
                <w:noProof/>
                <w:webHidden/>
              </w:rPr>
              <w:fldChar w:fldCharType="begin"/>
            </w:r>
            <w:r>
              <w:rPr>
                <w:noProof/>
                <w:webHidden/>
              </w:rPr>
              <w:instrText xml:space="preserve"> PAGEREF _Toc164810560 \h </w:instrText>
            </w:r>
            <w:r>
              <w:rPr>
                <w:noProof/>
                <w:webHidden/>
              </w:rPr>
            </w:r>
            <w:r>
              <w:rPr>
                <w:noProof/>
                <w:webHidden/>
              </w:rPr>
              <w:fldChar w:fldCharType="separate"/>
            </w:r>
            <w:r>
              <w:rPr>
                <w:noProof/>
                <w:webHidden/>
              </w:rPr>
              <w:t>12</w:t>
            </w:r>
            <w:r>
              <w:rPr>
                <w:noProof/>
                <w:webHidden/>
              </w:rPr>
              <w:fldChar w:fldCharType="end"/>
            </w:r>
          </w:hyperlink>
        </w:p>
        <w:p w14:paraId="1D7FEC65" w14:textId="2E45D863" w:rsidR="00C51570" w:rsidRDefault="00C51570">
          <w:pPr>
            <w:pStyle w:val="TOC2"/>
            <w:tabs>
              <w:tab w:val="right" w:leader="dot" w:pos="9350"/>
            </w:tabs>
            <w:rPr>
              <w:rFonts w:eastAsiaTheme="minorEastAsia"/>
              <w:noProof/>
              <w:lang w:val="en-IN" w:eastAsia="en-IN"/>
              <w14:ligatures w14:val="standardContextual"/>
            </w:rPr>
          </w:pPr>
          <w:hyperlink w:anchor="_Toc164810561" w:history="1">
            <w:r w:rsidRPr="000267A3">
              <w:rPr>
                <w:rStyle w:val="Hyperlink"/>
                <w:noProof/>
              </w:rPr>
              <w:t>e) Application of Capital Structure Theory</w:t>
            </w:r>
            <w:r>
              <w:rPr>
                <w:noProof/>
                <w:webHidden/>
              </w:rPr>
              <w:tab/>
            </w:r>
            <w:r>
              <w:rPr>
                <w:noProof/>
                <w:webHidden/>
              </w:rPr>
              <w:fldChar w:fldCharType="begin"/>
            </w:r>
            <w:r>
              <w:rPr>
                <w:noProof/>
                <w:webHidden/>
              </w:rPr>
              <w:instrText xml:space="preserve"> PAGEREF _Toc164810561 \h </w:instrText>
            </w:r>
            <w:r>
              <w:rPr>
                <w:noProof/>
                <w:webHidden/>
              </w:rPr>
            </w:r>
            <w:r>
              <w:rPr>
                <w:noProof/>
                <w:webHidden/>
              </w:rPr>
              <w:fldChar w:fldCharType="separate"/>
            </w:r>
            <w:r>
              <w:rPr>
                <w:noProof/>
                <w:webHidden/>
              </w:rPr>
              <w:t>13</w:t>
            </w:r>
            <w:r>
              <w:rPr>
                <w:noProof/>
                <w:webHidden/>
              </w:rPr>
              <w:fldChar w:fldCharType="end"/>
            </w:r>
          </w:hyperlink>
        </w:p>
        <w:p w14:paraId="4F9CA340" w14:textId="1B04B838" w:rsidR="00C51570" w:rsidRDefault="00C51570">
          <w:pPr>
            <w:pStyle w:val="TOC2"/>
            <w:tabs>
              <w:tab w:val="right" w:leader="dot" w:pos="9350"/>
            </w:tabs>
            <w:rPr>
              <w:rFonts w:eastAsiaTheme="minorEastAsia"/>
              <w:noProof/>
              <w:lang w:val="en-IN" w:eastAsia="en-IN"/>
              <w14:ligatures w14:val="standardContextual"/>
            </w:rPr>
          </w:pPr>
          <w:hyperlink w:anchor="_Toc164810562" w:history="1">
            <w:r w:rsidRPr="000267A3">
              <w:rPr>
                <w:rStyle w:val="Hyperlink"/>
                <w:noProof/>
              </w:rPr>
              <w:t>f) Share Price Performance</w:t>
            </w:r>
            <w:r>
              <w:rPr>
                <w:noProof/>
                <w:webHidden/>
              </w:rPr>
              <w:tab/>
            </w:r>
            <w:r>
              <w:rPr>
                <w:noProof/>
                <w:webHidden/>
              </w:rPr>
              <w:fldChar w:fldCharType="begin"/>
            </w:r>
            <w:r>
              <w:rPr>
                <w:noProof/>
                <w:webHidden/>
              </w:rPr>
              <w:instrText xml:space="preserve"> PAGEREF _Toc164810562 \h </w:instrText>
            </w:r>
            <w:r>
              <w:rPr>
                <w:noProof/>
                <w:webHidden/>
              </w:rPr>
            </w:r>
            <w:r>
              <w:rPr>
                <w:noProof/>
                <w:webHidden/>
              </w:rPr>
              <w:fldChar w:fldCharType="separate"/>
            </w:r>
            <w:r>
              <w:rPr>
                <w:noProof/>
                <w:webHidden/>
              </w:rPr>
              <w:t>14</w:t>
            </w:r>
            <w:r>
              <w:rPr>
                <w:noProof/>
                <w:webHidden/>
              </w:rPr>
              <w:fldChar w:fldCharType="end"/>
            </w:r>
          </w:hyperlink>
        </w:p>
        <w:p w14:paraId="472FAFCE" w14:textId="129A659D" w:rsidR="00C51570" w:rsidRDefault="00C51570">
          <w:pPr>
            <w:pStyle w:val="TOC1"/>
            <w:tabs>
              <w:tab w:val="right" w:leader="dot" w:pos="9350"/>
            </w:tabs>
            <w:rPr>
              <w:rFonts w:eastAsiaTheme="minorEastAsia"/>
              <w:noProof/>
              <w:lang w:val="en-IN" w:eastAsia="en-IN"/>
              <w14:ligatures w14:val="standardContextual"/>
            </w:rPr>
          </w:pPr>
          <w:hyperlink w:anchor="_Toc164810563" w:history="1">
            <w:r w:rsidRPr="000267A3">
              <w:rPr>
                <w:rStyle w:val="Hyperlink"/>
                <w:noProof/>
              </w:rPr>
              <w:t>4. Analysis of Investment Activity</w:t>
            </w:r>
            <w:r>
              <w:rPr>
                <w:noProof/>
                <w:webHidden/>
              </w:rPr>
              <w:tab/>
            </w:r>
            <w:r>
              <w:rPr>
                <w:noProof/>
                <w:webHidden/>
              </w:rPr>
              <w:fldChar w:fldCharType="begin"/>
            </w:r>
            <w:r>
              <w:rPr>
                <w:noProof/>
                <w:webHidden/>
              </w:rPr>
              <w:instrText xml:space="preserve"> PAGEREF _Toc164810563 \h </w:instrText>
            </w:r>
            <w:r>
              <w:rPr>
                <w:noProof/>
                <w:webHidden/>
              </w:rPr>
            </w:r>
            <w:r>
              <w:rPr>
                <w:noProof/>
                <w:webHidden/>
              </w:rPr>
              <w:fldChar w:fldCharType="separate"/>
            </w:r>
            <w:r>
              <w:rPr>
                <w:noProof/>
                <w:webHidden/>
              </w:rPr>
              <w:t>16</w:t>
            </w:r>
            <w:r>
              <w:rPr>
                <w:noProof/>
                <w:webHidden/>
              </w:rPr>
              <w:fldChar w:fldCharType="end"/>
            </w:r>
          </w:hyperlink>
        </w:p>
        <w:p w14:paraId="0B785EB6" w14:textId="4AC1117C" w:rsidR="00C51570" w:rsidRDefault="00C51570">
          <w:pPr>
            <w:pStyle w:val="TOC2"/>
            <w:tabs>
              <w:tab w:val="right" w:leader="dot" w:pos="9350"/>
            </w:tabs>
            <w:rPr>
              <w:rFonts w:eastAsiaTheme="minorEastAsia"/>
              <w:noProof/>
              <w:lang w:val="en-IN" w:eastAsia="en-IN"/>
              <w14:ligatures w14:val="standardContextual"/>
            </w:rPr>
          </w:pPr>
          <w:hyperlink w:anchor="_Toc164810564" w:history="1">
            <w:r w:rsidRPr="000267A3">
              <w:rPr>
                <w:rStyle w:val="Hyperlink"/>
                <w:noProof/>
              </w:rPr>
              <w:t>4.1. Walmart's largest recent investment activity over the past five years,</w:t>
            </w:r>
            <w:r>
              <w:rPr>
                <w:noProof/>
                <w:webHidden/>
              </w:rPr>
              <w:tab/>
            </w:r>
            <w:r>
              <w:rPr>
                <w:noProof/>
                <w:webHidden/>
              </w:rPr>
              <w:fldChar w:fldCharType="begin"/>
            </w:r>
            <w:r>
              <w:rPr>
                <w:noProof/>
                <w:webHidden/>
              </w:rPr>
              <w:instrText xml:space="preserve"> PAGEREF _Toc164810564 \h </w:instrText>
            </w:r>
            <w:r>
              <w:rPr>
                <w:noProof/>
                <w:webHidden/>
              </w:rPr>
            </w:r>
            <w:r>
              <w:rPr>
                <w:noProof/>
                <w:webHidden/>
              </w:rPr>
              <w:fldChar w:fldCharType="separate"/>
            </w:r>
            <w:r>
              <w:rPr>
                <w:noProof/>
                <w:webHidden/>
              </w:rPr>
              <w:t>16</w:t>
            </w:r>
            <w:r>
              <w:rPr>
                <w:noProof/>
                <w:webHidden/>
              </w:rPr>
              <w:fldChar w:fldCharType="end"/>
            </w:r>
          </w:hyperlink>
        </w:p>
        <w:p w14:paraId="23D61CAC" w14:textId="0C0B0E61" w:rsidR="00C51570" w:rsidRDefault="00C51570">
          <w:pPr>
            <w:pStyle w:val="TOC2"/>
            <w:tabs>
              <w:tab w:val="right" w:leader="dot" w:pos="9350"/>
            </w:tabs>
            <w:rPr>
              <w:rFonts w:eastAsiaTheme="minorEastAsia"/>
              <w:noProof/>
              <w:lang w:val="en-IN" w:eastAsia="en-IN"/>
              <w14:ligatures w14:val="standardContextual"/>
            </w:rPr>
          </w:pPr>
          <w:hyperlink w:anchor="_Toc164810565" w:history="1">
            <w:r w:rsidRPr="000267A3">
              <w:rPr>
                <w:rStyle w:val="Hyperlink"/>
                <w:noProof/>
              </w:rPr>
              <w:t>4.2. Covering its purpose</w:t>
            </w:r>
            <w:r>
              <w:rPr>
                <w:noProof/>
                <w:webHidden/>
              </w:rPr>
              <w:tab/>
            </w:r>
            <w:r>
              <w:rPr>
                <w:noProof/>
                <w:webHidden/>
              </w:rPr>
              <w:fldChar w:fldCharType="begin"/>
            </w:r>
            <w:r>
              <w:rPr>
                <w:noProof/>
                <w:webHidden/>
              </w:rPr>
              <w:instrText xml:space="preserve"> PAGEREF _Toc164810565 \h </w:instrText>
            </w:r>
            <w:r>
              <w:rPr>
                <w:noProof/>
                <w:webHidden/>
              </w:rPr>
            </w:r>
            <w:r>
              <w:rPr>
                <w:noProof/>
                <w:webHidden/>
              </w:rPr>
              <w:fldChar w:fldCharType="separate"/>
            </w:r>
            <w:r>
              <w:rPr>
                <w:noProof/>
                <w:webHidden/>
              </w:rPr>
              <w:t>16</w:t>
            </w:r>
            <w:r>
              <w:rPr>
                <w:noProof/>
                <w:webHidden/>
              </w:rPr>
              <w:fldChar w:fldCharType="end"/>
            </w:r>
          </w:hyperlink>
        </w:p>
        <w:p w14:paraId="6816C0EF" w14:textId="0F778277" w:rsidR="00C51570" w:rsidRDefault="00C51570">
          <w:pPr>
            <w:pStyle w:val="TOC2"/>
            <w:tabs>
              <w:tab w:val="right" w:leader="dot" w:pos="9350"/>
            </w:tabs>
            <w:rPr>
              <w:rFonts w:eastAsiaTheme="minorEastAsia"/>
              <w:noProof/>
              <w:lang w:val="en-IN" w:eastAsia="en-IN"/>
              <w14:ligatures w14:val="standardContextual"/>
            </w:rPr>
          </w:pPr>
          <w:hyperlink w:anchor="_Toc164810566" w:history="1">
            <w:r w:rsidRPr="000267A3">
              <w:rPr>
                <w:rStyle w:val="Hyperlink"/>
                <w:noProof/>
              </w:rPr>
              <w:t>4.3. Size</w:t>
            </w:r>
            <w:r>
              <w:rPr>
                <w:noProof/>
                <w:webHidden/>
              </w:rPr>
              <w:tab/>
            </w:r>
            <w:r>
              <w:rPr>
                <w:noProof/>
                <w:webHidden/>
              </w:rPr>
              <w:fldChar w:fldCharType="begin"/>
            </w:r>
            <w:r>
              <w:rPr>
                <w:noProof/>
                <w:webHidden/>
              </w:rPr>
              <w:instrText xml:space="preserve"> PAGEREF _Toc164810566 \h </w:instrText>
            </w:r>
            <w:r>
              <w:rPr>
                <w:noProof/>
                <w:webHidden/>
              </w:rPr>
            </w:r>
            <w:r>
              <w:rPr>
                <w:noProof/>
                <w:webHidden/>
              </w:rPr>
              <w:fldChar w:fldCharType="separate"/>
            </w:r>
            <w:r>
              <w:rPr>
                <w:noProof/>
                <w:webHidden/>
              </w:rPr>
              <w:t>17</w:t>
            </w:r>
            <w:r>
              <w:rPr>
                <w:noProof/>
                <w:webHidden/>
              </w:rPr>
              <w:fldChar w:fldCharType="end"/>
            </w:r>
          </w:hyperlink>
        </w:p>
        <w:p w14:paraId="4BF4717B" w14:textId="5CBF9A18" w:rsidR="00C51570" w:rsidRDefault="00C51570">
          <w:pPr>
            <w:pStyle w:val="TOC2"/>
            <w:tabs>
              <w:tab w:val="right" w:leader="dot" w:pos="9350"/>
            </w:tabs>
            <w:rPr>
              <w:rFonts w:eastAsiaTheme="minorEastAsia"/>
              <w:noProof/>
              <w:lang w:val="en-IN" w:eastAsia="en-IN"/>
              <w14:ligatures w14:val="standardContextual"/>
            </w:rPr>
          </w:pPr>
          <w:hyperlink w:anchor="_Toc164810567" w:history="1">
            <w:r w:rsidRPr="000267A3">
              <w:rPr>
                <w:rStyle w:val="Hyperlink"/>
                <w:noProof/>
              </w:rPr>
              <w:t>4.4. Financing</w:t>
            </w:r>
            <w:r>
              <w:rPr>
                <w:noProof/>
                <w:webHidden/>
              </w:rPr>
              <w:tab/>
            </w:r>
            <w:r>
              <w:rPr>
                <w:noProof/>
                <w:webHidden/>
              </w:rPr>
              <w:fldChar w:fldCharType="begin"/>
            </w:r>
            <w:r>
              <w:rPr>
                <w:noProof/>
                <w:webHidden/>
              </w:rPr>
              <w:instrText xml:space="preserve"> PAGEREF _Toc164810567 \h </w:instrText>
            </w:r>
            <w:r>
              <w:rPr>
                <w:noProof/>
                <w:webHidden/>
              </w:rPr>
            </w:r>
            <w:r>
              <w:rPr>
                <w:noProof/>
                <w:webHidden/>
              </w:rPr>
              <w:fldChar w:fldCharType="separate"/>
            </w:r>
            <w:r>
              <w:rPr>
                <w:noProof/>
                <w:webHidden/>
              </w:rPr>
              <w:t>18</w:t>
            </w:r>
            <w:r>
              <w:rPr>
                <w:noProof/>
                <w:webHidden/>
              </w:rPr>
              <w:fldChar w:fldCharType="end"/>
            </w:r>
          </w:hyperlink>
        </w:p>
        <w:p w14:paraId="7BB261A8" w14:textId="11936C4F" w:rsidR="00C51570" w:rsidRDefault="00C51570">
          <w:pPr>
            <w:pStyle w:val="TOC2"/>
            <w:tabs>
              <w:tab w:val="right" w:leader="dot" w:pos="9350"/>
            </w:tabs>
            <w:rPr>
              <w:rFonts w:eastAsiaTheme="minorEastAsia"/>
              <w:noProof/>
              <w:lang w:val="en-IN" w:eastAsia="en-IN"/>
              <w14:ligatures w14:val="standardContextual"/>
            </w:rPr>
          </w:pPr>
          <w:hyperlink w:anchor="_Toc164810568" w:history="1">
            <w:r w:rsidRPr="000267A3">
              <w:rPr>
                <w:rStyle w:val="Hyperlink"/>
                <w:noProof/>
              </w:rPr>
              <w:t>4.5. Feasibility</w:t>
            </w:r>
            <w:r>
              <w:rPr>
                <w:noProof/>
                <w:webHidden/>
              </w:rPr>
              <w:tab/>
            </w:r>
            <w:r>
              <w:rPr>
                <w:noProof/>
                <w:webHidden/>
              </w:rPr>
              <w:fldChar w:fldCharType="begin"/>
            </w:r>
            <w:r>
              <w:rPr>
                <w:noProof/>
                <w:webHidden/>
              </w:rPr>
              <w:instrText xml:space="preserve"> PAGEREF _Toc164810568 \h </w:instrText>
            </w:r>
            <w:r>
              <w:rPr>
                <w:noProof/>
                <w:webHidden/>
              </w:rPr>
            </w:r>
            <w:r>
              <w:rPr>
                <w:noProof/>
                <w:webHidden/>
              </w:rPr>
              <w:fldChar w:fldCharType="separate"/>
            </w:r>
            <w:r>
              <w:rPr>
                <w:noProof/>
                <w:webHidden/>
              </w:rPr>
              <w:t>19</w:t>
            </w:r>
            <w:r>
              <w:rPr>
                <w:noProof/>
                <w:webHidden/>
              </w:rPr>
              <w:fldChar w:fldCharType="end"/>
            </w:r>
          </w:hyperlink>
        </w:p>
        <w:p w14:paraId="05597268" w14:textId="50DE2809" w:rsidR="00C51570" w:rsidRDefault="00C51570">
          <w:pPr>
            <w:pStyle w:val="TOC2"/>
            <w:tabs>
              <w:tab w:val="right" w:leader="dot" w:pos="9350"/>
            </w:tabs>
            <w:rPr>
              <w:rFonts w:eastAsiaTheme="minorEastAsia"/>
              <w:noProof/>
              <w:lang w:val="en-IN" w:eastAsia="en-IN"/>
              <w14:ligatures w14:val="standardContextual"/>
            </w:rPr>
          </w:pPr>
          <w:hyperlink w:anchor="_Toc164810569" w:history="1">
            <w:r w:rsidRPr="000267A3">
              <w:rPr>
                <w:rStyle w:val="Hyperlink"/>
                <w:noProof/>
              </w:rPr>
              <w:t>4.6. Current outcomes</w:t>
            </w:r>
            <w:r>
              <w:rPr>
                <w:noProof/>
                <w:webHidden/>
              </w:rPr>
              <w:tab/>
            </w:r>
            <w:r>
              <w:rPr>
                <w:noProof/>
                <w:webHidden/>
              </w:rPr>
              <w:fldChar w:fldCharType="begin"/>
            </w:r>
            <w:r>
              <w:rPr>
                <w:noProof/>
                <w:webHidden/>
              </w:rPr>
              <w:instrText xml:space="preserve"> PAGEREF _Toc164810569 \h </w:instrText>
            </w:r>
            <w:r>
              <w:rPr>
                <w:noProof/>
                <w:webHidden/>
              </w:rPr>
            </w:r>
            <w:r>
              <w:rPr>
                <w:noProof/>
                <w:webHidden/>
              </w:rPr>
              <w:fldChar w:fldCharType="separate"/>
            </w:r>
            <w:r>
              <w:rPr>
                <w:noProof/>
                <w:webHidden/>
              </w:rPr>
              <w:t>20</w:t>
            </w:r>
            <w:r>
              <w:rPr>
                <w:noProof/>
                <w:webHidden/>
              </w:rPr>
              <w:fldChar w:fldCharType="end"/>
            </w:r>
          </w:hyperlink>
        </w:p>
        <w:p w14:paraId="5386A35F" w14:textId="632E84F3" w:rsidR="00C51570" w:rsidRDefault="00C51570">
          <w:pPr>
            <w:pStyle w:val="TOC1"/>
            <w:tabs>
              <w:tab w:val="right" w:leader="dot" w:pos="9350"/>
            </w:tabs>
            <w:rPr>
              <w:rFonts w:eastAsiaTheme="minorEastAsia"/>
              <w:noProof/>
              <w:lang w:val="en-IN" w:eastAsia="en-IN"/>
              <w14:ligatures w14:val="standardContextual"/>
            </w:rPr>
          </w:pPr>
          <w:hyperlink w:anchor="_Toc164810570" w:history="1">
            <w:r w:rsidRPr="000267A3">
              <w:rPr>
                <w:rStyle w:val="Hyperlink"/>
                <w:noProof/>
              </w:rPr>
              <w:t>5. Conclusion</w:t>
            </w:r>
            <w:r>
              <w:rPr>
                <w:noProof/>
                <w:webHidden/>
              </w:rPr>
              <w:tab/>
            </w:r>
            <w:r>
              <w:rPr>
                <w:noProof/>
                <w:webHidden/>
              </w:rPr>
              <w:fldChar w:fldCharType="begin"/>
            </w:r>
            <w:r>
              <w:rPr>
                <w:noProof/>
                <w:webHidden/>
              </w:rPr>
              <w:instrText xml:space="preserve"> PAGEREF _Toc164810570 \h </w:instrText>
            </w:r>
            <w:r>
              <w:rPr>
                <w:noProof/>
                <w:webHidden/>
              </w:rPr>
            </w:r>
            <w:r>
              <w:rPr>
                <w:noProof/>
                <w:webHidden/>
              </w:rPr>
              <w:fldChar w:fldCharType="separate"/>
            </w:r>
            <w:r>
              <w:rPr>
                <w:noProof/>
                <w:webHidden/>
              </w:rPr>
              <w:t>20</w:t>
            </w:r>
            <w:r>
              <w:rPr>
                <w:noProof/>
                <w:webHidden/>
              </w:rPr>
              <w:fldChar w:fldCharType="end"/>
            </w:r>
          </w:hyperlink>
        </w:p>
        <w:p w14:paraId="6F365810" w14:textId="7F36A67F" w:rsidR="00C51570" w:rsidRDefault="00C51570">
          <w:pPr>
            <w:pStyle w:val="TOC1"/>
            <w:tabs>
              <w:tab w:val="right" w:leader="dot" w:pos="9350"/>
            </w:tabs>
            <w:rPr>
              <w:rFonts w:eastAsiaTheme="minorEastAsia"/>
              <w:noProof/>
              <w:lang w:val="en-IN" w:eastAsia="en-IN"/>
              <w14:ligatures w14:val="standardContextual"/>
            </w:rPr>
          </w:pPr>
          <w:hyperlink w:anchor="_Toc164810571" w:history="1">
            <w:r w:rsidRPr="000267A3">
              <w:rPr>
                <w:rStyle w:val="Hyperlink"/>
                <w:noProof/>
              </w:rPr>
              <w:t>Reference List</w:t>
            </w:r>
            <w:r>
              <w:rPr>
                <w:noProof/>
                <w:webHidden/>
              </w:rPr>
              <w:tab/>
            </w:r>
            <w:r>
              <w:rPr>
                <w:noProof/>
                <w:webHidden/>
              </w:rPr>
              <w:fldChar w:fldCharType="begin"/>
            </w:r>
            <w:r>
              <w:rPr>
                <w:noProof/>
                <w:webHidden/>
              </w:rPr>
              <w:instrText xml:space="preserve"> PAGEREF _Toc164810571 \h </w:instrText>
            </w:r>
            <w:r>
              <w:rPr>
                <w:noProof/>
                <w:webHidden/>
              </w:rPr>
            </w:r>
            <w:r>
              <w:rPr>
                <w:noProof/>
                <w:webHidden/>
              </w:rPr>
              <w:fldChar w:fldCharType="separate"/>
            </w:r>
            <w:r>
              <w:rPr>
                <w:noProof/>
                <w:webHidden/>
              </w:rPr>
              <w:t>22</w:t>
            </w:r>
            <w:r>
              <w:rPr>
                <w:noProof/>
                <w:webHidden/>
              </w:rPr>
              <w:fldChar w:fldCharType="end"/>
            </w:r>
          </w:hyperlink>
        </w:p>
        <w:p w14:paraId="35AEAD7E" w14:textId="12DD54E0" w:rsidR="00884DFD" w:rsidRPr="00DD7575" w:rsidRDefault="006153DE" w:rsidP="00853AEC">
          <w:pPr>
            <w:spacing w:line="360" w:lineRule="auto"/>
            <w:jc w:val="both"/>
            <w:rPr>
              <w:color w:val="000000" w:themeColor="text1"/>
            </w:rPr>
          </w:pPr>
          <w:r w:rsidRPr="00DD7575">
            <w:rPr>
              <w:rFonts w:ascii="Times New Roman" w:hAnsi="Times New Roman" w:cs="Times New Roman"/>
              <w:b/>
              <w:bCs/>
              <w:noProof/>
              <w:color w:val="000000" w:themeColor="text1"/>
              <w:sz w:val="24"/>
              <w:szCs w:val="24"/>
            </w:rPr>
            <w:fldChar w:fldCharType="end"/>
          </w:r>
        </w:p>
      </w:sdtContent>
    </w:sdt>
    <w:p w14:paraId="0942845B" w14:textId="77777777" w:rsidR="00C20206" w:rsidRPr="00DD7575" w:rsidRDefault="00B00418" w:rsidP="00853AEC">
      <w:pPr>
        <w:spacing w:line="360" w:lineRule="auto"/>
        <w:rPr>
          <w:color w:val="000000" w:themeColor="text1"/>
        </w:rPr>
      </w:pPr>
      <w:r w:rsidRPr="00DD7575">
        <w:rPr>
          <w:color w:val="000000" w:themeColor="text1"/>
        </w:rPr>
        <w:br w:type="page"/>
      </w:r>
    </w:p>
    <w:p w14:paraId="57DC58C5" w14:textId="77777777" w:rsidR="00880FFD" w:rsidRPr="00DD7575" w:rsidRDefault="00880FFD"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lastRenderedPageBreak/>
        <w:t>List of Figures</w:t>
      </w:r>
    </w:p>
    <w:p w14:paraId="4A80AB47" w14:textId="6CF61079" w:rsidR="00624CCD" w:rsidRPr="00624CCD" w:rsidRDefault="006153DE" w:rsidP="00624CCD">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r w:rsidRPr="00DD7575">
        <w:rPr>
          <w:rFonts w:ascii="Times New Roman" w:hAnsi="Times New Roman" w:cs="Times New Roman"/>
          <w:color w:val="000000" w:themeColor="text1"/>
          <w:sz w:val="24"/>
          <w:szCs w:val="24"/>
        </w:rPr>
        <w:fldChar w:fldCharType="begin"/>
      </w:r>
      <w:r w:rsidR="00880FFD" w:rsidRPr="00DD7575">
        <w:rPr>
          <w:rFonts w:ascii="Times New Roman" w:hAnsi="Times New Roman" w:cs="Times New Roman"/>
          <w:color w:val="000000" w:themeColor="text1"/>
          <w:sz w:val="24"/>
          <w:szCs w:val="24"/>
        </w:rPr>
        <w:instrText xml:space="preserve"> TOC \h \z \t "Heading 4" \c "Figure" </w:instrText>
      </w:r>
      <w:r w:rsidRPr="00DD7575">
        <w:rPr>
          <w:rFonts w:ascii="Times New Roman" w:hAnsi="Times New Roman" w:cs="Times New Roman"/>
          <w:color w:val="000000" w:themeColor="text1"/>
          <w:sz w:val="24"/>
          <w:szCs w:val="24"/>
        </w:rPr>
        <w:fldChar w:fldCharType="separate"/>
      </w:r>
      <w:hyperlink w:anchor="_Toc164253202" w:history="1">
        <w:r w:rsidR="00880FFD" w:rsidRPr="00DD7575">
          <w:rPr>
            <w:rStyle w:val="Hyperlink"/>
            <w:rFonts w:ascii="Times New Roman" w:hAnsi="Times New Roman" w:cs="Times New Roman"/>
            <w:noProof/>
            <w:color w:val="000000" w:themeColor="text1"/>
            <w:sz w:val="24"/>
            <w:szCs w:val="24"/>
            <w:lang w:val="en-US"/>
          </w:rPr>
          <w:t>Figure 1: Average Return Rates of Walmart and Amazon</w:t>
        </w:r>
        <w:r w:rsidR="00880FFD" w:rsidRPr="00DD7575">
          <w:rPr>
            <w:rFonts w:ascii="Times New Roman" w:hAnsi="Times New Roman" w:cs="Times New Roman"/>
            <w:noProof/>
            <w:webHidden/>
            <w:color w:val="000000" w:themeColor="text1"/>
            <w:sz w:val="24"/>
            <w:szCs w:val="24"/>
          </w:rPr>
          <w:tab/>
        </w:r>
        <w:r w:rsidRPr="00DD7575">
          <w:rPr>
            <w:rFonts w:ascii="Times New Roman" w:hAnsi="Times New Roman" w:cs="Times New Roman"/>
            <w:noProof/>
            <w:webHidden/>
            <w:color w:val="000000" w:themeColor="text1"/>
            <w:sz w:val="24"/>
            <w:szCs w:val="24"/>
          </w:rPr>
          <w:fldChar w:fldCharType="begin"/>
        </w:r>
        <w:r w:rsidR="00880FFD" w:rsidRPr="00DD7575">
          <w:rPr>
            <w:rFonts w:ascii="Times New Roman" w:hAnsi="Times New Roman" w:cs="Times New Roman"/>
            <w:noProof/>
            <w:webHidden/>
            <w:color w:val="000000" w:themeColor="text1"/>
            <w:sz w:val="24"/>
            <w:szCs w:val="24"/>
          </w:rPr>
          <w:instrText xml:space="preserve"> PAGEREF _Toc164253202 \h </w:instrText>
        </w:r>
        <w:r w:rsidRPr="00DD7575">
          <w:rPr>
            <w:rFonts w:ascii="Times New Roman" w:hAnsi="Times New Roman" w:cs="Times New Roman"/>
            <w:noProof/>
            <w:webHidden/>
            <w:color w:val="000000" w:themeColor="text1"/>
            <w:sz w:val="24"/>
            <w:szCs w:val="24"/>
          </w:rPr>
        </w:r>
        <w:r w:rsidRPr="00DD7575">
          <w:rPr>
            <w:rFonts w:ascii="Times New Roman" w:hAnsi="Times New Roman" w:cs="Times New Roman"/>
            <w:noProof/>
            <w:webHidden/>
            <w:color w:val="000000" w:themeColor="text1"/>
            <w:sz w:val="24"/>
            <w:szCs w:val="24"/>
          </w:rPr>
          <w:fldChar w:fldCharType="separate"/>
        </w:r>
        <w:r w:rsidR="00DE4E50" w:rsidRPr="00DD7575">
          <w:rPr>
            <w:rFonts w:ascii="Times New Roman" w:hAnsi="Times New Roman" w:cs="Times New Roman"/>
            <w:noProof/>
            <w:webHidden/>
            <w:color w:val="000000" w:themeColor="text1"/>
            <w:sz w:val="24"/>
            <w:szCs w:val="24"/>
          </w:rPr>
          <w:t>15</w:t>
        </w:r>
        <w:r w:rsidRPr="00DD7575">
          <w:rPr>
            <w:rFonts w:ascii="Times New Roman" w:hAnsi="Times New Roman" w:cs="Times New Roman"/>
            <w:noProof/>
            <w:webHidden/>
            <w:color w:val="000000" w:themeColor="text1"/>
            <w:sz w:val="24"/>
            <w:szCs w:val="24"/>
          </w:rPr>
          <w:fldChar w:fldCharType="end"/>
        </w:r>
      </w:hyperlink>
    </w:p>
    <w:p w14:paraId="48FCC6F9" w14:textId="77777777" w:rsidR="00624CCD" w:rsidRPr="00624CCD" w:rsidRDefault="00624CCD" w:rsidP="00624CCD"/>
    <w:p w14:paraId="030A26D6" w14:textId="77777777" w:rsidR="00624CCD" w:rsidRPr="00DD7575" w:rsidRDefault="006153DE" w:rsidP="00624CCD">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r w:rsidRPr="00DD7575">
        <w:rPr>
          <w:rFonts w:ascii="Times New Roman" w:hAnsi="Times New Roman" w:cs="Times New Roman"/>
          <w:color w:val="000000" w:themeColor="text1"/>
          <w:sz w:val="24"/>
          <w:szCs w:val="24"/>
        </w:rPr>
        <w:fldChar w:fldCharType="end"/>
      </w:r>
      <w:r w:rsidR="00624CCD" w:rsidRPr="00DD7575">
        <w:rPr>
          <w:rFonts w:ascii="Times New Roman" w:hAnsi="Times New Roman" w:cs="Times New Roman"/>
          <w:color w:val="000000" w:themeColor="text1"/>
          <w:sz w:val="24"/>
          <w:szCs w:val="24"/>
        </w:rPr>
        <w:fldChar w:fldCharType="begin"/>
      </w:r>
      <w:r w:rsidR="00624CCD" w:rsidRPr="00DD7575">
        <w:rPr>
          <w:rFonts w:ascii="Times New Roman" w:hAnsi="Times New Roman" w:cs="Times New Roman"/>
          <w:color w:val="000000" w:themeColor="text1"/>
          <w:sz w:val="24"/>
          <w:szCs w:val="24"/>
        </w:rPr>
        <w:instrText xml:space="preserve"> TOC \h \z \t "Heading 5" \c </w:instrText>
      </w:r>
      <w:r w:rsidR="00624CCD" w:rsidRPr="00DD7575">
        <w:rPr>
          <w:rFonts w:ascii="Times New Roman" w:hAnsi="Times New Roman" w:cs="Times New Roman"/>
          <w:color w:val="000000" w:themeColor="text1"/>
          <w:sz w:val="24"/>
          <w:szCs w:val="24"/>
        </w:rPr>
        <w:fldChar w:fldCharType="separate"/>
      </w:r>
      <w:hyperlink w:anchor="_Toc164253189" w:history="1">
        <w:r w:rsidR="00624CCD" w:rsidRPr="00DD7575">
          <w:rPr>
            <w:rStyle w:val="Hyperlink"/>
            <w:rFonts w:ascii="Times New Roman" w:hAnsi="Times New Roman" w:cs="Times New Roman"/>
            <w:noProof/>
            <w:color w:val="000000" w:themeColor="text1"/>
            <w:sz w:val="24"/>
            <w:szCs w:val="24"/>
            <w:lang w:val="en-US"/>
          </w:rPr>
          <w:t>Table 1: Analysis of Liquidity and Leverage Ratios</w:t>
        </w:r>
        <w:r w:rsidR="00624CCD" w:rsidRPr="00DD7575">
          <w:rPr>
            <w:rFonts w:ascii="Times New Roman" w:hAnsi="Times New Roman" w:cs="Times New Roman"/>
            <w:noProof/>
            <w:webHidden/>
            <w:color w:val="000000" w:themeColor="text1"/>
            <w:sz w:val="24"/>
            <w:szCs w:val="24"/>
          </w:rPr>
          <w:tab/>
        </w:r>
        <w:r w:rsidR="00624CCD" w:rsidRPr="00DD7575">
          <w:rPr>
            <w:rFonts w:ascii="Times New Roman" w:hAnsi="Times New Roman" w:cs="Times New Roman"/>
            <w:noProof/>
            <w:webHidden/>
            <w:color w:val="000000" w:themeColor="text1"/>
            <w:sz w:val="24"/>
            <w:szCs w:val="24"/>
          </w:rPr>
          <w:fldChar w:fldCharType="begin"/>
        </w:r>
        <w:r w:rsidR="00624CCD" w:rsidRPr="00DD7575">
          <w:rPr>
            <w:rFonts w:ascii="Times New Roman" w:hAnsi="Times New Roman" w:cs="Times New Roman"/>
            <w:noProof/>
            <w:webHidden/>
            <w:color w:val="000000" w:themeColor="text1"/>
            <w:sz w:val="24"/>
            <w:szCs w:val="24"/>
          </w:rPr>
          <w:instrText xml:space="preserve"> PAGEREF _Toc164253189 \h </w:instrText>
        </w:r>
        <w:r w:rsidR="00624CCD" w:rsidRPr="00DD7575">
          <w:rPr>
            <w:rFonts w:ascii="Times New Roman" w:hAnsi="Times New Roman" w:cs="Times New Roman"/>
            <w:noProof/>
            <w:webHidden/>
            <w:color w:val="000000" w:themeColor="text1"/>
            <w:sz w:val="24"/>
            <w:szCs w:val="24"/>
          </w:rPr>
        </w:r>
        <w:r w:rsidR="00624CCD" w:rsidRPr="00DD7575">
          <w:rPr>
            <w:rFonts w:ascii="Times New Roman" w:hAnsi="Times New Roman" w:cs="Times New Roman"/>
            <w:noProof/>
            <w:webHidden/>
            <w:color w:val="000000" w:themeColor="text1"/>
            <w:sz w:val="24"/>
            <w:szCs w:val="24"/>
          </w:rPr>
          <w:fldChar w:fldCharType="separate"/>
        </w:r>
        <w:r w:rsidR="00624CCD" w:rsidRPr="00DD7575">
          <w:rPr>
            <w:rFonts w:ascii="Times New Roman" w:hAnsi="Times New Roman" w:cs="Times New Roman"/>
            <w:noProof/>
            <w:webHidden/>
            <w:color w:val="000000" w:themeColor="text1"/>
            <w:sz w:val="24"/>
            <w:szCs w:val="24"/>
          </w:rPr>
          <w:t>9</w:t>
        </w:r>
        <w:r w:rsidR="00624CCD" w:rsidRPr="00DD7575">
          <w:rPr>
            <w:rFonts w:ascii="Times New Roman" w:hAnsi="Times New Roman" w:cs="Times New Roman"/>
            <w:noProof/>
            <w:webHidden/>
            <w:color w:val="000000" w:themeColor="text1"/>
            <w:sz w:val="24"/>
            <w:szCs w:val="24"/>
          </w:rPr>
          <w:fldChar w:fldCharType="end"/>
        </w:r>
      </w:hyperlink>
    </w:p>
    <w:p w14:paraId="378090AC" w14:textId="77777777" w:rsidR="00624CCD" w:rsidRPr="00DD7575" w:rsidRDefault="00624CCD" w:rsidP="00624CCD">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hyperlink w:anchor="_Toc164253190" w:history="1">
        <w:r w:rsidRPr="00DD7575">
          <w:rPr>
            <w:rStyle w:val="Hyperlink"/>
            <w:rFonts w:ascii="Times New Roman" w:hAnsi="Times New Roman" w:cs="Times New Roman"/>
            <w:noProof/>
            <w:color w:val="000000" w:themeColor="text1"/>
            <w:sz w:val="24"/>
            <w:szCs w:val="24"/>
            <w:lang w:val="en-US"/>
          </w:rPr>
          <w:t>Table 2: Share Price Performance</w:t>
        </w:r>
        <w:r w:rsidRPr="00DD7575">
          <w:rPr>
            <w:rFonts w:ascii="Times New Roman" w:hAnsi="Times New Roman" w:cs="Times New Roman"/>
            <w:noProof/>
            <w:webHidden/>
            <w:color w:val="000000" w:themeColor="text1"/>
            <w:sz w:val="24"/>
            <w:szCs w:val="24"/>
          </w:rPr>
          <w:tab/>
        </w:r>
        <w:r w:rsidRPr="00DD7575">
          <w:rPr>
            <w:rFonts w:ascii="Times New Roman" w:hAnsi="Times New Roman" w:cs="Times New Roman"/>
            <w:noProof/>
            <w:webHidden/>
            <w:color w:val="000000" w:themeColor="text1"/>
            <w:sz w:val="24"/>
            <w:szCs w:val="24"/>
          </w:rPr>
          <w:fldChar w:fldCharType="begin"/>
        </w:r>
        <w:r w:rsidRPr="00DD7575">
          <w:rPr>
            <w:rFonts w:ascii="Times New Roman" w:hAnsi="Times New Roman" w:cs="Times New Roman"/>
            <w:noProof/>
            <w:webHidden/>
            <w:color w:val="000000" w:themeColor="text1"/>
            <w:sz w:val="24"/>
            <w:szCs w:val="24"/>
          </w:rPr>
          <w:instrText xml:space="preserve"> PAGEREF _Toc164253190 \h </w:instrText>
        </w:r>
        <w:r w:rsidRPr="00DD7575">
          <w:rPr>
            <w:rFonts w:ascii="Times New Roman" w:hAnsi="Times New Roman" w:cs="Times New Roman"/>
            <w:noProof/>
            <w:webHidden/>
            <w:color w:val="000000" w:themeColor="text1"/>
            <w:sz w:val="24"/>
            <w:szCs w:val="24"/>
          </w:rPr>
        </w:r>
        <w:r w:rsidRPr="00DD7575">
          <w:rPr>
            <w:rFonts w:ascii="Times New Roman" w:hAnsi="Times New Roman" w:cs="Times New Roman"/>
            <w:noProof/>
            <w:webHidden/>
            <w:color w:val="000000" w:themeColor="text1"/>
            <w:sz w:val="24"/>
            <w:szCs w:val="24"/>
          </w:rPr>
          <w:fldChar w:fldCharType="separate"/>
        </w:r>
        <w:r w:rsidRPr="00DD7575">
          <w:rPr>
            <w:rFonts w:ascii="Times New Roman" w:hAnsi="Times New Roman" w:cs="Times New Roman"/>
            <w:noProof/>
            <w:webHidden/>
            <w:color w:val="000000" w:themeColor="text1"/>
            <w:sz w:val="24"/>
            <w:szCs w:val="24"/>
          </w:rPr>
          <w:t>14</w:t>
        </w:r>
        <w:r w:rsidRPr="00DD7575">
          <w:rPr>
            <w:rFonts w:ascii="Times New Roman" w:hAnsi="Times New Roman" w:cs="Times New Roman"/>
            <w:noProof/>
            <w:webHidden/>
            <w:color w:val="000000" w:themeColor="text1"/>
            <w:sz w:val="24"/>
            <w:szCs w:val="24"/>
          </w:rPr>
          <w:fldChar w:fldCharType="end"/>
        </w:r>
      </w:hyperlink>
    </w:p>
    <w:p w14:paraId="75443ECC" w14:textId="6E6E64D5" w:rsidR="00C51570" w:rsidRPr="00C51570" w:rsidRDefault="00624CCD" w:rsidP="00C51570">
      <w:pPr>
        <w:spacing w:line="360" w:lineRule="auto"/>
        <w:jc w:val="both"/>
        <w:rPr>
          <w:rFonts w:ascii="Times New Roman" w:eastAsiaTheme="majorEastAsia" w:hAnsi="Times New Roman" w:cs="Times New Roman"/>
          <w:b/>
          <w:color w:val="000000" w:themeColor="text1"/>
          <w:sz w:val="24"/>
          <w:szCs w:val="24"/>
        </w:rPr>
      </w:pPr>
      <w:r w:rsidRPr="00DD7575">
        <w:rPr>
          <w:rFonts w:ascii="Times New Roman" w:hAnsi="Times New Roman" w:cs="Times New Roman"/>
          <w:color w:val="000000" w:themeColor="text1"/>
          <w:sz w:val="24"/>
          <w:szCs w:val="24"/>
        </w:rPr>
        <w:fldChar w:fldCharType="end"/>
      </w:r>
    </w:p>
    <w:p w14:paraId="7B7C1CD7" w14:textId="5CAAE2EF" w:rsidR="00880FFD" w:rsidRPr="00DD7575" w:rsidRDefault="00880FFD" w:rsidP="00853AEC">
      <w:pPr>
        <w:spacing w:line="360" w:lineRule="auto"/>
        <w:jc w:val="both"/>
        <w:rPr>
          <w:rFonts w:ascii="Times New Roman" w:eastAsiaTheme="majorEastAsia" w:hAnsi="Times New Roman" w:cstheme="majorBidi"/>
          <w:b/>
          <w:color w:val="000000" w:themeColor="text1"/>
          <w:sz w:val="24"/>
          <w:szCs w:val="32"/>
        </w:rPr>
      </w:pPr>
      <w:r w:rsidRPr="00DD7575">
        <w:rPr>
          <w:color w:val="000000" w:themeColor="text1"/>
        </w:rPr>
        <w:br w:type="page"/>
      </w:r>
    </w:p>
    <w:p w14:paraId="636B52EC" w14:textId="77777777" w:rsidR="002431D3" w:rsidRPr="00DD7575" w:rsidRDefault="002431D3" w:rsidP="00FC4F13">
      <w:pPr>
        <w:pStyle w:val="Heading1"/>
        <w:rPr>
          <w:rFonts w:cs="Times New Roman"/>
          <w:bCs/>
          <w:szCs w:val="24"/>
          <w:lang w:val="en-US"/>
        </w:rPr>
      </w:pPr>
      <w:bookmarkStart w:id="0" w:name="_Toc164810551"/>
      <w:r w:rsidRPr="00DD7575">
        <w:lastRenderedPageBreak/>
        <w:t>1. Introduction</w:t>
      </w:r>
      <w:bookmarkEnd w:id="0"/>
    </w:p>
    <w:p w14:paraId="27591A74" w14:textId="77777777" w:rsidR="002431D3" w:rsidRPr="00DD7575" w:rsidRDefault="002324AD" w:rsidP="00853AEC">
      <w:pPr>
        <w:spacing w:before="240" w:line="360" w:lineRule="auto"/>
        <w:jc w:val="both"/>
        <w:rPr>
          <w:rFonts w:ascii="Times New Roman" w:hAnsi="Times New Roman"/>
          <w:color w:val="000000" w:themeColor="text1"/>
          <w:sz w:val="24"/>
        </w:rPr>
      </w:pPr>
      <w:r w:rsidRPr="00DD7575">
        <w:rPr>
          <w:rFonts w:ascii="Times New Roman" w:hAnsi="Times New Roman"/>
          <w:color w:val="000000" w:themeColor="text1"/>
          <w:sz w:val="24"/>
        </w:rPr>
        <w:t xml:space="preserve">This paper </w:t>
      </w:r>
      <w:r w:rsidR="00884DFD" w:rsidRPr="00DD7575">
        <w:rPr>
          <w:rFonts w:ascii="Times New Roman" w:hAnsi="Times New Roman"/>
          <w:color w:val="000000" w:themeColor="text1"/>
          <w:sz w:val="24"/>
        </w:rPr>
        <w:t>analyses</w:t>
      </w:r>
      <w:r w:rsidRPr="00DD7575">
        <w:rPr>
          <w:rFonts w:ascii="Times New Roman" w:hAnsi="Times New Roman"/>
          <w:color w:val="000000" w:themeColor="text1"/>
          <w:sz w:val="24"/>
        </w:rPr>
        <w:t xml:space="preserve"> Walmart's financial issues during the previous five years, one of the largest non-financial services companies in the US. Financial ratios would assist us evaluate the company's liquidity, leverage, profitability, efficiency, growth, and risk management</w:t>
      </w:r>
      <w:r w:rsidR="008C17B1" w:rsidRPr="00DD7575">
        <w:rPr>
          <w:rFonts w:ascii="Times New Roman" w:hAnsi="Times New Roman"/>
          <w:color w:val="000000" w:themeColor="text1"/>
          <w:sz w:val="24"/>
        </w:rPr>
        <w:t xml:space="preserve"> </w:t>
      </w:r>
      <w:r w:rsidR="008C17B1" w:rsidRPr="00FC4F13">
        <w:rPr>
          <w:rFonts w:ascii="Times New Roman" w:hAnsi="Times New Roman"/>
          <w:b/>
          <w:bCs/>
          <w:color w:val="000000" w:themeColor="text1"/>
          <w:sz w:val="24"/>
        </w:rPr>
        <w:t>(</w:t>
      </w:r>
      <w:proofErr w:type="spellStart"/>
      <w:r w:rsidR="008C17B1" w:rsidRPr="00FC4F13">
        <w:rPr>
          <w:rFonts w:ascii="Times New Roman" w:hAnsi="Times New Roman"/>
          <w:b/>
          <w:bCs/>
          <w:color w:val="000000" w:themeColor="text1"/>
          <w:sz w:val="24"/>
          <w:lang w:val="en-US"/>
        </w:rPr>
        <w:t>Drobyazko</w:t>
      </w:r>
      <w:proofErr w:type="spellEnd"/>
      <w:r w:rsidR="008C17B1" w:rsidRPr="00FC4F13">
        <w:rPr>
          <w:rFonts w:ascii="Times New Roman" w:hAnsi="Times New Roman"/>
          <w:b/>
          <w:bCs/>
          <w:color w:val="000000" w:themeColor="text1"/>
          <w:sz w:val="24"/>
        </w:rPr>
        <w:t xml:space="preserve"> et al. </w:t>
      </w:r>
      <w:r w:rsidR="008C17B1" w:rsidRPr="00FC4F13">
        <w:rPr>
          <w:rFonts w:ascii="Times New Roman" w:hAnsi="Times New Roman"/>
          <w:b/>
          <w:bCs/>
          <w:color w:val="000000" w:themeColor="text1"/>
          <w:sz w:val="24"/>
          <w:lang w:val="en-US"/>
        </w:rPr>
        <w:t>2020</w:t>
      </w:r>
      <w:r w:rsidR="008C17B1" w:rsidRPr="00FC4F13">
        <w:rPr>
          <w:rFonts w:ascii="Times New Roman" w:hAnsi="Times New Roman"/>
          <w:b/>
          <w:bCs/>
          <w:color w:val="000000" w:themeColor="text1"/>
          <w:sz w:val="24"/>
        </w:rPr>
        <w:t>)</w:t>
      </w:r>
      <w:r w:rsidRPr="00FC4F13">
        <w:rPr>
          <w:rFonts w:ascii="Times New Roman" w:hAnsi="Times New Roman"/>
          <w:b/>
          <w:bCs/>
          <w:color w:val="000000" w:themeColor="text1"/>
          <w:sz w:val="24"/>
        </w:rPr>
        <w:t>.</w:t>
      </w:r>
      <w:r w:rsidRPr="00DD7575">
        <w:rPr>
          <w:rFonts w:ascii="Times New Roman" w:hAnsi="Times New Roman"/>
          <w:color w:val="000000" w:themeColor="text1"/>
          <w:sz w:val="24"/>
        </w:rPr>
        <w:t xml:space="preserve"> The study will also compare Walmart's financial parameters to those of its primary rival, Amazon, to show similarities and differences. Also discussed will be Walmart's financial decision-making using a capital structure theory. This research will also discuss Walmart's current share price over the last five years to assess its market performance. It will also </w:t>
      </w:r>
      <w:r w:rsidR="00880FFD" w:rsidRPr="00DD7575">
        <w:rPr>
          <w:rFonts w:ascii="Times New Roman" w:hAnsi="Times New Roman"/>
          <w:color w:val="000000" w:themeColor="text1"/>
          <w:sz w:val="24"/>
        </w:rPr>
        <w:t>analyse</w:t>
      </w:r>
      <w:r w:rsidRPr="00DD7575">
        <w:rPr>
          <w:rFonts w:ascii="Times New Roman" w:hAnsi="Times New Roman"/>
          <w:color w:val="000000" w:themeColor="text1"/>
          <w:sz w:val="24"/>
        </w:rPr>
        <w:t xml:space="preserve"> Walmart's large-scale investment efforts from that period to determine their goals, financing sources, viability, and present operations. This research should help stakeholders comprehend Walmart's financial health and regulations.</w:t>
      </w:r>
    </w:p>
    <w:p w14:paraId="20588B24" w14:textId="77777777" w:rsidR="00CE0328" w:rsidRPr="00DD7575" w:rsidRDefault="00CE0328" w:rsidP="00FC4F13">
      <w:pPr>
        <w:pStyle w:val="Heading1"/>
        <w:rPr>
          <w:lang w:val="en-US"/>
        </w:rPr>
      </w:pPr>
      <w:bookmarkStart w:id="1" w:name="_Toc164810552"/>
      <w:r w:rsidRPr="00DD7575">
        <w:t>2. Company Background and Major Events</w:t>
      </w:r>
      <w:bookmarkEnd w:id="1"/>
    </w:p>
    <w:p w14:paraId="7FDEA3FD" w14:textId="77777777" w:rsidR="002431D3" w:rsidRPr="00DD7575" w:rsidRDefault="00CE0328" w:rsidP="00FC4F13">
      <w:pPr>
        <w:pStyle w:val="Heading2"/>
        <w:rPr>
          <w:lang w:val="en-US"/>
        </w:rPr>
      </w:pPr>
      <w:bookmarkStart w:id="2" w:name="_Toc164810553"/>
      <w:r w:rsidRPr="00DD7575">
        <w:t>2.1. Introduction to Walmart and its industry</w:t>
      </w:r>
      <w:bookmarkEnd w:id="2"/>
    </w:p>
    <w:p w14:paraId="1B461ECB" w14:textId="6F6EF176" w:rsidR="002431D3" w:rsidRPr="00DD7575" w:rsidRDefault="00884DFD" w:rsidP="00853AEC">
      <w:pPr>
        <w:spacing w:before="240" w:line="360" w:lineRule="auto"/>
        <w:jc w:val="both"/>
        <w:rPr>
          <w:rFonts w:ascii="Times New Roman" w:hAnsi="Times New Roman" w:cs="Times New Roman"/>
          <w:color w:val="000000" w:themeColor="text1"/>
          <w:sz w:val="24"/>
          <w:szCs w:val="24"/>
          <w:lang w:val="en-US"/>
        </w:rPr>
      </w:pPr>
      <w:r w:rsidRPr="00DD7575">
        <w:rPr>
          <w:rFonts w:ascii="Times New Roman" w:hAnsi="Times New Roman"/>
          <w:color w:val="000000" w:themeColor="text1"/>
          <w:sz w:val="24"/>
        </w:rPr>
        <w:t>W</w:t>
      </w:r>
      <w:r w:rsidR="002324AD" w:rsidRPr="00DD7575">
        <w:rPr>
          <w:rFonts w:ascii="Times New Roman" w:hAnsi="Times New Roman"/>
          <w:color w:val="000000" w:themeColor="text1"/>
          <w:sz w:val="24"/>
        </w:rPr>
        <w:t>almart, based in Bentonville, Arkansas, runs hundreds of hypermarkets, discounter department stores, and supermarkets worldwide. Now one of the world's biggest retailers, Walmart was founded in 1962 by Sam Walton and dominates both domestically and internationally</w:t>
      </w:r>
      <w:r w:rsidR="004E1F32">
        <w:rPr>
          <w:rFonts w:ascii="Times New Roman" w:hAnsi="Times New Roman"/>
          <w:color w:val="000000" w:themeColor="text1"/>
          <w:sz w:val="24"/>
        </w:rPr>
        <w:t xml:space="preserve"> </w:t>
      </w:r>
      <w:r w:rsidR="001D4C81" w:rsidRPr="00FC4F13">
        <w:rPr>
          <w:rFonts w:ascii="Times New Roman" w:hAnsi="Times New Roman"/>
          <w:b/>
          <w:bCs/>
          <w:color w:val="000000" w:themeColor="text1"/>
          <w:sz w:val="24"/>
        </w:rPr>
        <w:t>(Yahoo Finance, 2024</w:t>
      </w:r>
      <w:r w:rsidR="000816F1" w:rsidRPr="00FC4F13">
        <w:rPr>
          <w:rFonts w:ascii="Times New Roman" w:hAnsi="Times New Roman"/>
          <w:b/>
          <w:bCs/>
          <w:color w:val="000000" w:themeColor="text1"/>
          <w:sz w:val="24"/>
        </w:rPr>
        <w:t>b</w:t>
      </w:r>
      <w:r w:rsidR="00EB3FDF" w:rsidRPr="00FC4F13">
        <w:rPr>
          <w:rFonts w:ascii="Times New Roman" w:hAnsi="Times New Roman"/>
          <w:b/>
          <w:bCs/>
          <w:color w:val="000000" w:themeColor="text1"/>
          <w:sz w:val="24"/>
        </w:rPr>
        <w:t>)</w:t>
      </w:r>
      <w:r w:rsidR="002324AD" w:rsidRPr="00FC4F13">
        <w:rPr>
          <w:rFonts w:ascii="Times New Roman" w:hAnsi="Times New Roman"/>
          <w:b/>
          <w:bCs/>
          <w:color w:val="000000" w:themeColor="text1"/>
          <w:sz w:val="24"/>
        </w:rPr>
        <w:t>.</w:t>
      </w:r>
      <w:r w:rsidR="002324AD" w:rsidRPr="00DD7575">
        <w:rPr>
          <w:rFonts w:ascii="Times New Roman" w:hAnsi="Times New Roman"/>
          <w:color w:val="000000" w:themeColor="text1"/>
          <w:sz w:val="24"/>
        </w:rPr>
        <w:t xml:space="preserve"> Walmart, a worldwide retail leader, operates in retail, consumer products, and e-trade. Walmart has undergone entity acquisitions, market growth, and internet presence projects in the last five years. </w:t>
      </w:r>
    </w:p>
    <w:p w14:paraId="6C180B37" w14:textId="77777777" w:rsidR="002431D3" w:rsidRPr="00DD7575" w:rsidRDefault="00CE0328" w:rsidP="00FC4F13">
      <w:pPr>
        <w:pStyle w:val="Heading2"/>
        <w:rPr>
          <w:lang w:val="en-US"/>
        </w:rPr>
      </w:pPr>
      <w:bookmarkStart w:id="3" w:name="_Toc164810554"/>
      <w:r w:rsidRPr="00DD7575">
        <w:t>2.2. Overview of its business model and market position</w:t>
      </w:r>
      <w:bookmarkEnd w:id="3"/>
    </w:p>
    <w:p w14:paraId="71732308" w14:textId="149D8758" w:rsidR="002431D3" w:rsidRPr="00DD7575" w:rsidRDefault="002324AD" w:rsidP="00853AEC">
      <w:pPr>
        <w:spacing w:before="240" w:line="360" w:lineRule="auto"/>
        <w:jc w:val="both"/>
        <w:rPr>
          <w:rFonts w:ascii="Times New Roman" w:hAnsi="Times New Roman" w:cs="Times New Roman"/>
          <w:color w:val="000000" w:themeColor="text1"/>
          <w:sz w:val="24"/>
          <w:szCs w:val="24"/>
          <w:lang w:val="en-US"/>
        </w:rPr>
      </w:pPr>
      <w:r w:rsidRPr="00DD7575">
        <w:rPr>
          <w:rFonts w:ascii="Times New Roman" w:hAnsi="Times New Roman"/>
          <w:color w:val="000000" w:themeColor="text1"/>
          <w:sz w:val="24"/>
        </w:rPr>
        <w:t>Walmart, one of the largest non-financial services corporations in the US, has a systematic retail strategy for food, general goods, and medications</w:t>
      </w:r>
      <w:r w:rsidR="00EB3FDF" w:rsidRPr="00DD7575">
        <w:rPr>
          <w:rFonts w:ascii="Times New Roman" w:hAnsi="Times New Roman"/>
          <w:color w:val="000000" w:themeColor="text1"/>
          <w:sz w:val="24"/>
        </w:rPr>
        <w:t xml:space="preserve"> </w:t>
      </w:r>
      <w:r w:rsidR="00FC4F13" w:rsidRPr="00FC4F13">
        <w:rPr>
          <w:rFonts w:ascii="Times New Roman" w:hAnsi="Times New Roman"/>
          <w:b/>
          <w:bCs/>
          <w:color w:val="000000" w:themeColor="text1"/>
          <w:sz w:val="24"/>
        </w:rPr>
        <w:t>(</w:t>
      </w:r>
      <w:r w:rsidR="00F170F1" w:rsidRPr="00FC4F13">
        <w:rPr>
          <w:rFonts w:ascii="Times New Roman" w:hAnsi="Times New Roman"/>
          <w:b/>
          <w:bCs/>
          <w:color w:val="000000" w:themeColor="text1"/>
          <w:sz w:val="24"/>
        </w:rPr>
        <w:t>Walmart, 2021</w:t>
      </w:r>
      <w:r w:rsidR="006079DA" w:rsidRPr="00FC4F13">
        <w:rPr>
          <w:rFonts w:ascii="Times New Roman" w:hAnsi="Times New Roman"/>
          <w:b/>
          <w:bCs/>
          <w:color w:val="000000" w:themeColor="text1"/>
          <w:sz w:val="24"/>
        </w:rPr>
        <w:t>; Walmart 2022</w:t>
      </w:r>
      <w:r w:rsidR="00EB3FDF" w:rsidRPr="00FC4F13">
        <w:rPr>
          <w:rFonts w:ascii="Times New Roman" w:hAnsi="Times New Roman"/>
          <w:b/>
          <w:bCs/>
          <w:color w:val="000000" w:themeColor="text1"/>
          <w:sz w:val="24"/>
        </w:rPr>
        <w:t>)</w:t>
      </w:r>
      <w:r w:rsidRPr="00FC4F13">
        <w:rPr>
          <w:rFonts w:ascii="Times New Roman" w:hAnsi="Times New Roman"/>
          <w:b/>
          <w:bCs/>
          <w:color w:val="000000" w:themeColor="text1"/>
          <w:sz w:val="24"/>
        </w:rPr>
        <w:t>.</w:t>
      </w:r>
      <w:r w:rsidRPr="00DD7575">
        <w:rPr>
          <w:rFonts w:ascii="Times New Roman" w:hAnsi="Times New Roman"/>
          <w:color w:val="000000" w:themeColor="text1"/>
          <w:sz w:val="24"/>
        </w:rPr>
        <w:t xml:space="preserve"> Walmart serves many international clients with its extensive retail network and robust online presence. Walmart's focus on cheap costs and convenient shopping has made it a retail leader. Walmart has survived corporate acquisitions, worldwide growth, and digital transformation. These events have been vital to Walmart's growth, notably its market advantage.</w:t>
      </w:r>
    </w:p>
    <w:p w14:paraId="6913D307" w14:textId="77777777" w:rsidR="00072119" w:rsidRPr="00DD7575" w:rsidRDefault="00072119" w:rsidP="00FC4F13">
      <w:pPr>
        <w:pStyle w:val="Heading2"/>
        <w:rPr>
          <w:lang w:val="en-US"/>
        </w:rPr>
      </w:pPr>
      <w:bookmarkStart w:id="4" w:name="_Toc164810555"/>
      <w:r w:rsidRPr="00DD7575">
        <w:lastRenderedPageBreak/>
        <w:t>2.3. Major events over the past five years</w:t>
      </w:r>
      <w:bookmarkEnd w:id="4"/>
    </w:p>
    <w:p w14:paraId="3893ADC0" w14:textId="108188B1" w:rsidR="00010391" w:rsidRPr="00DD7575" w:rsidRDefault="002324AD" w:rsidP="00853AEC">
      <w:pPr>
        <w:spacing w:before="240" w:line="360" w:lineRule="auto"/>
        <w:jc w:val="both"/>
        <w:rPr>
          <w:rFonts w:ascii="Times New Roman" w:hAnsi="Times New Roman"/>
          <w:color w:val="000000" w:themeColor="text1"/>
          <w:sz w:val="24"/>
          <w:lang w:val="en-US"/>
        </w:rPr>
      </w:pPr>
      <w:r w:rsidRPr="00DD7575">
        <w:rPr>
          <w:rFonts w:ascii="Times New Roman" w:hAnsi="Times New Roman"/>
          <w:color w:val="000000" w:themeColor="text1"/>
          <w:sz w:val="24"/>
        </w:rPr>
        <w:t xml:space="preserve">According to </w:t>
      </w:r>
      <w:r w:rsidR="00647C44" w:rsidRPr="00DD7575">
        <w:rPr>
          <w:rFonts w:ascii="Times New Roman" w:hAnsi="Times New Roman"/>
          <w:color w:val="000000" w:themeColor="text1"/>
          <w:sz w:val="24"/>
        </w:rPr>
        <w:t>Block, Hirt and Danielsen (2023)</w:t>
      </w:r>
      <w:r w:rsidRPr="00DD7575">
        <w:rPr>
          <w:rFonts w:ascii="Times New Roman" w:hAnsi="Times New Roman"/>
          <w:color w:val="000000" w:themeColor="text1"/>
          <w:sz w:val="24"/>
        </w:rPr>
        <w:t xml:space="preserve">, </w:t>
      </w:r>
      <w:r w:rsidR="00884DFD" w:rsidRPr="00DD7575">
        <w:rPr>
          <w:rFonts w:ascii="Times New Roman" w:hAnsi="Times New Roman"/>
          <w:color w:val="000000" w:themeColor="text1"/>
          <w:sz w:val="24"/>
        </w:rPr>
        <w:t>W</w:t>
      </w:r>
      <w:r w:rsidRPr="00DD7575">
        <w:rPr>
          <w:rFonts w:ascii="Times New Roman" w:hAnsi="Times New Roman"/>
          <w:color w:val="000000" w:themeColor="text1"/>
          <w:sz w:val="24"/>
        </w:rPr>
        <w:t>almart, the biggest US non-financial services corporation, makes money from retail and has a varied business plan that includes food, general goods, and e-commerce. Walmart has endured numerous circumstances that have shaped its journey over the last five years. Walmart announced intentions to invest in sustainability in 2021 and reach net-zero emissions globally by 2040. In 2022, the company faced criticism for its worker circumstances, prompting calls for revisions to improve employee benefits. Walmart expanded into healthcare in 2023 via acquisitions and collaborations, demonstrating its willingness to innovate</w:t>
      </w:r>
      <w:r w:rsidR="00FC4F13">
        <w:rPr>
          <w:rFonts w:ascii="Times New Roman" w:hAnsi="Times New Roman"/>
          <w:color w:val="000000" w:themeColor="text1"/>
          <w:sz w:val="24"/>
        </w:rPr>
        <w:t xml:space="preserve"> </w:t>
      </w:r>
      <w:r w:rsidR="004E1551" w:rsidRPr="00FC4F13">
        <w:rPr>
          <w:rFonts w:ascii="Times New Roman" w:hAnsi="Times New Roman"/>
          <w:b/>
          <w:bCs/>
          <w:color w:val="000000" w:themeColor="text1"/>
          <w:sz w:val="24"/>
          <w:lang w:val="en-US"/>
        </w:rPr>
        <w:t>(Dinh et al., 2019)</w:t>
      </w:r>
      <w:r w:rsidRPr="00FC4F13">
        <w:rPr>
          <w:rFonts w:ascii="Times New Roman" w:hAnsi="Times New Roman"/>
          <w:b/>
          <w:bCs/>
          <w:color w:val="000000" w:themeColor="text1"/>
          <w:sz w:val="24"/>
        </w:rPr>
        <w:t>.</w:t>
      </w:r>
    </w:p>
    <w:p w14:paraId="147D8268" w14:textId="77777777" w:rsidR="00CE0328" w:rsidRPr="00FC4F13" w:rsidRDefault="00CE0328" w:rsidP="00FC4F13">
      <w:pPr>
        <w:pStyle w:val="Heading1"/>
        <w:rPr>
          <w:lang w:val="en-US"/>
        </w:rPr>
      </w:pPr>
      <w:bookmarkStart w:id="5" w:name="_Toc164810556"/>
      <w:r w:rsidRPr="00FC4F13">
        <w:t>3. Financial Ratios Analysis</w:t>
      </w:r>
      <w:bookmarkEnd w:id="5"/>
    </w:p>
    <w:p w14:paraId="2E009996" w14:textId="77777777" w:rsidR="00010391" w:rsidRPr="00DD7575" w:rsidRDefault="00CE0328" w:rsidP="00FC4F13">
      <w:pPr>
        <w:pStyle w:val="Heading2"/>
      </w:pPr>
      <w:bookmarkStart w:id="6" w:name="_Toc164810557"/>
      <w:r w:rsidRPr="00DD7575">
        <w:t>a) Liquidity and Leverage Ratios</w:t>
      </w:r>
      <w:bookmarkEnd w:id="6"/>
    </w:p>
    <w:tbl>
      <w:tblPr>
        <w:tblStyle w:val="TableGrid"/>
        <w:tblW w:w="0" w:type="auto"/>
        <w:tblLayout w:type="fixed"/>
        <w:tblLook w:val="04A0" w:firstRow="1" w:lastRow="0" w:firstColumn="1" w:lastColumn="0" w:noHBand="0" w:noVBand="1"/>
      </w:tblPr>
      <w:tblGrid>
        <w:gridCol w:w="2335"/>
        <w:gridCol w:w="464"/>
        <w:gridCol w:w="683"/>
        <w:gridCol w:w="652"/>
        <w:gridCol w:w="652"/>
        <w:gridCol w:w="652"/>
        <w:gridCol w:w="652"/>
        <w:gridCol w:w="652"/>
        <w:gridCol w:w="652"/>
        <w:gridCol w:w="652"/>
        <w:gridCol w:w="652"/>
        <w:gridCol w:w="652"/>
      </w:tblGrid>
      <w:tr w:rsidR="00DD7575" w:rsidRPr="00DD7575" w14:paraId="142592F8" w14:textId="77777777" w:rsidTr="009441F4">
        <w:trPr>
          <w:trHeight w:val="312"/>
        </w:trPr>
        <w:tc>
          <w:tcPr>
            <w:tcW w:w="2335" w:type="dxa"/>
            <w:noWrap/>
            <w:hideMark/>
          </w:tcPr>
          <w:p w14:paraId="6810E61B" w14:textId="77777777" w:rsidR="009441F4" w:rsidRPr="00DD7575" w:rsidRDefault="009441F4" w:rsidP="00853AEC">
            <w:pPr>
              <w:spacing w:line="360" w:lineRule="auto"/>
              <w:jc w:val="center"/>
              <w:rPr>
                <w:rFonts w:ascii="Times New Roman" w:hAnsi="Times New Roman" w:cs="Times New Roman"/>
                <w:color w:val="000000" w:themeColor="text1"/>
                <w:sz w:val="24"/>
                <w:szCs w:val="24"/>
                <w:lang w:val="en-US"/>
              </w:rPr>
            </w:pPr>
          </w:p>
        </w:tc>
        <w:tc>
          <w:tcPr>
            <w:tcW w:w="464" w:type="dxa"/>
            <w:noWrap/>
            <w:hideMark/>
          </w:tcPr>
          <w:p w14:paraId="6B58991C"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p>
        </w:tc>
        <w:tc>
          <w:tcPr>
            <w:tcW w:w="3291" w:type="dxa"/>
            <w:gridSpan w:val="5"/>
            <w:noWrap/>
            <w:hideMark/>
          </w:tcPr>
          <w:p w14:paraId="40F6B850"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Walmart</w:t>
            </w:r>
          </w:p>
        </w:tc>
        <w:tc>
          <w:tcPr>
            <w:tcW w:w="3260" w:type="dxa"/>
            <w:gridSpan w:val="5"/>
            <w:noWrap/>
            <w:hideMark/>
          </w:tcPr>
          <w:p w14:paraId="5409B9B1"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Amazon</w:t>
            </w:r>
          </w:p>
        </w:tc>
      </w:tr>
      <w:tr w:rsidR="00DD7575" w:rsidRPr="00DD7575" w14:paraId="7A1BE2A1" w14:textId="77777777" w:rsidTr="009441F4">
        <w:trPr>
          <w:trHeight w:val="312"/>
        </w:trPr>
        <w:tc>
          <w:tcPr>
            <w:tcW w:w="2335" w:type="dxa"/>
            <w:noWrap/>
            <w:hideMark/>
          </w:tcPr>
          <w:p w14:paraId="0083FB81"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Input data for Liquidity Ratios:</w:t>
            </w:r>
          </w:p>
        </w:tc>
        <w:tc>
          <w:tcPr>
            <w:tcW w:w="464" w:type="dxa"/>
            <w:noWrap/>
            <w:hideMark/>
          </w:tcPr>
          <w:p w14:paraId="62543B4F"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 </w:t>
            </w:r>
          </w:p>
        </w:tc>
        <w:tc>
          <w:tcPr>
            <w:tcW w:w="683" w:type="dxa"/>
            <w:noWrap/>
            <w:hideMark/>
          </w:tcPr>
          <w:p w14:paraId="54742F6C"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2023</w:t>
            </w:r>
          </w:p>
        </w:tc>
        <w:tc>
          <w:tcPr>
            <w:tcW w:w="652" w:type="dxa"/>
            <w:noWrap/>
            <w:hideMark/>
          </w:tcPr>
          <w:p w14:paraId="084C32DB"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2022</w:t>
            </w:r>
          </w:p>
        </w:tc>
        <w:tc>
          <w:tcPr>
            <w:tcW w:w="652" w:type="dxa"/>
            <w:noWrap/>
            <w:hideMark/>
          </w:tcPr>
          <w:p w14:paraId="6E47AF42"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2021</w:t>
            </w:r>
          </w:p>
        </w:tc>
        <w:tc>
          <w:tcPr>
            <w:tcW w:w="652" w:type="dxa"/>
            <w:noWrap/>
            <w:hideMark/>
          </w:tcPr>
          <w:p w14:paraId="4F1B5D8E"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2020</w:t>
            </w:r>
          </w:p>
        </w:tc>
        <w:tc>
          <w:tcPr>
            <w:tcW w:w="652" w:type="dxa"/>
            <w:noWrap/>
            <w:hideMark/>
          </w:tcPr>
          <w:p w14:paraId="67E0DDAF"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2019</w:t>
            </w:r>
          </w:p>
        </w:tc>
        <w:tc>
          <w:tcPr>
            <w:tcW w:w="652" w:type="dxa"/>
            <w:noWrap/>
            <w:hideMark/>
          </w:tcPr>
          <w:p w14:paraId="38A57F41"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2023</w:t>
            </w:r>
          </w:p>
        </w:tc>
        <w:tc>
          <w:tcPr>
            <w:tcW w:w="652" w:type="dxa"/>
            <w:noWrap/>
            <w:hideMark/>
          </w:tcPr>
          <w:p w14:paraId="400FC40B"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2022</w:t>
            </w:r>
          </w:p>
        </w:tc>
        <w:tc>
          <w:tcPr>
            <w:tcW w:w="652" w:type="dxa"/>
            <w:noWrap/>
            <w:hideMark/>
          </w:tcPr>
          <w:p w14:paraId="37E0B542"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2021</w:t>
            </w:r>
          </w:p>
        </w:tc>
        <w:tc>
          <w:tcPr>
            <w:tcW w:w="652" w:type="dxa"/>
            <w:noWrap/>
            <w:hideMark/>
          </w:tcPr>
          <w:p w14:paraId="429687F5"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2020</w:t>
            </w:r>
          </w:p>
        </w:tc>
        <w:tc>
          <w:tcPr>
            <w:tcW w:w="652" w:type="dxa"/>
            <w:noWrap/>
            <w:hideMark/>
          </w:tcPr>
          <w:p w14:paraId="23EA99D2"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2019</w:t>
            </w:r>
          </w:p>
        </w:tc>
      </w:tr>
      <w:tr w:rsidR="00DD7575" w:rsidRPr="00DD7575" w14:paraId="2DC576E1" w14:textId="77777777" w:rsidTr="009441F4">
        <w:trPr>
          <w:trHeight w:val="312"/>
        </w:trPr>
        <w:tc>
          <w:tcPr>
            <w:tcW w:w="2335" w:type="dxa"/>
            <w:noWrap/>
            <w:hideMark/>
          </w:tcPr>
          <w:p w14:paraId="1AD2366C"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Current Assets</w:t>
            </w:r>
          </w:p>
        </w:tc>
        <w:tc>
          <w:tcPr>
            <w:tcW w:w="464" w:type="dxa"/>
            <w:noWrap/>
            <w:hideMark/>
          </w:tcPr>
          <w:p w14:paraId="0D7E917F"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p>
        </w:tc>
        <w:tc>
          <w:tcPr>
            <w:tcW w:w="683" w:type="dxa"/>
            <w:noWrap/>
            <w:hideMark/>
          </w:tcPr>
          <w:p w14:paraId="4BA07AD2"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76,877</w:t>
            </w:r>
          </w:p>
        </w:tc>
        <w:tc>
          <w:tcPr>
            <w:tcW w:w="652" w:type="dxa"/>
            <w:noWrap/>
            <w:hideMark/>
          </w:tcPr>
          <w:p w14:paraId="6694A147"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75,655</w:t>
            </w:r>
          </w:p>
        </w:tc>
        <w:tc>
          <w:tcPr>
            <w:tcW w:w="652" w:type="dxa"/>
            <w:noWrap/>
            <w:hideMark/>
          </w:tcPr>
          <w:p w14:paraId="6EFC1C92"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81,070</w:t>
            </w:r>
          </w:p>
        </w:tc>
        <w:tc>
          <w:tcPr>
            <w:tcW w:w="652" w:type="dxa"/>
            <w:noWrap/>
            <w:hideMark/>
          </w:tcPr>
          <w:p w14:paraId="58E10FF0"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90,067</w:t>
            </w:r>
          </w:p>
        </w:tc>
        <w:tc>
          <w:tcPr>
            <w:tcW w:w="652" w:type="dxa"/>
            <w:noWrap/>
            <w:hideMark/>
          </w:tcPr>
          <w:p w14:paraId="4D2D509D"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61,806</w:t>
            </w:r>
          </w:p>
        </w:tc>
        <w:tc>
          <w:tcPr>
            <w:tcW w:w="652" w:type="dxa"/>
            <w:noWrap/>
            <w:hideMark/>
          </w:tcPr>
          <w:p w14:paraId="5E7A7C7D"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172,351</w:t>
            </w:r>
          </w:p>
        </w:tc>
        <w:tc>
          <w:tcPr>
            <w:tcW w:w="652" w:type="dxa"/>
            <w:noWrap/>
            <w:hideMark/>
          </w:tcPr>
          <w:p w14:paraId="1C069F01"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146,791</w:t>
            </w:r>
          </w:p>
        </w:tc>
        <w:tc>
          <w:tcPr>
            <w:tcW w:w="652" w:type="dxa"/>
            <w:noWrap/>
            <w:hideMark/>
          </w:tcPr>
          <w:p w14:paraId="450EA9CD"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161,580</w:t>
            </w:r>
          </w:p>
        </w:tc>
        <w:tc>
          <w:tcPr>
            <w:tcW w:w="652" w:type="dxa"/>
            <w:noWrap/>
            <w:hideMark/>
          </w:tcPr>
          <w:p w14:paraId="5E94FF67"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132,733</w:t>
            </w:r>
          </w:p>
        </w:tc>
        <w:tc>
          <w:tcPr>
            <w:tcW w:w="652" w:type="dxa"/>
            <w:noWrap/>
            <w:hideMark/>
          </w:tcPr>
          <w:p w14:paraId="1516FBC5"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96,334</w:t>
            </w:r>
          </w:p>
        </w:tc>
      </w:tr>
      <w:tr w:rsidR="00DD7575" w:rsidRPr="00DD7575" w14:paraId="087A8DA4" w14:textId="77777777" w:rsidTr="009441F4">
        <w:trPr>
          <w:trHeight w:val="315"/>
        </w:trPr>
        <w:tc>
          <w:tcPr>
            <w:tcW w:w="2335" w:type="dxa"/>
            <w:noWrap/>
            <w:hideMark/>
          </w:tcPr>
          <w:p w14:paraId="0B6E6611"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Current Liabilities</w:t>
            </w:r>
          </w:p>
        </w:tc>
        <w:tc>
          <w:tcPr>
            <w:tcW w:w="464" w:type="dxa"/>
            <w:noWrap/>
            <w:hideMark/>
          </w:tcPr>
          <w:p w14:paraId="254E42DD"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p>
        </w:tc>
        <w:tc>
          <w:tcPr>
            <w:tcW w:w="683" w:type="dxa"/>
            <w:noWrap/>
            <w:hideMark/>
          </w:tcPr>
          <w:p w14:paraId="4667E3F6"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92,415</w:t>
            </w:r>
          </w:p>
        </w:tc>
        <w:tc>
          <w:tcPr>
            <w:tcW w:w="652" w:type="dxa"/>
            <w:noWrap/>
            <w:hideMark/>
          </w:tcPr>
          <w:p w14:paraId="1AA13FBE"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92,198</w:t>
            </w:r>
          </w:p>
        </w:tc>
        <w:tc>
          <w:tcPr>
            <w:tcW w:w="652" w:type="dxa"/>
            <w:noWrap/>
            <w:hideMark/>
          </w:tcPr>
          <w:p w14:paraId="37171AAA"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87,379</w:t>
            </w:r>
          </w:p>
        </w:tc>
        <w:tc>
          <w:tcPr>
            <w:tcW w:w="652" w:type="dxa"/>
            <w:noWrap/>
            <w:hideMark/>
          </w:tcPr>
          <w:p w14:paraId="0C66BFE8"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92,645</w:t>
            </w:r>
          </w:p>
        </w:tc>
        <w:tc>
          <w:tcPr>
            <w:tcW w:w="652" w:type="dxa"/>
            <w:noWrap/>
            <w:hideMark/>
          </w:tcPr>
          <w:p w14:paraId="5CDCDA15"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77,790</w:t>
            </w:r>
          </w:p>
        </w:tc>
        <w:tc>
          <w:tcPr>
            <w:tcW w:w="652" w:type="dxa"/>
            <w:noWrap/>
            <w:hideMark/>
          </w:tcPr>
          <w:p w14:paraId="1FA73751"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164,917</w:t>
            </w:r>
          </w:p>
        </w:tc>
        <w:tc>
          <w:tcPr>
            <w:tcW w:w="652" w:type="dxa"/>
            <w:noWrap/>
            <w:hideMark/>
          </w:tcPr>
          <w:p w14:paraId="6D01D02D"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155,393</w:t>
            </w:r>
          </w:p>
        </w:tc>
        <w:tc>
          <w:tcPr>
            <w:tcW w:w="652" w:type="dxa"/>
            <w:noWrap/>
            <w:hideMark/>
          </w:tcPr>
          <w:p w14:paraId="799C3F90"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142,266</w:t>
            </w:r>
          </w:p>
        </w:tc>
        <w:tc>
          <w:tcPr>
            <w:tcW w:w="652" w:type="dxa"/>
            <w:noWrap/>
            <w:hideMark/>
          </w:tcPr>
          <w:p w14:paraId="7A3F62D5"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126,385</w:t>
            </w:r>
          </w:p>
        </w:tc>
        <w:tc>
          <w:tcPr>
            <w:tcW w:w="652" w:type="dxa"/>
            <w:noWrap/>
            <w:hideMark/>
          </w:tcPr>
          <w:p w14:paraId="6CBF7864"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87,812</w:t>
            </w:r>
          </w:p>
        </w:tc>
      </w:tr>
      <w:tr w:rsidR="00DD7575" w:rsidRPr="00DD7575" w14:paraId="08BA3ABC" w14:textId="77777777" w:rsidTr="009441F4">
        <w:trPr>
          <w:trHeight w:val="312"/>
        </w:trPr>
        <w:tc>
          <w:tcPr>
            <w:tcW w:w="2335" w:type="dxa"/>
            <w:noWrap/>
            <w:hideMark/>
          </w:tcPr>
          <w:p w14:paraId="6098830D"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Inventories</w:t>
            </w:r>
          </w:p>
        </w:tc>
        <w:tc>
          <w:tcPr>
            <w:tcW w:w="464" w:type="dxa"/>
            <w:noWrap/>
            <w:hideMark/>
          </w:tcPr>
          <w:p w14:paraId="55E86595"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p>
        </w:tc>
        <w:tc>
          <w:tcPr>
            <w:tcW w:w="683" w:type="dxa"/>
            <w:noWrap/>
            <w:hideMark/>
          </w:tcPr>
          <w:p w14:paraId="4F8DF97E"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54,892</w:t>
            </w:r>
          </w:p>
        </w:tc>
        <w:tc>
          <w:tcPr>
            <w:tcW w:w="652" w:type="dxa"/>
            <w:noWrap/>
            <w:hideMark/>
          </w:tcPr>
          <w:p w14:paraId="14A933FD"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56,576</w:t>
            </w:r>
          </w:p>
        </w:tc>
        <w:tc>
          <w:tcPr>
            <w:tcW w:w="652" w:type="dxa"/>
            <w:noWrap/>
            <w:hideMark/>
          </w:tcPr>
          <w:p w14:paraId="3A3C22E3"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56,511</w:t>
            </w:r>
          </w:p>
        </w:tc>
        <w:tc>
          <w:tcPr>
            <w:tcW w:w="652" w:type="dxa"/>
            <w:noWrap/>
            <w:hideMark/>
          </w:tcPr>
          <w:p w14:paraId="30133E39"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44,949</w:t>
            </w:r>
          </w:p>
        </w:tc>
        <w:tc>
          <w:tcPr>
            <w:tcW w:w="652" w:type="dxa"/>
            <w:noWrap/>
            <w:hideMark/>
          </w:tcPr>
          <w:p w14:paraId="6D46EFCA"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44,435</w:t>
            </w:r>
          </w:p>
        </w:tc>
        <w:tc>
          <w:tcPr>
            <w:tcW w:w="652" w:type="dxa"/>
            <w:noWrap/>
            <w:hideMark/>
          </w:tcPr>
          <w:p w14:paraId="556A057A"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33,318</w:t>
            </w:r>
          </w:p>
        </w:tc>
        <w:tc>
          <w:tcPr>
            <w:tcW w:w="652" w:type="dxa"/>
            <w:noWrap/>
            <w:hideMark/>
          </w:tcPr>
          <w:p w14:paraId="5F610524"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34,405</w:t>
            </w:r>
          </w:p>
        </w:tc>
        <w:tc>
          <w:tcPr>
            <w:tcW w:w="652" w:type="dxa"/>
            <w:noWrap/>
            <w:hideMark/>
          </w:tcPr>
          <w:p w14:paraId="280F1E88"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32,640</w:t>
            </w:r>
          </w:p>
        </w:tc>
        <w:tc>
          <w:tcPr>
            <w:tcW w:w="652" w:type="dxa"/>
            <w:noWrap/>
            <w:hideMark/>
          </w:tcPr>
          <w:p w14:paraId="671302D3"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23,795</w:t>
            </w:r>
          </w:p>
        </w:tc>
        <w:tc>
          <w:tcPr>
            <w:tcW w:w="652" w:type="dxa"/>
            <w:noWrap/>
            <w:hideMark/>
          </w:tcPr>
          <w:p w14:paraId="5F603410"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20,497</w:t>
            </w:r>
          </w:p>
        </w:tc>
      </w:tr>
      <w:tr w:rsidR="00DD7575" w:rsidRPr="00DD7575" w14:paraId="651A82DB" w14:textId="77777777" w:rsidTr="009441F4">
        <w:trPr>
          <w:trHeight w:val="312"/>
        </w:trPr>
        <w:tc>
          <w:tcPr>
            <w:tcW w:w="2335" w:type="dxa"/>
            <w:noWrap/>
            <w:hideMark/>
          </w:tcPr>
          <w:p w14:paraId="6B6BE781"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Cash</w:t>
            </w:r>
          </w:p>
        </w:tc>
        <w:tc>
          <w:tcPr>
            <w:tcW w:w="464" w:type="dxa"/>
            <w:noWrap/>
            <w:hideMark/>
          </w:tcPr>
          <w:p w14:paraId="259D3C52"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p>
        </w:tc>
        <w:tc>
          <w:tcPr>
            <w:tcW w:w="683" w:type="dxa"/>
            <w:noWrap/>
            <w:hideMark/>
          </w:tcPr>
          <w:p w14:paraId="1C1FE464"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9867</w:t>
            </w:r>
          </w:p>
        </w:tc>
        <w:tc>
          <w:tcPr>
            <w:tcW w:w="652" w:type="dxa"/>
            <w:noWrap/>
            <w:hideMark/>
          </w:tcPr>
          <w:p w14:paraId="0E899890"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8625</w:t>
            </w:r>
          </w:p>
        </w:tc>
        <w:tc>
          <w:tcPr>
            <w:tcW w:w="652" w:type="dxa"/>
            <w:noWrap/>
            <w:hideMark/>
          </w:tcPr>
          <w:p w14:paraId="4FAE83AF"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14760</w:t>
            </w:r>
          </w:p>
        </w:tc>
        <w:tc>
          <w:tcPr>
            <w:tcW w:w="652" w:type="dxa"/>
            <w:noWrap/>
            <w:hideMark/>
          </w:tcPr>
          <w:p w14:paraId="74FEB354"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17741</w:t>
            </w:r>
          </w:p>
        </w:tc>
        <w:tc>
          <w:tcPr>
            <w:tcW w:w="652" w:type="dxa"/>
            <w:noWrap/>
            <w:hideMark/>
          </w:tcPr>
          <w:p w14:paraId="6A3286CA"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9465</w:t>
            </w:r>
          </w:p>
        </w:tc>
        <w:tc>
          <w:tcPr>
            <w:tcW w:w="652" w:type="dxa"/>
            <w:noWrap/>
            <w:hideMark/>
          </w:tcPr>
          <w:p w14:paraId="2F69D52A"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73890</w:t>
            </w:r>
          </w:p>
        </w:tc>
        <w:tc>
          <w:tcPr>
            <w:tcW w:w="652" w:type="dxa"/>
            <w:noWrap/>
            <w:hideMark/>
          </w:tcPr>
          <w:p w14:paraId="0A2387AD"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54253</w:t>
            </w:r>
          </w:p>
        </w:tc>
        <w:tc>
          <w:tcPr>
            <w:tcW w:w="652" w:type="dxa"/>
            <w:noWrap/>
            <w:hideMark/>
          </w:tcPr>
          <w:p w14:paraId="10189C0B"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36480</w:t>
            </w:r>
          </w:p>
        </w:tc>
        <w:tc>
          <w:tcPr>
            <w:tcW w:w="652" w:type="dxa"/>
            <w:noWrap/>
            <w:hideMark/>
          </w:tcPr>
          <w:p w14:paraId="1B26FB36"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42379</w:t>
            </w:r>
          </w:p>
        </w:tc>
        <w:tc>
          <w:tcPr>
            <w:tcW w:w="652" w:type="dxa"/>
            <w:noWrap/>
            <w:hideMark/>
          </w:tcPr>
          <w:p w14:paraId="417FF659"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36413</w:t>
            </w:r>
          </w:p>
        </w:tc>
      </w:tr>
      <w:tr w:rsidR="00DD7575" w:rsidRPr="00DD7575" w14:paraId="0CE0D9DC" w14:textId="77777777" w:rsidTr="009441F4">
        <w:trPr>
          <w:trHeight w:val="312"/>
        </w:trPr>
        <w:tc>
          <w:tcPr>
            <w:tcW w:w="2335" w:type="dxa"/>
            <w:noWrap/>
            <w:hideMark/>
          </w:tcPr>
          <w:p w14:paraId="451AF32F"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464" w:type="dxa"/>
            <w:noWrap/>
            <w:hideMark/>
          </w:tcPr>
          <w:p w14:paraId="35F033EE"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83" w:type="dxa"/>
            <w:noWrap/>
            <w:hideMark/>
          </w:tcPr>
          <w:p w14:paraId="5B0513D7"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Walmart</w:t>
            </w:r>
          </w:p>
        </w:tc>
        <w:tc>
          <w:tcPr>
            <w:tcW w:w="652" w:type="dxa"/>
            <w:noWrap/>
            <w:hideMark/>
          </w:tcPr>
          <w:p w14:paraId="6CD70BE6"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52" w:type="dxa"/>
            <w:noWrap/>
            <w:hideMark/>
          </w:tcPr>
          <w:p w14:paraId="10F06CDF"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52" w:type="dxa"/>
            <w:noWrap/>
            <w:hideMark/>
          </w:tcPr>
          <w:p w14:paraId="728D534B"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52" w:type="dxa"/>
            <w:noWrap/>
            <w:hideMark/>
          </w:tcPr>
          <w:p w14:paraId="32C14B80"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52" w:type="dxa"/>
            <w:noWrap/>
            <w:hideMark/>
          </w:tcPr>
          <w:p w14:paraId="3C7A2CAA"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Amazon</w:t>
            </w:r>
          </w:p>
        </w:tc>
        <w:tc>
          <w:tcPr>
            <w:tcW w:w="652" w:type="dxa"/>
            <w:noWrap/>
            <w:hideMark/>
          </w:tcPr>
          <w:p w14:paraId="36105451"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52" w:type="dxa"/>
            <w:noWrap/>
            <w:hideMark/>
          </w:tcPr>
          <w:p w14:paraId="2B7F8A1C"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52" w:type="dxa"/>
            <w:noWrap/>
            <w:hideMark/>
          </w:tcPr>
          <w:p w14:paraId="56E2101D"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52" w:type="dxa"/>
            <w:noWrap/>
            <w:hideMark/>
          </w:tcPr>
          <w:p w14:paraId="39910E5D"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r>
      <w:tr w:rsidR="00DD7575" w:rsidRPr="00DD7575" w14:paraId="45B4A2AF" w14:textId="77777777" w:rsidTr="009441F4">
        <w:trPr>
          <w:trHeight w:val="312"/>
        </w:trPr>
        <w:tc>
          <w:tcPr>
            <w:tcW w:w="2335" w:type="dxa"/>
            <w:noWrap/>
            <w:hideMark/>
          </w:tcPr>
          <w:p w14:paraId="291278C2"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LIQUIDITY RATIOS:</w:t>
            </w:r>
          </w:p>
        </w:tc>
        <w:tc>
          <w:tcPr>
            <w:tcW w:w="464" w:type="dxa"/>
            <w:noWrap/>
            <w:hideMark/>
          </w:tcPr>
          <w:p w14:paraId="44AF67EB"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 </w:t>
            </w:r>
          </w:p>
        </w:tc>
        <w:tc>
          <w:tcPr>
            <w:tcW w:w="683" w:type="dxa"/>
            <w:noWrap/>
            <w:hideMark/>
          </w:tcPr>
          <w:p w14:paraId="18327A1D"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2023</w:t>
            </w:r>
          </w:p>
        </w:tc>
        <w:tc>
          <w:tcPr>
            <w:tcW w:w="652" w:type="dxa"/>
            <w:noWrap/>
            <w:hideMark/>
          </w:tcPr>
          <w:p w14:paraId="638378E9"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2022</w:t>
            </w:r>
          </w:p>
        </w:tc>
        <w:tc>
          <w:tcPr>
            <w:tcW w:w="652" w:type="dxa"/>
            <w:noWrap/>
            <w:hideMark/>
          </w:tcPr>
          <w:p w14:paraId="45C25C55"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2021</w:t>
            </w:r>
          </w:p>
        </w:tc>
        <w:tc>
          <w:tcPr>
            <w:tcW w:w="652" w:type="dxa"/>
            <w:noWrap/>
            <w:hideMark/>
          </w:tcPr>
          <w:p w14:paraId="4C5D12FA"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2020</w:t>
            </w:r>
          </w:p>
        </w:tc>
        <w:tc>
          <w:tcPr>
            <w:tcW w:w="652" w:type="dxa"/>
            <w:noWrap/>
            <w:hideMark/>
          </w:tcPr>
          <w:p w14:paraId="29ADE274"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2019</w:t>
            </w:r>
          </w:p>
        </w:tc>
        <w:tc>
          <w:tcPr>
            <w:tcW w:w="652" w:type="dxa"/>
            <w:noWrap/>
            <w:hideMark/>
          </w:tcPr>
          <w:p w14:paraId="0ED5499F"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2023</w:t>
            </w:r>
          </w:p>
        </w:tc>
        <w:tc>
          <w:tcPr>
            <w:tcW w:w="652" w:type="dxa"/>
            <w:noWrap/>
            <w:hideMark/>
          </w:tcPr>
          <w:p w14:paraId="27760532"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2022</w:t>
            </w:r>
          </w:p>
        </w:tc>
        <w:tc>
          <w:tcPr>
            <w:tcW w:w="652" w:type="dxa"/>
            <w:noWrap/>
            <w:hideMark/>
          </w:tcPr>
          <w:p w14:paraId="75B21DFC"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2021</w:t>
            </w:r>
          </w:p>
        </w:tc>
        <w:tc>
          <w:tcPr>
            <w:tcW w:w="652" w:type="dxa"/>
            <w:noWrap/>
            <w:hideMark/>
          </w:tcPr>
          <w:p w14:paraId="4D35500C"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2020</w:t>
            </w:r>
          </w:p>
        </w:tc>
        <w:tc>
          <w:tcPr>
            <w:tcW w:w="652" w:type="dxa"/>
            <w:noWrap/>
            <w:hideMark/>
          </w:tcPr>
          <w:p w14:paraId="114CADCF"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2019</w:t>
            </w:r>
          </w:p>
        </w:tc>
      </w:tr>
      <w:tr w:rsidR="00DD7575" w:rsidRPr="00DD7575" w14:paraId="7EA44D8E" w14:textId="77777777" w:rsidTr="009441F4">
        <w:trPr>
          <w:trHeight w:val="312"/>
        </w:trPr>
        <w:tc>
          <w:tcPr>
            <w:tcW w:w="2335" w:type="dxa"/>
            <w:noWrap/>
            <w:hideMark/>
          </w:tcPr>
          <w:p w14:paraId="3DD1EE2A"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Current Ratio</w:t>
            </w:r>
          </w:p>
        </w:tc>
        <w:tc>
          <w:tcPr>
            <w:tcW w:w="464" w:type="dxa"/>
            <w:noWrap/>
            <w:hideMark/>
          </w:tcPr>
          <w:p w14:paraId="39AA8BE3"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 </w:t>
            </w:r>
          </w:p>
        </w:tc>
        <w:tc>
          <w:tcPr>
            <w:tcW w:w="683" w:type="dxa"/>
            <w:noWrap/>
            <w:hideMark/>
          </w:tcPr>
          <w:p w14:paraId="5EC55A01"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0.83</w:t>
            </w:r>
          </w:p>
        </w:tc>
        <w:tc>
          <w:tcPr>
            <w:tcW w:w="652" w:type="dxa"/>
            <w:noWrap/>
            <w:hideMark/>
          </w:tcPr>
          <w:p w14:paraId="541AD0B2"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0.82</w:t>
            </w:r>
          </w:p>
        </w:tc>
        <w:tc>
          <w:tcPr>
            <w:tcW w:w="652" w:type="dxa"/>
            <w:noWrap/>
            <w:hideMark/>
          </w:tcPr>
          <w:p w14:paraId="23C531EE"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0.93</w:t>
            </w:r>
          </w:p>
        </w:tc>
        <w:tc>
          <w:tcPr>
            <w:tcW w:w="652" w:type="dxa"/>
            <w:noWrap/>
            <w:hideMark/>
          </w:tcPr>
          <w:p w14:paraId="5F193533"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0.97</w:t>
            </w:r>
          </w:p>
        </w:tc>
        <w:tc>
          <w:tcPr>
            <w:tcW w:w="652" w:type="dxa"/>
            <w:noWrap/>
            <w:hideMark/>
          </w:tcPr>
          <w:p w14:paraId="651AD924"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0.79</w:t>
            </w:r>
          </w:p>
        </w:tc>
        <w:tc>
          <w:tcPr>
            <w:tcW w:w="652" w:type="dxa"/>
            <w:noWrap/>
            <w:hideMark/>
          </w:tcPr>
          <w:p w14:paraId="52091E55"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1.05</w:t>
            </w:r>
          </w:p>
        </w:tc>
        <w:tc>
          <w:tcPr>
            <w:tcW w:w="652" w:type="dxa"/>
            <w:noWrap/>
            <w:hideMark/>
          </w:tcPr>
          <w:p w14:paraId="42DD7E11"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0.94</w:t>
            </w:r>
          </w:p>
        </w:tc>
        <w:tc>
          <w:tcPr>
            <w:tcW w:w="652" w:type="dxa"/>
            <w:noWrap/>
            <w:hideMark/>
          </w:tcPr>
          <w:p w14:paraId="463A2E30"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1.14</w:t>
            </w:r>
          </w:p>
        </w:tc>
        <w:tc>
          <w:tcPr>
            <w:tcW w:w="652" w:type="dxa"/>
            <w:noWrap/>
            <w:hideMark/>
          </w:tcPr>
          <w:p w14:paraId="410AC360"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1.05</w:t>
            </w:r>
          </w:p>
        </w:tc>
        <w:tc>
          <w:tcPr>
            <w:tcW w:w="652" w:type="dxa"/>
            <w:noWrap/>
            <w:hideMark/>
          </w:tcPr>
          <w:p w14:paraId="54F60ED8"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1.10</w:t>
            </w:r>
          </w:p>
        </w:tc>
      </w:tr>
      <w:tr w:rsidR="00DD7575" w:rsidRPr="00DD7575" w14:paraId="182707E6" w14:textId="77777777" w:rsidTr="009441F4">
        <w:trPr>
          <w:trHeight w:val="312"/>
        </w:trPr>
        <w:tc>
          <w:tcPr>
            <w:tcW w:w="2335" w:type="dxa"/>
            <w:noWrap/>
            <w:hideMark/>
          </w:tcPr>
          <w:p w14:paraId="00403FAB"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lastRenderedPageBreak/>
              <w:t>Current Assets/Current Liabilities</w:t>
            </w:r>
          </w:p>
        </w:tc>
        <w:tc>
          <w:tcPr>
            <w:tcW w:w="464" w:type="dxa"/>
            <w:noWrap/>
            <w:hideMark/>
          </w:tcPr>
          <w:p w14:paraId="3BD738FF"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83" w:type="dxa"/>
            <w:noWrap/>
            <w:hideMark/>
          </w:tcPr>
          <w:p w14:paraId="4AB2591E"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52" w:type="dxa"/>
            <w:noWrap/>
            <w:hideMark/>
          </w:tcPr>
          <w:p w14:paraId="3711AAE4"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52" w:type="dxa"/>
            <w:noWrap/>
            <w:hideMark/>
          </w:tcPr>
          <w:p w14:paraId="3BD5C23F"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52" w:type="dxa"/>
            <w:noWrap/>
            <w:hideMark/>
          </w:tcPr>
          <w:p w14:paraId="1289C76D"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52" w:type="dxa"/>
            <w:noWrap/>
            <w:hideMark/>
          </w:tcPr>
          <w:p w14:paraId="4AB46096"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52" w:type="dxa"/>
            <w:noWrap/>
            <w:hideMark/>
          </w:tcPr>
          <w:p w14:paraId="04EA38FB"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52" w:type="dxa"/>
            <w:noWrap/>
            <w:hideMark/>
          </w:tcPr>
          <w:p w14:paraId="2898AA89"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52" w:type="dxa"/>
            <w:noWrap/>
            <w:hideMark/>
          </w:tcPr>
          <w:p w14:paraId="03D309D6"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52" w:type="dxa"/>
            <w:noWrap/>
            <w:hideMark/>
          </w:tcPr>
          <w:p w14:paraId="522D15D5"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52" w:type="dxa"/>
            <w:noWrap/>
            <w:hideMark/>
          </w:tcPr>
          <w:p w14:paraId="26AB63F9"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r>
      <w:tr w:rsidR="00DD7575" w:rsidRPr="00DD7575" w14:paraId="6E2DAB42" w14:textId="77777777" w:rsidTr="009441F4">
        <w:trPr>
          <w:trHeight w:val="312"/>
        </w:trPr>
        <w:tc>
          <w:tcPr>
            <w:tcW w:w="2335" w:type="dxa"/>
            <w:noWrap/>
            <w:hideMark/>
          </w:tcPr>
          <w:p w14:paraId="2C66BE20"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Quick Ratio (or Acid Test Ratio)</w:t>
            </w:r>
          </w:p>
        </w:tc>
        <w:tc>
          <w:tcPr>
            <w:tcW w:w="464" w:type="dxa"/>
            <w:noWrap/>
            <w:hideMark/>
          </w:tcPr>
          <w:p w14:paraId="7C98949C"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 </w:t>
            </w:r>
          </w:p>
        </w:tc>
        <w:tc>
          <w:tcPr>
            <w:tcW w:w="683" w:type="dxa"/>
            <w:noWrap/>
            <w:hideMark/>
          </w:tcPr>
          <w:p w14:paraId="048A0D5A"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0.24</w:t>
            </w:r>
          </w:p>
        </w:tc>
        <w:tc>
          <w:tcPr>
            <w:tcW w:w="652" w:type="dxa"/>
            <w:noWrap/>
            <w:hideMark/>
          </w:tcPr>
          <w:p w14:paraId="3F2EDFBB"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0.21</w:t>
            </w:r>
          </w:p>
        </w:tc>
        <w:tc>
          <w:tcPr>
            <w:tcW w:w="652" w:type="dxa"/>
            <w:noWrap/>
            <w:hideMark/>
          </w:tcPr>
          <w:p w14:paraId="0449DEF5"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0.28</w:t>
            </w:r>
          </w:p>
        </w:tc>
        <w:tc>
          <w:tcPr>
            <w:tcW w:w="652" w:type="dxa"/>
            <w:noWrap/>
            <w:hideMark/>
          </w:tcPr>
          <w:p w14:paraId="20FAFE33"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0.49</w:t>
            </w:r>
          </w:p>
        </w:tc>
        <w:tc>
          <w:tcPr>
            <w:tcW w:w="652" w:type="dxa"/>
            <w:noWrap/>
            <w:hideMark/>
          </w:tcPr>
          <w:p w14:paraId="57F6AFE9"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0.22</w:t>
            </w:r>
          </w:p>
        </w:tc>
        <w:tc>
          <w:tcPr>
            <w:tcW w:w="652" w:type="dxa"/>
            <w:noWrap/>
            <w:hideMark/>
          </w:tcPr>
          <w:p w14:paraId="2DC75F21"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0.84</w:t>
            </w:r>
          </w:p>
        </w:tc>
        <w:tc>
          <w:tcPr>
            <w:tcW w:w="652" w:type="dxa"/>
            <w:noWrap/>
            <w:hideMark/>
          </w:tcPr>
          <w:p w14:paraId="54993487"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0.72</w:t>
            </w:r>
          </w:p>
        </w:tc>
        <w:tc>
          <w:tcPr>
            <w:tcW w:w="652" w:type="dxa"/>
            <w:noWrap/>
            <w:hideMark/>
          </w:tcPr>
          <w:p w14:paraId="1480FA15"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0.91</w:t>
            </w:r>
          </w:p>
        </w:tc>
        <w:tc>
          <w:tcPr>
            <w:tcW w:w="652" w:type="dxa"/>
            <w:noWrap/>
            <w:hideMark/>
          </w:tcPr>
          <w:p w14:paraId="3306C5B5"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0.86</w:t>
            </w:r>
          </w:p>
        </w:tc>
        <w:tc>
          <w:tcPr>
            <w:tcW w:w="652" w:type="dxa"/>
            <w:noWrap/>
            <w:hideMark/>
          </w:tcPr>
          <w:p w14:paraId="25DB6E92"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0.86</w:t>
            </w:r>
          </w:p>
        </w:tc>
      </w:tr>
      <w:tr w:rsidR="00DD7575" w:rsidRPr="00DD7575" w14:paraId="4D953837" w14:textId="77777777" w:rsidTr="009441F4">
        <w:trPr>
          <w:trHeight w:val="312"/>
        </w:trPr>
        <w:tc>
          <w:tcPr>
            <w:tcW w:w="2799" w:type="dxa"/>
            <w:gridSpan w:val="2"/>
            <w:noWrap/>
            <w:hideMark/>
          </w:tcPr>
          <w:p w14:paraId="690FE31B"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(Current Assets-Inventories)/Current Liabilities</w:t>
            </w:r>
          </w:p>
        </w:tc>
        <w:tc>
          <w:tcPr>
            <w:tcW w:w="683" w:type="dxa"/>
            <w:noWrap/>
            <w:hideMark/>
          </w:tcPr>
          <w:p w14:paraId="218884D0"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52" w:type="dxa"/>
            <w:noWrap/>
            <w:hideMark/>
          </w:tcPr>
          <w:p w14:paraId="0D5BD8A9"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52" w:type="dxa"/>
            <w:noWrap/>
            <w:hideMark/>
          </w:tcPr>
          <w:p w14:paraId="17938E9C"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52" w:type="dxa"/>
            <w:noWrap/>
            <w:hideMark/>
          </w:tcPr>
          <w:p w14:paraId="12D2A787"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52" w:type="dxa"/>
            <w:noWrap/>
            <w:hideMark/>
          </w:tcPr>
          <w:p w14:paraId="3671AA01"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52" w:type="dxa"/>
            <w:noWrap/>
            <w:hideMark/>
          </w:tcPr>
          <w:p w14:paraId="4193B889"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52" w:type="dxa"/>
            <w:noWrap/>
            <w:hideMark/>
          </w:tcPr>
          <w:p w14:paraId="5B1B473F"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52" w:type="dxa"/>
            <w:noWrap/>
            <w:hideMark/>
          </w:tcPr>
          <w:p w14:paraId="40890FCF"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52" w:type="dxa"/>
            <w:noWrap/>
            <w:hideMark/>
          </w:tcPr>
          <w:p w14:paraId="65303C75"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52" w:type="dxa"/>
            <w:noWrap/>
            <w:hideMark/>
          </w:tcPr>
          <w:p w14:paraId="068C408E"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r>
      <w:tr w:rsidR="00DD7575" w:rsidRPr="00DD7575" w14:paraId="5264B732" w14:textId="77777777" w:rsidTr="009441F4">
        <w:trPr>
          <w:trHeight w:val="312"/>
        </w:trPr>
        <w:tc>
          <w:tcPr>
            <w:tcW w:w="2335" w:type="dxa"/>
            <w:noWrap/>
            <w:hideMark/>
          </w:tcPr>
          <w:p w14:paraId="709A6B65"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Cash Ratio</w:t>
            </w:r>
          </w:p>
        </w:tc>
        <w:tc>
          <w:tcPr>
            <w:tcW w:w="464" w:type="dxa"/>
            <w:noWrap/>
            <w:hideMark/>
          </w:tcPr>
          <w:p w14:paraId="6F170497"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 </w:t>
            </w:r>
          </w:p>
        </w:tc>
        <w:tc>
          <w:tcPr>
            <w:tcW w:w="683" w:type="dxa"/>
            <w:noWrap/>
            <w:hideMark/>
          </w:tcPr>
          <w:p w14:paraId="6117FB48"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0.11</w:t>
            </w:r>
          </w:p>
        </w:tc>
        <w:tc>
          <w:tcPr>
            <w:tcW w:w="652" w:type="dxa"/>
            <w:noWrap/>
            <w:hideMark/>
          </w:tcPr>
          <w:p w14:paraId="700FDEAE"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0.09</w:t>
            </w:r>
          </w:p>
        </w:tc>
        <w:tc>
          <w:tcPr>
            <w:tcW w:w="652" w:type="dxa"/>
            <w:noWrap/>
            <w:hideMark/>
          </w:tcPr>
          <w:p w14:paraId="2BDEBE23"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0.17</w:t>
            </w:r>
          </w:p>
        </w:tc>
        <w:tc>
          <w:tcPr>
            <w:tcW w:w="652" w:type="dxa"/>
            <w:noWrap/>
            <w:hideMark/>
          </w:tcPr>
          <w:p w14:paraId="1B31012F"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0.19</w:t>
            </w:r>
          </w:p>
        </w:tc>
        <w:tc>
          <w:tcPr>
            <w:tcW w:w="652" w:type="dxa"/>
            <w:noWrap/>
            <w:hideMark/>
          </w:tcPr>
          <w:p w14:paraId="420731F4"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0.12</w:t>
            </w:r>
          </w:p>
        </w:tc>
        <w:tc>
          <w:tcPr>
            <w:tcW w:w="652" w:type="dxa"/>
            <w:noWrap/>
            <w:hideMark/>
          </w:tcPr>
          <w:p w14:paraId="29143B3A"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0.45</w:t>
            </w:r>
          </w:p>
        </w:tc>
        <w:tc>
          <w:tcPr>
            <w:tcW w:w="652" w:type="dxa"/>
            <w:noWrap/>
            <w:hideMark/>
          </w:tcPr>
          <w:p w14:paraId="0830F4E5"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0.35</w:t>
            </w:r>
          </w:p>
        </w:tc>
        <w:tc>
          <w:tcPr>
            <w:tcW w:w="652" w:type="dxa"/>
            <w:noWrap/>
            <w:hideMark/>
          </w:tcPr>
          <w:p w14:paraId="592F99FB"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0.26</w:t>
            </w:r>
          </w:p>
        </w:tc>
        <w:tc>
          <w:tcPr>
            <w:tcW w:w="652" w:type="dxa"/>
            <w:noWrap/>
            <w:hideMark/>
          </w:tcPr>
          <w:p w14:paraId="12331325"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0.34</w:t>
            </w:r>
          </w:p>
        </w:tc>
        <w:tc>
          <w:tcPr>
            <w:tcW w:w="652" w:type="dxa"/>
            <w:noWrap/>
            <w:hideMark/>
          </w:tcPr>
          <w:p w14:paraId="4C722791"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0.41</w:t>
            </w:r>
          </w:p>
        </w:tc>
      </w:tr>
      <w:tr w:rsidR="00DD7575" w:rsidRPr="00DD7575" w14:paraId="5940CCDC" w14:textId="77777777" w:rsidTr="009441F4">
        <w:trPr>
          <w:trHeight w:val="312"/>
        </w:trPr>
        <w:tc>
          <w:tcPr>
            <w:tcW w:w="2335" w:type="dxa"/>
            <w:noWrap/>
            <w:hideMark/>
          </w:tcPr>
          <w:p w14:paraId="7CD4EAFA"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Cash/Current Liabilities</w:t>
            </w:r>
          </w:p>
        </w:tc>
        <w:tc>
          <w:tcPr>
            <w:tcW w:w="464" w:type="dxa"/>
            <w:noWrap/>
            <w:hideMark/>
          </w:tcPr>
          <w:p w14:paraId="0F4775A7"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83" w:type="dxa"/>
            <w:noWrap/>
            <w:hideMark/>
          </w:tcPr>
          <w:p w14:paraId="437952D2"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52" w:type="dxa"/>
            <w:noWrap/>
            <w:hideMark/>
          </w:tcPr>
          <w:p w14:paraId="206B2340"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52" w:type="dxa"/>
            <w:noWrap/>
            <w:hideMark/>
          </w:tcPr>
          <w:p w14:paraId="49340360"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52" w:type="dxa"/>
            <w:noWrap/>
            <w:hideMark/>
          </w:tcPr>
          <w:p w14:paraId="6B724B65"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52" w:type="dxa"/>
            <w:noWrap/>
            <w:hideMark/>
          </w:tcPr>
          <w:p w14:paraId="1AC35383"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52" w:type="dxa"/>
            <w:noWrap/>
            <w:hideMark/>
          </w:tcPr>
          <w:p w14:paraId="526778C5"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52" w:type="dxa"/>
            <w:noWrap/>
            <w:hideMark/>
          </w:tcPr>
          <w:p w14:paraId="6690EF89"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52" w:type="dxa"/>
            <w:noWrap/>
            <w:hideMark/>
          </w:tcPr>
          <w:p w14:paraId="61425008"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52" w:type="dxa"/>
            <w:noWrap/>
            <w:hideMark/>
          </w:tcPr>
          <w:p w14:paraId="48052703"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52" w:type="dxa"/>
            <w:noWrap/>
            <w:hideMark/>
          </w:tcPr>
          <w:p w14:paraId="08B66B58"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r>
      <w:tr w:rsidR="00DD7575" w:rsidRPr="00DD7575" w14:paraId="267B8DFD" w14:textId="77777777" w:rsidTr="009441F4">
        <w:trPr>
          <w:trHeight w:val="312"/>
        </w:trPr>
        <w:tc>
          <w:tcPr>
            <w:tcW w:w="2335" w:type="dxa"/>
            <w:noWrap/>
            <w:hideMark/>
          </w:tcPr>
          <w:p w14:paraId="25FFEF1D"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p>
        </w:tc>
        <w:tc>
          <w:tcPr>
            <w:tcW w:w="464" w:type="dxa"/>
            <w:noWrap/>
            <w:hideMark/>
          </w:tcPr>
          <w:p w14:paraId="6684E12F"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p>
        </w:tc>
        <w:tc>
          <w:tcPr>
            <w:tcW w:w="683" w:type="dxa"/>
            <w:noWrap/>
            <w:hideMark/>
          </w:tcPr>
          <w:p w14:paraId="12BFA404"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p>
        </w:tc>
        <w:tc>
          <w:tcPr>
            <w:tcW w:w="652" w:type="dxa"/>
            <w:noWrap/>
            <w:hideMark/>
          </w:tcPr>
          <w:p w14:paraId="5D03DC0F"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p>
        </w:tc>
        <w:tc>
          <w:tcPr>
            <w:tcW w:w="652" w:type="dxa"/>
            <w:noWrap/>
            <w:hideMark/>
          </w:tcPr>
          <w:p w14:paraId="781E0489"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p>
        </w:tc>
        <w:tc>
          <w:tcPr>
            <w:tcW w:w="652" w:type="dxa"/>
            <w:noWrap/>
            <w:hideMark/>
          </w:tcPr>
          <w:p w14:paraId="32A0FAD9"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p>
        </w:tc>
        <w:tc>
          <w:tcPr>
            <w:tcW w:w="652" w:type="dxa"/>
            <w:noWrap/>
            <w:hideMark/>
          </w:tcPr>
          <w:p w14:paraId="64C43311"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p>
        </w:tc>
        <w:tc>
          <w:tcPr>
            <w:tcW w:w="652" w:type="dxa"/>
            <w:noWrap/>
            <w:hideMark/>
          </w:tcPr>
          <w:p w14:paraId="55E80404"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p>
        </w:tc>
        <w:tc>
          <w:tcPr>
            <w:tcW w:w="652" w:type="dxa"/>
            <w:noWrap/>
            <w:hideMark/>
          </w:tcPr>
          <w:p w14:paraId="40EEFC6C"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p>
        </w:tc>
        <w:tc>
          <w:tcPr>
            <w:tcW w:w="652" w:type="dxa"/>
            <w:noWrap/>
            <w:hideMark/>
          </w:tcPr>
          <w:p w14:paraId="2B569573"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p>
        </w:tc>
        <w:tc>
          <w:tcPr>
            <w:tcW w:w="652" w:type="dxa"/>
            <w:noWrap/>
            <w:hideMark/>
          </w:tcPr>
          <w:p w14:paraId="33B02AEE"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p>
        </w:tc>
        <w:tc>
          <w:tcPr>
            <w:tcW w:w="652" w:type="dxa"/>
            <w:noWrap/>
            <w:hideMark/>
          </w:tcPr>
          <w:p w14:paraId="086BB140"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p>
        </w:tc>
      </w:tr>
      <w:tr w:rsidR="00DD7575" w:rsidRPr="00DD7575" w14:paraId="45F87441" w14:textId="77777777" w:rsidTr="009441F4">
        <w:trPr>
          <w:trHeight w:val="312"/>
        </w:trPr>
        <w:tc>
          <w:tcPr>
            <w:tcW w:w="2335" w:type="dxa"/>
            <w:noWrap/>
            <w:hideMark/>
          </w:tcPr>
          <w:p w14:paraId="6D02DD0D"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p>
        </w:tc>
        <w:tc>
          <w:tcPr>
            <w:tcW w:w="464" w:type="dxa"/>
            <w:noWrap/>
            <w:hideMark/>
          </w:tcPr>
          <w:p w14:paraId="21E73A21"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p>
        </w:tc>
        <w:tc>
          <w:tcPr>
            <w:tcW w:w="3291" w:type="dxa"/>
            <w:gridSpan w:val="5"/>
            <w:noWrap/>
            <w:hideMark/>
          </w:tcPr>
          <w:p w14:paraId="3EADC7F3"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Walmart</w:t>
            </w:r>
          </w:p>
        </w:tc>
        <w:tc>
          <w:tcPr>
            <w:tcW w:w="3260" w:type="dxa"/>
            <w:gridSpan w:val="5"/>
            <w:noWrap/>
            <w:hideMark/>
          </w:tcPr>
          <w:p w14:paraId="2BDC8574"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Amazon</w:t>
            </w:r>
          </w:p>
        </w:tc>
      </w:tr>
      <w:tr w:rsidR="00DD7575" w:rsidRPr="00DD7575" w14:paraId="30112C87" w14:textId="77777777" w:rsidTr="009441F4">
        <w:trPr>
          <w:trHeight w:val="312"/>
        </w:trPr>
        <w:tc>
          <w:tcPr>
            <w:tcW w:w="2335" w:type="dxa"/>
            <w:noWrap/>
            <w:hideMark/>
          </w:tcPr>
          <w:p w14:paraId="6790B588"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LEVERAGE RATIOS Input:</w:t>
            </w:r>
          </w:p>
        </w:tc>
        <w:tc>
          <w:tcPr>
            <w:tcW w:w="464" w:type="dxa"/>
            <w:noWrap/>
            <w:hideMark/>
          </w:tcPr>
          <w:p w14:paraId="35910D08"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 </w:t>
            </w:r>
          </w:p>
        </w:tc>
        <w:tc>
          <w:tcPr>
            <w:tcW w:w="683" w:type="dxa"/>
            <w:noWrap/>
            <w:hideMark/>
          </w:tcPr>
          <w:p w14:paraId="18ADB198"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2023</w:t>
            </w:r>
          </w:p>
        </w:tc>
        <w:tc>
          <w:tcPr>
            <w:tcW w:w="652" w:type="dxa"/>
            <w:noWrap/>
            <w:hideMark/>
          </w:tcPr>
          <w:p w14:paraId="5A82C4D9"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2022</w:t>
            </w:r>
          </w:p>
        </w:tc>
        <w:tc>
          <w:tcPr>
            <w:tcW w:w="652" w:type="dxa"/>
            <w:noWrap/>
            <w:hideMark/>
          </w:tcPr>
          <w:p w14:paraId="65C68E40"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2021</w:t>
            </w:r>
          </w:p>
        </w:tc>
        <w:tc>
          <w:tcPr>
            <w:tcW w:w="652" w:type="dxa"/>
            <w:noWrap/>
            <w:hideMark/>
          </w:tcPr>
          <w:p w14:paraId="0D4C09CA"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2020</w:t>
            </w:r>
          </w:p>
        </w:tc>
        <w:tc>
          <w:tcPr>
            <w:tcW w:w="652" w:type="dxa"/>
            <w:noWrap/>
            <w:hideMark/>
          </w:tcPr>
          <w:p w14:paraId="39204A5F"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2019</w:t>
            </w:r>
          </w:p>
        </w:tc>
        <w:tc>
          <w:tcPr>
            <w:tcW w:w="652" w:type="dxa"/>
            <w:noWrap/>
            <w:hideMark/>
          </w:tcPr>
          <w:p w14:paraId="26D1FD00"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2023</w:t>
            </w:r>
          </w:p>
        </w:tc>
        <w:tc>
          <w:tcPr>
            <w:tcW w:w="652" w:type="dxa"/>
            <w:noWrap/>
            <w:hideMark/>
          </w:tcPr>
          <w:p w14:paraId="60E39E59"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2022</w:t>
            </w:r>
          </w:p>
        </w:tc>
        <w:tc>
          <w:tcPr>
            <w:tcW w:w="652" w:type="dxa"/>
            <w:noWrap/>
            <w:hideMark/>
          </w:tcPr>
          <w:p w14:paraId="173EA2C3"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2021</w:t>
            </w:r>
          </w:p>
        </w:tc>
        <w:tc>
          <w:tcPr>
            <w:tcW w:w="652" w:type="dxa"/>
            <w:noWrap/>
            <w:hideMark/>
          </w:tcPr>
          <w:p w14:paraId="58F6D1EE"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2020</w:t>
            </w:r>
          </w:p>
        </w:tc>
        <w:tc>
          <w:tcPr>
            <w:tcW w:w="652" w:type="dxa"/>
            <w:noWrap/>
            <w:hideMark/>
          </w:tcPr>
          <w:p w14:paraId="0FE06F0E"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2019</w:t>
            </w:r>
          </w:p>
        </w:tc>
      </w:tr>
      <w:tr w:rsidR="00DD7575" w:rsidRPr="00DD7575" w14:paraId="7558D0E1" w14:textId="77777777" w:rsidTr="009441F4">
        <w:trPr>
          <w:trHeight w:val="312"/>
        </w:trPr>
        <w:tc>
          <w:tcPr>
            <w:tcW w:w="2335" w:type="dxa"/>
            <w:noWrap/>
            <w:hideMark/>
          </w:tcPr>
          <w:p w14:paraId="1DE5F29D"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Total Debt</w:t>
            </w:r>
          </w:p>
        </w:tc>
        <w:tc>
          <w:tcPr>
            <w:tcW w:w="464" w:type="dxa"/>
            <w:noWrap/>
            <w:hideMark/>
          </w:tcPr>
          <w:p w14:paraId="19993406"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p>
        </w:tc>
        <w:tc>
          <w:tcPr>
            <w:tcW w:w="683" w:type="dxa"/>
            <w:noWrap/>
            <w:hideMark/>
          </w:tcPr>
          <w:p w14:paraId="256D8C7E"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xml:space="preserve">161,828 </w:t>
            </w:r>
          </w:p>
        </w:tc>
        <w:tc>
          <w:tcPr>
            <w:tcW w:w="652" w:type="dxa"/>
            <w:noWrap/>
            <w:hideMark/>
          </w:tcPr>
          <w:p w14:paraId="76B38E18"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xml:space="preserve">159,206 </w:t>
            </w:r>
          </w:p>
        </w:tc>
        <w:tc>
          <w:tcPr>
            <w:tcW w:w="652" w:type="dxa"/>
            <w:noWrap/>
            <w:hideMark/>
          </w:tcPr>
          <w:p w14:paraId="615F2421"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xml:space="preserve">152,969 </w:t>
            </w:r>
          </w:p>
        </w:tc>
        <w:tc>
          <w:tcPr>
            <w:tcW w:w="652" w:type="dxa"/>
            <w:noWrap/>
            <w:hideMark/>
          </w:tcPr>
          <w:p w14:paraId="19F9F81B"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xml:space="preserve">164,965 </w:t>
            </w:r>
          </w:p>
        </w:tc>
        <w:tc>
          <w:tcPr>
            <w:tcW w:w="652" w:type="dxa"/>
            <w:noWrap/>
            <w:hideMark/>
          </w:tcPr>
          <w:p w14:paraId="25AFEFCA"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xml:space="preserve">154,943 </w:t>
            </w:r>
          </w:p>
        </w:tc>
        <w:tc>
          <w:tcPr>
            <w:tcW w:w="652" w:type="dxa"/>
            <w:noWrap/>
            <w:hideMark/>
          </w:tcPr>
          <w:p w14:paraId="698ED2E6"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xml:space="preserve">325,979 </w:t>
            </w:r>
          </w:p>
        </w:tc>
        <w:tc>
          <w:tcPr>
            <w:tcW w:w="652" w:type="dxa"/>
            <w:noWrap/>
            <w:hideMark/>
          </w:tcPr>
          <w:p w14:paraId="273DBC70"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xml:space="preserve">316,632 </w:t>
            </w:r>
          </w:p>
        </w:tc>
        <w:tc>
          <w:tcPr>
            <w:tcW w:w="652" w:type="dxa"/>
            <w:noWrap/>
            <w:hideMark/>
          </w:tcPr>
          <w:p w14:paraId="0672EA56"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xml:space="preserve">282,304 </w:t>
            </w:r>
          </w:p>
        </w:tc>
        <w:tc>
          <w:tcPr>
            <w:tcW w:w="652" w:type="dxa"/>
            <w:noWrap/>
            <w:hideMark/>
          </w:tcPr>
          <w:p w14:paraId="019489F6"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xml:space="preserve">227,791 </w:t>
            </w:r>
          </w:p>
        </w:tc>
        <w:tc>
          <w:tcPr>
            <w:tcW w:w="652" w:type="dxa"/>
            <w:noWrap/>
            <w:hideMark/>
          </w:tcPr>
          <w:p w14:paraId="3A7D55FE"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xml:space="preserve">163,188 </w:t>
            </w:r>
          </w:p>
        </w:tc>
      </w:tr>
      <w:tr w:rsidR="00DD7575" w:rsidRPr="00DD7575" w14:paraId="7962EA41" w14:textId="77777777" w:rsidTr="009441F4">
        <w:trPr>
          <w:trHeight w:val="312"/>
        </w:trPr>
        <w:tc>
          <w:tcPr>
            <w:tcW w:w="2335" w:type="dxa"/>
            <w:noWrap/>
            <w:hideMark/>
          </w:tcPr>
          <w:p w14:paraId="6B524AB6"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Total Equity</w:t>
            </w:r>
          </w:p>
        </w:tc>
        <w:tc>
          <w:tcPr>
            <w:tcW w:w="464" w:type="dxa"/>
            <w:noWrap/>
            <w:hideMark/>
          </w:tcPr>
          <w:p w14:paraId="4F091570"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p>
        </w:tc>
        <w:tc>
          <w:tcPr>
            <w:tcW w:w="683" w:type="dxa"/>
            <w:noWrap/>
            <w:hideMark/>
          </w:tcPr>
          <w:p w14:paraId="2A884421"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90,571</w:t>
            </w:r>
          </w:p>
        </w:tc>
        <w:tc>
          <w:tcPr>
            <w:tcW w:w="652" w:type="dxa"/>
            <w:noWrap/>
            <w:hideMark/>
          </w:tcPr>
          <w:p w14:paraId="48AA62AE"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83,991</w:t>
            </w:r>
          </w:p>
        </w:tc>
        <w:tc>
          <w:tcPr>
            <w:tcW w:w="652" w:type="dxa"/>
            <w:noWrap/>
            <w:hideMark/>
          </w:tcPr>
          <w:p w14:paraId="4B988BFF"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91,891</w:t>
            </w:r>
          </w:p>
        </w:tc>
        <w:tc>
          <w:tcPr>
            <w:tcW w:w="652" w:type="dxa"/>
            <w:noWrap/>
            <w:hideMark/>
          </w:tcPr>
          <w:p w14:paraId="363F86DC"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87,531</w:t>
            </w:r>
          </w:p>
        </w:tc>
        <w:tc>
          <w:tcPr>
            <w:tcW w:w="652" w:type="dxa"/>
            <w:noWrap/>
            <w:hideMark/>
          </w:tcPr>
          <w:p w14:paraId="3E257BDD"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81,552</w:t>
            </w:r>
          </w:p>
        </w:tc>
        <w:tc>
          <w:tcPr>
            <w:tcW w:w="652" w:type="dxa"/>
            <w:noWrap/>
            <w:hideMark/>
          </w:tcPr>
          <w:p w14:paraId="3F0DB43D"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201,875</w:t>
            </w:r>
          </w:p>
        </w:tc>
        <w:tc>
          <w:tcPr>
            <w:tcW w:w="652" w:type="dxa"/>
            <w:noWrap/>
            <w:hideMark/>
          </w:tcPr>
          <w:p w14:paraId="0BC851AB"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146,043</w:t>
            </w:r>
          </w:p>
        </w:tc>
        <w:tc>
          <w:tcPr>
            <w:tcW w:w="652" w:type="dxa"/>
            <w:noWrap/>
            <w:hideMark/>
          </w:tcPr>
          <w:p w14:paraId="1EF1C7DE"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138,245</w:t>
            </w:r>
          </w:p>
        </w:tc>
        <w:tc>
          <w:tcPr>
            <w:tcW w:w="652" w:type="dxa"/>
            <w:noWrap/>
            <w:hideMark/>
          </w:tcPr>
          <w:p w14:paraId="3C8D52B6"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93,404</w:t>
            </w:r>
          </w:p>
        </w:tc>
        <w:tc>
          <w:tcPr>
            <w:tcW w:w="652" w:type="dxa"/>
            <w:noWrap/>
            <w:hideMark/>
          </w:tcPr>
          <w:p w14:paraId="14AAD966"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62,060</w:t>
            </w:r>
          </w:p>
        </w:tc>
      </w:tr>
      <w:tr w:rsidR="00DD7575" w:rsidRPr="00DD7575" w14:paraId="151A1E04" w14:textId="77777777" w:rsidTr="009441F4">
        <w:trPr>
          <w:trHeight w:val="312"/>
        </w:trPr>
        <w:tc>
          <w:tcPr>
            <w:tcW w:w="2335" w:type="dxa"/>
            <w:noWrap/>
            <w:hideMark/>
          </w:tcPr>
          <w:p w14:paraId="62C1B566"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Total Assets</w:t>
            </w:r>
          </w:p>
        </w:tc>
        <w:tc>
          <w:tcPr>
            <w:tcW w:w="464" w:type="dxa"/>
            <w:noWrap/>
            <w:hideMark/>
          </w:tcPr>
          <w:p w14:paraId="3C58F893"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p>
        </w:tc>
        <w:tc>
          <w:tcPr>
            <w:tcW w:w="683" w:type="dxa"/>
            <w:noWrap/>
            <w:hideMark/>
          </w:tcPr>
          <w:p w14:paraId="3C44F62B"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252,399</w:t>
            </w:r>
          </w:p>
        </w:tc>
        <w:tc>
          <w:tcPr>
            <w:tcW w:w="652" w:type="dxa"/>
            <w:noWrap/>
            <w:hideMark/>
          </w:tcPr>
          <w:p w14:paraId="3CA4B680"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243,197</w:t>
            </w:r>
          </w:p>
        </w:tc>
        <w:tc>
          <w:tcPr>
            <w:tcW w:w="652" w:type="dxa"/>
            <w:noWrap/>
            <w:hideMark/>
          </w:tcPr>
          <w:p w14:paraId="15FA0F0A"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244,860</w:t>
            </w:r>
          </w:p>
        </w:tc>
        <w:tc>
          <w:tcPr>
            <w:tcW w:w="652" w:type="dxa"/>
            <w:noWrap/>
            <w:hideMark/>
          </w:tcPr>
          <w:p w14:paraId="351FB180"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252,496</w:t>
            </w:r>
          </w:p>
        </w:tc>
        <w:tc>
          <w:tcPr>
            <w:tcW w:w="652" w:type="dxa"/>
            <w:noWrap/>
            <w:hideMark/>
          </w:tcPr>
          <w:p w14:paraId="1BE93E30"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236,495</w:t>
            </w:r>
          </w:p>
        </w:tc>
        <w:tc>
          <w:tcPr>
            <w:tcW w:w="652" w:type="dxa"/>
            <w:noWrap/>
            <w:hideMark/>
          </w:tcPr>
          <w:p w14:paraId="5E03843D"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527,854</w:t>
            </w:r>
          </w:p>
        </w:tc>
        <w:tc>
          <w:tcPr>
            <w:tcW w:w="652" w:type="dxa"/>
            <w:noWrap/>
            <w:hideMark/>
          </w:tcPr>
          <w:p w14:paraId="47F4F8F8"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462,675</w:t>
            </w:r>
          </w:p>
        </w:tc>
        <w:tc>
          <w:tcPr>
            <w:tcW w:w="652" w:type="dxa"/>
            <w:noWrap/>
            <w:hideMark/>
          </w:tcPr>
          <w:p w14:paraId="1C000FA6"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420,549</w:t>
            </w:r>
          </w:p>
        </w:tc>
        <w:tc>
          <w:tcPr>
            <w:tcW w:w="652" w:type="dxa"/>
            <w:noWrap/>
            <w:hideMark/>
          </w:tcPr>
          <w:p w14:paraId="496506B5"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321,195</w:t>
            </w:r>
          </w:p>
        </w:tc>
        <w:tc>
          <w:tcPr>
            <w:tcW w:w="652" w:type="dxa"/>
            <w:noWrap/>
            <w:hideMark/>
          </w:tcPr>
          <w:p w14:paraId="43BF1875"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225,248</w:t>
            </w:r>
          </w:p>
        </w:tc>
      </w:tr>
      <w:tr w:rsidR="00DD7575" w:rsidRPr="00DD7575" w14:paraId="7AE0461E" w14:textId="77777777" w:rsidTr="009441F4">
        <w:trPr>
          <w:trHeight w:val="312"/>
        </w:trPr>
        <w:tc>
          <w:tcPr>
            <w:tcW w:w="2335" w:type="dxa"/>
            <w:noWrap/>
            <w:hideMark/>
          </w:tcPr>
          <w:p w14:paraId="25FE4D4E"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EBIT (Operating income)</w:t>
            </w:r>
          </w:p>
        </w:tc>
        <w:tc>
          <w:tcPr>
            <w:tcW w:w="464" w:type="dxa"/>
            <w:noWrap/>
            <w:hideMark/>
          </w:tcPr>
          <w:p w14:paraId="27E8789D"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p>
        </w:tc>
        <w:tc>
          <w:tcPr>
            <w:tcW w:w="683" w:type="dxa"/>
            <w:noWrap/>
            <w:hideMark/>
          </w:tcPr>
          <w:p w14:paraId="1C67D942"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21,848</w:t>
            </w:r>
          </w:p>
        </w:tc>
        <w:tc>
          <w:tcPr>
            <w:tcW w:w="652" w:type="dxa"/>
            <w:noWrap/>
            <w:hideMark/>
          </w:tcPr>
          <w:p w14:paraId="5706719F"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17,016</w:t>
            </w:r>
          </w:p>
        </w:tc>
        <w:tc>
          <w:tcPr>
            <w:tcW w:w="652" w:type="dxa"/>
            <w:noWrap/>
            <w:hideMark/>
          </w:tcPr>
          <w:p w14:paraId="2D41C6E4"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18,696</w:t>
            </w:r>
          </w:p>
        </w:tc>
        <w:tc>
          <w:tcPr>
            <w:tcW w:w="652" w:type="dxa"/>
            <w:noWrap/>
            <w:hideMark/>
          </w:tcPr>
          <w:p w14:paraId="4F77E268"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20,564</w:t>
            </w:r>
          </w:p>
        </w:tc>
        <w:tc>
          <w:tcPr>
            <w:tcW w:w="652" w:type="dxa"/>
            <w:noWrap/>
            <w:hideMark/>
          </w:tcPr>
          <w:p w14:paraId="453597DB"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20,116</w:t>
            </w:r>
          </w:p>
        </w:tc>
        <w:tc>
          <w:tcPr>
            <w:tcW w:w="652" w:type="dxa"/>
            <w:noWrap/>
            <w:hideMark/>
          </w:tcPr>
          <w:p w14:paraId="340F91DD"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37,557</w:t>
            </w:r>
          </w:p>
        </w:tc>
        <w:tc>
          <w:tcPr>
            <w:tcW w:w="652" w:type="dxa"/>
            <w:noWrap/>
            <w:hideMark/>
          </w:tcPr>
          <w:p w14:paraId="545B94F0"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-5,936</w:t>
            </w:r>
          </w:p>
        </w:tc>
        <w:tc>
          <w:tcPr>
            <w:tcW w:w="652" w:type="dxa"/>
            <w:noWrap/>
            <w:hideMark/>
          </w:tcPr>
          <w:p w14:paraId="586DAA3B"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38,151</w:t>
            </w:r>
          </w:p>
        </w:tc>
        <w:tc>
          <w:tcPr>
            <w:tcW w:w="652" w:type="dxa"/>
            <w:noWrap/>
            <w:hideMark/>
          </w:tcPr>
          <w:p w14:paraId="02287A9F"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24,178</w:t>
            </w:r>
          </w:p>
        </w:tc>
        <w:tc>
          <w:tcPr>
            <w:tcW w:w="652" w:type="dxa"/>
            <w:noWrap/>
            <w:hideMark/>
          </w:tcPr>
          <w:p w14:paraId="65F4C96D"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13,976</w:t>
            </w:r>
          </w:p>
        </w:tc>
      </w:tr>
      <w:tr w:rsidR="00DD7575" w:rsidRPr="00DD7575" w14:paraId="00092089" w14:textId="77777777" w:rsidTr="009441F4">
        <w:trPr>
          <w:trHeight w:val="312"/>
        </w:trPr>
        <w:tc>
          <w:tcPr>
            <w:tcW w:w="2335" w:type="dxa"/>
            <w:noWrap/>
            <w:hideMark/>
          </w:tcPr>
          <w:p w14:paraId="08EEF6D8"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Interest Expense</w:t>
            </w:r>
          </w:p>
        </w:tc>
        <w:tc>
          <w:tcPr>
            <w:tcW w:w="464" w:type="dxa"/>
            <w:noWrap/>
            <w:hideMark/>
          </w:tcPr>
          <w:p w14:paraId="52807F61"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p>
        </w:tc>
        <w:tc>
          <w:tcPr>
            <w:tcW w:w="683" w:type="dxa"/>
            <w:noWrap/>
            <w:hideMark/>
          </w:tcPr>
          <w:p w14:paraId="26A38DF2"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xml:space="preserve">2,683 </w:t>
            </w:r>
          </w:p>
        </w:tc>
        <w:tc>
          <w:tcPr>
            <w:tcW w:w="652" w:type="dxa"/>
            <w:noWrap/>
            <w:hideMark/>
          </w:tcPr>
          <w:p w14:paraId="6B89515B"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xml:space="preserve">2,128 </w:t>
            </w:r>
          </w:p>
        </w:tc>
        <w:tc>
          <w:tcPr>
            <w:tcW w:w="652" w:type="dxa"/>
            <w:noWrap/>
            <w:hideMark/>
          </w:tcPr>
          <w:p w14:paraId="0E03051A"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xml:space="preserve">1,994 </w:t>
            </w:r>
          </w:p>
        </w:tc>
        <w:tc>
          <w:tcPr>
            <w:tcW w:w="652" w:type="dxa"/>
            <w:noWrap/>
            <w:hideMark/>
          </w:tcPr>
          <w:p w14:paraId="24E75F6F"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xml:space="preserve">2,315 </w:t>
            </w:r>
          </w:p>
        </w:tc>
        <w:tc>
          <w:tcPr>
            <w:tcW w:w="652" w:type="dxa"/>
            <w:noWrap/>
            <w:hideMark/>
          </w:tcPr>
          <w:p w14:paraId="5B44E683"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xml:space="preserve">2,599 </w:t>
            </w:r>
          </w:p>
        </w:tc>
        <w:tc>
          <w:tcPr>
            <w:tcW w:w="652" w:type="dxa"/>
            <w:noWrap/>
            <w:hideMark/>
          </w:tcPr>
          <w:p w14:paraId="7D4C0A79"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xml:space="preserve">3,182 </w:t>
            </w:r>
          </w:p>
        </w:tc>
        <w:tc>
          <w:tcPr>
            <w:tcW w:w="652" w:type="dxa"/>
            <w:noWrap/>
            <w:hideMark/>
          </w:tcPr>
          <w:p w14:paraId="693AD0D2"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xml:space="preserve">2,367 </w:t>
            </w:r>
          </w:p>
        </w:tc>
        <w:tc>
          <w:tcPr>
            <w:tcW w:w="652" w:type="dxa"/>
            <w:noWrap/>
            <w:hideMark/>
          </w:tcPr>
          <w:p w14:paraId="1069F4B7"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xml:space="preserve">1,809 </w:t>
            </w:r>
          </w:p>
        </w:tc>
        <w:tc>
          <w:tcPr>
            <w:tcW w:w="652" w:type="dxa"/>
            <w:noWrap/>
            <w:hideMark/>
          </w:tcPr>
          <w:p w14:paraId="4BDDBD96"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xml:space="preserve">1,647 </w:t>
            </w:r>
          </w:p>
        </w:tc>
        <w:tc>
          <w:tcPr>
            <w:tcW w:w="652" w:type="dxa"/>
            <w:noWrap/>
            <w:hideMark/>
          </w:tcPr>
          <w:p w14:paraId="14BF0AAC"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xml:space="preserve">1,600 </w:t>
            </w:r>
          </w:p>
        </w:tc>
      </w:tr>
      <w:tr w:rsidR="00DD7575" w:rsidRPr="00DD7575" w14:paraId="48EAA314" w14:textId="77777777" w:rsidTr="009441F4">
        <w:trPr>
          <w:trHeight w:val="312"/>
        </w:trPr>
        <w:tc>
          <w:tcPr>
            <w:tcW w:w="2335" w:type="dxa"/>
            <w:noWrap/>
            <w:hideMark/>
          </w:tcPr>
          <w:p w14:paraId="7931D626"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LEVERAGE RATIOS:</w:t>
            </w:r>
          </w:p>
        </w:tc>
        <w:tc>
          <w:tcPr>
            <w:tcW w:w="464" w:type="dxa"/>
            <w:noWrap/>
            <w:hideMark/>
          </w:tcPr>
          <w:p w14:paraId="07F15A5C"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 </w:t>
            </w:r>
          </w:p>
        </w:tc>
        <w:tc>
          <w:tcPr>
            <w:tcW w:w="683" w:type="dxa"/>
            <w:noWrap/>
            <w:hideMark/>
          </w:tcPr>
          <w:p w14:paraId="5124218F"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2023</w:t>
            </w:r>
          </w:p>
        </w:tc>
        <w:tc>
          <w:tcPr>
            <w:tcW w:w="652" w:type="dxa"/>
            <w:noWrap/>
            <w:hideMark/>
          </w:tcPr>
          <w:p w14:paraId="7228563E"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2022</w:t>
            </w:r>
          </w:p>
        </w:tc>
        <w:tc>
          <w:tcPr>
            <w:tcW w:w="652" w:type="dxa"/>
            <w:noWrap/>
            <w:hideMark/>
          </w:tcPr>
          <w:p w14:paraId="10818CED"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2021</w:t>
            </w:r>
          </w:p>
        </w:tc>
        <w:tc>
          <w:tcPr>
            <w:tcW w:w="652" w:type="dxa"/>
            <w:noWrap/>
            <w:hideMark/>
          </w:tcPr>
          <w:p w14:paraId="55081213"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2020</w:t>
            </w:r>
          </w:p>
        </w:tc>
        <w:tc>
          <w:tcPr>
            <w:tcW w:w="652" w:type="dxa"/>
            <w:noWrap/>
            <w:hideMark/>
          </w:tcPr>
          <w:p w14:paraId="31AA42A9"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2019</w:t>
            </w:r>
          </w:p>
        </w:tc>
        <w:tc>
          <w:tcPr>
            <w:tcW w:w="652" w:type="dxa"/>
            <w:noWrap/>
            <w:hideMark/>
          </w:tcPr>
          <w:p w14:paraId="6BCC2C7A"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2023</w:t>
            </w:r>
          </w:p>
        </w:tc>
        <w:tc>
          <w:tcPr>
            <w:tcW w:w="652" w:type="dxa"/>
            <w:noWrap/>
            <w:hideMark/>
          </w:tcPr>
          <w:p w14:paraId="12D3316B"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2022</w:t>
            </w:r>
          </w:p>
        </w:tc>
        <w:tc>
          <w:tcPr>
            <w:tcW w:w="652" w:type="dxa"/>
            <w:noWrap/>
            <w:hideMark/>
          </w:tcPr>
          <w:p w14:paraId="4B1B9B54"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2021</w:t>
            </w:r>
          </w:p>
        </w:tc>
        <w:tc>
          <w:tcPr>
            <w:tcW w:w="652" w:type="dxa"/>
            <w:noWrap/>
            <w:hideMark/>
          </w:tcPr>
          <w:p w14:paraId="7D22CDF6"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2020</w:t>
            </w:r>
          </w:p>
        </w:tc>
        <w:tc>
          <w:tcPr>
            <w:tcW w:w="652" w:type="dxa"/>
            <w:noWrap/>
            <w:hideMark/>
          </w:tcPr>
          <w:p w14:paraId="3B445E83"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2019</w:t>
            </w:r>
          </w:p>
        </w:tc>
      </w:tr>
      <w:tr w:rsidR="00DD7575" w:rsidRPr="00DD7575" w14:paraId="0F3C74D5" w14:textId="77777777" w:rsidTr="009441F4">
        <w:trPr>
          <w:trHeight w:val="312"/>
        </w:trPr>
        <w:tc>
          <w:tcPr>
            <w:tcW w:w="2335" w:type="dxa"/>
            <w:noWrap/>
            <w:hideMark/>
          </w:tcPr>
          <w:p w14:paraId="6C7F07C9"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Debt/Equity Ratio</w:t>
            </w:r>
          </w:p>
        </w:tc>
        <w:tc>
          <w:tcPr>
            <w:tcW w:w="464" w:type="dxa"/>
            <w:noWrap/>
            <w:hideMark/>
          </w:tcPr>
          <w:p w14:paraId="605A9BD5"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 </w:t>
            </w:r>
          </w:p>
        </w:tc>
        <w:tc>
          <w:tcPr>
            <w:tcW w:w="683" w:type="dxa"/>
            <w:noWrap/>
            <w:hideMark/>
          </w:tcPr>
          <w:p w14:paraId="0F19374A"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1.79</w:t>
            </w:r>
          </w:p>
        </w:tc>
        <w:tc>
          <w:tcPr>
            <w:tcW w:w="652" w:type="dxa"/>
            <w:noWrap/>
            <w:hideMark/>
          </w:tcPr>
          <w:p w14:paraId="556ABD7D"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1.90</w:t>
            </w:r>
          </w:p>
        </w:tc>
        <w:tc>
          <w:tcPr>
            <w:tcW w:w="652" w:type="dxa"/>
            <w:noWrap/>
            <w:hideMark/>
          </w:tcPr>
          <w:p w14:paraId="7AF459AB"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1.66</w:t>
            </w:r>
          </w:p>
        </w:tc>
        <w:tc>
          <w:tcPr>
            <w:tcW w:w="652" w:type="dxa"/>
            <w:noWrap/>
            <w:hideMark/>
          </w:tcPr>
          <w:p w14:paraId="0B20FF98"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1.88</w:t>
            </w:r>
          </w:p>
        </w:tc>
        <w:tc>
          <w:tcPr>
            <w:tcW w:w="652" w:type="dxa"/>
            <w:noWrap/>
            <w:hideMark/>
          </w:tcPr>
          <w:p w14:paraId="0BFA111C"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1.90</w:t>
            </w:r>
          </w:p>
        </w:tc>
        <w:tc>
          <w:tcPr>
            <w:tcW w:w="652" w:type="dxa"/>
            <w:noWrap/>
            <w:hideMark/>
          </w:tcPr>
          <w:p w14:paraId="136F1D11"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1.61</w:t>
            </w:r>
          </w:p>
        </w:tc>
        <w:tc>
          <w:tcPr>
            <w:tcW w:w="652" w:type="dxa"/>
            <w:noWrap/>
            <w:hideMark/>
          </w:tcPr>
          <w:p w14:paraId="28BACA01"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2.17</w:t>
            </w:r>
          </w:p>
        </w:tc>
        <w:tc>
          <w:tcPr>
            <w:tcW w:w="652" w:type="dxa"/>
            <w:noWrap/>
            <w:hideMark/>
          </w:tcPr>
          <w:p w14:paraId="20E43E04"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2.04</w:t>
            </w:r>
          </w:p>
        </w:tc>
        <w:tc>
          <w:tcPr>
            <w:tcW w:w="652" w:type="dxa"/>
            <w:noWrap/>
            <w:hideMark/>
          </w:tcPr>
          <w:p w14:paraId="6F2BD506"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2.44</w:t>
            </w:r>
          </w:p>
        </w:tc>
        <w:tc>
          <w:tcPr>
            <w:tcW w:w="652" w:type="dxa"/>
            <w:noWrap/>
            <w:hideMark/>
          </w:tcPr>
          <w:p w14:paraId="7F984282"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2.63</w:t>
            </w:r>
          </w:p>
        </w:tc>
      </w:tr>
      <w:tr w:rsidR="00DD7575" w:rsidRPr="00DD7575" w14:paraId="6F25470C" w14:textId="77777777" w:rsidTr="009441F4">
        <w:trPr>
          <w:trHeight w:val="312"/>
        </w:trPr>
        <w:tc>
          <w:tcPr>
            <w:tcW w:w="2335" w:type="dxa"/>
            <w:noWrap/>
            <w:hideMark/>
          </w:tcPr>
          <w:p w14:paraId="1D5ACFBF"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Total Debt/Total Equity</w:t>
            </w:r>
          </w:p>
        </w:tc>
        <w:tc>
          <w:tcPr>
            <w:tcW w:w="464" w:type="dxa"/>
            <w:noWrap/>
            <w:hideMark/>
          </w:tcPr>
          <w:p w14:paraId="3FE086FD"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83" w:type="dxa"/>
            <w:noWrap/>
            <w:hideMark/>
          </w:tcPr>
          <w:p w14:paraId="23A75F05"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52" w:type="dxa"/>
            <w:noWrap/>
            <w:hideMark/>
          </w:tcPr>
          <w:p w14:paraId="66F504C0"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52" w:type="dxa"/>
            <w:noWrap/>
            <w:hideMark/>
          </w:tcPr>
          <w:p w14:paraId="60C433F5"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52" w:type="dxa"/>
            <w:noWrap/>
            <w:hideMark/>
          </w:tcPr>
          <w:p w14:paraId="620A21A8"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52" w:type="dxa"/>
            <w:noWrap/>
            <w:hideMark/>
          </w:tcPr>
          <w:p w14:paraId="39BA1A33"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52" w:type="dxa"/>
            <w:noWrap/>
            <w:hideMark/>
          </w:tcPr>
          <w:p w14:paraId="338BED25"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52" w:type="dxa"/>
            <w:noWrap/>
            <w:hideMark/>
          </w:tcPr>
          <w:p w14:paraId="1A157D62"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52" w:type="dxa"/>
            <w:noWrap/>
            <w:hideMark/>
          </w:tcPr>
          <w:p w14:paraId="4577E361"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52" w:type="dxa"/>
            <w:noWrap/>
            <w:hideMark/>
          </w:tcPr>
          <w:p w14:paraId="235AE4B8"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52" w:type="dxa"/>
            <w:noWrap/>
            <w:hideMark/>
          </w:tcPr>
          <w:p w14:paraId="71053092"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r>
      <w:tr w:rsidR="00DD7575" w:rsidRPr="00DD7575" w14:paraId="3701AB5F" w14:textId="77777777" w:rsidTr="009441F4">
        <w:trPr>
          <w:trHeight w:val="312"/>
        </w:trPr>
        <w:tc>
          <w:tcPr>
            <w:tcW w:w="2335" w:type="dxa"/>
            <w:noWrap/>
            <w:hideMark/>
          </w:tcPr>
          <w:p w14:paraId="04239ADD"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lastRenderedPageBreak/>
              <w:t>Equity Multiplier</w:t>
            </w:r>
          </w:p>
        </w:tc>
        <w:tc>
          <w:tcPr>
            <w:tcW w:w="464" w:type="dxa"/>
            <w:noWrap/>
            <w:hideMark/>
          </w:tcPr>
          <w:p w14:paraId="64F8BB5E"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 </w:t>
            </w:r>
          </w:p>
        </w:tc>
        <w:tc>
          <w:tcPr>
            <w:tcW w:w="683" w:type="dxa"/>
            <w:noWrap/>
            <w:hideMark/>
          </w:tcPr>
          <w:p w14:paraId="3538EFFF"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2.79</w:t>
            </w:r>
          </w:p>
        </w:tc>
        <w:tc>
          <w:tcPr>
            <w:tcW w:w="652" w:type="dxa"/>
            <w:noWrap/>
            <w:hideMark/>
          </w:tcPr>
          <w:p w14:paraId="645BE439"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2.90</w:t>
            </w:r>
          </w:p>
        </w:tc>
        <w:tc>
          <w:tcPr>
            <w:tcW w:w="652" w:type="dxa"/>
            <w:noWrap/>
            <w:hideMark/>
          </w:tcPr>
          <w:p w14:paraId="344F4FB3"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2.66</w:t>
            </w:r>
          </w:p>
        </w:tc>
        <w:tc>
          <w:tcPr>
            <w:tcW w:w="652" w:type="dxa"/>
            <w:noWrap/>
            <w:hideMark/>
          </w:tcPr>
          <w:p w14:paraId="61B15C91"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2.88</w:t>
            </w:r>
          </w:p>
        </w:tc>
        <w:tc>
          <w:tcPr>
            <w:tcW w:w="652" w:type="dxa"/>
            <w:noWrap/>
            <w:hideMark/>
          </w:tcPr>
          <w:p w14:paraId="6C391F02"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2.90</w:t>
            </w:r>
          </w:p>
        </w:tc>
        <w:tc>
          <w:tcPr>
            <w:tcW w:w="652" w:type="dxa"/>
            <w:noWrap/>
            <w:hideMark/>
          </w:tcPr>
          <w:p w14:paraId="666784FD"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2.61</w:t>
            </w:r>
          </w:p>
        </w:tc>
        <w:tc>
          <w:tcPr>
            <w:tcW w:w="652" w:type="dxa"/>
            <w:noWrap/>
            <w:hideMark/>
          </w:tcPr>
          <w:p w14:paraId="2C65C217"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3.17</w:t>
            </w:r>
          </w:p>
        </w:tc>
        <w:tc>
          <w:tcPr>
            <w:tcW w:w="652" w:type="dxa"/>
            <w:noWrap/>
            <w:hideMark/>
          </w:tcPr>
          <w:p w14:paraId="56D3C093"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3.04</w:t>
            </w:r>
          </w:p>
        </w:tc>
        <w:tc>
          <w:tcPr>
            <w:tcW w:w="652" w:type="dxa"/>
            <w:noWrap/>
            <w:hideMark/>
          </w:tcPr>
          <w:p w14:paraId="148FA78A"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3.44</w:t>
            </w:r>
          </w:p>
        </w:tc>
        <w:tc>
          <w:tcPr>
            <w:tcW w:w="652" w:type="dxa"/>
            <w:noWrap/>
            <w:hideMark/>
          </w:tcPr>
          <w:p w14:paraId="661B0E54"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3.63</w:t>
            </w:r>
          </w:p>
        </w:tc>
      </w:tr>
      <w:tr w:rsidR="00DD7575" w:rsidRPr="00DD7575" w14:paraId="1917E291" w14:textId="77777777" w:rsidTr="009441F4">
        <w:trPr>
          <w:trHeight w:val="312"/>
        </w:trPr>
        <w:tc>
          <w:tcPr>
            <w:tcW w:w="2335" w:type="dxa"/>
            <w:noWrap/>
            <w:hideMark/>
          </w:tcPr>
          <w:p w14:paraId="561822D8"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Total Assets/Total Equity</w:t>
            </w:r>
          </w:p>
        </w:tc>
        <w:tc>
          <w:tcPr>
            <w:tcW w:w="464" w:type="dxa"/>
            <w:noWrap/>
            <w:hideMark/>
          </w:tcPr>
          <w:p w14:paraId="76FD8F4F"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83" w:type="dxa"/>
            <w:noWrap/>
            <w:hideMark/>
          </w:tcPr>
          <w:p w14:paraId="786FB78A"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52" w:type="dxa"/>
            <w:noWrap/>
            <w:hideMark/>
          </w:tcPr>
          <w:p w14:paraId="70E1346C"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52" w:type="dxa"/>
            <w:noWrap/>
            <w:hideMark/>
          </w:tcPr>
          <w:p w14:paraId="0AA506DA"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52" w:type="dxa"/>
            <w:noWrap/>
            <w:hideMark/>
          </w:tcPr>
          <w:p w14:paraId="78049728"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52" w:type="dxa"/>
            <w:noWrap/>
            <w:hideMark/>
          </w:tcPr>
          <w:p w14:paraId="6327E20C"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52" w:type="dxa"/>
            <w:noWrap/>
            <w:hideMark/>
          </w:tcPr>
          <w:p w14:paraId="0C17E4C4"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52" w:type="dxa"/>
            <w:noWrap/>
            <w:hideMark/>
          </w:tcPr>
          <w:p w14:paraId="0BAFF717"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52" w:type="dxa"/>
            <w:noWrap/>
            <w:hideMark/>
          </w:tcPr>
          <w:p w14:paraId="78A6F68F"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52" w:type="dxa"/>
            <w:noWrap/>
            <w:hideMark/>
          </w:tcPr>
          <w:p w14:paraId="384DB78C"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52" w:type="dxa"/>
            <w:noWrap/>
            <w:hideMark/>
          </w:tcPr>
          <w:p w14:paraId="18874968"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r>
      <w:tr w:rsidR="00DD7575" w:rsidRPr="00DD7575" w14:paraId="07D67717" w14:textId="77777777" w:rsidTr="009441F4">
        <w:trPr>
          <w:trHeight w:val="312"/>
        </w:trPr>
        <w:tc>
          <w:tcPr>
            <w:tcW w:w="2335" w:type="dxa"/>
            <w:noWrap/>
            <w:hideMark/>
          </w:tcPr>
          <w:p w14:paraId="445B889A"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Interest Coverage Ratio</w:t>
            </w:r>
          </w:p>
        </w:tc>
        <w:tc>
          <w:tcPr>
            <w:tcW w:w="464" w:type="dxa"/>
            <w:noWrap/>
            <w:hideMark/>
          </w:tcPr>
          <w:p w14:paraId="06945111" w14:textId="77777777" w:rsidR="009441F4" w:rsidRPr="00DD7575" w:rsidRDefault="009441F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 </w:t>
            </w:r>
          </w:p>
        </w:tc>
        <w:tc>
          <w:tcPr>
            <w:tcW w:w="683" w:type="dxa"/>
            <w:noWrap/>
            <w:hideMark/>
          </w:tcPr>
          <w:p w14:paraId="02F6B9D8"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8.14</w:t>
            </w:r>
          </w:p>
        </w:tc>
        <w:tc>
          <w:tcPr>
            <w:tcW w:w="652" w:type="dxa"/>
            <w:noWrap/>
            <w:hideMark/>
          </w:tcPr>
          <w:p w14:paraId="4E443D94"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8.00</w:t>
            </w:r>
          </w:p>
        </w:tc>
        <w:tc>
          <w:tcPr>
            <w:tcW w:w="652" w:type="dxa"/>
            <w:noWrap/>
            <w:hideMark/>
          </w:tcPr>
          <w:p w14:paraId="2AFB33C1"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9.38</w:t>
            </w:r>
          </w:p>
        </w:tc>
        <w:tc>
          <w:tcPr>
            <w:tcW w:w="652" w:type="dxa"/>
            <w:noWrap/>
            <w:hideMark/>
          </w:tcPr>
          <w:p w14:paraId="01FD4D8E"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8.88</w:t>
            </w:r>
          </w:p>
        </w:tc>
        <w:tc>
          <w:tcPr>
            <w:tcW w:w="652" w:type="dxa"/>
            <w:noWrap/>
            <w:hideMark/>
          </w:tcPr>
          <w:p w14:paraId="6D94FD47"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7.74</w:t>
            </w:r>
          </w:p>
        </w:tc>
        <w:tc>
          <w:tcPr>
            <w:tcW w:w="652" w:type="dxa"/>
            <w:noWrap/>
            <w:hideMark/>
          </w:tcPr>
          <w:p w14:paraId="07C56B95"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11.80</w:t>
            </w:r>
          </w:p>
        </w:tc>
        <w:tc>
          <w:tcPr>
            <w:tcW w:w="652" w:type="dxa"/>
            <w:noWrap/>
            <w:hideMark/>
          </w:tcPr>
          <w:p w14:paraId="3BBCF4FE"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-2.51</w:t>
            </w:r>
          </w:p>
        </w:tc>
        <w:tc>
          <w:tcPr>
            <w:tcW w:w="652" w:type="dxa"/>
            <w:noWrap/>
            <w:hideMark/>
          </w:tcPr>
          <w:p w14:paraId="5B0F8126"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21.09</w:t>
            </w:r>
          </w:p>
        </w:tc>
        <w:tc>
          <w:tcPr>
            <w:tcW w:w="652" w:type="dxa"/>
            <w:noWrap/>
            <w:hideMark/>
          </w:tcPr>
          <w:p w14:paraId="7CDA7694"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14.68</w:t>
            </w:r>
          </w:p>
        </w:tc>
        <w:tc>
          <w:tcPr>
            <w:tcW w:w="652" w:type="dxa"/>
            <w:noWrap/>
            <w:hideMark/>
          </w:tcPr>
          <w:p w14:paraId="6403FB8F"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8.74</w:t>
            </w:r>
          </w:p>
        </w:tc>
      </w:tr>
      <w:tr w:rsidR="00C82644" w:rsidRPr="00DD7575" w14:paraId="09B04562" w14:textId="77777777" w:rsidTr="009441F4">
        <w:trPr>
          <w:trHeight w:val="312"/>
        </w:trPr>
        <w:tc>
          <w:tcPr>
            <w:tcW w:w="2335" w:type="dxa"/>
            <w:noWrap/>
            <w:hideMark/>
          </w:tcPr>
          <w:p w14:paraId="49A37489"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EBIT/Interest Expense</w:t>
            </w:r>
          </w:p>
        </w:tc>
        <w:tc>
          <w:tcPr>
            <w:tcW w:w="464" w:type="dxa"/>
            <w:noWrap/>
            <w:hideMark/>
          </w:tcPr>
          <w:p w14:paraId="1EBA9B0A"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83" w:type="dxa"/>
            <w:noWrap/>
            <w:hideMark/>
          </w:tcPr>
          <w:p w14:paraId="77DA9E5A"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52" w:type="dxa"/>
            <w:noWrap/>
            <w:hideMark/>
          </w:tcPr>
          <w:p w14:paraId="18F9ED17"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52" w:type="dxa"/>
            <w:noWrap/>
            <w:hideMark/>
          </w:tcPr>
          <w:p w14:paraId="470951B7"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52" w:type="dxa"/>
            <w:noWrap/>
            <w:hideMark/>
          </w:tcPr>
          <w:p w14:paraId="4B90A276"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52" w:type="dxa"/>
            <w:noWrap/>
            <w:hideMark/>
          </w:tcPr>
          <w:p w14:paraId="06B55F90"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52" w:type="dxa"/>
            <w:noWrap/>
            <w:hideMark/>
          </w:tcPr>
          <w:p w14:paraId="771FD0DB"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52" w:type="dxa"/>
            <w:noWrap/>
            <w:hideMark/>
          </w:tcPr>
          <w:p w14:paraId="1A9C4E95"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52" w:type="dxa"/>
            <w:noWrap/>
            <w:hideMark/>
          </w:tcPr>
          <w:p w14:paraId="797F68B1"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52" w:type="dxa"/>
            <w:noWrap/>
            <w:hideMark/>
          </w:tcPr>
          <w:p w14:paraId="27E041D8"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c>
          <w:tcPr>
            <w:tcW w:w="652" w:type="dxa"/>
            <w:noWrap/>
            <w:hideMark/>
          </w:tcPr>
          <w:p w14:paraId="614AB28A" w14:textId="77777777" w:rsidR="009441F4" w:rsidRPr="00DD7575" w:rsidRDefault="009441F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 </w:t>
            </w:r>
          </w:p>
        </w:tc>
      </w:tr>
    </w:tbl>
    <w:p w14:paraId="4A626DA2" w14:textId="77777777" w:rsidR="00F67FB2" w:rsidRPr="00DD7575" w:rsidRDefault="00F67FB2" w:rsidP="00853AEC">
      <w:pPr>
        <w:spacing w:line="360" w:lineRule="auto"/>
        <w:jc w:val="center"/>
        <w:rPr>
          <w:color w:val="000000" w:themeColor="text1"/>
          <w:lang w:val="en-US"/>
        </w:rPr>
      </w:pPr>
    </w:p>
    <w:p w14:paraId="3D14C00F" w14:textId="77777777" w:rsidR="00F67FB2" w:rsidRPr="00DD7575" w:rsidRDefault="00F67FB2" w:rsidP="00853AEC">
      <w:pPr>
        <w:pStyle w:val="Heading5"/>
        <w:rPr>
          <w:b w:val="0"/>
          <w:lang w:val="en-US"/>
        </w:rPr>
      </w:pPr>
      <w:bookmarkStart w:id="7" w:name="_Toc164253189"/>
      <w:r w:rsidRPr="00DD7575">
        <w:rPr>
          <w:lang w:val="en-US"/>
        </w:rPr>
        <w:t>Table 1: Analysis of Liquidity and Leverage Ratios</w:t>
      </w:r>
      <w:bookmarkEnd w:id="7"/>
    </w:p>
    <w:p w14:paraId="6018E1FA" w14:textId="77777777" w:rsidR="00F67FB2" w:rsidRPr="00DD7575" w:rsidRDefault="00F67FB2" w:rsidP="00853AEC">
      <w:pPr>
        <w:spacing w:before="240" w:line="360" w:lineRule="auto"/>
        <w:jc w:val="center"/>
        <w:rPr>
          <w:rFonts w:ascii="Times New Roman" w:hAnsi="Times New Roman" w:cs="Times New Roman"/>
          <w:bCs/>
          <w:color w:val="000000" w:themeColor="text1"/>
          <w:sz w:val="24"/>
          <w:szCs w:val="24"/>
          <w:lang w:val="en-US"/>
        </w:rPr>
      </w:pPr>
      <w:r w:rsidRPr="00DD7575">
        <w:rPr>
          <w:rFonts w:ascii="Times New Roman" w:hAnsi="Times New Roman" w:cs="Times New Roman"/>
          <w:bCs/>
          <w:color w:val="000000" w:themeColor="text1"/>
          <w:sz w:val="24"/>
          <w:szCs w:val="24"/>
          <w:lang w:val="en-US"/>
        </w:rPr>
        <w:t>(Source: Refer to Excel)</w:t>
      </w:r>
    </w:p>
    <w:p w14:paraId="35A22E8E" w14:textId="77777777" w:rsidR="00010391" w:rsidRPr="00DD7575" w:rsidRDefault="00010391" w:rsidP="00853AEC">
      <w:pPr>
        <w:spacing w:before="240" w:line="360" w:lineRule="auto"/>
        <w:jc w:val="both"/>
        <w:rPr>
          <w:rFonts w:ascii="Times New Roman" w:hAnsi="Times New Roman" w:cs="Times New Roman"/>
          <w:color w:val="000000" w:themeColor="text1"/>
          <w:sz w:val="24"/>
          <w:szCs w:val="24"/>
        </w:rPr>
      </w:pPr>
      <w:r w:rsidRPr="00DD7575">
        <w:rPr>
          <w:rFonts w:ascii="Times New Roman" w:hAnsi="Times New Roman"/>
          <w:color w:val="000000" w:themeColor="text1"/>
          <w:sz w:val="24"/>
        </w:rPr>
        <w:t>The liquidity and the leverage ratios are regarded as vital indicators of how well the financial position of both Walmart as well as Amazon and their risk management approaches are going.</w:t>
      </w:r>
    </w:p>
    <w:p w14:paraId="29E0C54B" w14:textId="77777777" w:rsidR="00010391" w:rsidRPr="00FC4F13" w:rsidRDefault="00010391" w:rsidP="00853AEC">
      <w:pPr>
        <w:spacing w:before="240" w:line="360" w:lineRule="auto"/>
        <w:jc w:val="both"/>
        <w:rPr>
          <w:rFonts w:ascii="Times New Roman" w:hAnsi="Times New Roman" w:cs="Times New Roman"/>
          <w:b/>
          <w:bCs/>
          <w:color w:val="000000" w:themeColor="text1"/>
          <w:sz w:val="24"/>
          <w:szCs w:val="24"/>
        </w:rPr>
      </w:pPr>
      <w:r w:rsidRPr="00DD7575">
        <w:rPr>
          <w:rFonts w:ascii="Times New Roman" w:hAnsi="Times New Roman"/>
          <w:color w:val="000000" w:themeColor="text1"/>
          <w:sz w:val="24"/>
        </w:rPr>
        <w:t xml:space="preserve">By analysing the liquidity ratios, </w:t>
      </w:r>
      <w:r w:rsidR="00F67FB2" w:rsidRPr="00DD7575">
        <w:rPr>
          <w:rFonts w:ascii="Times New Roman" w:hAnsi="Times New Roman"/>
          <w:color w:val="000000" w:themeColor="text1"/>
          <w:sz w:val="24"/>
        </w:rPr>
        <w:t>it</w:t>
      </w:r>
      <w:r w:rsidRPr="00DD7575">
        <w:rPr>
          <w:rFonts w:ascii="Times New Roman" w:hAnsi="Times New Roman"/>
          <w:color w:val="000000" w:themeColor="text1"/>
          <w:sz w:val="24"/>
        </w:rPr>
        <w:t xml:space="preserve"> can see that Walmart has a declining trend of its current ratio over 5 years from 0.97 in 2020 to 0.83 in 2023, showing that the company can provide less financing for its activities than in the past</w:t>
      </w:r>
      <w:r w:rsidR="00D06C87" w:rsidRPr="00DD7575">
        <w:rPr>
          <w:rFonts w:ascii="Times New Roman" w:hAnsi="Times New Roman"/>
          <w:color w:val="000000" w:themeColor="text1"/>
          <w:sz w:val="24"/>
        </w:rPr>
        <w:t xml:space="preserve"> </w:t>
      </w:r>
      <w:r w:rsidR="00D06C87" w:rsidRPr="00FC4F13">
        <w:rPr>
          <w:rFonts w:ascii="Times New Roman" w:hAnsi="Times New Roman"/>
          <w:b/>
          <w:bCs/>
          <w:color w:val="000000" w:themeColor="text1"/>
          <w:sz w:val="24"/>
        </w:rPr>
        <w:t>(</w:t>
      </w:r>
      <w:proofErr w:type="spellStart"/>
      <w:r w:rsidR="00D06C87" w:rsidRPr="00FC4F13">
        <w:rPr>
          <w:rFonts w:ascii="Times New Roman" w:hAnsi="Times New Roman"/>
          <w:b/>
          <w:bCs/>
          <w:color w:val="000000" w:themeColor="text1"/>
          <w:sz w:val="24"/>
        </w:rPr>
        <w:t>Azimian</w:t>
      </w:r>
      <w:proofErr w:type="spellEnd"/>
      <w:r w:rsidR="00D06C87" w:rsidRPr="00FC4F13">
        <w:rPr>
          <w:rFonts w:ascii="Times New Roman" w:hAnsi="Times New Roman"/>
          <w:b/>
          <w:bCs/>
          <w:color w:val="000000" w:themeColor="text1"/>
          <w:sz w:val="24"/>
        </w:rPr>
        <w:t>, 2023)</w:t>
      </w:r>
      <w:r w:rsidRPr="00DD7575">
        <w:rPr>
          <w:rFonts w:ascii="Times New Roman" w:hAnsi="Times New Roman"/>
          <w:color w:val="000000" w:themeColor="text1"/>
          <w:sz w:val="24"/>
        </w:rPr>
        <w:t>. By contrast, Amazon's current ratio which has fluctuated between 0.94 and 1.14 in the same time frame might imply that the company has the ability to pay off its short-term debts</w:t>
      </w:r>
      <w:r w:rsidR="00473A43" w:rsidRPr="00DD7575">
        <w:rPr>
          <w:rFonts w:ascii="Times New Roman" w:hAnsi="Times New Roman"/>
          <w:color w:val="000000" w:themeColor="text1"/>
          <w:sz w:val="24"/>
        </w:rPr>
        <w:t xml:space="preserve"> </w:t>
      </w:r>
      <w:r w:rsidR="00CC2604" w:rsidRPr="00FC4F13">
        <w:rPr>
          <w:rFonts w:ascii="Times New Roman" w:hAnsi="Times New Roman"/>
          <w:b/>
          <w:bCs/>
          <w:color w:val="000000" w:themeColor="text1"/>
          <w:sz w:val="24"/>
        </w:rPr>
        <w:t>(</w:t>
      </w:r>
      <w:r w:rsidR="00CC2604" w:rsidRPr="00FC4F13">
        <w:rPr>
          <w:rFonts w:ascii="Times New Roman" w:hAnsi="Times New Roman"/>
          <w:b/>
          <w:bCs/>
          <w:color w:val="000000" w:themeColor="text1"/>
          <w:sz w:val="24"/>
          <w:lang w:val="en-US"/>
        </w:rPr>
        <w:t>Yahoo Finance, 2024b)</w:t>
      </w:r>
      <w:r w:rsidR="00A50ED7" w:rsidRPr="00FC4F13">
        <w:rPr>
          <w:rFonts w:ascii="Times New Roman" w:hAnsi="Times New Roman"/>
          <w:b/>
          <w:bCs/>
          <w:color w:val="000000" w:themeColor="text1"/>
          <w:sz w:val="24"/>
        </w:rPr>
        <w:t>.</w:t>
      </w:r>
    </w:p>
    <w:p w14:paraId="2EFDA191" w14:textId="23AE96B0" w:rsidR="00010391" w:rsidRPr="00DD7575" w:rsidRDefault="00884DFD" w:rsidP="00853AEC">
      <w:pPr>
        <w:spacing w:before="240" w:line="360" w:lineRule="auto"/>
        <w:jc w:val="both"/>
        <w:rPr>
          <w:rFonts w:ascii="Times New Roman" w:hAnsi="Times New Roman" w:cs="Times New Roman"/>
          <w:color w:val="000000" w:themeColor="text1"/>
          <w:sz w:val="24"/>
          <w:szCs w:val="24"/>
        </w:rPr>
      </w:pPr>
      <w:r w:rsidRPr="00DD7575">
        <w:rPr>
          <w:rFonts w:ascii="Times New Roman" w:hAnsi="Times New Roman"/>
          <w:color w:val="000000" w:themeColor="text1"/>
          <w:sz w:val="24"/>
        </w:rPr>
        <w:t>A</w:t>
      </w:r>
      <w:r w:rsidR="00010391" w:rsidRPr="00DD7575">
        <w:rPr>
          <w:rFonts w:ascii="Times New Roman" w:hAnsi="Times New Roman"/>
          <w:color w:val="000000" w:themeColor="text1"/>
          <w:sz w:val="24"/>
        </w:rPr>
        <w:t>lso, Walmart's quick ratio has decreased from 0.49 in 2020 to 0.24 in 2023, which implies a decline in its asset conversion power, indicating that its short-term obligations cannot be met without the liquidity of inventories. In contrast to the Amazon’s quick ratio that has shown stability ranging between 0.72 and 0.91, this indicates comparably stronger overall liquidity of both companies</w:t>
      </w:r>
      <w:r w:rsidR="004E1F32">
        <w:rPr>
          <w:rFonts w:ascii="Times New Roman" w:hAnsi="Times New Roman"/>
          <w:color w:val="000000" w:themeColor="text1"/>
          <w:sz w:val="24"/>
        </w:rPr>
        <w:t xml:space="preserve"> </w:t>
      </w:r>
      <w:r w:rsidR="00CC2604" w:rsidRPr="00FC4F13">
        <w:rPr>
          <w:rFonts w:ascii="Times New Roman" w:hAnsi="Times New Roman"/>
          <w:b/>
          <w:bCs/>
          <w:color w:val="000000" w:themeColor="text1"/>
          <w:sz w:val="24"/>
        </w:rPr>
        <w:t>(</w:t>
      </w:r>
      <w:r w:rsidR="00CC2604" w:rsidRPr="00FC4F13">
        <w:rPr>
          <w:rFonts w:ascii="Times New Roman" w:hAnsi="Times New Roman"/>
          <w:b/>
          <w:bCs/>
          <w:color w:val="000000" w:themeColor="text1"/>
          <w:sz w:val="24"/>
          <w:lang w:val="en-US"/>
        </w:rPr>
        <w:t>Yahoo Finance, 2024b)</w:t>
      </w:r>
      <w:r w:rsidR="00010391" w:rsidRPr="00FC4F13">
        <w:rPr>
          <w:rFonts w:ascii="Times New Roman" w:hAnsi="Times New Roman"/>
          <w:b/>
          <w:bCs/>
          <w:color w:val="000000" w:themeColor="text1"/>
          <w:sz w:val="24"/>
        </w:rPr>
        <w:t>.</w:t>
      </w:r>
    </w:p>
    <w:p w14:paraId="532C10EA" w14:textId="7BD7B321" w:rsidR="00010391" w:rsidRPr="00FC4F13" w:rsidRDefault="00010391" w:rsidP="00853AEC">
      <w:pPr>
        <w:spacing w:before="240" w:line="360" w:lineRule="auto"/>
        <w:jc w:val="both"/>
        <w:rPr>
          <w:rFonts w:ascii="Times New Roman" w:hAnsi="Times New Roman" w:cs="Times New Roman"/>
          <w:b/>
          <w:bCs/>
          <w:color w:val="000000" w:themeColor="text1"/>
          <w:sz w:val="24"/>
          <w:szCs w:val="24"/>
        </w:rPr>
      </w:pPr>
      <w:r w:rsidRPr="00DD7575">
        <w:rPr>
          <w:rFonts w:ascii="Times New Roman" w:hAnsi="Times New Roman"/>
          <w:color w:val="000000" w:themeColor="text1"/>
          <w:sz w:val="24"/>
        </w:rPr>
        <w:t>Furthermore, it should be noted that the cash ratio has dropped from 0.19 in the year 2020 to 0.11 in the year 2023. This implies that the firm is becoming less able to meet its short-term liabilities only from cash assets. However, Amazon's cash ratio is higher and relatively stable over the time span: with a range from 0.26 to 0.45. This means that the company is more liquid</w:t>
      </w:r>
      <w:r w:rsidR="004E1F32">
        <w:rPr>
          <w:rFonts w:ascii="Times New Roman" w:hAnsi="Times New Roman"/>
          <w:color w:val="000000" w:themeColor="text1"/>
          <w:sz w:val="24"/>
        </w:rPr>
        <w:t xml:space="preserve"> </w:t>
      </w:r>
      <w:r w:rsidR="00CC2604" w:rsidRPr="00FC4F13">
        <w:rPr>
          <w:rFonts w:ascii="Times New Roman" w:hAnsi="Times New Roman"/>
          <w:b/>
          <w:bCs/>
          <w:color w:val="000000" w:themeColor="text1"/>
          <w:sz w:val="24"/>
        </w:rPr>
        <w:t>(</w:t>
      </w:r>
      <w:r w:rsidR="00CC2604" w:rsidRPr="00FC4F13">
        <w:rPr>
          <w:rFonts w:ascii="Times New Roman" w:hAnsi="Times New Roman"/>
          <w:b/>
          <w:bCs/>
          <w:color w:val="000000" w:themeColor="text1"/>
          <w:sz w:val="24"/>
          <w:lang w:val="en-US"/>
        </w:rPr>
        <w:t>Yahoo Finance, 2024a)</w:t>
      </w:r>
      <w:r w:rsidR="00884DFD" w:rsidRPr="00FC4F13">
        <w:rPr>
          <w:rFonts w:ascii="Times New Roman" w:hAnsi="Times New Roman"/>
          <w:b/>
          <w:bCs/>
          <w:color w:val="000000" w:themeColor="text1"/>
          <w:sz w:val="24"/>
        </w:rPr>
        <w:t>.</w:t>
      </w:r>
    </w:p>
    <w:p w14:paraId="5C91C7A8" w14:textId="1CFFE6FC" w:rsidR="00010391" w:rsidRPr="00FC4F13" w:rsidRDefault="00884DFD" w:rsidP="00853AEC">
      <w:pPr>
        <w:spacing w:before="240" w:line="360" w:lineRule="auto"/>
        <w:jc w:val="both"/>
        <w:rPr>
          <w:rFonts w:ascii="Times New Roman" w:hAnsi="Times New Roman" w:cs="Times New Roman"/>
          <w:b/>
          <w:bCs/>
          <w:color w:val="000000" w:themeColor="text1"/>
          <w:sz w:val="24"/>
          <w:szCs w:val="24"/>
        </w:rPr>
      </w:pPr>
      <w:r w:rsidRPr="00DD7575">
        <w:rPr>
          <w:rFonts w:ascii="Times New Roman" w:hAnsi="Times New Roman"/>
          <w:color w:val="000000" w:themeColor="text1"/>
          <w:sz w:val="24"/>
        </w:rPr>
        <w:lastRenderedPageBreak/>
        <w:t>I</w:t>
      </w:r>
      <w:r w:rsidR="00010391" w:rsidRPr="00DD7575">
        <w:rPr>
          <w:rFonts w:ascii="Times New Roman" w:hAnsi="Times New Roman"/>
          <w:color w:val="000000" w:themeColor="text1"/>
          <w:sz w:val="24"/>
        </w:rPr>
        <w:t>n reference to the debt-to-equity ratio, the position of Walmart over the last five years has varied between 1.66 and 1.90, giving testimony to a moderate level of leverage. In contrast to Amazon, its leverage ratio has higher values, namely 1.61 and 2.63 for the period in consideration</w:t>
      </w:r>
      <w:r w:rsidR="004E1F32">
        <w:rPr>
          <w:rFonts w:ascii="Times New Roman" w:hAnsi="Times New Roman"/>
          <w:color w:val="000000" w:themeColor="text1"/>
          <w:sz w:val="24"/>
        </w:rPr>
        <w:t xml:space="preserve"> </w:t>
      </w:r>
      <w:r w:rsidR="00346DC5" w:rsidRPr="00FC4F13">
        <w:rPr>
          <w:rFonts w:ascii="Times New Roman" w:hAnsi="Times New Roman"/>
          <w:b/>
          <w:bCs/>
          <w:color w:val="000000" w:themeColor="text1"/>
          <w:sz w:val="24"/>
        </w:rPr>
        <w:t>(</w:t>
      </w:r>
      <w:r w:rsidR="00346DC5" w:rsidRPr="00FC4F13">
        <w:rPr>
          <w:rFonts w:ascii="Times New Roman" w:hAnsi="Times New Roman"/>
          <w:b/>
          <w:bCs/>
          <w:color w:val="000000" w:themeColor="text1"/>
          <w:sz w:val="24"/>
          <w:lang w:val="en-US"/>
        </w:rPr>
        <w:t>Yahoo Finance, 2024b)</w:t>
      </w:r>
      <w:r w:rsidR="00010391" w:rsidRPr="00FC4F13">
        <w:rPr>
          <w:rFonts w:ascii="Times New Roman" w:hAnsi="Times New Roman"/>
          <w:b/>
          <w:bCs/>
          <w:color w:val="000000" w:themeColor="text1"/>
          <w:sz w:val="24"/>
        </w:rPr>
        <w:t>.</w:t>
      </w:r>
    </w:p>
    <w:p w14:paraId="5FA57263" w14:textId="77777777" w:rsidR="00010391" w:rsidRPr="00DD7575" w:rsidRDefault="00010391" w:rsidP="00853AEC">
      <w:pPr>
        <w:spacing w:before="240" w:line="360" w:lineRule="auto"/>
        <w:jc w:val="both"/>
        <w:rPr>
          <w:rFonts w:ascii="Times New Roman" w:hAnsi="Times New Roman" w:cs="Times New Roman"/>
          <w:color w:val="000000" w:themeColor="text1"/>
          <w:sz w:val="24"/>
          <w:szCs w:val="24"/>
        </w:rPr>
      </w:pPr>
      <w:r w:rsidRPr="00DD7575">
        <w:rPr>
          <w:rFonts w:ascii="Times New Roman" w:hAnsi="Times New Roman"/>
          <w:color w:val="000000" w:themeColor="text1"/>
          <w:sz w:val="24"/>
        </w:rPr>
        <w:t>Additionally, Walmart's equity multiplier has rotated from 2.66 to 2.90, denoting the portion of assets procured by equity and that has not been changing much. Amazon's equity multiplier has indicated a great variability from 2.61 to 3.63</w:t>
      </w:r>
      <w:r w:rsidR="00346DC5" w:rsidRPr="00FC4F13">
        <w:rPr>
          <w:rFonts w:ascii="Times New Roman" w:hAnsi="Times New Roman"/>
          <w:b/>
          <w:bCs/>
          <w:color w:val="000000" w:themeColor="text1"/>
          <w:sz w:val="24"/>
        </w:rPr>
        <w:t>(</w:t>
      </w:r>
      <w:r w:rsidR="00346DC5" w:rsidRPr="00FC4F13">
        <w:rPr>
          <w:rFonts w:ascii="Times New Roman" w:hAnsi="Times New Roman"/>
          <w:b/>
          <w:bCs/>
          <w:color w:val="000000" w:themeColor="text1"/>
          <w:sz w:val="24"/>
          <w:lang w:val="en-US"/>
        </w:rPr>
        <w:t>Yahoo Finance, 2024a)</w:t>
      </w:r>
      <w:r w:rsidRPr="00DD7575">
        <w:rPr>
          <w:rFonts w:ascii="Times New Roman" w:hAnsi="Times New Roman"/>
          <w:color w:val="000000" w:themeColor="text1"/>
          <w:sz w:val="24"/>
        </w:rPr>
        <w:t>. This implies to some extent that the company has a comparatively heavier dependence on debt financing to finance assets</w:t>
      </w:r>
      <w:r w:rsidR="000A7352" w:rsidRPr="00DD7575">
        <w:rPr>
          <w:rFonts w:ascii="Times New Roman" w:hAnsi="Times New Roman"/>
          <w:color w:val="000000" w:themeColor="text1"/>
          <w:sz w:val="24"/>
        </w:rPr>
        <w:t>.</w:t>
      </w:r>
    </w:p>
    <w:p w14:paraId="6922318E" w14:textId="77777777" w:rsidR="00010391" w:rsidRPr="00DD7575" w:rsidRDefault="00A50ED7" w:rsidP="00853AEC">
      <w:pPr>
        <w:spacing w:before="240" w:line="360" w:lineRule="auto"/>
        <w:jc w:val="both"/>
        <w:rPr>
          <w:rFonts w:ascii="Times New Roman" w:hAnsi="Times New Roman" w:cs="Times New Roman"/>
          <w:color w:val="000000" w:themeColor="text1"/>
          <w:sz w:val="24"/>
          <w:szCs w:val="24"/>
        </w:rPr>
      </w:pPr>
      <w:r w:rsidRPr="00DD7575">
        <w:rPr>
          <w:rFonts w:ascii="Times New Roman" w:hAnsi="Times New Roman"/>
          <w:color w:val="000000" w:themeColor="text1"/>
          <w:sz w:val="24"/>
        </w:rPr>
        <w:t>M</w:t>
      </w:r>
      <w:r w:rsidR="00010391" w:rsidRPr="00DD7575">
        <w:rPr>
          <w:rFonts w:ascii="Times New Roman" w:hAnsi="Times New Roman"/>
          <w:color w:val="000000" w:themeColor="text1"/>
          <w:sz w:val="24"/>
        </w:rPr>
        <w:t>oreover, it is observed that Walmart's interest coverage ratio varied between 7.74 and 9.38, which shows that the company has been able to completely cover its interest expenses by using earnings before interest and taxes (EBIT). Amazon's interest coverage ratio has been showing a wider range that stretches from -2.51 to 21.09</w:t>
      </w:r>
      <w:r w:rsidR="00346DC5" w:rsidRPr="00FC4F13">
        <w:rPr>
          <w:rFonts w:ascii="Times New Roman" w:hAnsi="Times New Roman"/>
          <w:b/>
          <w:bCs/>
          <w:color w:val="000000" w:themeColor="text1"/>
          <w:sz w:val="24"/>
        </w:rPr>
        <w:t>(</w:t>
      </w:r>
      <w:r w:rsidR="00346DC5" w:rsidRPr="00FC4F13">
        <w:rPr>
          <w:rFonts w:ascii="Times New Roman" w:hAnsi="Times New Roman"/>
          <w:b/>
          <w:bCs/>
          <w:color w:val="000000" w:themeColor="text1"/>
          <w:sz w:val="24"/>
          <w:lang w:val="en-US"/>
        </w:rPr>
        <w:t>Yahoo Finance, 2024a)</w:t>
      </w:r>
      <w:r w:rsidR="00010391" w:rsidRPr="00DD7575">
        <w:rPr>
          <w:rFonts w:ascii="Times New Roman" w:hAnsi="Times New Roman"/>
          <w:color w:val="000000" w:themeColor="text1"/>
          <w:sz w:val="24"/>
        </w:rPr>
        <w:t>. This suggests that it could struggle to pay down its debt sometime in the year 2022 if the negative ratio is adopted which signals stress and distress.</w:t>
      </w:r>
    </w:p>
    <w:p w14:paraId="5FD3FC83" w14:textId="77777777" w:rsidR="00010391" w:rsidRPr="00DD7575" w:rsidRDefault="00010391" w:rsidP="00853AEC">
      <w:pPr>
        <w:spacing w:before="240" w:line="360" w:lineRule="auto"/>
        <w:jc w:val="both"/>
        <w:rPr>
          <w:rFonts w:ascii="Times New Roman" w:hAnsi="Times New Roman" w:cs="Times New Roman"/>
          <w:color w:val="000000" w:themeColor="text1"/>
          <w:sz w:val="24"/>
          <w:szCs w:val="24"/>
        </w:rPr>
      </w:pPr>
      <w:r w:rsidRPr="00DD7575">
        <w:rPr>
          <w:rFonts w:ascii="Times New Roman" w:hAnsi="Times New Roman"/>
          <w:color w:val="000000" w:themeColor="text1"/>
          <w:sz w:val="24"/>
        </w:rPr>
        <w:t>Therefore, in short, both firms have two different liquidity and leverage profiles; but mostly Walmart is risk averse while Amazon uses higher leverage.</w:t>
      </w:r>
    </w:p>
    <w:p w14:paraId="628B04F4" w14:textId="77777777" w:rsidR="00010391" w:rsidRPr="00DD7575" w:rsidRDefault="00CE0328" w:rsidP="00FC4F13">
      <w:pPr>
        <w:pStyle w:val="Heading2"/>
        <w:rPr>
          <w:lang w:val="en-US"/>
        </w:rPr>
      </w:pPr>
      <w:bookmarkStart w:id="8" w:name="_Toc164810558"/>
      <w:r w:rsidRPr="00DD7575">
        <w:t>b) Critical Analysis of Financial Performance</w:t>
      </w:r>
      <w:bookmarkEnd w:id="8"/>
    </w:p>
    <w:p w14:paraId="0A49FCE7" w14:textId="77777777" w:rsidR="002324AD" w:rsidRPr="00DD7575" w:rsidRDefault="002324AD" w:rsidP="00853AEC">
      <w:pPr>
        <w:spacing w:before="240" w:line="360" w:lineRule="auto"/>
        <w:jc w:val="both"/>
        <w:rPr>
          <w:rFonts w:ascii="Times New Roman" w:hAnsi="Times New Roman" w:cs="Times New Roman"/>
          <w:color w:val="000000" w:themeColor="text1"/>
          <w:sz w:val="24"/>
          <w:szCs w:val="24"/>
        </w:rPr>
      </w:pPr>
      <w:r w:rsidRPr="00DD7575">
        <w:rPr>
          <w:rFonts w:ascii="Times New Roman" w:hAnsi="Times New Roman"/>
          <w:color w:val="000000" w:themeColor="text1"/>
          <w:sz w:val="24"/>
        </w:rPr>
        <w:t>Walmart and Amazon may be compared by profitability, efficiency, growth, and risk management.</w:t>
      </w:r>
    </w:p>
    <w:p w14:paraId="5377F1D9" w14:textId="204D1DE7" w:rsidR="002324AD" w:rsidRPr="00FC4F13" w:rsidRDefault="002324AD" w:rsidP="00853AEC">
      <w:pPr>
        <w:spacing w:before="240" w:line="360" w:lineRule="auto"/>
        <w:jc w:val="both"/>
        <w:rPr>
          <w:rFonts w:ascii="Times New Roman" w:hAnsi="Times New Roman" w:cs="Times New Roman"/>
          <w:b/>
          <w:bCs/>
          <w:color w:val="000000" w:themeColor="text1"/>
          <w:sz w:val="24"/>
          <w:szCs w:val="24"/>
        </w:rPr>
      </w:pPr>
      <w:r w:rsidRPr="00DD7575">
        <w:rPr>
          <w:rFonts w:ascii="Times New Roman" w:hAnsi="Times New Roman"/>
          <w:b/>
          <w:bCs/>
          <w:color w:val="000000" w:themeColor="text1"/>
          <w:sz w:val="24"/>
        </w:rPr>
        <w:t>Profitability:</w:t>
      </w:r>
      <w:r w:rsidRPr="00DD7575">
        <w:rPr>
          <w:rFonts w:ascii="Times New Roman" w:hAnsi="Times New Roman"/>
          <w:color w:val="000000" w:themeColor="text1"/>
          <w:sz w:val="24"/>
        </w:rPr>
        <w:t xml:space="preserve"> Walmart and Amazon have been profitable for five years. Walmart has consistently generated revenue with gross profit margins of 24% and net profit margins of 2% to 3%. Amazon also reported good profitability dynamics, raising gross profit margins to 40% and net profit margins, showing well-managed expenses and revenue development methods</w:t>
      </w:r>
      <w:bookmarkStart w:id="9" w:name="_Hlk164538665"/>
      <w:r w:rsidR="004E1F32">
        <w:rPr>
          <w:rFonts w:ascii="Times New Roman" w:hAnsi="Times New Roman"/>
          <w:color w:val="000000" w:themeColor="text1"/>
          <w:sz w:val="24"/>
        </w:rPr>
        <w:t xml:space="preserve"> </w:t>
      </w:r>
      <w:r w:rsidR="00346B47" w:rsidRPr="00FC4F13">
        <w:rPr>
          <w:rFonts w:ascii="Times New Roman" w:hAnsi="Times New Roman"/>
          <w:b/>
          <w:bCs/>
          <w:color w:val="000000" w:themeColor="text1"/>
          <w:sz w:val="24"/>
        </w:rPr>
        <w:t>(</w:t>
      </w:r>
      <w:r w:rsidR="00346B47" w:rsidRPr="00FC4F13">
        <w:rPr>
          <w:rFonts w:ascii="Times New Roman" w:hAnsi="Times New Roman"/>
          <w:b/>
          <w:bCs/>
          <w:color w:val="000000" w:themeColor="text1"/>
          <w:sz w:val="24"/>
          <w:lang w:val="en-US"/>
        </w:rPr>
        <w:t>Yahoo Finance 2024a</w:t>
      </w:r>
      <w:r w:rsidR="00346B47" w:rsidRPr="00FC4F13">
        <w:rPr>
          <w:rFonts w:ascii="Times New Roman" w:hAnsi="Times New Roman"/>
          <w:b/>
          <w:bCs/>
          <w:color w:val="000000" w:themeColor="text1"/>
          <w:sz w:val="24"/>
        </w:rPr>
        <w:t>)</w:t>
      </w:r>
      <w:bookmarkEnd w:id="9"/>
      <w:r w:rsidR="00A50ED7" w:rsidRPr="00FC4F13">
        <w:rPr>
          <w:rFonts w:ascii="Times New Roman" w:hAnsi="Times New Roman"/>
          <w:b/>
          <w:bCs/>
          <w:color w:val="000000" w:themeColor="text1"/>
          <w:sz w:val="24"/>
        </w:rPr>
        <w:t>.</w:t>
      </w:r>
    </w:p>
    <w:p w14:paraId="3B85FA0F" w14:textId="4980DDEA" w:rsidR="002324AD" w:rsidRPr="00DD7575" w:rsidRDefault="00884DFD" w:rsidP="00853AEC">
      <w:pPr>
        <w:spacing w:before="240" w:line="360" w:lineRule="auto"/>
        <w:jc w:val="both"/>
        <w:rPr>
          <w:rFonts w:ascii="Times New Roman" w:hAnsi="Times New Roman"/>
          <w:color w:val="000000" w:themeColor="text1"/>
          <w:sz w:val="24"/>
          <w:lang w:val="en-US"/>
        </w:rPr>
      </w:pPr>
      <w:r w:rsidRPr="00DD7575">
        <w:rPr>
          <w:rFonts w:ascii="Times New Roman" w:hAnsi="Times New Roman"/>
          <w:b/>
          <w:bCs/>
          <w:color w:val="000000" w:themeColor="text1"/>
          <w:sz w:val="24"/>
        </w:rPr>
        <w:t>E</w:t>
      </w:r>
      <w:r w:rsidR="002324AD" w:rsidRPr="00DD7575">
        <w:rPr>
          <w:rFonts w:ascii="Times New Roman" w:hAnsi="Times New Roman"/>
          <w:b/>
          <w:bCs/>
          <w:color w:val="000000" w:themeColor="text1"/>
          <w:sz w:val="24"/>
        </w:rPr>
        <w:t>fficiency:</w:t>
      </w:r>
      <w:r w:rsidR="002324AD" w:rsidRPr="00DD7575">
        <w:rPr>
          <w:rFonts w:ascii="Times New Roman" w:hAnsi="Times New Roman"/>
          <w:color w:val="000000" w:themeColor="text1"/>
          <w:sz w:val="24"/>
        </w:rPr>
        <w:t xml:space="preserve"> Business efficiency involves maximizing resource use to generate money. Walmart and Amazon have shown supply chain efficiency. Walmart's inventory turnover ratio has been stable over time, indicating good inventory management. However, the company's asset turnover indicator has declined, suggesting it may be having trouble using its assets to produce income. </w:t>
      </w:r>
      <w:r w:rsidR="002324AD" w:rsidRPr="00DD7575">
        <w:rPr>
          <w:rFonts w:ascii="Times New Roman" w:hAnsi="Times New Roman"/>
          <w:color w:val="000000" w:themeColor="text1"/>
          <w:sz w:val="24"/>
        </w:rPr>
        <w:lastRenderedPageBreak/>
        <w:t>Amazon has the greatest resource utility due to its constant inventory turnover and asset turnover rates</w:t>
      </w:r>
      <w:r w:rsidR="004E1F32">
        <w:rPr>
          <w:rFonts w:ascii="Times New Roman" w:hAnsi="Times New Roman"/>
          <w:color w:val="000000" w:themeColor="text1"/>
          <w:sz w:val="24"/>
        </w:rPr>
        <w:t xml:space="preserve"> </w:t>
      </w:r>
      <w:r w:rsidR="00012248" w:rsidRPr="00FC4F13">
        <w:rPr>
          <w:rFonts w:ascii="Times New Roman" w:hAnsi="Times New Roman"/>
          <w:b/>
          <w:bCs/>
          <w:color w:val="000000" w:themeColor="text1"/>
          <w:sz w:val="24"/>
          <w:lang w:val="en-US"/>
        </w:rPr>
        <w:t xml:space="preserve">(Ross, </w:t>
      </w:r>
      <w:proofErr w:type="spellStart"/>
      <w:r w:rsidR="00012248" w:rsidRPr="00FC4F13">
        <w:rPr>
          <w:rFonts w:ascii="Times New Roman" w:hAnsi="Times New Roman"/>
          <w:b/>
          <w:bCs/>
          <w:color w:val="000000" w:themeColor="text1"/>
          <w:sz w:val="24"/>
          <w:lang w:val="en-US"/>
        </w:rPr>
        <w:t>Westerfield</w:t>
      </w:r>
      <w:proofErr w:type="spellEnd"/>
      <w:r w:rsidR="00012248" w:rsidRPr="00FC4F13">
        <w:rPr>
          <w:rFonts w:ascii="Times New Roman" w:hAnsi="Times New Roman"/>
          <w:b/>
          <w:bCs/>
          <w:color w:val="000000" w:themeColor="text1"/>
          <w:sz w:val="24"/>
          <w:lang w:val="en-US"/>
        </w:rPr>
        <w:t xml:space="preserve"> and Jordan, 2021)</w:t>
      </w:r>
      <w:r w:rsidR="00012248" w:rsidRPr="00FC4F13">
        <w:rPr>
          <w:rFonts w:ascii="Times New Roman" w:hAnsi="Times New Roman"/>
          <w:b/>
          <w:bCs/>
          <w:color w:val="000000" w:themeColor="text1"/>
          <w:sz w:val="24"/>
        </w:rPr>
        <w:t>.</w:t>
      </w:r>
    </w:p>
    <w:p w14:paraId="1DD6DE54" w14:textId="7BD9D936" w:rsidR="002324AD" w:rsidRPr="00DD7575" w:rsidRDefault="002324AD" w:rsidP="00853AEC">
      <w:pPr>
        <w:spacing w:before="240" w:line="360" w:lineRule="auto"/>
        <w:jc w:val="both"/>
        <w:rPr>
          <w:rFonts w:ascii="Times New Roman" w:hAnsi="Times New Roman" w:cs="Times New Roman"/>
          <w:color w:val="000000" w:themeColor="text1"/>
          <w:sz w:val="24"/>
          <w:szCs w:val="24"/>
        </w:rPr>
      </w:pPr>
      <w:r w:rsidRPr="00DD7575">
        <w:rPr>
          <w:rFonts w:ascii="Times New Roman" w:hAnsi="Times New Roman"/>
          <w:b/>
          <w:bCs/>
          <w:color w:val="000000" w:themeColor="text1"/>
          <w:sz w:val="24"/>
        </w:rPr>
        <w:t>Growth:</w:t>
      </w:r>
      <w:r w:rsidRPr="00DD7575">
        <w:rPr>
          <w:rFonts w:ascii="Times New Roman" w:hAnsi="Times New Roman"/>
          <w:color w:val="000000" w:themeColor="text1"/>
          <w:sz w:val="24"/>
        </w:rPr>
        <w:t xml:space="preserve"> Both firms have grown significantly in the previous five years, although via different means. Walmart expands its e-commerce infrastructure and digital technologies to continue sales growth. Compared to Amazon, which expanded into cloud computing, streaming services, and logistics, the growth pace has been slower. Amazon outpaced Walmart because of its unique business strategy and drive to never give up on new prospects</w:t>
      </w:r>
      <w:bookmarkStart w:id="10" w:name="_Hlk164538652"/>
      <w:r w:rsidR="004E1F32">
        <w:rPr>
          <w:rFonts w:ascii="Times New Roman" w:hAnsi="Times New Roman"/>
          <w:color w:val="000000" w:themeColor="text1"/>
          <w:sz w:val="24"/>
        </w:rPr>
        <w:t xml:space="preserve"> </w:t>
      </w:r>
      <w:r w:rsidR="00346B47" w:rsidRPr="00FC4F13">
        <w:rPr>
          <w:rFonts w:ascii="Times New Roman" w:hAnsi="Times New Roman"/>
          <w:b/>
          <w:bCs/>
          <w:color w:val="000000" w:themeColor="text1"/>
          <w:sz w:val="24"/>
        </w:rPr>
        <w:t>(</w:t>
      </w:r>
      <w:r w:rsidR="00346B47" w:rsidRPr="00FC4F13">
        <w:rPr>
          <w:rFonts w:ascii="Times New Roman" w:hAnsi="Times New Roman"/>
          <w:b/>
          <w:bCs/>
          <w:color w:val="000000" w:themeColor="text1"/>
          <w:sz w:val="24"/>
          <w:lang w:val="en-US"/>
        </w:rPr>
        <w:t xml:space="preserve">Block, </w:t>
      </w:r>
      <w:proofErr w:type="spellStart"/>
      <w:r w:rsidR="00346B47" w:rsidRPr="00FC4F13">
        <w:rPr>
          <w:rFonts w:ascii="Times New Roman" w:hAnsi="Times New Roman"/>
          <w:b/>
          <w:bCs/>
          <w:color w:val="000000" w:themeColor="text1"/>
          <w:sz w:val="24"/>
          <w:lang w:val="en-US"/>
        </w:rPr>
        <w:t>Hirtand</w:t>
      </w:r>
      <w:proofErr w:type="spellEnd"/>
      <w:r w:rsidR="00346B47" w:rsidRPr="00FC4F13">
        <w:rPr>
          <w:rFonts w:ascii="Times New Roman" w:hAnsi="Times New Roman"/>
          <w:b/>
          <w:bCs/>
          <w:color w:val="000000" w:themeColor="text1"/>
          <w:sz w:val="24"/>
          <w:lang w:val="en-US"/>
        </w:rPr>
        <w:t xml:space="preserve"> Danielsen, 2023</w:t>
      </w:r>
      <w:r w:rsidR="00346B47" w:rsidRPr="00FC4F13">
        <w:rPr>
          <w:rFonts w:ascii="Times New Roman" w:hAnsi="Times New Roman"/>
          <w:b/>
          <w:bCs/>
          <w:color w:val="000000" w:themeColor="text1"/>
          <w:sz w:val="24"/>
        </w:rPr>
        <w:t>)</w:t>
      </w:r>
      <w:bookmarkEnd w:id="10"/>
      <w:r w:rsidR="00A50ED7" w:rsidRPr="00FC4F13">
        <w:rPr>
          <w:rFonts w:ascii="Times New Roman" w:hAnsi="Times New Roman"/>
          <w:b/>
          <w:bCs/>
          <w:color w:val="000000" w:themeColor="text1"/>
          <w:sz w:val="24"/>
        </w:rPr>
        <w:t>.</w:t>
      </w:r>
    </w:p>
    <w:p w14:paraId="571BFDED" w14:textId="2D0A3682" w:rsidR="002324AD" w:rsidRPr="00DD7575" w:rsidRDefault="00884DFD" w:rsidP="00853AEC">
      <w:pPr>
        <w:spacing w:before="240" w:line="360" w:lineRule="auto"/>
        <w:jc w:val="both"/>
        <w:rPr>
          <w:rFonts w:ascii="Times New Roman" w:hAnsi="Times New Roman"/>
          <w:color w:val="000000" w:themeColor="text1"/>
          <w:sz w:val="24"/>
          <w:highlight w:val="yellow"/>
          <w:lang w:val="en-US"/>
        </w:rPr>
      </w:pPr>
      <w:r w:rsidRPr="00DD7575">
        <w:rPr>
          <w:rFonts w:ascii="Times New Roman" w:hAnsi="Times New Roman"/>
          <w:b/>
          <w:bCs/>
          <w:color w:val="000000" w:themeColor="text1"/>
          <w:sz w:val="24"/>
        </w:rPr>
        <w:t>M</w:t>
      </w:r>
      <w:r w:rsidR="002324AD" w:rsidRPr="00DD7575">
        <w:rPr>
          <w:rFonts w:ascii="Times New Roman" w:hAnsi="Times New Roman"/>
          <w:b/>
          <w:bCs/>
          <w:color w:val="000000" w:themeColor="text1"/>
          <w:sz w:val="24"/>
        </w:rPr>
        <w:t>anage Risk:</w:t>
      </w:r>
      <w:r w:rsidR="004E1F32">
        <w:rPr>
          <w:rFonts w:ascii="Times New Roman" w:hAnsi="Times New Roman"/>
          <w:b/>
          <w:bCs/>
          <w:color w:val="000000" w:themeColor="text1"/>
          <w:sz w:val="24"/>
        </w:rPr>
        <w:t xml:space="preserve"> </w:t>
      </w:r>
      <w:r w:rsidRPr="00DD7575">
        <w:rPr>
          <w:rFonts w:ascii="Times New Roman" w:hAnsi="Times New Roman"/>
          <w:color w:val="000000" w:themeColor="text1"/>
          <w:sz w:val="24"/>
        </w:rPr>
        <w:t xml:space="preserve">As stated by </w:t>
      </w:r>
      <w:r w:rsidR="00226A2C" w:rsidRPr="00DD7575">
        <w:rPr>
          <w:rFonts w:ascii="Times New Roman" w:hAnsi="Times New Roman"/>
          <w:color w:val="000000" w:themeColor="text1"/>
          <w:sz w:val="24"/>
          <w:lang w:val="en-US"/>
        </w:rPr>
        <w:t>Hillier et al., (2021)</w:t>
      </w:r>
      <w:r w:rsidRPr="00DD7575">
        <w:rPr>
          <w:rFonts w:ascii="Times New Roman" w:hAnsi="Times New Roman"/>
          <w:color w:val="000000" w:themeColor="text1"/>
          <w:sz w:val="24"/>
        </w:rPr>
        <w:t>, r</w:t>
      </w:r>
      <w:r w:rsidR="002324AD" w:rsidRPr="00DD7575">
        <w:rPr>
          <w:rFonts w:ascii="Times New Roman" w:hAnsi="Times New Roman"/>
          <w:color w:val="000000" w:themeColor="text1"/>
          <w:sz w:val="24"/>
        </w:rPr>
        <w:t>isk management is essential for long-term financial success. Walmart and Amazon created strong risk management practices to reduce operational, financial, and market risks. Walmart's diverse business strategy and presence in several locations disperse risk, which it then mitigates via low-cost operations and supply chain efficiency. Amazon's risk management approach emphasizes innovation and agility, allowing it to handle changeable market circumstances and capitalize on opportunities while controlling the risk of rapid growth and technology upheavals</w:t>
      </w:r>
      <w:r w:rsidR="00D06C87" w:rsidRPr="00DD7575">
        <w:rPr>
          <w:rFonts w:ascii="Times New Roman" w:hAnsi="Times New Roman"/>
          <w:color w:val="000000" w:themeColor="text1"/>
          <w:sz w:val="24"/>
        </w:rPr>
        <w:t xml:space="preserve"> </w:t>
      </w:r>
      <w:r w:rsidR="00D06C87" w:rsidRPr="00FC4F13">
        <w:rPr>
          <w:rFonts w:ascii="Times New Roman" w:hAnsi="Times New Roman" w:cs="Times New Roman"/>
          <w:b/>
          <w:bCs/>
          <w:color w:val="000000" w:themeColor="text1"/>
          <w:sz w:val="24"/>
        </w:rPr>
        <w:t>(Cao and Ren, 2022)</w:t>
      </w:r>
      <w:r w:rsidR="002324AD" w:rsidRPr="00FC4F13">
        <w:rPr>
          <w:rFonts w:ascii="Times New Roman" w:hAnsi="Times New Roman" w:cs="Times New Roman"/>
          <w:b/>
          <w:bCs/>
          <w:color w:val="000000" w:themeColor="text1"/>
          <w:sz w:val="28"/>
        </w:rPr>
        <w:t>.</w:t>
      </w:r>
    </w:p>
    <w:p w14:paraId="67E95CE3" w14:textId="77777777" w:rsidR="00010391" w:rsidRPr="00DD7575" w:rsidRDefault="002324AD" w:rsidP="00853AEC">
      <w:pPr>
        <w:spacing w:before="240" w:line="360" w:lineRule="auto"/>
        <w:jc w:val="both"/>
        <w:rPr>
          <w:rFonts w:ascii="Times New Roman" w:hAnsi="Times New Roman" w:cs="Times New Roman"/>
          <w:color w:val="000000" w:themeColor="text1"/>
          <w:sz w:val="24"/>
          <w:szCs w:val="24"/>
        </w:rPr>
      </w:pPr>
      <w:r w:rsidRPr="00DD7575">
        <w:rPr>
          <w:rFonts w:ascii="Times New Roman" w:hAnsi="Times New Roman"/>
          <w:color w:val="000000" w:themeColor="text1"/>
          <w:sz w:val="24"/>
        </w:rPr>
        <w:t>Walmart and Amazon's financial performance was impressive in profitability, efficiency, growth, and risk management</w:t>
      </w:r>
      <w:r w:rsidR="00D06C87" w:rsidRPr="00DD7575">
        <w:rPr>
          <w:rFonts w:ascii="Times New Roman" w:hAnsi="Times New Roman"/>
          <w:color w:val="000000" w:themeColor="text1"/>
          <w:sz w:val="24"/>
        </w:rPr>
        <w:t xml:space="preserve"> </w:t>
      </w:r>
      <w:r w:rsidR="00D06C87" w:rsidRPr="00FC4F13">
        <w:rPr>
          <w:rFonts w:ascii="Times New Roman" w:hAnsi="Times New Roman" w:cs="Times New Roman"/>
          <w:b/>
          <w:bCs/>
          <w:color w:val="000000" w:themeColor="text1"/>
          <w:sz w:val="24"/>
        </w:rPr>
        <w:t>(</w:t>
      </w:r>
      <w:proofErr w:type="spellStart"/>
      <w:r w:rsidR="00D06C87" w:rsidRPr="00FC4F13">
        <w:rPr>
          <w:rFonts w:ascii="Times New Roman" w:hAnsi="Times New Roman" w:cs="Times New Roman"/>
          <w:b/>
          <w:bCs/>
          <w:color w:val="000000" w:themeColor="text1"/>
          <w:sz w:val="24"/>
        </w:rPr>
        <w:t>Čirjevskis</w:t>
      </w:r>
      <w:proofErr w:type="spellEnd"/>
      <w:r w:rsidR="00D06C87" w:rsidRPr="00FC4F13">
        <w:rPr>
          <w:rFonts w:ascii="Times New Roman" w:hAnsi="Times New Roman" w:cs="Times New Roman"/>
          <w:b/>
          <w:bCs/>
          <w:color w:val="000000" w:themeColor="text1"/>
          <w:sz w:val="24"/>
        </w:rPr>
        <w:t>, 2024)</w:t>
      </w:r>
      <w:r w:rsidRPr="00DD7575">
        <w:rPr>
          <w:rFonts w:ascii="Times New Roman" w:hAnsi="Times New Roman"/>
          <w:color w:val="000000" w:themeColor="text1"/>
          <w:sz w:val="24"/>
        </w:rPr>
        <w:t>. Walmart's approach is stable and conservative, whereas Amazon's aggressive expansion plan propelled them to industry supremacy.</w:t>
      </w:r>
    </w:p>
    <w:p w14:paraId="7E9D70F7" w14:textId="77777777" w:rsidR="00010391" w:rsidRPr="00DD7575" w:rsidRDefault="00FB086A" w:rsidP="00FC4F13">
      <w:pPr>
        <w:pStyle w:val="Heading2"/>
        <w:rPr>
          <w:lang w:val="en-US"/>
        </w:rPr>
      </w:pPr>
      <w:bookmarkStart w:id="11" w:name="_Toc164810559"/>
      <w:r w:rsidRPr="00DD7575">
        <w:t>c) Comparison with Competitor (Amazon)</w:t>
      </w:r>
      <w:bookmarkEnd w:id="11"/>
    </w:p>
    <w:p w14:paraId="7903A146" w14:textId="49D07A5D" w:rsidR="00010391" w:rsidRPr="00DD7575" w:rsidRDefault="00010391" w:rsidP="00853AEC">
      <w:pPr>
        <w:spacing w:before="240" w:line="360" w:lineRule="auto"/>
        <w:jc w:val="both"/>
        <w:rPr>
          <w:rFonts w:ascii="Times New Roman" w:hAnsi="Times New Roman"/>
          <w:color w:val="000000" w:themeColor="text1"/>
          <w:sz w:val="24"/>
          <w:lang w:val="en-US"/>
        </w:rPr>
      </w:pPr>
      <w:r w:rsidRPr="00DD7575">
        <w:rPr>
          <w:rFonts w:ascii="Times New Roman" w:hAnsi="Times New Roman"/>
          <w:color w:val="000000" w:themeColor="text1"/>
          <w:sz w:val="24"/>
        </w:rPr>
        <w:t>Liquidity and leverage ratios prove to be highly useful in assessing the financial stability and risk minimization tools employed by the clients, Walmart and Amazon</w:t>
      </w:r>
      <w:r w:rsidR="00FC4F13">
        <w:rPr>
          <w:rFonts w:ascii="Times New Roman" w:hAnsi="Times New Roman"/>
          <w:color w:val="000000" w:themeColor="text1"/>
          <w:sz w:val="24"/>
        </w:rPr>
        <w:t xml:space="preserve"> </w:t>
      </w:r>
      <w:r w:rsidR="00C170C4" w:rsidRPr="00DD7575">
        <w:rPr>
          <w:rFonts w:ascii="Times New Roman" w:hAnsi="Times New Roman"/>
          <w:color w:val="000000" w:themeColor="text1"/>
          <w:sz w:val="24"/>
          <w:lang w:val="en-US"/>
        </w:rPr>
        <w:t>(Amazon, 2022</w:t>
      </w:r>
      <w:r w:rsidR="000816F1" w:rsidRPr="00DD7575">
        <w:rPr>
          <w:rFonts w:ascii="Times New Roman" w:hAnsi="Times New Roman"/>
          <w:color w:val="000000" w:themeColor="text1"/>
          <w:sz w:val="24"/>
          <w:lang w:val="en-US"/>
        </w:rPr>
        <w:t>; Amazon, 2023</w:t>
      </w:r>
      <w:r w:rsidR="00C170C4" w:rsidRPr="00DD7575">
        <w:rPr>
          <w:rFonts w:ascii="Times New Roman" w:hAnsi="Times New Roman"/>
          <w:color w:val="000000" w:themeColor="text1"/>
          <w:sz w:val="24"/>
          <w:lang w:val="en-US"/>
        </w:rPr>
        <w:t>)</w:t>
      </w:r>
      <w:r w:rsidRPr="00DD7575">
        <w:rPr>
          <w:rFonts w:ascii="Times New Roman" w:hAnsi="Times New Roman"/>
          <w:color w:val="000000" w:themeColor="text1"/>
          <w:sz w:val="24"/>
        </w:rPr>
        <w:t xml:space="preserve">. By assessing these ratios throughout the past five years, it has proven helpful to notice some changes and two retail chains' distinction </w:t>
      </w:r>
      <w:r w:rsidRPr="00FC4F13">
        <w:rPr>
          <w:rFonts w:ascii="Times New Roman" w:hAnsi="Times New Roman"/>
          <w:b/>
          <w:bCs/>
          <w:color w:val="000000" w:themeColor="text1"/>
          <w:sz w:val="24"/>
        </w:rPr>
        <w:t>(</w:t>
      </w:r>
      <w:r w:rsidR="00523532" w:rsidRPr="00FC4F13">
        <w:rPr>
          <w:rFonts w:ascii="Times New Roman" w:hAnsi="Times New Roman"/>
          <w:b/>
          <w:bCs/>
          <w:color w:val="000000" w:themeColor="text1"/>
          <w:sz w:val="24"/>
        </w:rPr>
        <w:t>Yahoo Finance, 2024</w:t>
      </w:r>
      <w:r w:rsidR="000816F1" w:rsidRPr="00FC4F13">
        <w:rPr>
          <w:rFonts w:ascii="Times New Roman" w:hAnsi="Times New Roman"/>
          <w:b/>
          <w:bCs/>
          <w:color w:val="000000" w:themeColor="text1"/>
          <w:sz w:val="24"/>
        </w:rPr>
        <w:t>a</w:t>
      </w:r>
      <w:r w:rsidRPr="00FC4F13">
        <w:rPr>
          <w:rFonts w:ascii="Times New Roman" w:hAnsi="Times New Roman"/>
          <w:b/>
          <w:bCs/>
          <w:color w:val="000000" w:themeColor="text1"/>
          <w:sz w:val="24"/>
        </w:rPr>
        <w:t>)</w:t>
      </w:r>
      <w:r w:rsidRPr="00DD7575">
        <w:rPr>
          <w:rFonts w:ascii="Times New Roman" w:hAnsi="Times New Roman"/>
          <w:color w:val="000000" w:themeColor="text1"/>
          <w:sz w:val="24"/>
        </w:rPr>
        <w:t>.</w:t>
      </w:r>
    </w:p>
    <w:p w14:paraId="1B4EE9DA" w14:textId="5DF32A9C" w:rsidR="00BD7857" w:rsidRPr="00DD7575" w:rsidRDefault="00D06086" w:rsidP="00853AEC">
      <w:pPr>
        <w:spacing w:before="240" w:line="360" w:lineRule="auto"/>
        <w:jc w:val="both"/>
        <w:rPr>
          <w:rFonts w:ascii="Times New Roman" w:hAnsi="Times New Roman" w:cs="Times New Roman"/>
          <w:color w:val="000000" w:themeColor="text1"/>
          <w:sz w:val="24"/>
          <w:szCs w:val="24"/>
          <w:lang w:val="en-US"/>
        </w:rPr>
      </w:pPr>
      <w:r w:rsidRPr="00DD7575">
        <w:rPr>
          <w:rFonts w:ascii="Times New Roman" w:hAnsi="Times New Roman"/>
          <w:color w:val="000000" w:themeColor="text1"/>
          <w:sz w:val="24"/>
        </w:rPr>
        <w:t>F</w:t>
      </w:r>
      <w:r w:rsidR="00BD7857" w:rsidRPr="00DD7575">
        <w:rPr>
          <w:rFonts w:ascii="Times New Roman" w:hAnsi="Times New Roman"/>
          <w:color w:val="000000" w:themeColor="text1"/>
          <w:sz w:val="24"/>
        </w:rPr>
        <w:t xml:space="preserve">rom the perspective of liquidity ratios, it shows that Walmart's current ratio has demonstrated a declining trend during the period from 0.97 in 2020 to 0.83 in 2023. The shrinkage implies that the company is gradually losing its power to finance those due to its short-term assets and obligations. On one hand, Amazon's current ratio has been steady, deviating from 0.94 to 1.14 in </w:t>
      </w:r>
      <w:r w:rsidR="00BD7857" w:rsidRPr="00DD7575">
        <w:rPr>
          <w:rFonts w:ascii="Times New Roman" w:hAnsi="Times New Roman"/>
          <w:color w:val="000000" w:themeColor="text1"/>
          <w:sz w:val="24"/>
        </w:rPr>
        <w:lastRenderedPageBreak/>
        <w:t>the last three years</w:t>
      </w:r>
      <w:r w:rsidR="00FC4F13">
        <w:rPr>
          <w:rFonts w:ascii="Times New Roman" w:hAnsi="Times New Roman"/>
          <w:color w:val="000000" w:themeColor="text1"/>
          <w:sz w:val="24"/>
        </w:rPr>
        <w:t xml:space="preserve"> </w:t>
      </w:r>
      <w:r w:rsidR="00B42DFC" w:rsidRPr="00DD7575">
        <w:rPr>
          <w:rFonts w:ascii="Times New Roman" w:hAnsi="Times New Roman"/>
          <w:color w:val="000000" w:themeColor="text1"/>
          <w:sz w:val="24"/>
          <w:lang w:val="en-US"/>
        </w:rPr>
        <w:t>(Amazon, 2023)</w:t>
      </w:r>
      <w:r w:rsidR="00BD7857" w:rsidRPr="00DD7575">
        <w:rPr>
          <w:rFonts w:ascii="Times New Roman" w:hAnsi="Times New Roman"/>
          <w:color w:val="000000" w:themeColor="text1"/>
          <w:sz w:val="24"/>
        </w:rPr>
        <w:t>. This level of stability confirms that the current liquidity is sufficient to settle short-term debts, which means a high level of trustworthiness.</w:t>
      </w:r>
    </w:p>
    <w:p w14:paraId="3D6E0791" w14:textId="6FCE4048" w:rsidR="00BD7857" w:rsidRPr="00DD7575" w:rsidRDefault="00BD7857" w:rsidP="00853AEC">
      <w:pPr>
        <w:spacing w:before="240" w:line="360" w:lineRule="auto"/>
        <w:jc w:val="both"/>
        <w:rPr>
          <w:rFonts w:ascii="Times New Roman" w:hAnsi="Times New Roman"/>
          <w:color w:val="000000" w:themeColor="text1"/>
          <w:sz w:val="24"/>
          <w:lang w:val="en-US"/>
        </w:rPr>
      </w:pPr>
      <w:r w:rsidRPr="00DD7575">
        <w:rPr>
          <w:rFonts w:ascii="Times New Roman" w:hAnsi="Times New Roman"/>
          <w:color w:val="000000" w:themeColor="text1"/>
          <w:sz w:val="24"/>
        </w:rPr>
        <w:t xml:space="preserve">Walmart's fast ratio has experienced a drop from 0.49 in 2020 to 0.24 in 2023, which is an indication of the decreasing ability to meet the needs of </w:t>
      </w:r>
      <w:r w:rsidR="00146A94" w:rsidRPr="00DD7575">
        <w:rPr>
          <w:rFonts w:ascii="Times New Roman" w:hAnsi="Times New Roman"/>
          <w:color w:val="000000" w:themeColor="text1"/>
          <w:sz w:val="24"/>
        </w:rPr>
        <w:t>short-term</w:t>
      </w:r>
      <w:r w:rsidRPr="00DD7575">
        <w:rPr>
          <w:rFonts w:ascii="Times New Roman" w:hAnsi="Times New Roman"/>
          <w:color w:val="000000" w:themeColor="text1"/>
          <w:sz w:val="24"/>
        </w:rPr>
        <w:t xml:space="preserve"> liability without the support of the inventory. But on the other hand, Amazon's quick ratio has proven to have varied between 0.72 and 0.91 with the range showing a stronger position in immediate liquidity since it is maybe due to inventory management practices</w:t>
      </w:r>
      <w:r w:rsidR="004E1F32">
        <w:rPr>
          <w:rFonts w:ascii="Times New Roman" w:hAnsi="Times New Roman"/>
          <w:color w:val="000000" w:themeColor="text1"/>
          <w:sz w:val="24"/>
        </w:rPr>
        <w:t xml:space="preserve"> </w:t>
      </w:r>
      <w:r w:rsidR="00B42DFC" w:rsidRPr="00DD7575">
        <w:rPr>
          <w:rFonts w:ascii="Times New Roman" w:hAnsi="Times New Roman"/>
          <w:color w:val="000000" w:themeColor="text1"/>
          <w:sz w:val="24"/>
          <w:lang w:val="en-US"/>
        </w:rPr>
        <w:t>(Amazon, 2023)</w:t>
      </w:r>
      <w:r w:rsidRPr="00DD7575">
        <w:rPr>
          <w:rFonts w:ascii="Times New Roman" w:hAnsi="Times New Roman"/>
          <w:color w:val="000000" w:themeColor="text1"/>
          <w:sz w:val="24"/>
        </w:rPr>
        <w:t>.</w:t>
      </w:r>
    </w:p>
    <w:p w14:paraId="4125286E" w14:textId="4892211A" w:rsidR="00BD7857" w:rsidRPr="00DD7575" w:rsidRDefault="00884DFD" w:rsidP="00853AEC">
      <w:pPr>
        <w:spacing w:before="240" w:line="360" w:lineRule="auto"/>
        <w:jc w:val="both"/>
        <w:rPr>
          <w:rFonts w:ascii="Times New Roman" w:hAnsi="Times New Roman" w:cs="Times New Roman"/>
          <w:color w:val="000000" w:themeColor="text1"/>
          <w:sz w:val="24"/>
          <w:szCs w:val="24"/>
          <w:lang w:val="en-US"/>
        </w:rPr>
      </w:pPr>
      <w:r w:rsidRPr="00DD7575">
        <w:rPr>
          <w:rFonts w:ascii="Times New Roman" w:hAnsi="Times New Roman"/>
          <w:color w:val="000000" w:themeColor="text1"/>
          <w:sz w:val="24"/>
        </w:rPr>
        <w:t>N</w:t>
      </w:r>
      <w:r w:rsidR="00BD7857" w:rsidRPr="00DD7575">
        <w:rPr>
          <w:rFonts w:ascii="Times New Roman" w:hAnsi="Times New Roman"/>
          <w:color w:val="000000" w:themeColor="text1"/>
          <w:sz w:val="24"/>
        </w:rPr>
        <w:t>ext, cash ratio of Walmart has slumped from 0.19 in 2020 to 0.11 in 2023, showing that the company is not able to be liquid enough to cover its short-term debts by using cash only. On the flip side, Amazon's cash ratio has generally been higher and fairly steady, with the ratio ranging from 0.26 to 0.45 during the same period; this shows that the firm has stronger liquidity</w:t>
      </w:r>
      <w:r w:rsidR="004E1F32">
        <w:rPr>
          <w:rFonts w:ascii="Times New Roman" w:hAnsi="Times New Roman"/>
          <w:color w:val="000000" w:themeColor="text1"/>
          <w:sz w:val="24"/>
        </w:rPr>
        <w:t xml:space="preserve"> </w:t>
      </w:r>
      <w:r w:rsidR="00781C4B" w:rsidRPr="00DD7575">
        <w:rPr>
          <w:rFonts w:ascii="Times New Roman" w:hAnsi="Times New Roman"/>
          <w:color w:val="000000" w:themeColor="text1"/>
          <w:sz w:val="24"/>
          <w:lang w:val="en-US"/>
        </w:rPr>
        <w:t>(Walmart, 2022)</w:t>
      </w:r>
      <w:r w:rsidR="00BD7857" w:rsidRPr="00DD7575">
        <w:rPr>
          <w:rFonts w:ascii="Times New Roman" w:hAnsi="Times New Roman"/>
          <w:color w:val="000000" w:themeColor="text1"/>
          <w:sz w:val="24"/>
        </w:rPr>
        <w:t>.</w:t>
      </w:r>
    </w:p>
    <w:p w14:paraId="498CED3C" w14:textId="56850809" w:rsidR="00BD7857" w:rsidRPr="00DD7575" w:rsidRDefault="00BD7857" w:rsidP="00853AEC">
      <w:pPr>
        <w:spacing w:before="240" w:line="360" w:lineRule="auto"/>
        <w:jc w:val="both"/>
        <w:rPr>
          <w:rFonts w:ascii="Times New Roman" w:hAnsi="Times New Roman" w:cs="Times New Roman"/>
          <w:color w:val="000000" w:themeColor="text1"/>
          <w:sz w:val="24"/>
          <w:szCs w:val="24"/>
          <w:lang w:val="en-US"/>
        </w:rPr>
      </w:pPr>
      <w:r w:rsidRPr="00DD7575">
        <w:rPr>
          <w:rFonts w:ascii="Times New Roman" w:hAnsi="Times New Roman"/>
          <w:color w:val="000000" w:themeColor="text1"/>
          <w:sz w:val="24"/>
        </w:rPr>
        <w:t>Walmart has exhibited relatively constant leverage ratios in a range of 1.66 to 1.90 in the past five years, signifying a moderate level of debt in valuation. To the contrary, Amazon has shown a greater liability, as it has the debt-to-equity ratio of 1.61-2.63 in the given period, and this way, it has been implementing a more aggressive financial method</w:t>
      </w:r>
      <w:r w:rsidR="004E1F32">
        <w:rPr>
          <w:rFonts w:ascii="Times New Roman" w:hAnsi="Times New Roman"/>
          <w:color w:val="000000" w:themeColor="text1"/>
          <w:sz w:val="24"/>
        </w:rPr>
        <w:t xml:space="preserve"> </w:t>
      </w:r>
      <w:r w:rsidR="00781C4B" w:rsidRPr="00DD7575">
        <w:rPr>
          <w:rFonts w:ascii="Times New Roman" w:hAnsi="Times New Roman"/>
          <w:color w:val="000000" w:themeColor="text1"/>
          <w:sz w:val="24"/>
          <w:lang w:val="en-US"/>
        </w:rPr>
        <w:t>(Amazon, 2023)</w:t>
      </w:r>
      <w:r w:rsidR="00884DFD" w:rsidRPr="00DD7575">
        <w:rPr>
          <w:rFonts w:ascii="Times New Roman" w:hAnsi="Times New Roman"/>
          <w:color w:val="000000" w:themeColor="text1"/>
          <w:sz w:val="24"/>
        </w:rPr>
        <w:t>.</w:t>
      </w:r>
    </w:p>
    <w:p w14:paraId="3E75F881" w14:textId="54B680EE" w:rsidR="00BD7857" w:rsidRPr="00FC4F13" w:rsidRDefault="005A0F79" w:rsidP="00853AEC">
      <w:pPr>
        <w:spacing w:before="240" w:line="360" w:lineRule="auto"/>
        <w:jc w:val="both"/>
        <w:rPr>
          <w:rFonts w:ascii="Times New Roman" w:hAnsi="Times New Roman" w:cs="Times New Roman"/>
          <w:b/>
          <w:bCs/>
          <w:color w:val="000000" w:themeColor="text1"/>
          <w:sz w:val="24"/>
          <w:szCs w:val="24"/>
          <w:lang w:val="en-US"/>
        </w:rPr>
      </w:pPr>
      <w:r w:rsidRPr="00DD7575">
        <w:rPr>
          <w:rFonts w:ascii="Times New Roman" w:hAnsi="Times New Roman"/>
          <w:color w:val="000000" w:themeColor="text1"/>
          <w:sz w:val="24"/>
        </w:rPr>
        <w:t>M</w:t>
      </w:r>
      <w:r w:rsidR="00BD7857" w:rsidRPr="00DD7575">
        <w:rPr>
          <w:rFonts w:ascii="Times New Roman" w:hAnsi="Times New Roman"/>
          <w:color w:val="000000" w:themeColor="text1"/>
          <w:sz w:val="24"/>
        </w:rPr>
        <w:t>oreover, Walmart's equity multiplier has remained relatively stable (from 2.66 to 2.90), implying a consistently high relationship between assets financed by equity. In contrast, Amazon's equity multiplier has demonstrated higher volatility fluctuating within the range of 2.61 and 3.63, signifying the company's increased recourse to debt financing for its expansion</w:t>
      </w:r>
      <w:r w:rsidR="00FC4F13">
        <w:rPr>
          <w:rFonts w:ascii="Times New Roman" w:hAnsi="Times New Roman"/>
          <w:color w:val="000000" w:themeColor="text1"/>
          <w:sz w:val="24"/>
        </w:rPr>
        <w:t xml:space="preserve"> </w:t>
      </w:r>
      <w:r w:rsidR="002E4748" w:rsidRPr="00FC4F13">
        <w:rPr>
          <w:rFonts w:ascii="Times New Roman" w:hAnsi="Times New Roman"/>
          <w:b/>
          <w:bCs/>
          <w:color w:val="000000" w:themeColor="text1"/>
          <w:sz w:val="24"/>
        </w:rPr>
        <w:t>(</w:t>
      </w:r>
      <w:r w:rsidR="002E4748" w:rsidRPr="00FC4F13">
        <w:rPr>
          <w:rFonts w:ascii="Times New Roman" w:hAnsi="Times New Roman"/>
          <w:b/>
          <w:bCs/>
          <w:color w:val="000000" w:themeColor="text1"/>
          <w:sz w:val="24"/>
          <w:lang w:val="en-US"/>
        </w:rPr>
        <w:t>Yahoo Finance 2024a</w:t>
      </w:r>
      <w:r w:rsidR="002E4748" w:rsidRPr="00FC4F13">
        <w:rPr>
          <w:rFonts w:ascii="Times New Roman" w:hAnsi="Times New Roman"/>
          <w:b/>
          <w:bCs/>
          <w:color w:val="000000" w:themeColor="text1"/>
          <w:sz w:val="24"/>
        </w:rPr>
        <w:t>)</w:t>
      </w:r>
      <w:r w:rsidR="00BD7857" w:rsidRPr="00FC4F13">
        <w:rPr>
          <w:rFonts w:ascii="Times New Roman" w:hAnsi="Times New Roman"/>
          <w:b/>
          <w:bCs/>
          <w:color w:val="000000" w:themeColor="text1"/>
          <w:sz w:val="24"/>
        </w:rPr>
        <w:t>.</w:t>
      </w:r>
    </w:p>
    <w:p w14:paraId="4ECB414F" w14:textId="787D17A1" w:rsidR="00BD7857" w:rsidRPr="00DD7575" w:rsidRDefault="00BD7857" w:rsidP="00853AEC">
      <w:pPr>
        <w:spacing w:before="240" w:line="360" w:lineRule="auto"/>
        <w:jc w:val="both"/>
        <w:rPr>
          <w:rFonts w:ascii="Times New Roman" w:hAnsi="Times New Roman"/>
          <w:color w:val="000000" w:themeColor="text1"/>
          <w:sz w:val="24"/>
        </w:rPr>
      </w:pPr>
      <w:r w:rsidRPr="00DD7575">
        <w:rPr>
          <w:rFonts w:ascii="Times New Roman" w:hAnsi="Times New Roman"/>
          <w:color w:val="000000" w:themeColor="text1"/>
          <w:sz w:val="24"/>
        </w:rPr>
        <w:t>In addition to this, Walmart's interest coverage ratio has consistently been sound, moving between 7.74 and 9.38, indicating how easily it can manage its interest expenses using EBIT, earnings before interest and taxes. In contrast to Walmart, where interest coverage ratio demonstrated variable data ranging from -2.51 to 21.09 for 2022, Amazon could experience some financial stress in the next year</w:t>
      </w:r>
      <w:r w:rsidR="00FC4F13">
        <w:rPr>
          <w:rFonts w:ascii="Times New Roman" w:hAnsi="Times New Roman"/>
          <w:color w:val="000000" w:themeColor="text1"/>
          <w:sz w:val="24"/>
        </w:rPr>
        <w:t xml:space="preserve"> </w:t>
      </w:r>
      <w:r w:rsidR="00781C4B" w:rsidRPr="00FC4F13">
        <w:rPr>
          <w:rFonts w:ascii="Times New Roman" w:hAnsi="Times New Roman"/>
          <w:b/>
          <w:bCs/>
          <w:color w:val="000000" w:themeColor="text1"/>
          <w:sz w:val="24"/>
        </w:rPr>
        <w:t>(</w:t>
      </w:r>
      <w:r w:rsidR="00781C4B" w:rsidRPr="00FC4F13">
        <w:rPr>
          <w:rFonts w:ascii="Times New Roman" w:hAnsi="Times New Roman"/>
          <w:b/>
          <w:bCs/>
          <w:color w:val="000000" w:themeColor="text1"/>
          <w:sz w:val="24"/>
          <w:lang w:val="en-US"/>
        </w:rPr>
        <w:t>Yahoo Finance 2024a</w:t>
      </w:r>
      <w:r w:rsidR="00781C4B" w:rsidRPr="00FC4F13">
        <w:rPr>
          <w:rFonts w:ascii="Times New Roman" w:hAnsi="Times New Roman"/>
          <w:b/>
          <w:bCs/>
          <w:color w:val="000000" w:themeColor="text1"/>
          <w:sz w:val="24"/>
        </w:rPr>
        <w:t>).</w:t>
      </w:r>
    </w:p>
    <w:p w14:paraId="6695425F" w14:textId="77777777" w:rsidR="00BD7857" w:rsidRPr="00DD7575" w:rsidRDefault="005A0F79" w:rsidP="00853AEC">
      <w:pPr>
        <w:spacing w:before="240" w:line="360" w:lineRule="auto"/>
        <w:jc w:val="both"/>
        <w:rPr>
          <w:rFonts w:ascii="Times New Roman" w:hAnsi="Times New Roman" w:cs="Times New Roman"/>
          <w:color w:val="000000" w:themeColor="text1"/>
          <w:sz w:val="24"/>
          <w:szCs w:val="24"/>
          <w:lang w:val="en-US"/>
        </w:rPr>
      </w:pPr>
      <w:r w:rsidRPr="00DD7575">
        <w:rPr>
          <w:rFonts w:ascii="Times New Roman" w:hAnsi="Times New Roman"/>
          <w:color w:val="000000" w:themeColor="text1"/>
          <w:sz w:val="24"/>
        </w:rPr>
        <w:t>I</w:t>
      </w:r>
      <w:r w:rsidR="00BD7857" w:rsidRPr="00DD7575">
        <w:rPr>
          <w:rFonts w:ascii="Times New Roman" w:hAnsi="Times New Roman"/>
          <w:color w:val="000000" w:themeColor="text1"/>
          <w:sz w:val="24"/>
        </w:rPr>
        <w:t xml:space="preserve">n all, Walmart and Amazon have different liquidity and leverage ratios. However, Walmart’s conservative stance contrasts with Amazon’s highly leveraged style which it initiates for expansion </w:t>
      </w:r>
      <w:r w:rsidR="00BD7857" w:rsidRPr="00DD7575">
        <w:rPr>
          <w:rFonts w:ascii="Times New Roman" w:hAnsi="Times New Roman"/>
          <w:color w:val="000000" w:themeColor="text1"/>
          <w:sz w:val="24"/>
        </w:rPr>
        <w:lastRenderedPageBreak/>
        <w:t>plans</w:t>
      </w:r>
      <w:r w:rsidR="00D06C87" w:rsidRPr="00DD7575">
        <w:rPr>
          <w:rFonts w:ascii="Times New Roman" w:hAnsi="Times New Roman"/>
          <w:color w:val="000000" w:themeColor="text1"/>
          <w:sz w:val="24"/>
        </w:rPr>
        <w:t xml:space="preserve"> </w:t>
      </w:r>
      <w:r w:rsidR="00D06C87" w:rsidRPr="00FC4F13">
        <w:rPr>
          <w:rFonts w:ascii="Times New Roman" w:hAnsi="Times New Roman" w:cs="Times New Roman"/>
          <w:b/>
          <w:bCs/>
          <w:color w:val="000000" w:themeColor="text1"/>
          <w:sz w:val="24"/>
        </w:rPr>
        <w:t>(Ersoy, 2023)</w:t>
      </w:r>
      <w:r w:rsidR="00BD7857" w:rsidRPr="00FC4F13">
        <w:rPr>
          <w:rFonts w:ascii="Times New Roman" w:hAnsi="Times New Roman"/>
          <w:b/>
          <w:bCs/>
          <w:color w:val="000000" w:themeColor="text1"/>
          <w:sz w:val="24"/>
        </w:rPr>
        <w:t>.</w:t>
      </w:r>
      <w:r w:rsidR="00BD7857" w:rsidRPr="00DD7575">
        <w:rPr>
          <w:rFonts w:ascii="Times New Roman" w:hAnsi="Times New Roman"/>
          <w:color w:val="000000" w:themeColor="text1"/>
          <w:sz w:val="24"/>
        </w:rPr>
        <w:t xml:space="preserve"> These observations equip the stakeholders with deep awareness of the companies' financial state and decision-making processes regarding risks</w:t>
      </w:r>
      <w:r w:rsidR="008568CF" w:rsidRPr="00DD7575">
        <w:rPr>
          <w:rFonts w:ascii="Times New Roman" w:hAnsi="Times New Roman"/>
          <w:color w:val="000000" w:themeColor="text1"/>
          <w:sz w:val="24"/>
        </w:rPr>
        <w:t>.</w:t>
      </w:r>
    </w:p>
    <w:p w14:paraId="07202C14" w14:textId="77777777" w:rsidR="00FB086A" w:rsidRPr="00DD7575" w:rsidRDefault="00FB086A" w:rsidP="00FC4F13">
      <w:pPr>
        <w:pStyle w:val="Heading2"/>
        <w:rPr>
          <w:lang w:val="en-US"/>
        </w:rPr>
      </w:pPr>
      <w:bookmarkStart w:id="12" w:name="_Toc164810560"/>
      <w:r w:rsidRPr="00DD7575">
        <w:t>d) Capital Structure Theory</w:t>
      </w:r>
      <w:bookmarkEnd w:id="12"/>
    </w:p>
    <w:p w14:paraId="7847AE83" w14:textId="77777777" w:rsidR="00265F37" w:rsidRPr="00DD7575" w:rsidRDefault="00265F37" w:rsidP="00853AEC">
      <w:pPr>
        <w:spacing w:before="240" w:line="360" w:lineRule="auto"/>
        <w:jc w:val="both"/>
        <w:rPr>
          <w:rFonts w:ascii="Times New Roman" w:hAnsi="Times New Roman"/>
          <w:color w:val="000000" w:themeColor="text1"/>
          <w:sz w:val="24"/>
          <w:lang w:val="en-US"/>
        </w:rPr>
      </w:pPr>
      <w:r w:rsidRPr="00DD7575">
        <w:rPr>
          <w:rFonts w:ascii="Times New Roman" w:hAnsi="Times New Roman"/>
          <w:color w:val="000000" w:themeColor="text1"/>
          <w:sz w:val="24"/>
        </w:rPr>
        <w:t xml:space="preserve">Capital structure theory, one of the most important subjects in corporate finance, discusses the best debt-equity mix for a corporation. The Modigliani-Miller (M&amp;M) hypothesis, which states that a firm's value is independent of its capital structure, is often referenced. This theory states that a world without imperfect capital markets, taxes, bankruptcy costs, or knowledge asymmetries will be valued by its assets and cash </w:t>
      </w:r>
      <w:r w:rsidR="00B549E7" w:rsidRPr="00FC4F13">
        <w:rPr>
          <w:rFonts w:ascii="Times New Roman" w:hAnsi="Times New Roman"/>
          <w:b/>
          <w:bCs/>
          <w:color w:val="000000" w:themeColor="text1"/>
          <w:sz w:val="24"/>
          <w:lang w:val="en-US"/>
        </w:rPr>
        <w:t xml:space="preserve">(Puni and </w:t>
      </w:r>
      <w:proofErr w:type="spellStart"/>
      <w:r w:rsidR="00B549E7" w:rsidRPr="00FC4F13">
        <w:rPr>
          <w:rFonts w:ascii="Times New Roman" w:hAnsi="Times New Roman"/>
          <w:b/>
          <w:bCs/>
          <w:color w:val="000000" w:themeColor="text1"/>
          <w:sz w:val="24"/>
          <w:lang w:val="en-US"/>
        </w:rPr>
        <w:t>Anlesinya</w:t>
      </w:r>
      <w:proofErr w:type="spellEnd"/>
      <w:r w:rsidR="00B549E7" w:rsidRPr="00FC4F13">
        <w:rPr>
          <w:rFonts w:ascii="Times New Roman" w:hAnsi="Times New Roman"/>
          <w:b/>
          <w:bCs/>
          <w:color w:val="000000" w:themeColor="text1"/>
          <w:sz w:val="24"/>
          <w:lang w:val="en-US"/>
        </w:rPr>
        <w:t>, 2020).</w:t>
      </w:r>
    </w:p>
    <w:p w14:paraId="70FEE115" w14:textId="77777777" w:rsidR="00265F37" w:rsidRPr="00FC4F13" w:rsidRDefault="00265F37" w:rsidP="00853AEC">
      <w:pPr>
        <w:spacing w:before="240" w:line="360" w:lineRule="auto"/>
        <w:jc w:val="both"/>
        <w:rPr>
          <w:rFonts w:ascii="Times New Roman" w:hAnsi="Times New Roman"/>
          <w:b/>
          <w:bCs/>
          <w:color w:val="000000" w:themeColor="text1"/>
          <w:sz w:val="24"/>
          <w:highlight w:val="yellow"/>
          <w:lang w:val="en-US"/>
        </w:rPr>
      </w:pPr>
      <w:r w:rsidRPr="00DD7575">
        <w:rPr>
          <w:rFonts w:ascii="Times New Roman" w:hAnsi="Times New Roman"/>
          <w:color w:val="000000" w:themeColor="text1"/>
          <w:sz w:val="24"/>
        </w:rPr>
        <w:t xml:space="preserve">As per </w:t>
      </w:r>
      <w:r w:rsidR="00B549E7" w:rsidRPr="00DD7575">
        <w:rPr>
          <w:rFonts w:ascii="Times New Roman" w:hAnsi="Times New Roman"/>
          <w:color w:val="000000" w:themeColor="text1"/>
          <w:sz w:val="24"/>
          <w:lang w:val="en-US"/>
        </w:rPr>
        <w:t xml:space="preserve">Shinkevich, Kudryavtseva and </w:t>
      </w:r>
      <w:proofErr w:type="spellStart"/>
      <w:proofErr w:type="gramStart"/>
      <w:r w:rsidR="00B549E7" w:rsidRPr="00DD7575">
        <w:rPr>
          <w:rFonts w:ascii="Times New Roman" w:hAnsi="Times New Roman"/>
          <w:color w:val="000000" w:themeColor="text1"/>
          <w:sz w:val="24"/>
          <w:lang w:val="en-US"/>
        </w:rPr>
        <w:t>Samarina</w:t>
      </w:r>
      <w:proofErr w:type="spellEnd"/>
      <w:r w:rsidR="004D6C0E" w:rsidRPr="00DD7575">
        <w:rPr>
          <w:rFonts w:ascii="Times New Roman" w:hAnsi="Times New Roman"/>
          <w:color w:val="000000" w:themeColor="text1"/>
          <w:sz w:val="24"/>
          <w:lang w:val="en-US"/>
        </w:rPr>
        <w:t>(</w:t>
      </w:r>
      <w:proofErr w:type="gramEnd"/>
      <w:r w:rsidR="00B549E7" w:rsidRPr="00DD7575">
        <w:rPr>
          <w:rFonts w:ascii="Times New Roman" w:hAnsi="Times New Roman"/>
          <w:color w:val="000000" w:themeColor="text1"/>
          <w:sz w:val="24"/>
          <w:lang w:val="en-US"/>
        </w:rPr>
        <w:t>2023)</w:t>
      </w:r>
      <w:r w:rsidR="004D6C0E" w:rsidRPr="00DD7575">
        <w:rPr>
          <w:rFonts w:ascii="Times New Roman" w:hAnsi="Times New Roman"/>
          <w:color w:val="000000" w:themeColor="text1"/>
          <w:sz w:val="24"/>
          <w:lang w:val="en-US"/>
        </w:rPr>
        <w:t>,</w:t>
      </w:r>
      <w:r w:rsidRPr="00DD7575">
        <w:rPr>
          <w:rFonts w:ascii="Times New Roman" w:hAnsi="Times New Roman"/>
          <w:color w:val="000000" w:themeColor="text1"/>
          <w:sz w:val="24"/>
        </w:rPr>
        <w:t>the M&amp;M theorem includes the irrelevance assumption and handmade leverage. In a completely competitive capital market, capital structure decision does not affect company value or cost of capital, according to irrelevance theories. Thus, creditors and shareholders don't care how much a corporation utilizes debt since they may alter their portfolios. So, the corporation may adopt any capital structure without damaging its values</w:t>
      </w:r>
      <w:r w:rsidR="00BF4D03" w:rsidRPr="00DD7575">
        <w:rPr>
          <w:rFonts w:ascii="Times New Roman" w:hAnsi="Times New Roman"/>
          <w:color w:val="000000" w:themeColor="text1"/>
          <w:sz w:val="24"/>
        </w:rPr>
        <w:t xml:space="preserve"> </w:t>
      </w:r>
      <w:r w:rsidR="00BF4D03" w:rsidRPr="00FC4F13">
        <w:rPr>
          <w:rFonts w:ascii="Times New Roman" w:hAnsi="Times New Roman" w:cs="Times New Roman"/>
          <w:b/>
          <w:bCs/>
          <w:color w:val="000000" w:themeColor="text1"/>
          <w:sz w:val="24"/>
        </w:rPr>
        <w:t>(</w:t>
      </w:r>
      <w:proofErr w:type="spellStart"/>
      <w:r w:rsidR="00BF4D03" w:rsidRPr="00FC4F13">
        <w:rPr>
          <w:rFonts w:ascii="Times New Roman" w:hAnsi="Times New Roman" w:cs="Times New Roman"/>
          <w:b/>
          <w:bCs/>
          <w:color w:val="000000" w:themeColor="text1"/>
          <w:sz w:val="24"/>
        </w:rPr>
        <w:t>Faggioni</w:t>
      </w:r>
      <w:proofErr w:type="spellEnd"/>
      <w:r w:rsidR="00BF4D03" w:rsidRPr="00FC4F13">
        <w:rPr>
          <w:rFonts w:ascii="Times New Roman" w:hAnsi="Times New Roman" w:cs="Times New Roman"/>
          <w:b/>
          <w:bCs/>
          <w:color w:val="000000" w:themeColor="text1"/>
          <w:sz w:val="24"/>
        </w:rPr>
        <w:t xml:space="preserve"> </w:t>
      </w:r>
      <w:r w:rsidR="00BF4D03" w:rsidRPr="00FC4F13">
        <w:rPr>
          <w:rFonts w:ascii="Times New Roman" w:hAnsi="Times New Roman" w:cs="Times New Roman"/>
          <w:b/>
          <w:bCs/>
          <w:i/>
          <w:iCs/>
          <w:color w:val="000000" w:themeColor="text1"/>
          <w:sz w:val="24"/>
        </w:rPr>
        <w:t xml:space="preserve">et al. </w:t>
      </w:r>
      <w:r w:rsidR="00BF4D03" w:rsidRPr="00FC4F13">
        <w:rPr>
          <w:rFonts w:ascii="Times New Roman" w:hAnsi="Times New Roman" w:cs="Times New Roman"/>
          <w:b/>
          <w:bCs/>
          <w:color w:val="000000" w:themeColor="text1"/>
          <w:sz w:val="24"/>
        </w:rPr>
        <w:t>2023)</w:t>
      </w:r>
      <w:r w:rsidRPr="00FC4F13">
        <w:rPr>
          <w:rFonts w:ascii="Times New Roman" w:hAnsi="Times New Roman"/>
          <w:b/>
          <w:bCs/>
          <w:color w:val="000000" w:themeColor="text1"/>
          <w:sz w:val="24"/>
        </w:rPr>
        <w:t>.</w:t>
      </w:r>
    </w:p>
    <w:p w14:paraId="7D0DC874" w14:textId="2A11D36F" w:rsidR="00265F37" w:rsidRPr="00DD7575" w:rsidRDefault="00265F37" w:rsidP="00853AEC">
      <w:pPr>
        <w:spacing w:before="240" w:line="360" w:lineRule="auto"/>
        <w:jc w:val="both"/>
        <w:rPr>
          <w:rFonts w:ascii="Times New Roman" w:hAnsi="Times New Roman"/>
          <w:color w:val="000000" w:themeColor="text1"/>
          <w:sz w:val="24"/>
        </w:rPr>
      </w:pPr>
      <w:r w:rsidRPr="00DD7575">
        <w:rPr>
          <w:rFonts w:ascii="Times New Roman" w:hAnsi="Times New Roman"/>
          <w:color w:val="000000" w:themeColor="text1"/>
          <w:sz w:val="24"/>
        </w:rPr>
        <w:t xml:space="preserve">However, they are sifting homemade leverage propositions. This leverage argument states that investors may change their leverage to mimic a company's capital structure in an imperfect capital market with personal taxes or transaction expenses. This shows that investors with leverage or de-leveraging in their portfolios may obtain their desired risk-return profile independent of the company's capital structure </w:t>
      </w:r>
      <w:r w:rsidR="00BA3A78" w:rsidRPr="00DD7575">
        <w:rPr>
          <w:rFonts w:ascii="Times New Roman" w:hAnsi="Times New Roman"/>
          <w:color w:val="000000" w:themeColor="text1"/>
          <w:sz w:val="24"/>
        </w:rPr>
        <w:t xml:space="preserve">choices </w:t>
      </w:r>
      <w:r w:rsidR="00BA3A78" w:rsidRPr="00FC4F13">
        <w:rPr>
          <w:rFonts w:ascii="Times New Roman" w:hAnsi="Times New Roman"/>
          <w:b/>
          <w:bCs/>
          <w:color w:val="000000" w:themeColor="text1"/>
          <w:sz w:val="24"/>
        </w:rPr>
        <w:t>(</w:t>
      </w:r>
      <w:r w:rsidR="002E4748" w:rsidRPr="00FC4F13">
        <w:rPr>
          <w:rFonts w:ascii="Times New Roman" w:hAnsi="Times New Roman"/>
          <w:b/>
          <w:bCs/>
          <w:color w:val="000000" w:themeColor="text1"/>
          <w:sz w:val="24"/>
          <w:lang w:val="en-US"/>
        </w:rPr>
        <w:t xml:space="preserve">Block, </w:t>
      </w:r>
      <w:proofErr w:type="spellStart"/>
      <w:r w:rsidR="002E4748" w:rsidRPr="00FC4F13">
        <w:rPr>
          <w:rFonts w:ascii="Times New Roman" w:hAnsi="Times New Roman"/>
          <w:b/>
          <w:bCs/>
          <w:color w:val="000000" w:themeColor="text1"/>
          <w:sz w:val="24"/>
          <w:lang w:val="en-US"/>
        </w:rPr>
        <w:t>Hirtand</w:t>
      </w:r>
      <w:proofErr w:type="spellEnd"/>
      <w:r w:rsidR="002E4748" w:rsidRPr="00FC4F13">
        <w:rPr>
          <w:rFonts w:ascii="Times New Roman" w:hAnsi="Times New Roman"/>
          <w:b/>
          <w:bCs/>
          <w:color w:val="000000" w:themeColor="text1"/>
          <w:sz w:val="24"/>
          <w:lang w:val="en-US"/>
        </w:rPr>
        <w:t xml:space="preserve"> Danielsen, 2023</w:t>
      </w:r>
      <w:r w:rsidR="002E4748" w:rsidRPr="00FC4F13">
        <w:rPr>
          <w:rFonts w:ascii="Times New Roman" w:hAnsi="Times New Roman"/>
          <w:b/>
          <w:bCs/>
          <w:color w:val="000000" w:themeColor="text1"/>
          <w:sz w:val="24"/>
        </w:rPr>
        <w:t>)</w:t>
      </w:r>
      <w:r w:rsidR="00AF19F8" w:rsidRPr="00FC4F13">
        <w:rPr>
          <w:rFonts w:ascii="Times New Roman" w:hAnsi="Times New Roman"/>
          <w:b/>
          <w:bCs/>
          <w:color w:val="000000" w:themeColor="text1"/>
          <w:sz w:val="24"/>
        </w:rPr>
        <w:t>.</w:t>
      </w:r>
    </w:p>
    <w:p w14:paraId="14D004A7" w14:textId="72006E47" w:rsidR="00BD7857" w:rsidRPr="00FC4F13" w:rsidRDefault="00884DFD" w:rsidP="00853AEC">
      <w:pPr>
        <w:spacing w:before="240" w:line="360" w:lineRule="auto"/>
        <w:jc w:val="both"/>
        <w:rPr>
          <w:rFonts w:ascii="Times New Roman" w:hAnsi="Times New Roman" w:cs="Times New Roman"/>
          <w:b/>
          <w:bCs/>
          <w:color w:val="000000" w:themeColor="text1"/>
          <w:sz w:val="24"/>
          <w:szCs w:val="24"/>
          <w:lang w:val="en-US"/>
        </w:rPr>
      </w:pPr>
      <w:r w:rsidRPr="00DD7575">
        <w:rPr>
          <w:rFonts w:ascii="Times New Roman" w:hAnsi="Times New Roman"/>
          <w:color w:val="000000" w:themeColor="text1"/>
          <w:sz w:val="24"/>
        </w:rPr>
        <w:t>T</w:t>
      </w:r>
      <w:r w:rsidR="00265F37" w:rsidRPr="00DD7575">
        <w:rPr>
          <w:rFonts w:ascii="Times New Roman" w:hAnsi="Times New Roman"/>
          <w:color w:val="000000" w:themeColor="text1"/>
          <w:sz w:val="24"/>
        </w:rPr>
        <w:t>hough attractive, the M&amp;M theorem has practical restrictions in actual economies. Real-life issues including taxes, bankruptcy costs, agency disputes</w:t>
      </w:r>
      <w:r w:rsidR="00612E76">
        <w:rPr>
          <w:rFonts w:ascii="Times New Roman" w:hAnsi="Times New Roman"/>
          <w:color w:val="000000" w:themeColor="text1"/>
          <w:sz w:val="24"/>
        </w:rPr>
        <w:t xml:space="preserve"> </w:t>
      </w:r>
      <w:r w:rsidR="00265F37" w:rsidRPr="00DD7575">
        <w:rPr>
          <w:rFonts w:ascii="Times New Roman" w:hAnsi="Times New Roman"/>
          <w:color w:val="000000" w:themeColor="text1"/>
          <w:sz w:val="24"/>
        </w:rPr>
        <w:t>and market flaws affect capital structure choices. Due to more liquid loan markets, enterprises diverge from the M&amp;M theory capital structure. Additionally, empirical research demonstrates that capital structure often varies among enterprises and sectors, showing that leverage ratios more than affect firm-specific characteristics and market circumstances</w:t>
      </w:r>
      <w:r w:rsidR="00FC4F13">
        <w:rPr>
          <w:rFonts w:ascii="Times New Roman" w:hAnsi="Times New Roman"/>
          <w:color w:val="000000" w:themeColor="text1"/>
          <w:sz w:val="24"/>
        </w:rPr>
        <w:t xml:space="preserve"> </w:t>
      </w:r>
      <w:r w:rsidR="002E4748" w:rsidRPr="00FC4F13">
        <w:rPr>
          <w:rFonts w:ascii="Times New Roman" w:hAnsi="Times New Roman"/>
          <w:b/>
          <w:bCs/>
          <w:color w:val="000000" w:themeColor="text1"/>
          <w:sz w:val="24"/>
        </w:rPr>
        <w:t>(</w:t>
      </w:r>
      <w:r w:rsidR="002E4748" w:rsidRPr="00FC4F13">
        <w:rPr>
          <w:rFonts w:ascii="Times New Roman" w:hAnsi="Times New Roman"/>
          <w:b/>
          <w:bCs/>
          <w:color w:val="000000" w:themeColor="text1"/>
          <w:sz w:val="24"/>
          <w:lang w:val="en-US"/>
        </w:rPr>
        <w:t>Shone and Parry, 2013</w:t>
      </w:r>
      <w:r w:rsidR="002E4748" w:rsidRPr="00FC4F13">
        <w:rPr>
          <w:rFonts w:ascii="Times New Roman" w:hAnsi="Times New Roman"/>
          <w:b/>
          <w:bCs/>
          <w:color w:val="000000" w:themeColor="text1"/>
          <w:sz w:val="24"/>
        </w:rPr>
        <w:t>)</w:t>
      </w:r>
      <w:r w:rsidR="00265F37" w:rsidRPr="00FC4F13">
        <w:rPr>
          <w:rFonts w:ascii="Times New Roman" w:hAnsi="Times New Roman"/>
          <w:b/>
          <w:bCs/>
          <w:color w:val="000000" w:themeColor="text1"/>
          <w:sz w:val="24"/>
        </w:rPr>
        <w:t>.</w:t>
      </w:r>
    </w:p>
    <w:p w14:paraId="0B4F2D8C" w14:textId="15937E20" w:rsidR="00BD7857" w:rsidRPr="00FC4F13" w:rsidRDefault="00BD7857" w:rsidP="00853AEC">
      <w:pPr>
        <w:spacing w:before="240" w:line="360" w:lineRule="auto"/>
        <w:jc w:val="both"/>
        <w:rPr>
          <w:rFonts w:ascii="Times New Roman" w:hAnsi="Times New Roman" w:cs="Times New Roman"/>
          <w:b/>
          <w:bCs/>
          <w:color w:val="000000" w:themeColor="text1"/>
          <w:sz w:val="24"/>
          <w:szCs w:val="24"/>
          <w:lang w:val="en-US"/>
        </w:rPr>
      </w:pPr>
      <w:r w:rsidRPr="00DD7575">
        <w:rPr>
          <w:rFonts w:ascii="Times New Roman" w:hAnsi="Times New Roman"/>
          <w:color w:val="000000" w:themeColor="text1"/>
          <w:sz w:val="24"/>
        </w:rPr>
        <w:t xml:space="preserve">However, though the M&amp;M theorem gives important theoretical explanations of capital structure options, these assumptions are not fit to be applied to the real-world settings. Nevertheless, just as it is vital for firms to comprehend the fundamental capital structure theory in order to take the best </w:t>
      </w:r>
      <w:r w:rsidRPr="00DD7575">
        <w:rPr>
          <w:rFonts w:ascii="Times New Roman" w:hAnsi="Times New Roman"/>
          <w:color w:val="000000" w:themeColor="text1"/>
          <w:sz w:val="24"/>
        </w:rPr>
        <w:lastRenderedPageBreak/>
        <w:t>financing decisions and keep their capital structure in sync with their company objectives and market conditions</w:t>
      </w:r>
      <w:r w:rsidR="00FC4F13">
        <w:rPr>
          <w:rFonts w:ascii="Times New Roman" w:hAnsi="Times New Roman"/>
          <w:color w:val="000000" w:themeColor="text1"/>
          <w:sz w:val="24"/>
        </w:rPr>
        <w:t xml:space="preserve"> </w:t>
      </w:r>
      <w:r w:rsidR="00FE5268" w:rsidRPr="00FC4F13">
        <w:rPr>
          <w:rFonts w:ascii="Times New Roman" w:hAnsi="Times New Roman"/>
          <w:b/>
          <w:bCs/>
          <w:color w:val="000000" w:themeColor="text1"/>
          <w:sz w:val="24"/>
          <w:lang w:val="en-US"/>
        </w:rPr>
        <w:t>(Ye and Kulathunga, 2019)</w:t>
      </w:r>
      <w:r w:rsidR="00AA5914" w:rsidRPr="00FC4F13">
        <w:rPr>
          <w:rFonts w:ascii="Times New Roman" w:hAnsi="Times New Roman"/>
          <w:b/>
          <w:bCs/>
          <w:color w:val="000000" w:themeColor="text1"/>
          <w:sz w:val="24"/>
        </w:rPr>
        <w:t>.</w:t>
      </w:r>
    </w:p>
    <w:p w14:paraId="77931425" w14:textId="77777777" w:rsidR="00FB086A" w:rsidRPr="00DD7575" w:rsidRDefault="00FB086A" w:rsidP="00FC4F13">
      <w:pPr>
        <w:pStyle w:val="Heading2"/>
        <w:rPr>
          <w:lang w:val="en-US"/>
        </w:rPr>
      </w:pPr>
      <w:bookmarkStart w:id="13" w:name="_Toc164810561"/>
      <w:r w:rsidRPr="00DD7575">
        <w:t>e) Application of Capital Structure Theory</w:t>
      </w:r>
      <w:bookmarkEnd w:id="13"/>
    </w:p>
    <w:p w14:paraId="6078C9CC" w14:textId="77777777" w:rsidR="00265F37" w:rsidRPr="00DD7575" w:rsidRDefault="00265F37" w:rsidP="00853AEC">
      <w:pPr>
        <w:spacing w:before="240" w:line="360" w:lineRule="auto"/>
        <w:jc w:val="both"/>
        <w:rPr>
          <w:rFonts w:ascii="Times New Roman" w:hAnsi="Times New Roman"/>
          <w:color w:val="000000" w:themeColor="text1"/>
          <w:sz w:val="24"/>
          <w:highlight w:val="yellow"/>
          <w:lang w:val="en-US"/>
        </w:rPr>
      </w:pPr>
      <w:r w:rsidRPr="00DD7575">
        <w:rPr>
          <w:rFonts w:ascii="Times New Roman" w:hAnsi="Times New Roman"/>
          <w:color w:val="000000" w:themeColor="text1"/>
          <w:sz w:val="24"/>
        </w:rPr>
        <w:t>According to</w:t>
      </w:r>
      <w:r w:rsidR="00947ACD" w:rsidRPr="00DD7575">
        <w:rPr>
          <w:rFonts w:ascii="Times New Roman" w:hAnsi="Times New Roman"/>
          <w:color w:val="000000" w:themeColor="text1"/>
          <w:sz w:val="24"/>
          <w:lang w:val="en-US"/>
        </w:rPr>
        <w:t xml:space="preserve">Shone and Parry </w:t>
      </w:r>
      <w:r w:rsidR="004D6C0E" w:rsidRPr="00DD7575">
        <w:rPr>
          <w:rFonts w:ascii="Times New Roman" w:hAnsi="Times New Roman"/>
          <w:color w:val="000000" w:themeColor="text1"/>
          <w:sz w:val="24"/>
          <w:lang w:val="en-US"/>
        </w:rPr>
        <w:t>(</w:t>
      </w:r>
      <w:r w:rsidR="00947ACD" w:rsidRPr="00DD7575">
        <w:rPr>
          <w:rFonts w:ascii="Times New Roman" w:hAnsi="Times New Roman"/>
          <w:color w:val="000000" w:themeColor="text1"/>
          <w:sz w:val="24"/>
          <w:lang w:val="en-US"/>
        </w:rPr>
        <w:t xml:space="preserve">2013), </w:t>
      </w:r>
      <w:r w:rsidR="00146A94" w:rsidRPr="00DD7575">
        <w:rPr>
          <w:rFonts w:ascii="Times New Roman" w:hAnsi="Times New Roman"/>
          <w:color w:val="000000" w:themeColor="text1"/>
          <w:sz w:val="24"/>
        </w:rPr>
        <w:t>W</w:t>
      </w:r>
      <w:r w:rsidRPr="00DD7575">
        <w:rPr>
          <w:rFonts w:ascii="Times New Roman" w:hAnsi="Times New Roman"/>
          <w:color w:val="000000" w:themeColor="text1"/>
          <w:sz w:val="24"/>
        </w:rPr>
        <w:t>almart's financial decision-making processes and shareholder value generation may be better understood by applying the Modigliani-Miller (MM) Theorem to its capital structure. The M&amp;M theorem's irrelevance hypothesis states that in a homogeneous capital market, capital structure doesn't affect business value. Actual capital structure influence on company is limited by market imperfections and firm-specific characteristics.</w:t>
      </w:r>
    </w:p>
    <w:p w14:paraId="14E288C7" w14:textId="3D23FFA3" w:rsidR="00265F37" w:rsidRPr="00DD7575" w:rsidRDefault="00265F37" w:rsidP="00853AEC">
      <w:pPr>
        <w:spacing w:before="240" w:line="360" w:lineRule="auto"/>
        <w:jc w:val="both"/>
        <w:rPr>
          <w:rFonts w:ascii="Times New Roman" w:hAnsi="Times New Roman"/>
          <w:color w:val="000000" w:themeColor="text1"/>
          <w:sz w:val="24"/>
        </w:rPr>
      </w:pPr>
      <w:r w:rsidRPr="00DD7575">
        <w:rPr>
          <w:rFonts w:ascii="Times New Roman" w:hAnsi="Times New Roman"/>
          <w:color w:val="000000" w:themeColor="text1"/>
          <w:sz w:val="24"/>
        </w:rPr>
        <w:t>Walmart, a grocery chain in a competitive business, bases its financial structure on various variables. These issues include tax ramifications, bankruptcy hazards, and risk and debt investment feelings. In theory, the M&amp;M theorem is based on capital structure, but practical data suggests differently</w:t>
      </w:r>
      <w:r w:rsidR="00251163">
        <w:rPr>
          <w:rFonts w:ascii="Times New Roman" w:hAnsi="Times New Roman"/>
          <w:color w:val="000000" w:themeColor="text1"/>
          <w:sz w:val="24"/>
        </w:rPr>
        <w:t xml:space="preserve"> </w:t>
      </w:r>
      <w:r w:rsidR="002E4748" w:rsidRPr="00FC4F13">
        <w:rPr>
          <w:rFonts w:ascii="Times New Roman" w:hAnsi="Times New Roman"/>
          <w:b/>
          <w:bCs/>
          <w:color w:val="000000" w:themeColor="text1"/>
          <w:sz w:val="24"/>
        </w:rPr>
        <w:t>(</w:t>
      </w:r>
      <w:r w:rsidR="002E4748" w:rsidRPr="00FC4F13">
        <w:rPr>
          <w:rFonts w:ascii="Times New Roman" w:hAnsi="Times New Roman"/>
          <w:b/>
          <w:bCs/>
          <w:color w:val="000000" w:themeColor="text1"/>
          <w:sz w:val="24"/>
          <w:lang w:val="en-US"/>
        </w:rPr>
        <w:t xml:space="preserve">Block, </w:t>
      </w:r>
      <w:proofErr w:type="spellStart"/>
      <w:r w:rsidR="002E4748" w:rsidRPr="00FC4F13">
        <w:rPr>
          <w:rFonts w:ascii="Times New Roman" w:hAnsi="Times New Roman"/>
          <w:b/>
          <w:bCs/>
          <w:color w:val="000000" w:themeColor="text1"/>
          <w:sz w:val="24"/>
          <w:lang w:val="en-US"/>
        </w:rPr>
        <w:t>Hirtand</w:t>
      </w:r>
      <w:proofErr w:type="spellEnd"/>
      <w:r w:rsidR="002E4748" w:rsidRPr="00FC4F13">
        <w:rPr>
          <w:rFonts w:ascii="Times New Roman" w:hAnsi="Times New Roman"/>
          <w:b/>
          <w:bCs/>
          <w:color w:val="000000" w:themeColor="text1"/>
          <w:sz w:val="24"/>
          <w:lang w:val="en-US"/>
        </w:rPr>
        <w:t xml:space="preserve"> Danielsen, 2023</w:t>
      </w:r>
      <w:r w:rsidR="002E4748" w:rsidRPr="00FC4F13">
        <w:rPr>
          <w:rFonts w:ascii="Times New Roman" w:hAnsi="Times New Roman"/>
          <w:b/>
          <w:bCs/>
          <w:color w:val="000000" w:themeColor="text1"/>
          <w:sz w:val="24"/>
        </w:rPr>
        <w:t>)</w:t>
      </w:r>
      <w:r w:rsidRPr="00DD7575">
        <w:rPr>
          <w:rFonts w:ascii="Times New Roman" w:hAnsi="Times New Roman"/>
          <w:color w:val="000000" w:themeColor="text1"/>
          <w:sz w:val="24"/>
        </w:rPr>
        <w:t>. Walmart's capital structure choices stem from its pursuit of financial flexibility, low capital costs, and capital sufficiency</w:t>
      </w:r>
      <w:r w:rsidR="00947ACD" w:rsidRPr="00DD7575">
        <w:rPr>
          <w:rFonts w:ascii="Times New Roman" w:hAnsi="Times New Roman"/>
          <w:color w:val="000000" w:themeColor="text1"/>
          <w:sz w:val="24"/>
        </w:rPr>
        <w:t>.</w:t>
      </w:r>
    </w:p>
    <w:p w14:paraId="51A602D3" w14:textId="2912E27D" w:rsidR="00265F37" w:rsidRPr="00FC4F13" w:rsidRDefault="00884DFD" w:rsidP="00853AEC">
      <w:pPr>
        <w:spacing w:before="240" w:line="360" w:lineRule="auto"/>
        <w:jc w:val="both"/>
        <w:rPr>
          <w:rFonts w:ascii="Times New Roman" w:hAnsi="Times New Roman"/>
          <w:b/>
          <w:bCs/>
          <w:color w:val="000000" w:themeColor="text1"/>
          <w:sz w:val="24"/>
        </w:rPr>
      </w:pPr>
      <w:r w:rsidRPr="00DD7575">
        <w:rPr>
          <w:rFonts w:ascii="Times New Roman" w:hAnsi="Times New Roman"/>
          <w:color w:val="000000" w:themeColor="text1"/>
          <w:sz w:val="24"/>
        </w:rPr>
        <w:t>W</w:t>
      </w:r>
      <w:r w:rsidR="00265F37" w:rsidRPr="00DD7575">
        <w:rPr>
          <w:rFonts w:ascii="Times New Roman" w:hAnsi="Times New Roman"/>
          <w:color w:val="000000" w:themeColor="text1"/>
          <w:sz w:val="24"/>
        </w:rPr>
        <w:t xml:space="preserve">almart's capital structure is modest, and its debt-to-equity ratio fluctuated throughout the last five years. As theoretical as M&amp;M theory is, Walmart capital structure selections rely on several practical factors, such as debt financing's tax benefit, capital market credit availability, and risk management techniques. Walmart's capital structure </w:t>
      </w:r>
      <w:r w:rsidRPr="00DD7575">
        <w:rPr>
          <w:rFonts w:ascii="Times New Roman" w:hAnsi="Times New Roman"/>
          <w:color w:val="000000" w:themeColor="text1"/>
          <w:sz w:val="24"/>
        </w:rPr>
        <w:t>Favors</w:t>
      </w:r>
      <w:r w:rsidR="00265F37" w:rsidRPr="00DD7575">
        <w:rPr>
          <w:rFonts w:ascii="Times New Roman" w:hAnsi="Times New Roman"/>
          <w:color w:val="000000" w:themeColor="text1"/>
          <w:sz w:val="24"/>
        </w:rPr>
        <w:t xml:space="preserve"> debt and equity financing, lowering its cost of capital without losing stability and flexibility</w:t>
      </w:r>
      <w:r w:rsidR="00251163">
        <w:rPr>
          <w:rFonts w:ascii="Times New Roman" w:hAnsi="Times New Roman"/>
          <w:color w:val="000000" w:themeColor="text1"/>
          <w:sz w:val="24"/>
        </w:rPr>
        <w:t xml:space="preserve"> </w:t>
      </w:r>
      <w:r w:rsidR="00676643" w:rsidRPr="00FC4F13">
        <w:rPr>
          <w:rFonts w:ascii="Times New Roman" w:hAnsi="Times New Roman"/>
          <w:b/>
          <w:bCs/>
          <w:color w:val="000000" w:themeColor="text1"/>
          <w:sz w:val="24"/>
        </w:rPr>
        <w:t>(</w:t>
      </w:r>
      <w:r w:rsidR="00676643" w:rsidRPr="00FC4F13">
        <w:rPr>
          <w:rFonts w:ascii="Times New Roman" w:hAnsi="Times New Roman"/>
          <w:b/>
          <w:bCs/>
          <w:color w:val="000000" w:themeColor="text1"/>
          <w:sz w:val="24"/>
          <w:lang w:val="en-US"/>
        </w:rPr>
        <w:t>Shinkevich, Kudryavtseva, and Samarina,2023</w:t>
      </w:r>
      <w:r w:rsidR="00676643" w:rsidRPr="00FC4F13">
        <w:rPr>
          <w:rFonts w:ascii="Times New Roman" w:hAnsi="Times New Roman"/>
          <w:b/>
          <w:bCs/>
          <w:color w:val="000000" w:themeColor="text1"/>
          <w:sz w:val="24"/>
        </w:rPr>
        <w:t>).</w:t>
      </w:r>
    </w:p>
    <w:p w14:paraId="68C72BE5" w14:textId="77777777" w:rsidR="00265F37" w:rsidRPr="00DD7575" w:rsidRDefault="00265F37" w:rsidP="00853AEC">
      <w:pPr>
        <w:spacing w:before="240" w:line="360" w:lineRule="auto"/>
        <w:jc w:val="both"/>
        <w:rPr>
          <w:rFonts w:ascii="Times New Roman" w:hAnsi="Times New Roman"/>
          <w:color w:val="000000" w:themeColor="text1"/>
          <w:sz w:val="24"/>
          <w:highlight w:val="yellow"/>
          <w:lang w:val="en-US"/>
        </w:rPr>
      </w:pPr>
      <w:r w:rsidRPr="00DD7575">
        <w:rPr>
          <w:rFonts w:ascii="Times New Roman" w:hAnsi="Times New Roman"/>
          <w:color w:val="000000" w:themeColor="text1"/>
          <w:sz w:val="24"/>
        </w:rPr>
        <w:t xml:space="preserve">Walmart's capital structure is also influenced by its growth plan, investment possibilities, and cash flow. The going concern capital helps the organization overcome financial issues from e-commerce platform, technology, and foreign growth investments. Walmart's capital structure combines debt and equity to support growth projects while reducing financial risk </w:t>
      </w:r>
      <w:r w:rsidR="006C0AF2" w:rsidRPr="00DD7575">
        <w:rPr>
          <w:rFonts w:ascii="Times New Roman" w:hAnsi="Times New Roman"/>
          <w:color w:val="000000" w:themeColor="text1"/>
          <w:sz w:val="24"/>
          <w:lang w:val="en-US"/>
        </w:rPr>
        <w:t>(Ye and Kulathunga, 2019).</w:t>
      </w:r>
    </w:p>
    <w:p w14:paraId="3BEBE8D4" w14:textId="565A4D7E" w:rsidR="00BD7857" w:rsidRPr="00FC4F13" w:rsidRDefault="00884DFD" w:rsidP="00853AEC">
      <w:pPr>
        <w:spacing w:before="240" w:line="360" w:lineRule="auto"/>
        <w:jc w:val="both"/>
        <w:rPr>
          <w:rFonts w:ascii="Times New Roman" w:hAnsi="Times New Roman" w:cs="Times New Roman"/>
          <w:b/>
          <w:bCs/>
          <w:color w:val="000000" w:themeColor="text1"/>
          <w:sz w:val="24"/>
          <w:szCs w:val="24"/>
          <w:lang w:val="en-US"/>
        </w:rPr>
      </w:pPr>
      <w:r w:rsidRPr="00DD7575">
        <w:rPr>
          <w:rFonts w:ascii="Times New Roman" w:hAnsi="Times New Roman"/>
          <w:color w:val="000000" w:themeColor="text1"/>
          <w:sz w:val="24"/>
        </w:rPr>
        <w:t>I</w:t>
      </w:r>
      <w:r w:rsidR="00265F37" w:rsidRPr="00DD7575">
        <w:rPr>
          <w:rFonts w:ascii="Times New Roman" w:hAnsi="Times New Roman"/>
          <w:color w:val="000000" w:themeColor="text1"/>
          <w:sz w:val="24"/>
        </w:rPr>
        <w:t xml:space="preserve">n summary, the M&amp;M argument states that capital structure decisions would not matter in a perfect-market capital environment, but Walmart's capital structure reflects its reality and strategic ambitions. Walmart's capital architecture and the most evident link between theory and practice in corporate finance are explained by the M&amp;M theorem. Ultimately, Walmart's capital structure </w:t>
      </w:r>
      <w:r w:rsidR="00265F37" w:rsidRPr="00DD7575">
        <w:rPr>
          <w:rFonts w:ascii="Times New Roman" w:hAnsi="Times New Roman"/>
          <w:color w:val="000000" w:themeColor="text1"/>
          <w:sz w:val="24"/>
        </w:rPr>
        <w:lastRenderedPageBreak/>
        <w:t>creates investor value while navigating a dynamic and competitive business environment</w:t>
      </w:r>
      <w:r w:rsidR="00FC4F13">
        <w:rPr>
          <w:rFonts w:ascii="Times New Roman" w:hAnsi="Times New Roman"/>
          <w:color w:val="000000" w:themeColor="text1"/>
          <w:sz w:val="24"/>
        </w:rPr>
        <w:t xml:space="preserve"> </w:t>
      </w:r>
      <w:r w:rsidR="00676643" w:rsidRPr="00FC4F13">
        <w:rPr>
          <w:rFonts w:ascii="Times New Roman" w:hAnsi="Times New Roman"/>
          <w:b/>
          <w:bCs/>
          <w:color w:val="000000" w:themeColor="text1"/>
          <w:sz w:val="24"/>
        </w:rPr>
        <w:t>(</w:t>
      </w:r>
      <w:r w:rsidR="00676643" w:rsidRPr="00FC4F13">
        <w:rPr>
          <w:rFonts w:ascii="Times New Roman" w:hAnsi="Times New Roman"/>
          <w:b/>
          <w:bCs/>
          <w:color w:val="000000" w:themeColor="text1"/>
          <w:sz w:val="24"/>
          <w:lang w:val="en-US"/>
        </w:rPr>
        <w:t xml:space="preserve">Block, </w:t>
      </w:r>
      <w:proofErr w:type="spellStart"/>
      <w:r w:rsidR="00676643" w:rsidRPr="00FC4F13">
        <w:rPr>
          <w:rFonts w:ascii="Times New Roman" w:hAnsi="Times New Roman"/>
          <w:b/>
          <w:bCs/>
          <w:color w:val="000000" w:themeColor="text1"/>
          <w:sz w:val="24"/>
          <w:lang w:val="en-US"/>
        </w:rPr>
        <w:t>Hirtand</w:t>
      </w:r>
      <w:proofErr w:type="spellEnd"/>
      <w:r w:rsidR="00676643" w:rsidRPr="00FC4F13">
        <w:rPr>
          <w:rFonts w:ascii="Times New Roman" w:hAnsi="Times New Roman"/>
          <w:b/>
          <w:bCs/>
          <w:color w:val="000000" w:themeColor="text1"/>
          <w:sz w:val="24"/>
          <w:lang w:val="en-US"/>
        </w:rPr>
        <w:t xml:space="preserve"> Danielsen, 2023</w:t>
      </w:r>
      <w:r w:rsidR="00676643" w:rsidRPr="00FC4F13">
        <w:rPr>
          <w:rFonts w:ascii="Times New Roman" w:hAnsi="Times New Roman"/>
          <w:b/>
          <w:bCs/>
          <w:color w:val="000000" w:themeColor="text1"/>
          <w:sz w:val="24"/>
        </w:rPr>
        <w:t>)</w:t>
      </w:r>
      <w:r w:rsidR="00265F37" w:rsidRPr="00FC4F13">
        <w:rPr>
          <w:rFonts w:ascii="Times New Roman" w:hAnsi="Times New Roman"/>
          <w:b/>
          <w:bCs/>
          <w:color w:val="000000" w:themeColor="text1"/>
          <w:sz w:val="24"/>
        </w:rPr>
        <w:t>.</w:t>
      </w:r>
    </w:p>
    <w:p w14:paraId="644FD16C" w14:textId="77777777" w:rsidR="00BD7857" w:rsidRPr="00DD7575" w:rsidRDefault="00FB086A" w:rsidP="00FC4F13">
      <w:pPr>
        <w:pStyle w:val="Heading2"/>
      </w:pPr>
      <w:bookmarkStart w:id="14" w:name="_Toc164810562"/>
      <w:r w:rsidRPr="00DD7575">
        <w:t>f) Share Price Performance</w:t>
      </w:r>
      <w:bookmarkEnd w:id="14"/>
    </w:p>
    <w:tbl>
      <w:tblPr>
        <w:tblStyle w:val="TableGrid"/>
        <w:tblW w:w="0" w:type="auto"/>
        <w:jc w:val="center"/>
        <w:tblLook w:val="04A0" w:firstRow="1" w:lastRow="0" w:firstColumn="1" w:lastColumn="0" w:noHBand="0" w:noVBand="1"/>
      </w:tblPr>
      <w:tblGrid>
        <w:gridCol w:w="1360"/>
        <w:gridCol w:w="2620"/>
        <w:gridCol w:w="2580"/>
      </w:tblGrid>
      <w:tr w:rsidR="00DD7575" w:rsidRPr="00DD7575" w14:paraId="14A148F6" w14:textId="77777777" w:rsidTr="00C82644">
        <w:trPr>
          <w:trHeight w:val="288"/>
          <w:jc w:val="center"/>
        </w:trPr>
        <w:tc>
          <w:tcPr>
            <w:tcW w:w="1360" w:type="dxa"/>
            <w:noWrap/>
            <w:hideMark/>
          </w:tcPr>
          <w:p w14:paraId="65221637" w14:textId="77777777" w:rsidR="00C82644" w:rsidRPr="00DD7575" w:rsidRDefault="00C82644" w:rsidP="00853AEC">
            <w:pPr>
              <w:spacing w:line="360" w:lineRule="auto"/>
              <w:jc w:val="center"/>
              <w:rPr>
                <w:rFonts w:ascii="Times New Roman" w:hAnsi="Times New Roman" w:cs="Times New Roman"/>
                <w:b/>
                <w:bCs/>
                <w:color w:val="000000" w:themeColor="text1"/>
                <w:sz w:val="24"/>
                <w:szCs w:val="24"/>
                <w:lang w:val="en-US"/>
              </w:rPr>
            </w:pPr>
            <w:r w:rsidRPr="00DD7575">
              <w:rPr>
                <w:rFonts w:ascii="Times New Roman" w:hAnsi="Times New Roman" w:cs="Times New Roman"/>
                <w:b/>
                <w:bCs/>
                <w:color w:val="000000" w:themeColor="text1"/>
                <w:sz w:val="24"/>
                <w:szCs w:val="24"/>
              </w:rPr>
              <w:t>Row Labels</w:t>
            </w:r>
          </w:p>
        </w:tc>
        <w:tc>
          <w:tcPr>
            <w:tcW w:w="2620" w:type="dxa"/>
            <w:noWrap/>
            <w:hideMark/>
          </w:tcPr>
          <w:p w14:paraId="67BB3117" w14:textId="77777777" w:rsidR="00C82644" w:rsidRPr="00DD7575" w:rsidRDefault="00C8264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Average of Walmart Return</w:t>
            </w:r>
          </w:p>
        </w:tc>
        <w:tc>
          <w:tcPr>
            <w:tcW w:w="2580" w:type="dxa"/>
            <w:noWrap/>
            <w:hideMark/>
          </w:tcPr>
          <w:p w14:paraId="13573BE4" w14:textId="77777777" w:rsidR="00C82644" w:rsidRPr="00DD7575" w:rsidRDefault="00C8264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Average of Amazon Return</w:t>
            </w:r>
          </w:p>
        </w:tc>
      </w:tr>
      <w:tr w:rsidR="00DD7575" w:rsidRPr="00DD7575" w14:paraId="7E6E01F9" w14:textId="77777777" w:rsidTr="00C82644">
        <w:trPr>
          <w:trHeight w:val="288"/>
          <w:jc w:val="center"/>
        </w:trPr>
        <w:tc>
          <w:tcPr>
            <w:tcW w:w="1360" w:type="dxa"/>
            <w:noWrap/>
            <w:hideMark/>
          </w:tcPr>
          <w:p w14:paraId="0A78C283" w14:textId="77777777" w:rsidR="00C82644" w:rsidRPr="00DD7575" w:rsidRDefault="00C8264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2019</w:t>
            </w:r>
          </w:p>
        </w:tc>
        <w:tc>
          <w:tcPr>
            <w:tcW w:w="2620" w:type="dxa"/>
            <w:noWrap/>
            <w:hideMark/>
          </w:tcPr>
          <w:p w14:paraId="55CAD775" w14:textId="77777777" w:rsidR="00C82644" w:rsidRPr="00DD7575" w:rsidRDefault="00C8264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2.062872392</w:t>
            </w:r>
          </w:p>
        </w:tc>
        <w:tc>
          <w:tcPr>
            <w:tcW w:w="2580" w:type="dxa"/>
            <w:noWrap/>
            <w:hideMark/>
          </w:tcPr>
          <w:p w14:paraId="61B8825D" w14:textId="77777777" w:rsidR="00C82644" w:rsidRPr="00DD7575" w:rsidRDefault="00C8264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2.19356063</w:t>
            </w:r>
          </w:p>
        </w:tc>
      </w:tr>
      <w:tr w:rsidR="00DD7575" w:rsidRPr="00DD7575" w14:paraId="4DC82234" w14:textId="77777777" w:rsidTr="00C82644">
        <w:trPr>
          <w:trHeight w:val="288"/>
          <w:jc w:val="center"/>
        </w:trPr>
        <w:tc>
          <w:tcPr>
            <w:tcW w:w="1360" w:type="dxa"/>
            <w:noWrap/>
            <w:hideMark/>
          </w:tcPr>
          <w:p w14:paraId="5D4EA5A4" w14:textId="77777777" w:rsidR="00C82644" w:rsidRPr="00DD7575" w:rsidRDefault="00C8264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2020</w:t>
            </w:r>
          </w:p>
        </w:tc>
        <w:tc>
          <w:tcPr>
            <w:tcW w:w="2620" w:type="dxa"/>
            <w:noWrap/>
            <w:hideMark/>
          </w:tcPr>
          <w:p w14:paraId="2D356BE8" w14:textId="77777777" w:rsidR="00C82644" w:rsidRPr="00DD7575" w:rsidRDefault="00C8264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1.545186613</w:t>
            </w:r>
          </w:p>
        </w:tc>
        <w:tc>
          <w:tcPr>
            <w:tcW w:w="2580" w:type="dxa"/>
            <w:noWrap/>
            <w:hideMark/>
          </w:tcPr>
          <w:p w14:paraId="75796943" w14:textId="77777777" w:rsidR="00C82644" w:rsidRPr="00DD7575" w:rsidRDefault="00C8264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5.169753195</w:t>
            </w:r>
          </w:p>
        </w:tc>
      </w:tr>
      <w:tr w:rsidR="00DD7575" w:rsidRPr="00DD7575" w14:paraId="523A9CB3" w14:textId="77777777" w:rsidTr="00C82644">
        <w:trPr>
          <w:trHeight w:val="288"/>
          <w:jc w:val="center"/>
        </w:trPr>
        <w:tc>
          <w:tcPr>
            <w:tcW w:w="1360" w:type="dxa"/>
            <w:noWrap/>
            <w:hideMark/>
          </w:tcPr>
          <w:p w14:paraId="11D51044" w14:textId="77777777" w:rsidR="00C82644" w:rsidRPr="00DD7575" w:rsidRDefault="00C8264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2021</w:t>
            </w:r>
          </w:p>
        </w:tc>
        <w:tc>
          <w:tcPr>
            <w:tcW w:w="2620" w:type="dxa"/>
            <w:noWrap/>
            <w:hideMark/>
          </w:tcPr>
          <w:p w14:paraId="35DDBF58" w14:textId="77777777" w:rsidR="00C82644" w:rsidRPr="00DD7575" w:rsidRDefault="00C8264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0.021925893</w:t>
            </w:r>
          </w:p>
        </w:tc>
        <w:tc>
          <w:tcPr>
            <w:tcW w:w="2580" w:type="dxa"/>
            <w:noWrap/>
            <w:hideMark/>
          </w:tcPr>
          <w:p w14:paraId="1702671E" w14:textId="77777777" w:rsidR="00C82644" w:rsidRPr="00DD7575" w:rsidRDefault="00C8264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-0.217799486</w:t>
            </w:r>
          </w:p>
        </w:tc>
      </w:tr>
      <w:tr w:rsidR="00DD7575" w:rsidRPr="00DD7575" w14:paraId="77D8D7C0" w14:textId="77777777" w:rsidTr="00C82644">
        <w:trPr>
          <w:trHeight w:val="288"/>
          <w:jc w:val="center"/>
        </w:trPr>
        <w:tc>
          <w:tcPr>
            <w:tcW w:w="1360" w:type="dxa"/>
            <w:noWrap/>
            <w:hideMark/>
          </w:tcPr>
          <w:p w14:paraId="2D9A5EB6" w14:textId="77777777" w:rsidR="00C82644" w:rsidRPr="00DD7575" w:rsidRDefault="00C8264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2022</w:t>
            </w:r>
          </w:p>
        </w:tc>
        <w:tc>
          <w:tcPr>
            <w:tcW w:w="2620" w:type="dxa"/>
            <w:noWrap/>
            <w:hideMark/>
          </w:tcPr>
          <w:p w14:paraId="1630443C" w14:textId="77777777" w:rsidR="00C82644" w:rsidRPr="00DD7575" w:rsidRDefault="00C8264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0.005340165</w:t>
            </w:r>
          </w:p>
        </w:tc>
        <w:tc>
          <w:tcPr>
            <w:tcW w:w="2580" w:type="dxa"/>
            <w:noWrap/>
            <w:hideMark/>
          </w:tcPr>
          <w:p w14:paraId="54B67CA6" w14:textId="77777777" w:rsidR="00C82644" w:rsidRPr="00DD7575" w:rsidRDefault="00C8264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-5.05192268</w:t>
            </w:r>
          </w:p>
        </w:tc>
      </w:tr>
      <w:tr w:rsidR="00DD7575" w:rsidRPr="00DD7575" w14:paraId="03131383" w14:textId="77777777" w:rsidTr="00C82644">
        <w:trPr>
          <w:trHeight w:val="288"/>
          <w:jc w:val="center"/>
        </w:trPr>
        <w:tc>
          <w:tcPr>
            <w:tcW w:w="1360" w:type="dxa"/>
            <w:noWrap/>
            <w:hideMark/>
          </w:tcPr>
          <w:p w14:paraId="54D9CCB9" w14:textId="77777777" w:rsidR="00C82644" w:rsidRPr="00DD7575" w:rsidRDefault="00C8264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2023</w:t>
            </w:r>
          </w:p>
        </w:tc>
        <w:tc>
          <w:tcPr>
            <w:tcW w:w="2620" w:type="dxa"/>
            <w:noWrap/>
            <w:hideMark/>
          </w:tcPr>
          <w:p w14:paraId="428FA54E" w14:textId="77777777" w:rsidR="00C82644" w:rsidRPr="00DD7575" w:rsidRDefault="00C8264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0.988287093</w:t>
            </w:r>
          </w:p>
        </w:tc>
        <w:tc>
          <w:tcPr>
            <w:tcW w:w="2580" w:type="dxa"/>
            <w:noWrap/>
            <w:hideMark/>
          </w:tcPr>
          <w:p w14:paraId="1BC581D9" w14:textId="77777777" w:rsidR="00C82644" w:rsidRPr="00DD7575" w:rsidRDefault="00C82644" w:rsidP="00853AEC">
            <w:pPr>
              <w:spacing w:line="360" w:lineRule="auto"/>
              <w:jc w:val="center"/>
              <w:rPr>
                <w:rFonts w:ascii="Times New Roman" w:hAnsi="Times New Roman" w:cs="Times New Roman"/>
                <w:color w:val="000000" w:themeColor="text1"/>
                <w:sz w:val="24"/>
                <w:szCs w:val="24"/>
              </w:rPr>
            </w:pPr>
            <w:r w:rsidRPr="00DD7575">
              <w:rPr>
                <w:rFonts w:ascii="Times New Roman" w:hAnsi="Times New Roman" w:cs="Times New Roman"/>
                <w:color w:val="000000" w:themeColor="text1"/>
                <w:sz w:val="24"/>
                <w:szCs w:val="24"/>
              </w:rPr>
              <w:t>5.247171799</w:t>
            </w:r>
          </w:p>
        </w:tc>
      </w:tr>
      <w:tr w:rsidR="00C82644" w:rsidRPr="00DD7575" w14:paraId="6E39C4B5" w14:textId="77777777" w:rsidTr="00C82644">
        <w:trPr>
          <w:trHeight w:val="288"/>
          <w:jc w:val="center"/>
        </w:trPr>
        <w:tc>
          <w:tcPr>
            <w:tcW w:w="1360" w:type="dxa"/>
            <w:noWrap/>
            <w:hideMark/>
          </w:tcPr>
          <w:p w14:paraId="0DE04C7A" w14:textId="77777777" w:rsidR="00C82644" w:rsidRPr="00DD7575" w:rsidRDefault="00C8264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Grand Total</w:t>
            </w:r>
          </w:p>
        </w:tc>
        <w:tc>
          <w:tcPr>
            <w:tcW w:w="2620" w:type="dxa"/>
            <w:noWrap/>
            <w:hideMark/>
          </w:tcPr>
          <w:p w14:paraId="70E2AD86" w14:textId="77777777" w:rsidR="00C82644" w:rsidRPr="00DD7575" w:rsidRDefault="00C8264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0.924722431</w:t>
            </w:r>
          </w:p>
        </w:tc>
        <w:tc>
          <w:tcPr>
            <w:tcW w:w="2580" w:type="dxa"/>
            <w:noWrap/>
            <w:hideMark/>
          </w:tcPr>
          <w:p w14:paraId="4327F048" w14:textId="77777777" w:rsidR="00C82644" w:rsidRPr="00DD7575" w:rsidRDefault="00C82644" w:rsidP="00853AEC">
            <w:pPr>
              <w:spacing w:line="360" w:lineRule="auto"/>
              <w:jc w:val="center"/>
              <w:rPr>
                <w:rFonts w:ascii="Times New Roman" w:hAnsi="Times New Roman" w:cs="Times New Roman"/>
                <w:b/>
                <w:bCs/>
                <w:color w:val="000000" w:themeColor="text1"/>
                <w:sz w:val="24"/>
                <w:szCs w:val="24"/>
              </w:rPr>
            </w:pPr>
            <w:r w:rsidRPr="00DD7575">
              <w:rPr>
                <w:rFonts w:ascii="Times New Roman" w:hAnsi="Times New Roman" w:cs="Times New Roman"/>
                <w:b/>
                <w:bCs/>
                <w:color w:val="000000" w:themeColor="text1"/>
                <w:sz w:val="24"/>
                <w:szCs w:val="24"/>
              </w:rPr>
              <w:t>1.468152691</w:t>
            </w:r>
          </w:p>
        </w:tc>
      </w:tr>
    </w:tbl>
    <w:p w14:paraId="393C49B1" w14:textId="77777777" w:rsidR="00F67FB2" w:rsidRPr="00DD7575" w:rsidRDefault="00F67FB2" w:rsidP="00853AEC">
      <w:pPr>
        <w:spacing w:line="360" w:lineRule="auto"/>
        <w:jc w:val="center"/>
        <w:rPr>
          <w:color w:val="000000" w:themeColor="text1"/>
          <w:lang w:val="en-US"/>
        </w:rPr>
      </w:pPr>
    </w:p>
    <w:p w14:paraId="58E3E18B" w14:textId="77777777" w:rsidR="00F67FB2" w:rsidRPr="00DD7575" w:rsidRDefault="00F67FB2" w:rsidP="00853AEC">
      <w:pPr>
        <w:pStyle w:val="Heading5"/>
        <w:rPr>
          <w:lang w:val="en-US"/>
        </w:rPr>
      </w:pPr>
      <w:bookmarkStart w:id="15" w:name="_Toc164253190"/>
      <w:r w:rsidRPr="00DD7575">
        <w:rPr>
          <w:lang w:val="en-US"/>
        </w:rPr>
        <w:t>Table 2: Share Price Performance</w:t>
      </w:r>
      <w:bookmarkEnd w:id="15"/>
    </w:p>
    <w:p w14:paraId="39506DF5" w14:textId="77777777" w:rsidR="00F67FB2" w:rsidRPr="00DD7575" w:rsidRDefault="00F67FB2" w:rsidP="00853AEC">
      <w:pPr>
        <w:spacing w:before="240" w:line="360" w:lineRule="auto"/>
        <w:jc w:val="center"/>
        <w:rPr>
          <w:rFonts w:ascii="Times New Roman" w:hAnsi="Times New Roman" w:cs="Times New Roman"/>
          <w:bCs/>
          <w:color w:val="000000" w:themeColor="text1"/>
          <w:sz w:val="24"/>
          <w:szCs w:val="24"/>
          <w:lang w:val="en-US"/>
        </w:rPr>
      </w:pPr>
      <w:r w:rsidRPr="00DD7575">
        <w:rPr>
          <w:rFonts w:ascii="Times New Roman" w:hAnsi="Times New Roman" w:cs="Times New Roman"/>
          <w:bCs/>
          <w:color w:val="000000" w:themeColor="text1"/>
          <w:sz w:val="24"/>
          <w:szCs w:val="24"/>
          <w:lang w:val="en-US"/>
        </w:rPr>
        <w:t>(Source: Refer to Excel)</w:t>
      </w:r>
    </w:p>
    <w:p w14:paraId="5D972F63" w14:textId="77777777" w:rsidR="00BD7857" w:rsidRPr="00DD7575" w:rsidRDefault="00BD7857" w:rsidP="00853AEC">
      <w:pPr>
        <w:spacing w:before="240" w:line="360" w:lineRule="auto"/>
        <w:jc w:val="both"/>
        <w:rPr>
          <w:rFonts w:ascii="Times New Roman" w:hAnsi="Times New Roman" w:cs="Times New Roman"/>
          <w:color w:val="000000" w:themeColor="text1"/>
          <w:sz w:val="24"/>
          <w:szCs w:val="24"/>
          <w:lang w:val="en-US"/>
        </w:rPr>
      </w:pPr>
      <w:r w:rsidRPr="00DD7575">
        <w:rPr>
          <w:rFonts w:ascii="Times New Roman" w:hAnsi="Times New Roman"/>
          <w:color w:val="000000" w:themeColor="text1"/>
          <w:sz w:val="24"/>
        </w:rPr>
        <w:t>The analysis of the Walmart and Amazon share price reflects the significant trends of the average annual return of the stocks over the last five years.</w:t>
      </w:r>
    </w:p>
    <w:p w14:paraId="0C01CB93" w14:textId="615BB9A2" w:rsidR="00BD7857" w:rsidRPr="00DD7575" w:rsidRDefault="00BD7857" w:rsidP="00853AEC">
      <w:pPr>
        <w:spacing w:before="240" w:line="360" w:lineRule="auto"/>
        <w:jc w:val="both"/>
        <w:rPr>
          <w:rFonts w:ascii="Times New Roman" w:hAnsi="Times New Roman"/>
          <w:color w:val="000000" w:themeColor="text1"/>
          <w:sz w:val="24"/>
          <w:lang w:val="en-US"/>
        </w:rPr>
      </w:pPr>
      <w:r w:rsidRPr="00DD7575">
        <w:rPr>
          <w:rFonts w:ascii="Times New Roman" w:hAnsi="Times New Roman"/>
          <w:color w:val="000000" w:themeColor="text1"/>
          <w:sz w:val="24"/>
        </w:rPr>
        <w:t>By 2019, the average annual return to Walmart was around 2.06%, but Amazon's was slightly better, about 2.19%.What is even more impressive is in 2020, Amazon demonstrated an increase in average annual return that reached 5.17% whereas Walmart's return dropped down to 1.55%. This substantial variation in returns could be ascribed to Amazon's outstanding performance during the COVID-19 pandemic that was based on substantial online orders and demand for its cloud computing services</w:t>
      </w:r>
      <w:r w:rsidR="00FC4F13">
        <w:rPr>
          <w:rFonts w:ascii="Times New Roman" w:hAnsi="Times New Roman"/>
          <w:color w:val="000000" w:themeColor="text1"/>
          <w:sz w:val="24"/>
        </w:rPr>
        <w:t xml:space="preserve"> </w:t>
      </w:r>
      <w:r w:rsidR="00F300F3" w:rsidRPr="00FC4F13">
        <w:rPr>
          <w:rFonts w:ascii="Times New Roman" w:hAnsi="Times New Roman"/>
          <w:b/>
          <w:bCs/>
          <w:color w:val="000000" w:themeColor="text1"/>
          <w:sz w:val="24"/>
          <w:lang w:val="en-US"/>
        </w:rPr>
        <w:t>(Amazon, 2023)</w:t>
      </w:r>
      <w:r w:rsidRPr="00FC4F13">
        <w:rPr>
          <w:rFonts w:ascii="Times New Roman" w:hAnsi="Times New Roman"/>
          <w:b/>
          <w:bCs/>
          <w:color w:val="000000" w:themeColor="text1"/>
          <w:sz w:val="24"/>
        </w:rPr>
        <w:t>.</w:t>
      </w:r>
    </w:p>
    <w:p w14:paraId="3BEB7B61" w14:textId="16ED540C" w:rsidR="00BD7857" w:rsidRPr="00DD7575" w:rsidRDefault="00BD7857" w:rsidP="00853AEC">
      <w:pPr>
        <w:spacing w:before="240" w:line="360" w:lineRule="auto"/>
        <w:jc w:val="both"/>
        <w:rPr>
          <w:rFonts w:ascii="Times New Roman" w:hAnsi="Times New Roman" w:cs="Times New Roman"/>
          <w:color w:val="000000" w:themeColor="text1"/>
          <w:sz w:val="24"/>
          <w:szCs w:val="24"/>
          <w:lang w:val="en-US"/>
        </w:rPr>
      </w:pPr>
      <w:r w:rsidRPr="00DD7575">
        <w:rPr>
          <w:rFonts w:ascii="Times New Roman" w:hAnsi="Times New Roman"/>
          <w:color w:val="000000" w:themeColor="text1"/>
          <w:sz w:val="24"/>
        </w:rPr>
        <w:t>Subsequently the years highlighted the ups and down of annual returns of both companies. In 2021, Walmart's ROA was much better than that of Amazon, by 0.02% vs -0.22%. Besides, in 2022, both of them were confronted with challenges, as the return for Walmart was 0.005% and Amazon experienced a notable decrease in value that is -5.05%</w:t>
      </w:r>
      <w:r w:rsidR="00FC4F13">
        <w:rPr>
          <w:rFonts w:ascii="Times New Roman" w:hAnsi="Times New Roman"/>
          <w:color w:val="000000" w:themeColor="text1"/>
          <w:sz w:val="24"/>
        </w:rPr>
        <w:t xml:space="preserve"> </w:t>
      </w:r>
      <w:r w:rsidR="00F300F3" w:rsidRPr="00FC4F13">
        <w:rPr>
          <w:rFonts w:ascii="Times New Roman" w:hAnsi="Times New Roman"/>
          <w:b/>
          <w:bCs/>
          <w:color w:val="000000" w:themeColor="text1"/>
          <w:sz w:val="24"/>
          <w:lang w:val="en-US"/>
        </w:rPr>
        <w:t>(Amazon, 2023)</w:t>
      </w:r>
      <w:r w:rsidRPr="00FC4F13">
        <w:rPr>
          <w:rFonts w:ascii="Times New Roman" w:hAnsi="Times New Roman"/>
          <w:b/>
          <w:bCs/>
          <w:color w:val="000000" w:themeColor="text1"/>
          <w:sz w:val="24"/>
        </w:rPr>
        <w:t>.</w:t>
      </w:r>
    </w:p>
    <w:p w14:paraId="53E8FBD3" w14:textId="29BDFBD2" w:rsidR="00BD7857" w:rsidRPr="00DD7575" w:rsidRDefault="00BD7857" w:rsidP="00853AEC">
      <w:pPr>
        <w:spacing w:before="240" w:line="360" w:lineRule="auto"/>
        <w:jc w:val="both"/>
        <w:rPr>
          <w:rFonts w:ascii="Times New Roman" w:hAnsi="Times New Roman"/>
          <w:color w:val="000000" w:themeColor="text1"/>
          <w:sz w:val="24"/>
        </w:rPr>
      </w:pPr>
      <w:r w:rsidRPr="00DD7575">
        <w:rPr>
          <w:rFonts w:ascii="Times New Roman" w:hAnsi="Times New Roman"/>
          <w:color w:val="000000" w:themeColor="text1"/>
          <w:sz w:val="24"/>
        </w:rPr>
        <w:lastRenderedPageBreak/>
        <w:t>But in 2023, Walmart and Amazon successfully turned the situation around, with Walmart attaining a return of approximately 0.99% and Amazon witnessing strong performance with a return of 5.25%</w:t>
      </w:r>
      <w:r w:rsidR="00FC4F13">
        <w:rPr>
          <w:rFonts w:ascii="Times New Roman" w:hAnsi="Times New Roman"/>
          <w:color w:val="000000" w:themeColor="text1"/>
          <w:sz w:val="24"/>
        </w:rPr>
        <w:t xml:space="preserve"> </w:t>
      </w:r>
      <w:r w:rsidR="00E817D4" w:rsidRPr="00FC4F13">
        <w:rPr>
          <w:rFonts w:ascii="Times New Roman" w:hAnsi="Times New Roman"/>
          <w:b/>
          <w:bCs/>
          <w:color w:val="000000" w:themeColor="text1"/>
          <w:sz w:val="24"/>
        </w:rPr>
        <w:t>(</w:t>
      </w:r>
      <w:r w:rsidR="00E817D4" w:rsidRPr="00FC4F13">
        <w:rPr>
          <w:rFonts w:ascii="Times New Roman" w:hAnsi="Times New Roman"/>
          <w:b/>
          <w:bCs/>
          <w:color w:val="000000" w:themeColor="text1"/>
          <w:sz w:val="24"/>
          <w:lang w:val="en-US"/>
        </w:rPr>
        <w:t>Yahoo Finance 2024b</w:t>
      </w:r>
      <w:r w:rsidR="00E817D4" w:rsidRPr="00FC4F13">
        <w:rPr>
          <w:rFonts w:ascii="Times New Roman" w:hAnsi="Times New Roman"/>
          <w:b/>
          <w:bCs/>
          <w:color w:val="000000" w:themeColor="text1"/>
          <w:sz w:val="24"/>
        </w:rPr>
        <w:t>)</w:t>
      </w:r>
      <w:r w:rsidRPr="00FC4F13">
        <w:rPr>
          <w:rFonts w:ascii="Times New Roman" w:hAnsi="Times New Roman"/>
          <w:b/>
          <w:bCs/>
          <w:color w:val="000000" w:themeColor="text1"/>
          <w:sz w:val="24"/>
        </w:rPr>
        <w:t>.</w:t>
      </w:r>
    </w:p>
    <w:p w14:paraId="2C11A159" w14:textId="77777777" w:rsidR="00F67FB2" w:rsidRPr="00DD7575" w:rsidRDefault="00F67FB2" w:rsidP="00853AEC">
      <w:pPr>
        <w:spacing w:before="240" w:line="360" w:lineRule="auto"/>
        <w:jc w:val="center"/>
        <w:rPr>
          <w:rFonts w:ascii="Times New Roman" w:hAnsi="Times New Roman" w:cs="Times New Roman"/>
          <w:color w:val="000000" w:themeColor="text1"/>
          <w:sz w:val="24"/>
          <w:szCs w:val="24"/>
          <w:lang w:val="en-US"/>
        </w:rPr>
      </w:pPr>
      <w:r w:rsidRPr="00DD7575">
        <w:rPr>
          <w:rFonts w:ascii="Times New Roman" w:hAnsi="Times New Roman" w:cs="Times New Roman"/>
          <w:noProof/>
          <w:color w:val="000000" w:themeColor="text1"/>
          <w:sz w:val="24"/>
          <w:szCs w:val="24"/>
          <w:lang w:val="en-US"/>
        </w:rPr>
        <w:drawing>
          <wp:inline distT="0" distB="0" distL="0" distR="0" wp14:anchorId="0996C673" wp14:editId="7847DADA">
            <wp:extent cx="4358640" cy="2930379"/>
            <wp:effectExtent l="0" t="0" r="3810" b="3810"/>
            <wp:docPr id="2942413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62655" cy="2933078"/>
                    </a:xfrm>
                    <a:prstGeom prst="rect">
                      <a:avLst/>
                    </a:prstGeom>
                    <a:noFill/>
                  </pic:spPr>
                </pic:pic>
              </a:graphicData>
            </a:graphic>
          </wp:inline>
        </w:drawing>
      </w:r>
    </w:p>
    <w:p w14:paraId="3B67A90D" w14:textId="77777777" w:rsidR="00F67FB2" w:rsidRPr="00DD7575" w:rsidRDefault="00F67FB2" w:rsidP="00853AEC">
      <w:pPr>
        <w:pStyle w:val="Heading4"/>
        <w:rPr>
          <w:b w:val="0"/>
          <w:lang w:val="en-US"/>
        </w:rPr>
      </w:pPr>
      <w:bookmarkStart w:id="16" w:name="_Toc164253202"/>
      <w:r w:rsidRPr="00DD7575">
        <w:rPr>
          <w:lang w:val="en-US"/>
        </w:rPr>
        <w:t>Figure 1: Average Return Rates of Walmart and Amazon</w:t>
      </w:r>
      <w:bookmarkEnd w:id="16"/>
    </w:p>
    <w:p w14:paraId="12CD29C6" w14:textId="77777777" w:rsidR="00F67FB2" w:rsidRPr="00DD7575" w:rsidRDefault="00F67FB2" w:rsidP="00853AEC">
      <w:pPr>
        <w:spacing w:before="240" w:line="360" w:lineRule="auto"/>
        <w:jc w:val="center"/>
        <w:rPr>
          <w:rFonts w:ascii="Times New Roman" w:hAnsi="Times New Roman" w:cs="Times New Roman"/>
          <w:color w:val="000000" w:themeColor="text1"/>
          <w:sz w:val="24"/>
          <w:szCs w:val="24"/>
          <w:lang w:val="en-US"/>
        </w:rPr>
      </w:pPr>
      <w:r w:rsidRPr="00DD7575">
        <w:rPr>
          <w:rFonts w:ascii="Times New Roman" w:hAnsi="Times New Roman" w:cs="Times New Roman"/>
          <w:color w:val="000000" w:themeColor="text1"/>
          <w:sz w:val="24"/>
          <w:szCs w:val="24"/>
          <w:lang w:val="en-US"/>
        </w:rPr>
        <w:t>(Source: Refer to Excel)</w:t>
      </w:r>
    </w:p>
    <w:p w14:paraId="63C8406F" w14:textId="77777777" w:rsidR="00BD7857" w:rsidRPr="00DD7575" w:rsidRDefault="00BD7857" w:rsidP="00853AEC">
      <w:pPr>
        <w:spacing w:before="240" w:line="360" w:lineRule="auto"/>
        <w:jc w:val="both"/>
        <w:rPr>
          <w:rFonts w:ascii="Times New Roman" w:hAnsi="Times New Roman" w:cs="Times New Roman"/>
          <w:color w:val="000000" w:themeColor="text1"/>
          <w:sz w:val="24"/>
          <w:szCs w:val="24"/>
          <w:lang w:val="en-US"/>
        </w:rPr>
      </w:pPr>
      <w:r w:rsidRPr="00DD7575">
        <w:rPr>
          <w:rFonts w:ascii="Times New Roman" w:hAnsi="Times New Roman"/>
          <w:color w:val="000000" w:themeColor="text1"/>
          <w:sz w:val="24"/>
        </w:rPr>
        <w:t>Altogether, this analysis of the Average Return on Shares indicates the dynamism prevailing in the stock market and the factors that influence the financial performance of both Walmart and Amazon.</w:t>
      </w:r>
    </w:p>
    <w:p w14:paraId="145CC24F" w14:textId="78726840" w:rsidR="00BD7857" w:rsidRPr="00DD7575" w:rsidRDefault="00BD7857" w:rsidP="00853AEC">
      <w:pPr>
        <w:spacing w:before="240" w:line="360" w:lineRule="auto"/>
        <w:jc w:val="both"/>
        <w:rPr>
          <w:rFonts w:ascii="Times New Roman" w:hAnsi="Times New Roman"/>
          <w:color w:val="000000" w:themeColor="text1"/>
          <w:sz w:val="24"/>
          <w:lang w:val="en-US"/>
        </w:rPr>
      </w:pPr>
      <w:r w:rsidRPr="00DD7575">
        <w:rPr>
          <w:rFonts w:ascii="Times New Roman" w:hAnsi="Times New Roman"/>
          <w:color w:val="000000" w:themeColor="text1"/>
          <w:sz w:val="24"/>
        </w:rPr>
        <w:t>The bar graph shows the average returns of Walmart and Amazon in a time period of four years, most likely from 2020 to 2023. It is evident that during the whole period shown, on average, Amazon outperforms Walmart in terms of the average return rates. The y-axis here is the average return rate, while the x-axis shows year range</w:t>
      </w:r>
      <w:r w:rsidR="00FC4F13">
        <w:rPr>
          <w:rFonts w:ascii="Times New Roman" w:hAnsi="Times New Roman"/>
          <w:color w:val="000000" w:themeColor="text1"/>
          <w:sz w:val="24"/>
        </w:rPr>
        <w:t xml:space="preserve"> </w:t>
      </w:r>
      <w:r w:rsidR="00E817D4" w:rsidRPr="00FC4F13">
        <w:rPr>
          <w:rFonts w:ascii="Times New Roman" w:hAnsi="Times New Roman"/>
          <w:b/>
          <w:bCs/>
          <w:color w:val="000000" w:themeColor="text1"/>
          <w:sz w:val="24"/>
          <w:lang w:val="en-US"/>
        </w:rPr>
        <w:t>(Amazon, 2023)</w:t>
      </w:r>
      <w:r w:rsidRPr="00DD7575">
        <w:rPr>
          <w:rFonts w:ascii="Times New Roman" w:hAnsi="Times New Roman"/>
          <w:color w:val="000000" w:themeColor="text1"/>
          <w:sz w:val="24"/>
        </w:rPr>
        <w:t>. To begin with, the average return rate of Amazon keeps significantly higher than that of Walmart laying year on year.</w:t>
      </w:r>
    </w:p>
    <w:p w14:paraId="45971E53" w14:textId="58164B98" w:rsidR="00BD7857" w:rsidRPr="00DD7575" w:rsidRDefault="00A50ED7" w:rsidP="00853AEC">
      <w:pPr>
        <w:spacing w:before="240" w:line="360" w:lineRule="auto"/>
        <w:jc w:val="both"/>
        <w:rPr>
          <w:rFonts w:ascii="Times New Roman" w:hAnsi="Times New Roman" w:cs="Times New Roman"/>
          <w:color w:val="000000" w:themeColor="text1"/>
          <w:sz w:val="24"/>
          <w:szCs w:val="24"/>
          <w:lang w:val="en-US"/>
        </w:rPr>
      </w:pPr>
      <w:r w:rsidRPr="00DD7575">
        <w:rPr>
          <w:rFonts w:ascii="Times New Roman" w:hAnsi="Times New Roman"/>
          <w:color w:val="000000" w:themeColor="text1"/>
          <w:sz w:val="24"/>
        </w:rPr>
        <w:t>T</w:t>
      </w:r>
      <w:r w:rsidR="00BD7857" w:rsidRPr="00DD7575">
        <w:rPr>
          <w:rFonts w:ascii="Times New Roman" w:hAnsi="Times New Roman"/>
          <w:color w:val="000000" w:themeColor="text1"/>
          <w:sz w:val="24"/>
        </w:rPr>
        <w:t xml:space="preserve">hough the chart provides this information, it does not have information about why the returns or what kind of items they are returned. In addition, the omission of a scale on the y-side of the graph makes it impossible to get a proper magnitude by which Amazon's average return rate exceeds Walmart's return rate. Though these shortcomings are undeniable, the graph is successful in </w:t>
      </w:r>
      <w:r w:rsidR="00BD7857" w:rsidRPr="00DD7575">
        <w:rPr>
          <w:rFonts w:ascii="Times New Roman" w:hAnsi="Times New Roman"/>
          <w:color w:val="000000" w:themeColor="text1"/>
          <w:sz w:val="24"/>
        </w:rPr>
        <w:lastRenderedPageBreak/>
        <w:t>emphasizing the major gap in the average return rates of the two businesses with Amazon being more profitable than the others in the specified period</w:t>
      </w:r>
      <w:r w:rsidR="00FC4F13">
        <w:rPr>
          <w:rFonts w:ascii="Times New Roman" w:hAnsi="Times New Roman"/>
          <w:color w:val="000000" w:themeColor="text1"/>
          <w:sz w:val="24"/>
        </w:rPr>
        <w:t xml:space="preserve"> </w:t>
      </w:r>
      <w:r w:rsidR="00E817D4" w:rsidRPr="00FC4F13">
        <w:rPr>
          <w:rFonts w:ascii="Times New Roman" w:hAnsi="Times New Roman"/>
          <w:b/>
          <w:bCs/>
          <w:color w:val="000000" w:themeColor="text1"/>
          <w:sz w:val="24"/>
          <w:lang w:val="en-US"/>
        </w:rPr>
        <w:t>(Amazon, 2023)</w:t>
      </w:r>
      <w:r w:rsidR="00BD7857" w:rsidRPr="00FC4F13">
        <w:rPr>
          <w:rFonts w:ascii="Times New Roman" w:hAnsi="Times New Roman"/>
          <w:b/>
          <w:bCs/>
          <w:color w:val="000000" w:themeColor="text1"/>
          <w:sz w:val="24"/>
        </w:rPr>
        <w:t>.</w:t>
      </w:r>
    </w:p>
    <w:p w14:paraId="517336E2" w14:textId="77777777" w:rsidR="00FB086A" w:rsidRPr="00DD7575" w:rsidRDefault="00FB086A" w:rsidP="00FC4F13">
      <w:pPr>
        <w:pStyle w:val="Heading1"/>
        <w:rPr>
          <w:lang w:val="en-US"/>
        </w:rPr>
      </w:pPr>
      <w:bookmarkStart w:id="17" w:name="_Toc164810563"/>
      <w:r w:rsidRPr="00DD7575">
        <w:t>4. Analysis of Investment Activity</w:t>
      </w:r>
      <w:bookmarkEnd w:id="17"/>
    </w:p>
    <w:p w14:paraId="4C0D690C" w14:textId="77777777" w:rsidR="00BD7857" w:rsidRPr="00DD7575" w:rsidRDefault="00FB086A" w:rsidP="00FC4F13">
      <w:pPr>
        <w:pStyle w:val="Heading2"/>
        <w:rPr>
          <w:lang w:val="en-US"/>
        </w:rPr>
      </w:pPr>
      <w:bookmarkStart w:id="18" w:name="_Toc164810564"/>
      <w:r w:rsidRPr="00DD7575">
        <w:t>4.1. Walmart's largest recent investment activity over the past five years,</w:t>
      </w:r>
      <w:bookmarkEnd w:id="18"/>
    </w:p>
    <w:p w14:paraId="3983CF3F" w14:textId="77777777" w:rsidR="00265F37" w:rsidRPr="00DD7575" w:rsidRDefault="00265F37" w:rsidP="00853AEC">
      <w:pPr>
        <w:spacing w:line="360" w:lineRule="auto"/>
        <w:jc w:val="both"/>
        <w:rPr>
          <w:rFonts w:ascii="Times New Roman" w:eastAsia="Times New Roman" w:hAnsi="Times New Roman" w:cs="Times New Roman"/>
          <w:color w:val="000000" w:themeColor="text1"/>
          <w:kern w:val="0"/>
          <w:sz w:val="24"/>
          <w:szCs w:val="24"/>
          <w:lang w:val="en-US"/>
        </w:rPr>
      </w:pPr>
      <w:r w:rsidRPr="00DD7575">
        <w:rPr>
          <w:rFonts w:ascii="Times New Roman" w:hAnsi="Times New Roman"/>
          <w:color w:val="000000" w:themeColor="text1"/>
          <w:sz w:val="24"/>
        </w:rPr>
        <w:t xml:space="preserve">As stated by </w:t>
      </w:r>
      <w:r w:rsidR="00EA4C9C" w:rsidRPr="00DD7575">
        <w:rPr>
          <w:rFonts w:ascii="Times New Roman" w:eastAsia="Times New Roman" w:hAnsi="Times New Roman" w:cs="Times New Roman"/>
          <w:color w:val="000000" w:themeColor="text1"/>
          <w:kern w:val="0"/>
          <w:sz w:val="24"/>
          <w:szCs w:val="24"/>
          <w:lang w:val="en-US"/>
        </w:rPr>
        <w:t xml:space="preserve">Zhang and Jiang </w:t>
      </w:r>
      <w:r w:rsidR="00B903C7" w:rsidRPr="00DD7575">
        <w:rPr>
          <w:rFonts w:ascii="Times New Roman" w:eastAsia="Times New Roman" w:hAnsi="Times New Roman" w:cs="Times New Roman"/>
          <w:color w:val="000000" w:themeColor="text1"/>
          <w:kern w:val="0"/>
          <w:sz w:val="24"/>
          <w:szCs w:val="24"/>
          <w:lang w:val="en-US"/>
        </w:rPr>
        <w:t>(</w:t>
      </w:r>
      <w:r w:rsidR="00EA4C9C" w:rsidRPr="00DD7575">
        <w:rPr>
          <w:rFonts w:ascii="Times New Roman" w:eastAsia="Times New Roman" w:hAnsi="Times New Roman" w:cs="Times New Roman"/>
          <w:color w:val="000000" w:themeColor="text1"/>
          <w:kern w:val="0"/>
          <w:sz w:val="24"/>
          <w:szCs w:val="24"/>
          <w:lang w:val="en-US"/>
        </w:rPr>
        <w:t>2019</w:t>
      </w:r>
      <w:proofErr w:type="gramStart"/>
      <w:r w:rsidR="00EA4C9C" w:rsidRPr="00DD7575">
        <w:rPr>
          <w:rFonts w:ascii="Times New Roman" w:eastAsia="Times New Roman" w:hAnsi="Times New Roman" w:cs="Times New Roman"/>
          <w:color w:val="000000" w:themeColor="text1"/>
          <w:kern w:val="0"/>
          <w:sz w:val="24"/>
          <w:szCs w:val="24"/>
          <w:lang w:val="en-US"/>
        </w:rPr>
        <w:t>)</w:t>
      </w:r>
      <w:r w:rsidR="00B903C7" w:rsidRPr="00DD7575">
        <w:rPr>
          <w:rFonts w:ascii="Times New Roman" w:eastAsia="Times New Roman" w:hAnsi="Times New Roman" w:cs="Times New Roman"/>
          <w:color w:val="000000" w:themeColor="text1"/>
          <w:kern w:val="0"/>
          <w:sz w:val="24"/>
          <w:szCs w:val="24"/>
          <w:lang w:val="en-US"/>
        </w:rPr>
        <w:t>,</w:t>
      </w:r>
      <w:r w:rsidR="00EA4C9C" w:rsidRPr="00DD7575">
        <w:rPr>
          <w:rFonts w:ascii="Times New Roman" w:hAnsi="Times New Roman"/>
          <w:color w:val="000000" w:themeColor="text1"/>
          <w:sz w:val="24"/>
        </w:rPr>
        <w:t>i</w:t>
      </w:r>
      <w:r w:rsidRPr="00DD7575">
        <w:rPr>
          <w:rFonts w:ascii="Times New Roman" w:hAnsi="Times New Roman"/>
          <w:color w:val="000000" w:themeColor="text1"/>
          <w:sz w:val="24"/>
        </w:rPr>
        <w:t>n</w:t>
      </w:r>
      <w:proofErr w:type="gramEnd"/>
      <w:r w:rsidRPr="00DD7575">
        <w:rPr>
          <w:rFonts w:ascii="Times New Roman" w:hAnsi="Times New Roman"/>
          <w:color w:val="000000" w:themeColor="text1"/>
          <w:sz w:val="24"/>
        </w:rPr>
        <w:t xml:space="preserve"> recent years Walmart has invested heavily in e-commerce, strengthening its footprint there. Walmart has invested in acquisitions, strategic partnerships, and technological improvements to leverage on internet shopping and shifting consumer expectations. Walmart's investment plans show its determination to adapt to the changing retail market and become a digital leader.</w:t>
      </w:r>
    </w:p>
    <w:p w14:paraId="10B26E38" w14:textId="6A5EF93B" w:rsidR="00BD7857" w:rsidRPr="00DD7575" w:rsidRDefault="00265F37" w:rsidP="00853AEC">
      <w:pPr>
        <w:spacing w:before="240" w:line="360" w:lineRule="auto"/>
        <w:jc w:val="both"/>
        <w:rPr>
          <w:rFonts w:ascii="Times New Roman" w:hAnsi="Times New Roman"/>
          <w:color w:val="000000" w:themeColor="text1"/>
          <w:sz w:val="24"/>
        </w:rPr>
      </w:pPr>
      <w:r w:rsidRPr="00DD7575">
        <w:rPr>
          <w:rFonts w:ascii="Times New Roman" w:hAnsi="Times New Roman"/>
          <w:color w:val="000000" w:themeColor="text1"/>
          <w:sz w:val="24"/>
        </w:rPr>
        <w:t>Apart from this, investing in Flipkart reflects the company's aim to target high-growth developing regions and diversify its income sources. Apart from joining a booming consumer sector, the cooperation gains a competitive edge over other e-commerce businesses. In addition, its omni-channel integration approach recognizes the need of consistent customer experience across digital and physical channels, enabling it to compete strongly with other shops</w:t>
      </w:r>
      <w:r w:rsidR="00FC4F13">
        <w:rPr>
          <w:rFonts w:ascii="Times New Roman" w:hAnsi="Times New Roman"/>
          <w:color w:val="000000" w:themeColor="text1"/>
          <w:sz w:val="24"/>
        </w:rPr>
        <w:t xml:space="preserve"> </w:t>
      </w:r>
      <w:r w:rsidR="008C4668" w:rsidRPr="00DD7575">
        <w:rPr>
          <w:rFonts w:ascii="Times New Roman" w:hAnsi="Times New Roman"/>
          <w:color w:val="000000" w:themeColor="text1"/>
          <w:sz w:val="24"/>
        </w:rPr>
        <w:t>(</w:t>
      </w:r>
      <w:r w:rsidR="008C4668" w:rsidRPr="00FC4F13">
        <w:rPr>
          <w:rFonts w:ascii="Times New Roman" w:hAnsi="Times New Roman"/>
          <w:b/>
          <w:bCs/>
          <w:color w:val="000000" w:themeColor="text1"/>
          <w:sz w:val="24"/>
          <w:lang w:val="en-US"/>
        </w:rPr>
        <w:t xml:space="preserve">Block, </w:t>
      </w:r>
      <w:proofErr w:type="spellStart"/>
      <w:r w:rsidR="008C4668" w:rsidRPr="00FC4F13">
        <w:rPr>
          <w:rFonts w:ascii="Times New Roman" w:hAnsi="Times New Roman"/>
          <w:b/>
          <w:bCs/>
          <w:color w:val="000000" w:themeColor="text1"/>
          <w:sz w:val="24"/>
          <w:lang w:val="en-US"/>
        </w:rPr>
        <w:t>Hirtand</w:t>
      </w:r>
      <w:proofErr w:type="spellEnd"/>
      <w:r w:rsidR="008C4668" w:rsidRPr="00FC4F13">
        <w:rPr>
          <w:rFonts w:ascii="Times New Roman" w:hAnsi="Times New Roman"/>
          <w:b/>
          <w:bCs/>
          <w:color w:val="000000" w:themeColor="text1"/>
          <w:sz w:val="24"/>
          <w:lang w:val="en-US"/>
        </w:rPr>
        <w:t xml:space="preserve"> Danielsen,</w:t>
      </w:r>
      <w:r w:rsidR="008C4668" w:rsidRPr="00DD7575">
        <w:rPr>
          <w:rFonts w:ascii="Times New Roman" w:hAnsi="Times New Roman"/>
          <w:color w:val="000000" w:themeColor="text1"/>
          <w:sz w:val="24"/>
          <w:lang w:val="en-US"/>
        </w:rPr>
        <w:t xml:space="preserve"> </w:t>
      </w:r>
      <w:r w:rsidR="008C4668" w:rsidRPr="00FC4F13">
        <w:rPr>
          <w:rFonts w:ascii="Times New Roman" w:hAnsi="Times New Roman"/>
          <w:b/>
          <w:bCs/>
          <w:color w:val="000000" w:themeColor="text1"/>
          <w:sz w:val="24"/>
          <w:lang w:val="en-US"/>
        </w:rPr>
        <w:t>2023</w:t>
      </w:r>
      <w:r w:rsidR="008C4668" w:rsidRPr="00FC4F13">
        <w:rPr>
          <w:rFonts w:ascii="Times New Roman" w:hAnsi="Times New Roman"/>
          <w:b/>
          <w:bCs/>
          <w:color w:val="000000" w:themeColor="text1"/>
          <w:sz w:val="24"/>
        </w:rPr>
        <w:t>)</w:t>
      </w:r>
      <w:r w:rsidRPr="00DD7575">
        <w:rPr>
          <w:rFonts w:ascii="Times New Roman" w:hAnsi="Times New Roman"/>
          <w:color w:val="000000" w:themeColor="text1"/>
          <w:sz w:val="24"/>
        </w:rPr>
        <w:t>. Walmart's strategic e-commerce path in reaction to digitalization and rising global economic alternatives is obvious</w:t>
      </w:r>
      <w:r w:rsidR="00A50ED7" w:rsidRPr="00DD7575">
        <w:rPr>
          <w:rFonts w:ascii="Times New Roman" w:hAnsi="Times New Roman"/>
          <w:color w:val="000000" w:themeColor="text1"/>
          <w:sz w:val="24"/>
        </w:rPr>
        <w:t>.</w:t>
      </w:r>
    </w:p>
    <w:p w14:paraId="283B1504" w14:textId="77777777" w:rsidR="00BD7857" w:rsidRPr="00FC4F13" w:rsidRDefault="00FB086A" w:rsidP="00FC4F13">
      <w:pPr>
        <w:pStyle w:val="Heading2"/>
        <w:rPr>
          <w:lang w:val="en-US"/>
        </w:rPr>
      </w:pPr>
      <w:bookmarkStart w:id="19" w:name="_Toc164810565"/>
      <w:r w:rsidRPr="00FC4F13">
        <w:t>4.2. Covering its purpose</w:t>
      </w:r>
      <w:bookmarkEnd w:id="19"/>
    </w:p>
    <w:p w14:paraId="7DA1F68B" w14:textId="4960E7FD" w:rsidR="00BD7857" w:rsidRPr="00FC4F13" w:rsidRDefault="00CF05EE" w:rsidP="00BA3A78">
      <w:pPr>
        <w:spacing w:line="360" w:lineRule="auto"/>
        <w:rPr>
          <w:rFonts w:ascii="Times New Roman" w:hAnsi="Times New Roman" w:cs="Times New Roman"/>
          <w:b/>
          <w:bCs/>
          <w:sz w:val="24"/>
          <w:szCs w:val="24"/>
        </w:rPr>
      </w:pPr>
      <w:r w:rsidRPr="00CF05EE">
        <w:rPr>
          <w:rFonts w:ascii="Times New Roman" w:hAnsi="Times New Roman" w:cs="Times New Roman"/>
          <w:sz w:val="24"/>
          <w:szCs w:val="24"/>
        </w:rPr>
        <w:t>Over the last five years, Walmart has strategically invested in mergers and acquisitions to expand its presence in the growing retail market. One primary focus of these investments has been to enhance Walmart's capabilities in the e-commerce sector. With the increasing importance of online retail, Walmart has developed digital infrastructure, technological platforms, and logistics networks to support its e-commerce operations. These investments have enabled Walmart to compete with online giants like Amazon in e-commerce while adapting to consumers' shifting preferences towards online shopping</w:t>
      </w:r>
      <w:r w:rsidRPr="00FC4F13">
        <w:rPr>
          <w:rFonts w:ascii="Times New Roman" w:hAnsi="Times New Roman" w:cs="Times New Roman"/>
          <w:b/>
          <w:bCs/>
          <w:sz w:val="24"/>
          <w:szCs w:val="24"/>
        </w:rPr>
        <w:t>.</w:t>
      </w:r>
      <w:r w:rsidRPr="00FC4F13">
        <w:rPr>
          <w:rFonts w:ascii="Times New Roman" w:hAnsi="Times New Roman"/>
          <w:b/>
          <w:bCs/>
          <w:color w:val="000000" w:themeColor="text1"/>
          <w:sz w:val="24"/>
          <w:lang w:val="en-US"/>
        </w:rPr>
        <w:t xml:space="preserve"> </w:t>
      </w:r>
      <w:r w:rsidR="00F349E8" w:rsidRPr="00FC4F13">
        <w:rPr>
          <w:rFonts w:ascii="Times New Roman" w:hAnsi="Times New Roman"/>
          <w:b/>
          <w:bCs/>
          <w:color w:val="000000" w:themeColor="text1"/>
          <w:sz w:val="24"/>
          <w:lang w:val="en-US"/>
        </w:rPr>
        <w:t>(Amazon, 2023)</w:t>
      </w:r>
      <w:r w:rsidR="00BD7857" w:rsidRPr="00FC4F13">
        <w:rPr>
          <w:rFonts w:ascii="Times New Roman" w:hAnsi="Times New Roman"/>
          <w:b/>
          <w:bCs/>
          <w:color w:val="000000" w:themeColor="text1"/>
          <w:sz w:val="24"/>
        </w:rPr>
        <w:t>.</w:t>
      </w:r>
    </w:p>
    <w:p w14:paraId="497C2643" w14:textId="74C7F472" w:rsidR="003360DA" w:rsidRPr="00FC4F13" w:rsidRDefault="003360DA" w:rsidP="00853AEC">
      <w:pPr>
        <w:spacing w:before="240" w:line="360" w:lineRule="auto"/>
        <w:jc w:val="both"/>
        <w:rPr>
          <w:rFonts w:ascii="Times New Roman" w:hAnsi="Times New Roman"/>
          <w:b/>
          <w:bCs/>
          <w:color w:val="000000" w:themeColor="text1"/>
          <w:sz w:val="24"/>
          <w:lang w:val="en-US"/>
        </w:rPr>
      </w:pPr>
      <w:r w:rsidRPr="00DD7575">
        <w:rPr>
          <w:rFonts w:ascii="Times New Roman" w:hAnsi="Times New Roman"/>
          <w:color w:val="000000" w:themeColor="text1"/>
          <w:sz w:val="24"/>
        </w:rPr>
        <w:t>Moreover, the fact that</w:t>
      </w:r>
      <w:r w:rsidR="00CF05EE">
        <w:rPr>
          <w:rFonts w:ascii="Times New Roman" w:hAnsi="Times New Roman"/>
          <w:color w:val="000000" w:themeColor="text1"/>
          <w:sz w:val="24"/>
        </w:rPr>
        <w:t xml:space="preserve"> </w:t>
      </w:r>
      <w:r w:rsidRPr="00DD7575">
        <w:rPr>
          <w:rFonts w:ascii="Times New Roman" w:hAnsi="Times New Roman"/>
          <w:color w:val="000000" w:themeColor="text1"/>
          <w:sz w:val="24"/>
        </w:rPr>
        <w:t xml:space="preserve">Walmart invests in sustainability projects as well as community development activates shows that the company takes its corporate social responsibility and stakeholder involvement seriously; these and other goals of the business are brought in agreement with broader social goals. Through this investment strategy, Walmart shows us clearly how its </w:t>
      </w:r>
      <w:r w:rsidRPr="00DD7575">
        <w:rPr>
          <w:rFonts w:ascii="Times New Roman" w:hAnsi="Times New Roman"/>
          <w:color w:val="000000" w:themeColor="text1"/>
          <w:sz w:val="24"/>
        </w:rPr>
        <w:lastRenderedPageBreak/>
        <w:t xml:space="preserve">strategic management can help it adapt to the rapidly changing environment, drive innovation and position itself for long-term success in the retail industry </w:t>
      </w:r>
      <w:r w:rsidR="00C57506" w:rsidRPr="00FC4F13">
        <w:rPr>
          <w:rFonts w:ascii="Times New Roman" w:hAnsi="Times New Roman"/>
          <w:b/>
          <w:bCs/>
          <w:color w:val="000000" w:themeColor="text1"/>
          <w:sz w:val="24"/>
          <w:lang w:val="en-US"/>
        </w:rPr>
        <w:t>(Gartenberg, Prat and Serafeim, 2019).</w:t>
      </w:r>
    </w:p>
    <w:p w14:paraId="3AD4A43E" w14:textId="069728A4" w:rsidR="003360DA" w:rsidRPr="00FC4F13" w:rsidRDefault="00C57506" w:rsidP="00853AEC">
      <w:pPr>
        <w:spacing w:before="240" w:line="360" w:lineRule="auto"/>
        <w:jc w:val="both"/>
        <w:rPr>
          <w:rFonts w:ascii="Times New Roman" w:hAnsi="Times New Roman"/>
          <w:b/>
          <w:bCs/>
          <w:color w:val="000000" w:themeColor="text1"/>
          <w:sz w:val="24"/>
        </w:rPr>
      </w:pPr>
      <w:r w:rsidRPr="00DD7575">
        <w:rPr>
          <w:rFonts w:ascii="Times New Roman" w:hAnsi="Times New Roman"/>
          <w:color w:val="000000" w:themeColor="text1"/>
          <w:sz w:val="24"/>
        </w:rPr>
        <w:t xml:space="preserve">In </w:t>
      </w:r>
      <w:r w:rsidR="003360DA" w:rsidRPr="00DD7575">
        <w:rPr>
          <w:rFonts w:ascii="Times New Roman" w:hAnsi="Times New Roman"/>
          <w:color w:val="000000" w:themeColor="text1"/>
          <w:sz w:val="24"/>
        </w:rPr>
        <w:t>general, Walmart's investment policy demonstrates a not so passive way for the company to overcome challenges in the retail field, create a flow of innovation and keep on leading in a very dynamic business environment. The strategic e-commerce investments, diversification and sustainability efforts of Walmart clearly indicate the company’s ability to not only compete against the current trend but to also remain profitable in the long-term context of shareholders, customers and society’s requirements</w:t>
      </w:r>
      <w:r w:rsidR="00CF05EE">
        <w:rPr>
          <w:rFonts w:ascii="Times New Roman" w:hAnsi="Times New Roman"/>
          <w:color w:val="000000" w:themeColor="text1"/>
          <w:sz w:val="24"/>
        </w:rPr>
        <w:t xml:space="preserve">. </w:t>
      </w:r>
      <w:r w:rsidR="00F349E8" w:rsidRPr="00FC4F13">
        <w:rPr>
          <w:rFonts w:ascii="Times New Roman" w:hAnsi="Times New Roman"/>
          <w:b/>
          <w:bCs/>
          <w:color w:val="000000" w:themeColor="text1"/>
          <w:sz w:val="24"/>
        </w:rPr>
        <w:t>(</w:t>
      </w:r>
      <w:r w:rsidR="00F349E8" w:rsidRPr="00FC4F13">
        <w:rPr>
          <w:rFonts w:ascii="Times New Roman" w:hAnsi="Times New Roman"/>
          <w:b/>
          <w:bCs/>
          <w:color w:val="000000" w:themeColor="text1"/>
          <w:sz w:val="24"/>
          <w:lang w:val="en-US"/>
        </w:rPr>
        <w:t xml:space="preserve">Block, </w:t>
      </w:r>
      <w:proofErr w:type="spellStart"/>
      <w:r w:rsidR="00F349E8" w:rsidRPr="00FC4F13">
        <w:rPr>
          <w:rFonts w:ascii="Times New Roman" w:hAnsi="Times New Roman"/>
          <w:b/>
          <w:bCs/>
          <w:color w:val="000000" w:themeColor="text1"/>
          <w:sz w:val="24"/>
          <w:lang w:val="en-US"/>
        </w:rPr>
        <w:t>Hirtand</w:t>
      </w:r>
      <w:proofErr w:type="spellEnd"/>
      <w:r w:rsidR="00F349E8" w:rsidRPr="00FC4F13">
        <w:rPr>
          <w:rFonts w:ascii="Times New Roman" w:hAnsi="Times New Roman"/>
          <w:b/>
          <w:bCs/>
          <w:color w:val="000000" w:themeColor="text1"/>
          <w:sz w:val="24"/>
          <w:lang w:val="en-US"/>
        </w:rPr>
        <w:t xml:space="preserve"> Danielsen, 2023</w:t>
      </w:r>
      <w:r w:rsidR="00F349E8" w:rsidRPr="00FC4F13">
        <w:rPr>
          <w:rFonts w:ascii="Times New Roman" w:hAnsi="Times New Roman"/>
          <w:b/>
          <w:bCs/>
          <w:color w:val="000000" w:themeColor="text1"/>
          <w:sz w:val="24"/>
        </w:rPr>
        <w:t>)</w:t>
      </w:r>
      <w:r w:rsidR="003360DA" w:rsidRPr="00FC4F13">
        <w:rPr>
          <w:rFonts w:ascii="Times New Roman" w:hAnsi="Times New Roman"/>
          <w:b/>
          <w:bCs/>
          <w:color w:val="000000" w:themeColor="text1"/>
          <w:sz w:val="24"/>
        </w:rPr>
        <w:t>.</w:t>
      </w:r>
    </w:p>
    <w:p w14:paraId="0AADB871" w14:textId="77777777" w:rsidR="00FB086A" w:rsidRPr="00DD7575" w:rsidRDefault="00FB086A" w:rsidP="00FC4F13">
      <w:pPr>
        <w:pStyle w:val="Heading2"/>
        <w:rPr>
          <w:lang w:val="en-US"/>
        </w:rPr>
      </w:pPr>
      <w:bookmarkStart w:id="20" w:name="_Toc164810566"/>
      <w:r w:rsidRPr="00DD7575">
        <w:t>4.3. Size</w:t>
      </w:r>
      <w:bookmarkEnd w:id="20"/>
    </w:p>
    <w:p w14:paraId="45897954" w14:textId="4E6E7FEE" w:rsidR="003360DA" w:rsidRPr="00CF05EE" w:rsidRDefault="00CF05EE" w:rsidP="00CF05EE">
      <w:pPr>
        <w:spacing w:line="360" w:lineRule="auto"/>
        <w:rPr>
          <w:rFonts w:ascii="Times New Roman" w:hAnsi="Times New Roman" w:cs="Times New Roman"/>
          <w:sz w:val="24"/>
          <w:szCs w:val="24"/>
        </w:rPr>
      </w:pPr>
      <w:r w:rsidRPr="005959C6">
        <w:rPr>
          <w:rFonts w:ascii="Times New Roman" w:hAnsi="Times New Roman" w:cs="Times New Roman"/>
          <w:sz w:val="24"/>
          <w:szCs w:val="24"/>
        </w:rPr>
        <w:t xml:space="preserve">The magnitude of an investment's size plays a crucial role in shaping a company's financial position and impact. Over the past five years, Walmart has utilized numerical data to illustrate the extent of its investment undertakings, shedding light on the scope of its strategic projects and the distribution of financial resources. The size of an investment is commonly expressed in monetary terms, representing the actual monetary value garnered through mergers and acquisitions, expansion </w:t>
      </w:r>
      <w:r w:rsidRPr="005959C6">
        <w:rPr>
          <w:rFonts w:ascii="Times New Roman" w:hAnsi="Times New Roman" w:cs="Times New Roman"/>
          <w:sz w:val="24"/>
          <w:szCs w:val="24"/>
        </w:rPr>
        <w:t>endeavours</w:t>
      </w:r>
      <w:r w:rsidRPr="005959C6">
        <w:rPr>
          <w:rFonts w:ascii="Times New Roman" w:hAnsi="Times New Roman" w:cs="Times New Roman"/>
          <w:sz w:val="24"/>
          <w:szCs w:val="24"/>
        </w:rPr>
        <w:t>, and research and development initiatives. By evaluating the scale of investments in alignment with their objectives, results, and funding methodologies, various stakeholders can gain a comprehensive understanding of how Walmart formulates its capital allocation strategies and assess their effectiveness</w:t>
      </w:r>
      <w:r>
        <w:rPr>
          <w:rFonts w:ascii="Times New Roman" w:hAnsi="Times New Roman"/>
          <w:color w:val="000000" w:themeColor="text1"/>
          <w:sz w:val="24"/>
        </w:rPr>
        <w:t xml:space="preserve">. </w:t>
      </w:r>
      <w:r w:rsidR="00F349E8" w:rsidRPr="00FC4F13">
        <w:rPr>
          <w:rFonts w:ascii="Times New Roman" w:hAnsi="Times New Roman"/>
          <w:b/>
          <w:bCs/>
          <w:color w:val="000000" w:themeColor="text1"/>
          <w:sz w:val="24"/>
        </w:rPr>
        <w:t>(</w:t>
      </w:r>
      <w:proofErr w:type="spellStart"/>
      <w:r w:rsidR="00F349E8" w:rsidRPr="00FC4F13">
        <w:rPr>
          <w:rFonts w:ascii="Times New Roman" w:hAnsi="Times New Roman"/>
          <w:b/>
          <w:bCs/>
          <w:color w:val="000000" w:themeColor="text1"/>
          <w:sz w:val="24"/>
          <w:lang w:val="en-US"/>
        </w:rPr>
        <w:t>Kliestik</w:t>
      </w:r>
      <w:proofErr w:type="spellEnd"/>
      <w:r w:rsidR="00F349E8" w:rsidRPr="00FC4F13">
        <w:rPr>
          <w:rFonts w:ascii="Times New Roman" w:hAnsi="Times New Roman"/>
          <w:b/>
          <w:bCs/>
          <w:color w:val="000000" w:themeColor="text1"/>
          <w:sz w:val="24"/>
          <w:lang w:val="en-US"/>
        </w:rPr>
        <w:t xml:space="preserve"> et al., 2020</w:t>
      </w:r>
      <w:r w:rsidR="00F349E8" w:rsidRPr="00FC4F13">
        <w:rPr>
          <w:rFonts w:ascii="Times New Roman" w:hAnsi="Times New Roman"/>
          <w:b/>
          <w:bCs/>
          <w:color w:val="000000" w:themeColor="text1"/>
          <w:sz w:val="24"/>
        </w:rPr>
        <w:t>)</w:t>
      </w:r>
      <w:r w:rsidR="00884DFD" w:rsidRPr="00FC4F13">
        <w:rPr>
          <w:rFonts w:ascii="Times New Roman" w:hAnsi="Times New Roman"/>
          <w:b/>
          <w:bCs/>
          <w:color w:val="000000" w:themeColor="text1"/>
          <w:sz w:val="24"/>
        </w:rPr>
        <w:t>.</w:t>
      </w:r>
    </w:p>
    <w:p w14:paraId="460060C9" w14:textId="6FA8DBF0" w:rsidR="003360DA" w:rsidRPr="00DD7575" w:rsidRDefault="00A50ED7" w:rsidP="00853AEC">
      <w:pPr>
        <w:spacing w:before="240" w:line="360" w:lineRule="auto"/>
        <w:jc w:val="both"/>
        <w:rPr>
          <w:rFonts w:ascii="Times New Roman" w:hAnsi="Times New Roman"/>
          <w:color w:val="000000" w:themeColor="text1"/>
          <w:sz w:val="24"/>
        </w:rPr>
      </w:pPr>
      <w:r w:rsidRPr="00DD7575">
        <w:rPr>
          <w:rFonts w:ascii="Times New Roman" w:hAnsi="Times New Roman"/>
          <w:color w:val="000000" w:themeColor="text1"/>
          <w:sz w:val="24"/>
        </w:rPr>
        <w:t>A</w:t>
      </w:r>
      <w:r w:rsidR="003360DA" w:rsidRPr="00DD7575">
        <w:rPr>
          <w:rFonts w:ascii="Times New Roman" w:hAnsi="Times New Roman"/>
          <w:color w:val="000000" w:themeColor="text1"/>
          <w:sz w:val="24"/>
        </w:rPr>
        <w:t>n examination of Walmart's investment activities over the past five years gives us a glimpse of its strategic efforts in terms of size and reach. Through the parameterization of the financial outcomes of such acquisitions, expansions, or R&amp;D, these stakeholders can rate the significance of the move that has been taken by Walmart for the purpose of growth and innovation. To add, evaluating the size of the investments against the company's total assets or sales gives a meaning to their significance to the macroeconomic environment</w:t>
      </w:r>
      <w:r w:rsidR="002A5389">
        <w:rPr>
          <w:rFonts w:ascii="Times New Roman" w:hAnsi="Times New Roman"/>
          <w:color w:val="000000" w:themeColor="text1"/>
          <w:sz w:val="24"/>
        </w:rPr>
        <w:t xml:space="preserve">. </w:t>
      </w:r>
      <w:r w:rsidR="00F349E8" w:rsidRPr="00FC4F13">
        <w:rPr>
          <w:rFonts w:ascii="Times New Roman" w:hAnsi="Times New Roman"/>
          <w:b/>
          <w:bCs/>
          <w:color w:val="000000" w:themeColor="text1"/>
          <w:sz w:val="24"/>
        </w:rPr>
        <w:t>(</w:t>
      </w:r>
      <w:r w:rsidR="00F349E8" w:rsidRPr="00FC4F13">
        <w:rPr>
          <w:rFonts w:ascii="Times New Roman" w:hAnsi="Times New Roman"/>
          <w:b/>
          <w:bCs/>
          <w:color w:val="000000" w:themeColor="text1"/>
          <w:sz w:val="24"/>
          <w:lang w:val="en-US"/>
        </w:rPr>
        <w:t xml:space="preserve">Block, </w:t>
      </w:r>
      <w:proofErr w:type="spellStart"/>
      <w:r w:rsidR="00F349E8" w:rsidRPr="00FC4F13">
        <w:rPr>
          <w:rFonts w:ascii="Times New Roman" w:hAnsi="Times New Roman"/>
          <w:b/>
          <w:bCs/>
          <w:color w:val="000000" w:themeColor="text1"/>
          <w:sz w:val="24"/>
          <w:lang w:val="en-US"/>
        </w:rPr>
        <w:t>Hirtand</w:t>
      </w:r>
      <w:proofErr w:type="spellEnd"/>
      <w:r w:rsidR="00F349E8" w:rsidRPr="00FC4F13">
        <w:rPr>
          <w:rFonts w:ascii="Times New Roman" w:hAnsi="Times New Roman"/>
          <w:b/>
          <w:bCs/>
          <w:color w:val="000000" w:themeColor="text1"/>
          <w:sz w:val="24"/>
          <w:lang w:val="en-US"/>
        </w:rPr>
        <w:t xml:space="preserve"> Danielsen, 2023</w:t>
      </w:r>
      <w:r w:rsidR="00F349E8" w:rsidRPr="00FC4F13">
        <w:rPr>
          <w:rFonts w:ascii="Times New Roman" w:hAnsi="Times New Roman"/>
          <w:b/>
          <w:bCs/>
          <w:color w:val="000000" w:themeColor="text1"/>
          <w:sz w:val="24"/>
        </w:rPr>
        <w:t>)</w:t>
      </w:r>
      <w:r w:rsidR="003360DA" w:rsidRPr="00FC4F13">
        <w:rPr>
          <w:rFonts w:ascii="Times New Roman" w:hAnsi="Times New Roman"/>
          <w:b/>
          <w:bCs/>
          <w:color w:val="000000" w:themeColor="text1"/>
          <w:sz w:val="24"/>
        </w:rPr>
        <w:t>.</w:t>
      </w:r>
    </w:p>
    <w:p w14:paraId="178DCD9F" w14:textId="6476CD71" w:rsidR="003360DA" w:rsidRPr="00FC4F13" w:rsidRDefault="003360DA" w:rsidP="00853AEC">
      <w:pPr>
        <w:spacing w:before="240" w:line="360" w:lineRule="auto"/>
        <w:jc w:val="both"/>
        <w:rPr>
          <w:rFonts w:ascii="Times New Roman" w:hAnsi="Times New Roman"/>
          <w:b/>
          <w:bCs/>
          <w:color w:val="000000" w:themeColor="text1"/>
          <w:sz w:val="24"/>
          <w:lang w:val="en-US"/>
        </w:rPr>
      </w:pPr>
      <w:r w:rsidRPr="00DD7575">
        <w:rPr>
          <w:rFonts w:ascii="Times New Roman" w:hAnsi="Times New Roman"/>
          <w:color w:val="000000" w:themeColor="text1"/>
          <w:sz w:val="24"/>
        </w:rPr>
        <w:t>Investments of larger scale are Walmart's proof of strategy to increase the market share, financial diversity, and the effectiveness of the business operation and performance. Whether it's acquiring new companies to enter the emerging markets or investing in technology to enhance the customer experience, such as the size of the initiatives here show that our strategic objectives and our long-term vision for sustainable development lie in thos</w:t>
      </w:r>
      <w:r w:rsidR="00A50ED7" w:rsidRPr="00DD7575">
        <w:rPr>
          <w:rFonts w:ascii="Times New Roman" w:hAnsi="Times New Roman"/>
          <w:color w:val="000000" w:themeColor="text1"/>
          <w:sz w:val="24"/>
        </w:rPr>
        <w:t>e</w:t>
      </w:r>
      <w:r w:rsidR="002A5389">
        <w:rPr>
          <w:rFonts w:ascii="Times New Roman" w:hAnsi="Times New Roman"/>
          <w:color w:val="000000" w:themeColor="text1"/>
          <w:sz w:val="24"/>
        </w:rPr>
        <w:t xml:space="preserve">. </w:t>
      </w:r>
      <w:r w:rsidR="00F349E8" w:rsidRPr="00FC4F13">
        <w:rPr>
          <w:rFonts w:ascii="Times New Roman" w:hAnsi="Times New Roman"/>
          <w:b/>
          <w:bCs/>
          <w:color w:val="000000" w:themeColor="text1"/>
          <w:sz w:val="24"/>
          <w:lang w:val="en-US"/>
        </w:rPr>
        <w:t>(Walmart, 2022)</w:t>
      </w:r>
      <w:r w:rsidR="00A50ED7" w:rsidRPr="00FC4F13">
        <w:rPr>
          <w:rFonts w:ascii="Times New Roman" w:hAnsi="Times New Roman"/>
          <w:b/>
          <w:bCs/>
          <w:color w:val="000000" w:themeColor="text1"/>
          <w:sz w:val="24"/>
        </w:rPr>
        <w:t>.</w:t>
      </w:r>
    </w:p>
    <w:p w14:paraId="361614FE" w14:textId="72604B49" w:rsidR="003360DA" w:rsidRPr="00DD7575" w:rsidRDefault="003360DA" w:rsidP="00853AEC">
      <w:pPr>
        <w:spacing w:before="240" w:line="360" w:lineRule="auto"/>
        <w:jc w:val="both"/>
        <w:rPr>
          <w:rFonts w:ascii="Times New Roman" w:hAnsi="Times New Roman"/>
          <w:color w:val="000000" w:themeColor="text1"/>
          <w:sz w:val="24"/>
          <w:lang w:val="en-US"/>
        </w:rPr>
      </w:pPr>
      <w:r w:rsidRPr="00DD7575">
        <w:rPr>
          <w:rFonts w:ascii="Times New Roman" w:hAnsi="Times New Roman"/>
          <w:color w:val="000000" w:themeColor="text1"/>
          <w:sz w:val="24"/>
        </w:rPr>
        <w:lastRenderedPageBreak/>
        <w:t xml:space="preserve">As stated by </w:t>
      </w:r>
      <w:r w:rsidR="002A5389" w:rsidRPr="00FC4F13">
        <w:rPr>
          <w:rFonts w:ascii="Times New Roman" w:hAnsi="Times New Roman"/>
          <w:b/>
          <w:bCs/>
          <w:color w:val="000000" w:themeColor="text1"/>
          <w:sz w:val="24"/>
        </w:rPr>
        <w:t>(</w:t>
      </w:r>
      <w:proofErr w:type="spellStart"/>
      <w:r w:rsidR="00741254" w:rsidRPr="00FC4F13">
        <w:rPr>
          <w:rFonts w:ascii="Times New Roman" w:hAnsi="Times New Roman"/>
          <w:b/>
          <w:bCs/>
          <w:color w:val="000000" w:themeColor="text1"/>
          <w:sz w:val="24"/>
          <w:lang w:val="en-US"/>
        </w:rPr>
        <w:t>Vernimmen</w:t>
      </w:r>
      <w:proofErr w:type="spellEnd"/>
      <w:r w:rsidR="00741254" w:rsidRPr="00FC4F13">
        <w:rPr>
          <w:rFonts w:ascii="Times New Roman" w:hAnsi="Times New Roman"/>
          <w:b/>
          <w:bCs/>
          <w:color w:val="000000" w:themeColor="text1"/>
          <w:sz w:val="24"/>
          <w:lang w:val="en-US"/>
        </w:rPr>
        <w:t xml:space="preserve"> et al., 2018),</w:t>
      </w:r>
      <w:r w:rsidR="00741254" w:rsidRPr="00DD7575">
        <w:rPr>
          <w:rFonts w:ascii="Times New Roman" w:hAnsi="Times New Roman"/>
          <w:color w:val="000000" w:themeColor="text1"/>
          <w:sz w:val="24"/>
          <w:lang w:val="en-US"/>
        </w:rPr>
        <w:t xml:space="preserve"> </w:t>
      </w:r>
      <w:r w:rsidRPr="00DD7575">
        <w:rPr>
          <w:rFonts w:ascii="Times New Roman" w:hAnsi="Times New Roman"/>
          <w:color w:val="000000" w:themeColor="text1"/>
          <w:sz w:val="24"/>
        </w:rPr>
        <w:t>the stakeholders may also use the knowledge to examine and evaluate Walmart's capital investments strategies. Through the distribution of budgeted funds to the projects of the right size and scope, Walmart intends to ensure return on investment and generate shareholder value with the effect of preventing enterprise over expenditure or underinvestment.</w:t>
      </w:r>
    </w:p>
    <w:p w14:paraId="08303203" w14:textId="77777777" w:rsidR="003360DA" w:rsidRPr="00DD7575" w:rsidRDefault="003360DA" w:rsidP="00853AEC">
      <w:pPr>
        <w:spacing w:before="240" w:line="360" w:lineRule="auto"/>
        <w:jc w:val="both"/>
        <w:rPr>
          <w:rFonts w:ascii="Times New Roman" w:hAnsi="Times New Roman" w:cs="Times New Roman"/>
          <w:color w:val="000000" w:themeColor="text1"/>
          <w:sz w:val="24"/>
          <w:szCs w:val="24"/>
          <w:lang w:val="en-US"/>
        </w:rPr>
      </w:pPr>
      <w:r w:rsidRPr="00DD7575">
        <w:rPr>
          <w:rFonts w:ascii="Times New Roman" w:hAnsi="Times New Roman"/>
          <w:color w:val="000000" w:themeColor="text1"/>
          <w:sz w:val="24"/>
        </w:rPr>
        <w:t xml:space="preserve">Thus, evaluating Wal-Mart’s injections of capital offers a clear picture of the business's strategic orientation, financial condition, and results. By doing comprehensive assessments of the size and consequences of the investments, stakeholders can have enough information to decide to evaluate Walmart's ability to continue the sustainable growth and value creation of the retail industry in which it is situated </w:t>
      </w:r>
      <w:r w:rsidRPr="00FC4F13">
        <w:rPr>
          <w:rFonts w:ascii="Times New Roman" w:hAnsi="Times New Roman"/>
          <w:b/>
          <w:bCs/>
          <w:color w:val="000000" w:themeColor="text1"/>
          <w:sz w:val="24"/>
        </w:rPr>
        <w:t>(Dinh et al., 2019).</w:t>
      </w:r>
    </w:p>
    <w:p w14:paraId="3BFB597C" w14:textId="77777777" w:rsidR="003360DA" w:rsidRPr="00DD7575" w:rsidRDefault="00FB086A" w:rsidP="00FC4F13">
      <w:pPr>
        <w:pStyle w:val="Heading2"/>
        <w:rPr>
          <w:rFonts w:cs="Times New Roman"/>
          <w:szCs w:val="24"/>
          <w:lang w:val="en-US"/>
        </w:rPr>
      </w:pPr>
      <w:bookmarkStart w:id="21" w:name="_Toc164810567"/>
      <w:r w:rsidRPr="00DD7575">
        <w:t>4.4. Financing</w:t>
      </w:r>
      <w:bookmarkEnd w:id="21"/>
    </w:p>
    <w:p w14:paraId="34A4ACF5" w14:textId="77777777" w:rsidR="003360DA" w:rsidRPr="00DD7575" w:rsidRDefault="003360DA" w:rsidP="00853AEC">
      <w:pPr>
        <w:spacing w:before="240" w:line="360" w:lineRule="auto"/>
        <w:jc w:val="both"/>
        <w:rPr>
          <w:rFonts w:ascii="Times New Roman" w:hAnsi="Times New Roman"/>
          <w:color w:val="000000" w:themeColor="text1"/>
          <w:sz w:val="24"/>
          <w:highlight w:val="yellow"/>
          <w:lang w:val="en-US"/>
        </w:rPr>
      </w:pPr>
      <w:r w:rsidRPr="00DD7575">
        <w:rPr>
          <w:rFonts w:ascii="Times New Roman" w:hAnsi="Times New Roman"/>
          <w:color w:val="000000" w:themeColor="text1"/>
          <w:sz w:val="24"/>
        </w:rPr>
        <w:t xml:space="preserve">As stated by </w:t>
      </w:r>
      <w:proofErr w:type="spellStart"/>
      <w:r w:rsidR="009D3F82" w:rsidRPr="00DD7575">
        <w:rPr>
          <w:rFonts w:ascii="Times New Roman" w:hAnsi="Times New Roman"/>
          <w:color w:val="000000" w:themeColor="text1"/>
          <w:sz w:val="24"/>
          <w:lang w:val="en-US"/>
        </w:rPr>
        <w:t>Drobyazko</w:t>
      </w:r>
      <w:proofErr w:type="spellEnd"/>
      <w:r w:rsidR="009D3F82" w:rsidRPr="00DD7575">
        <w:rPr>
          <w:rFonts w:ascii="Times New Roman" w:hAnsi="Times New Roman"/>
          <w:color w:val="000000" w:themeColor="text1"/>
          <w:sz w:val="24"/>
          <w:lang w:val="en-US"/>
        </w:rPr>
        <w:t xml:space="preserve"> et al., </w:t>
      </w:r>
      <w:r w:rsidR="00576874" w:rsidRPr="00DD7575">
        <w:rPr>
          <w:rFonts w:ascii="Times New Roman" w:hAnsi="Times New Roman"/>
          <w:color w:val="000000" w:themeColor="text1"/>
          <w:sz w:val="24"/>
          <w:lang w:val="en-US"/>
        </w:rPr>
        <w:t>(</w:t>
      </w:r>
      <w:r w:rsidR="009D3F82" w:rsidRPr="00DD7575">
        <w:rPr>
          <w:rFonts w:ascii="Times New Roman" w:hAnsi="Times New Roman"/>
          <w:color w:val="000000" w:themeColor="text1"/>
          <w:sz w:val="24"/>
          <w:lang w:val="en-US"/>
        </w:rPr>
        <w:t xml:space="preserve">2020), </w:t>
      </w:r>
      <w:r w:rsidRPr="00DD7575">
        <w:rPr>
          <w:rFonts w:ascii="Times New Roman" w:hAnsi="Times New Roman"/>
          <w:color w:val="000000" w:themeColor="text1"/>
          <w:sz w:val="24"/>
        </w:rPr>
        <w:t xml:space="preserve">in </w:t>
      </w:r>
      <w:r w:rsidR="00146A94" w:rsidRPr="00DD7575">
        <w:rPr>
          <w:rFonts w:ascii="Times New Roman" w:hAnsi="Times New Roman"/>
          <w:color w:val="000000" w:themeColor="text1"/>
          <w:sz w:val="24"/>
        </w:rPr>
        <w:t>analysing</w:t>
      </w:r>
      <w:r w:rsidRPr="00DD7575">
        <w:rPr>
          <w:rFonts w:ascii="Times New Roman" w:hAnsi="Times New Roman"/>
          <w:color w:val="000000" w:themeColor="text1"/>
          <w:sz w:val="24"/>
        </w:rPr>
        <w:t xml:space="preserve"> Walmart’s investment activity in the past five fiscal years, it must be made clear that the financial sources utilized to realize the investments is of a huge significance. Walmart adopts different financing sources for financing its vast operations and investment </w:t>
      </w:r>
      <w:r w:rsidR="00146A94" w:rsidRPr="00DD7575">
        <w:rPr>
          <w:rFonts w:ascii="Times New Roman" w:hAnsi="Times New Roman"/>
          <w:color w:val="000000" w:themeColor="text1"/>
          <w:sz w:val="24"/>
        </w:rPr>
        <w:t>endeavours</w:t>
      </w:r>
      <w:r w:rsidRPr="00DD7575">
        <w:rPr>
          <w:rFonts w:ascii="Times New Roman" w:hAnsi="Times New Roman"/>
          <w:color w:val="000000" w:themeColor="text1"/>
          <w:sz w:val="24"/>
        </w:rPr>
        <w:t>.</w:t>
      </w:r>
    </w:p>
    <w:p w14:paraId="2C8C14B6" w14:textId="2AB22DC0" w:rsidR="003360DA" w:rsidRPr="00FC4F13" w:rsidRDefault="003360DA" w:rsidP="00853AEC">
      <w:pPr>
        <w:spacing w:before="240" w:line="360" w:lineRule="auto"/>
        <w:jc w:val="both"/>
        <w:rPr>
          <w:rFonts w:ascii="Times New Roman" w:hAnsi="Times New Roman" w:cs="Times New Roman"/>
          <w:b/>
          <w:bCs/>
          <w:color w:val="000000" w:themeColor="text1"/>
          <w:sz w:val="24"/>
          <w:szCs w:val="24"/>
          <w:lang w:val="en-US"/>
        </w:rPr>
      </w:pPr>
      <w:r w:rsidRPr="00DD7575">
        <w:rPr>
          <w:rFonts w:ascii="Times New Roman" w:hAnsi="Times New Roman"/>
          <w:color w:val="000000" w:themeColor="text1"/>
          <w:sz w:val="24"/>
        </w:rPr>
        <w:t>One of the key sources of funds used by Walmart for the investment activities is through internal financial resources, such as retained earnings and operations cash flows. The fundings function as a source of safe and sound capital which Walmart uses for investment purposes that won't interfere with increased debt or decreasing existing shareholders' equity</w:t>
      </w:r>
      <w:r w:rsidR="002A5389">
        <w:rPr>
          <w:rFonts w:ascii="Times New Roman" w:hAnsi="Times New Roman"/>
          <w:color w:val="000000" w:themeColor="text1"/>
          <w:sz w:val="24"/>
        </w:rPr>
        <w:t xml:space="preserve"> </w:t>
      </w:r>
      <w:r w:rsidR="00AB3C45" w:rsidRPr="00FC4F13">
        <w:rPr>
          <w:rFonts w:ascii="Times New Roman" w:hAnsi="Times New Roman"/>
          <w:b/>
          <w:bCs/>
          <w:color w:val="000000" w:themeColor="text1"/>
          <w:sz w:val="24"/>
        </w:rPr>
        <w:t>(</w:t>
      </w:r>
      <w:r w:rsidR="00AB3C45" w:rsidRPr="00FC4F13">
        <w:rPr>
          <w:rFonts w:ascii="Times New Roman" w:hAnsi="Times New Roman"/>
          <w:b/>
          <w:bCs/>
          <w:color w:val="000000" w:themeColor="text1"/>
          <w:sz w:val="24"/>
          <w:lang w:val="en-US"/>
        </w:rPr>
        <w:t>Smith and Calabrese, 2020)</w:t>
      </w:r>
      <w:r w:rsidR="00884DFD" w:rsidRPr="00FC4F13">
        <w:rPr>
          <w:rFonts w:ascii="Times New Roman" w:hAnsi="Times New Roman"/>
          <w:b/>
          <w:bCs/>
          <w:color w:val="000000" w:themeColor="text1"/>
          <w:sz w:val="24"/>
        </w:rPr>
        <w:t>.</w:t>
      </w:r>
    </w:p>
    <w:p w14:paraId="15035E90" w14:textId="77777777" w:rsidR="003360DA" w:rsidRPr="00DD7575" w:rsidRDefault="003360DA" w:rsidP="00853AEC">
      <w:pPr>
        <w:spacing w:before="240" w:line="360" w:lineRule="auto"/>
        <w:jc w:val="both"/>
        <w:rPr>
          <w:rFonts w:ascii="Times New Roman" w:hAnsi="Times New Roman"/>
          <w:color w:val="000000" w:themeColor="text1"/>
          <w:sz w:val="24"/>
          <w:lang w:val="en-US"/>
        </w:rPr>
      </w:pPr>
      <w:r w:rsidRPr="00DD7575">
        <w:rPr>
          <w:rFonts w:ascii="Times New Roman" w:hAnsi="Times New Roman"/>
          <w:color w:val="000000" w:themeColor="text1"/>
          <w:sz w:val="24"/>
        </w:rPr>
        <w:t xml:space="preserve">On the other hand, Walmart may also use the bond technique to fund its investment activities. This may entail issuance of the bonds or taking out loans from financial agents. In this way, leaving Walmart to advantage of the company’s current capital structure, the financing through debts and can result in the tax relief for interest payments </w:t>
      </w:r>
      <w:r w:rsidR="00696543" w:rsidRPr="00FC4F13">
        <w:rPr>
          <w:rFonts w:ascii="Times New Roman" w:hAnsi="Times New Roman"/>
          <w:b/>
          <w:bCs/>
          <w:color w:val="000000" w:themeColor="text1"/>
          <w:sz w:val="24"/>
          <w:lang w:val="en-US"/>
        </w:rPr>
        <w:t>(Eng, Lin and Neiva De Figueiredo, 2018).</w:t>
      </w:r>
    </w:p>
    <w:p w14:paraId="3D4F88FD" w14:textId="189721CF" w:rsidR="003360DA" w:rsidRPr="00CF05EE" w:rsidRDefault="003360DA" w:rsidP="00CF05EE">
      <w:pPr>
        <w:spacing w:line="360" w:lineRule="auto"/>
        <w:jc w:val="both"/>
        <w:rPr>
          <w:rFonts w:ascii="Times New Roman" w:hAnsi="Times New Roman" w:cs="Times New Roman"/>
          <w:sz w:val="24"/>
          <w:szCs w:val="24"/>
        </w:rPr>
      </w:pPr>
      <w:r w:rsidRPr="00DD7575">
        <w:rPr>
          <w:rFonts w:ascii="Times New Roman" w:hAnsi="Times New Roman"/>
          <w:color w:val="000000" w:themeColor="text1"/>
          <w:sz w:val="24"/>
        </w:rPr>
        <w:t>According to</w:t>
      </w:r>
      <w:r w:rsidR="00CF05EE">
        <w:rPr>
          <w:rFonts w:ascii="Times New Roman" w:hAnsi="Times New Roman"/>
          <w:color w:val="000000" w:themeColor="text1"/>
          <w:sz w:val="24"/>
        </w:rPr>
        <w:t xml:space="preserve"> (</w:t>
      </w:r>
      <w:r w:rsidR="006F6172" w:rsidRPr="00DD7575">
        <w:rPr>
          <w:rFonts w:ascii="Times New Roman" w:hAnsi="Times New Roman"/>
          <w:color w:val="000000" w:themeColor="text1"/>
          <w:sz w:val="24"/>
          <w:lang w:val="en-US"/>
        </w:rPr>
        <w:t xml:space="preserve">Finkler, Smith and Calabrese 2020), </w:t>
      </w:r>
      <w:r w:rsidR="00CF05EE" w:rsidRPr="00CF05EE">
        <w:rPr>
          <w:rFonts w:ascii="Times New Roman" w:hAnsi="Times New Roman" w:cs="Times New Roman"/>
          <w:sz w:val="24"/>
          <w:szCs w:val="24"/>
        </w:rPr>
        <w:t xml:space="preserve">Walmart must focus on exploring various financing options such as equity financing, joint ventures, or strategic partnerships to support specific investment projects. These alternatives involve equity investment, joint ventures, or strategic partnerships to enhance special investment ventures. Equity financing involves issuing company stock shares to raise capital </w:t>
      </w:r>
      <w:r w:rsidR="00CF05EE" w:rsidRPr="00FC4F13">
        <w:rPr>
          <w:rFonts w:ascii="Times New Roman" w:hAnsi="Times New Roman" w:cs="Times New Roman"/>
          <w:b/>
          <w:bCs/>
          <w:sz w:val="24"/>
          <w:szCs w:val="24"/>
        </w:rPr>
        <w:t>(</w:t>
      </w:r>
      <w:proofErr w:type="spellStart"/>
      <w:r w:rsidR="00CF05EE" w:rsidRPr="00FC4F13">
        <w:rPr>
          <w:rFonts w:ascii="Times New Roman" w:hAnsi="Times New Roman" w:cs="Times New Roman"/>
          <w:b/>
          <w:bCs/>
          <w:sz w:val="24"/>
          <w:szCs w:val="24"/>
        </w:rPr>
        <w:t>Vernimmen</w:t>
      </w:r>
      <w:proofErr w:type="spellEnd"/>
      <w:r w:rsidR="00CF05EE" w:rsidRPr="00FC4F13">
        <w:rPr>
          <w:rFonts w:ascii="Times New Roman" w:hAnsi="Times New Roman" w:cs="Times New Roman"/>
          <w:b/>
          <w:bCs/>
          <w:sz w:val="24"/>
          <w:szCs w:val="24"/>
        </w:rPr>
        <w:t xml:space="preserve"> et al. 2018),</w:t>
      </w:r>
      <w:r w:rsidR="00CF05EE" w:rsidRPr="00CF05EE">
        <w:rPr>
          <w:rFonts w:ascii="Times New Roman" w:hAnsi="Times New Roman" w:cs="Times New Roman"/>
          <w:sz w:val="24"/>
          <w:szCs w:val="24"/>
        </w:rPr>
        <w:t xml:space="preserve"> allowing investors to participate </w:t>
      </w:r>
      <w:r w:rsidR="00CF05EE" w:rsidRPr="00CF05EE">
        <w:rPr>
          <w:rFonts w:ascii="Times New Roman" w:hAnsi="Times New Roman" w:cs="Times New Roman"/>
          <w:sz w:val="24"/>
          <w:szCs w:val="24"/>
        </w:rPr>
        <w:lastRenderedPageBreak/>
        <w:t>in the company's growth while reducing existing shareholders' share count. Joint ventures and strategic partnerships enable Walmart to combine timelines and expertise with other entities, jointly shouldering responsibility for investment projects. By utilizing diverse funding sources and employing a mix of equity, debt, and alternative financing approaches, Walmart could achieve an optimal capital structure, ensuring sufficient funding for sustainable investments and long-term value creation for shareholders.</w:t>
      </w:r>
      <w:r w:rsidR="00CF05EE">
        <w:rPr>
          <w:rFonts w:ascii="Times New Roman" w:hAnsi="Times New Roman" w:cs="Times New Roman"/>
          <w:sz w:val="24"/>
          <w:szCs w:val="24"/>
        </w:rPr>
        <w:t xml:space="preserve"> </w:t>
      </w:r>
      <w:r w:rsidR="00AB3C45" w:rsidRPr="00DD7575">
        <w:rPr>
          <w:rFonts w:ascii="Times New Roman" w:hAnsi="Times New Roman"/>
          <w:color w:val="000000" w:themeColor="text1"/>
          <w:sz w:val="24"/>
          <w:lang w:val="en-US"/>
        </w:rPr>
        <w:t>(</w:t>
      </w:r>
      <w:r w:rsidR="00AB3C45" w:rsidRPr="00FC4F13">
        <w:rPr>
          <w:rFonts w:ascii="Times New Roman" w:hAnsi="Times New Roman"/>
          <w:b/>
          <w:bCs/>
          <w:color w:val="000000" w:themeColor="text1"/>
          <w:sz w:val="24"/>
          <w:lang w:val="en-US"/>
        </w:rPr>
        <w:t>Eng, Lin and Neiva De Figueiredo, 2018</w:t>
      </w:r>
      <w:r w:rsidR="00AB3C45" w:rsidRPr="00DD7575">
        <w:rPr>
          <w:rFonts w:ascii="Times New Roman" w:hAnsi="Times New Roman"/>
          <w:color w:val="000000" w:themeColor="text1"/>
          <w:sz w:val="24"/>
          <w:lang w:val="en-US"/>
        </w:rPr>
        <w:t>)</w:t>
      </w:r>
      <w:r w:rsidRPr="00DD7575">
        <w:rPr>
          <w:rFonts w:ascii="Times New Roman" w:hAnsi="Times New Roman"/>
          <w:color w:val="000000" w:themeColor="text1"/>
          <w:sz w:val="24"/>
        </w:rPr>
        <w:t>.</w:t>
      </w:r>
    </w:p>
    <w:p w14:paraId="2F47211C" w14:textId="77777777" w:rsidR="003360DA" w:rsidRPr="00DD7575" w:rsidRDefault="003360DA" w:rsidP="00FC4F13">
      <w:pPr>
        <w:pStyle w:val="Heading2"/>
        <w:rPr>
          <w:rFonts w:cs="Times New Roman"/>
          <w:bCs/>
          <w:szCs w:val="24"/>
          <w:lang w:val="en-US"/>
        </w:rPr>
      </w:pPr>
      <w:bookmarkStart w:id="22" w:name="_Toc164810568"/>
      <w:r w:rsidRPr="00DD7575">
        <w:t>4.5. Feasibility</w:t>
      </w:r>
      <w:bookmarkEnd w:id="22"/>
    </w:p>
    <w:p w14:paraId="56CE08C9" w14:textId="4DF025CC" w:rsidR="003360DA" w:rsidRPr="00DD7575" w:rsidRDefault="009259E9" w:rsidP="00853AEC">
      <w:pPr>
        <w:spacing w:before="240" w:line="360" w:lineRule="auto"/>
        <w:jc w:val="both"/>
        <w:rPr>
          <w:rFonts w:ascii="Times New Roman" w:hAnsi="Times New Roman" w:cs="Times New Roman"/>
          <w:color w:val="000000" w:themeColor="text1"/>
          <w:sz w:val="24"/>
          <w:szCs w:val="24"/>
          <w:lang w:val="en-US"/>
        </w:rPr>
      </w:pPr>
      <w:r w:rsidRPr="00DD7575">
        <w:rPr>
          <w:rFonts w:ascii="Times New Roman" w:hAnsi="Times New Roman"/>
          <w:color w:val="000000" w:themeColor="text1"/>
          <w:sz w:val="24"/>
        </w:rPr>
        <w:t>T</w:t>
      </w:r>
      <w:r w:rsidR="003360DA" w:rsidRPr="00DD7575">
        <w:rPr>
          <w:rFonts w:ascii="Times New Roman" w:hAnsi="Times New Roman"/>
          <w:color w:val="000000" w:themeColor="text1"/>
          <w:sz w:val="24"/>
        </w:rPr>
        <w:t xml:space="preserve">he validity of the investment activities done by Walmart requires estimating the effectiveness and appropriateness of the plans involved. Walmart usually makes investment decisions based on its strategic objectives, such as entering new markets, developing new product lines, and offering services that improve its efficiency </w:t>
      </w:r>
      <w:proofErr w:type="gramStart"/>
      <w:r w:rsidR="003360DA" w:rsidRPr="00DD7575">
        <w:rPr>
          <w:rFonts w:ascii="Times New Roman" w:hAnsi="Times New Roman"/>
          <w:color w:val="000000" w:themeColor="text1"/>
          <w:sz w:val="24"/>
        </w:rPr>
        <w:t>operation</w:t>
      </w:r>
      <w:bookmarkStart w:id="23" w:name="_Hlk164539180"/>
      <w:r w:rsidR="00D1299B" w:rsidRPr="00DD7575">
        <w:rPr>
          <w:rFonts w:ascii="Times New Roman" w:hAnsi="Times New Roman"/>
          <w:color w:val="000000" w:themeColor="text1"/>
          <w:sz w:val="24"/>
        </w:rPr>
        <w:t>(</w:t>
      </w:r>
      <w:proofErr w:type="spellStart"/>
      <w:proofErr w:type="gramEnd"/>
      <w:r w:rsidR="00D1299B" w:rsidRPr="00FC4F13">
        <w:rPr>
          <w:rFonts w:ascii="Times New Roman" w:hAnsi="Times New Roman"/>
          <w:b/>
          <w:bCs/>
          <w:color w:val="000000" w:themeColor="text1"/>
          <w:sz w:val="24"/>
          <w:lang w:val="en-US"/>
        </w:rPr>
        <w:t>Kliestik</w:t>
      </w:r>
      <w:proofErr w:type="spellEnd"/>
      <w:r w:rsidR="00D1299B" w:rsidRPr="00FC4F13">
        <w:rPr>
          <w:rFonts w:ascii="Times New Roman" w:hAnsi="Times New Roman"/>
          <w:b/>
          <w:bCs/>
          <w:color w:val="000000" w:themeColor="text1"/>
          <w:sz w:val="24"/>
          <w:lang w:val="en-US"/>
        </w:rPr>
        <w:t xml:space="preserve"> et al., 2020</w:t>
      </w:r>
      <w:r w:rsidR="00D1299B" w:rsidRPr="00DD7575">
        <w:rPr>
          <w:rFonts w:ascii="Times New Roman" w:hAnsi="Times New Roman"/>
          <w:color w:val="000000" w:themeColor="text1"/>
          <w:sz w:val="24"/>
        </w:rPr>
        <w:t>)</w:t>
      </w:r>
      <w:r w:rsidR="003360DA" w:rsidRPr="00DD7575">
        <w:rPr>
          <w:rFonts w:ascii="Times New Roman" w:hAnsi="Times New Roman"/>
          <w:color w:val="000000" w:themeColor="text1"/>
          <w:sz w:val="24"/>
        </w:rPr>
        <w:t>.</w:t>
      </w:r>
      <w:bookmarkEnd w:id="23"/>
      <w:r w:rsidR="00576874" w:rsidRPr="00DD7575">
        <w:rPr>
          <w:rFonts w:ascii="Times New Roman" w:hAnsi="Times New Roman"/>
          <w:color w:val="000000" w:themeColor="text1"/>
          <w:sz w:val="24"/>
        </w:rPr>
        <w:t>A</w:t>
      </w:r>
      <w:r w:rsidR="003360DA" w:rsidRPr="00DD7575">
        <w:rPr>
          <w:rFonts w:ascii="Times New Roman" w:hAnsi="Times New Roman"/>
          <w:color w:val="000000" w:themeColor="text1"/>
          <w:sz w:val="24"/>
        </w:rPr>
        <w:t xml:space="preserve">nalysis is done by carrying out comprehensive marketing research, financial </w:t>
      </w:r>
      <w:r w:rsidR="00146A94" w:rsidRPr="00DD7575">
        <w:rPr>
          <w:rFonts w:ascii="Times New Roman" w:hAnsi="Times New Roman"/>
          <w:color w:val="000000" w:themeColor="text1"/>
          <w:sz w:val="24"/>
        </w:rPr>
        <w:t>modelling</w:t>
      </w:r>
      <w:r w:rsidR="003360DA" w:rsidRPr="00DD7575">
        <w:rPr>
          <w:rFonts w:ascii="Times New Roman" w:hAnsi="Times New Roman"/>
          <w:color w:val="000000" w:themeColor="text1"/>
          <w:sz w:val="24"/>
        </w:rPr>
        <w:t xml:space="preserve"> and risk screening to establish the viability of proposed investment projects. For Walmart, feasibility considerations can be assessing the degree of consumer demand, the competitive environment, supply chain capabilities, and any potential regulatory issues</w:t>
      </w:r>
      <w:bookmarkStart w:id="24" w:name="_Hlk164539115"/>
      <w:r w:rsidR="00FC4F13">
        <w:rPr>
          <w:rFonts w:ascii="Times New Roman" w:hAnsi="Times New Roman"/>
          <w:color w:val="000000" w:themeColor="text1"/>
          <w:sz w:val="24"/>
        </w:rPr>
        <w:t xml:space="preserve"> </w:t>
      </w:r>
      <w:r w:rsidR="00C132B8" w:rsidRPr="00DD7575">
        <w:rPr>
          <w:rFonts w:ascii="Times New Roman" w:hAnsi="Times New Roman"/>
          <w:color w:val="000000" w:themeColor="text1"/>
          <w:sz w:val="24"/>
        </w:rPr>
        <w:t>(</w:t>
      </w:r>
      <w:r w:rsidR="00C132B8" w:rsidRPr="00FC4F13">
        <w:rPr>
          <w:rFonts w:ascii="Times New Roman" w:hAnsi="Times New Roman"/>
          <w:b/>
          <w:bCs/>
          <w:color w:val="000000" w:themeColor="text1"/>
          <w:sz w:val="24"/>
          <w:lang w:val="en-US"/>
        </w:rPr>
        <w:t>Shinkevich, Kudryavtseva, and Samarina,2023</w:t>
      </w:r>
      <w:r w:rsidR="00C132B8" w:rsidRPr="00DD7575">
        <w:rPr>
          <w:rFonts w:ascii="Times New Roman" w:hAnsi="Times New Roman"/>
          <w:color w:val="000000" w:themeColor="text1"/>
          <w:sz w:val="24"/>
        </w:rPr>
        <w:t>)</w:t>
      </w:r>
      <w:r w:rsidR="003360DA" w:rsidRPr="00DD7575">
        <w:rPr>
          <w:rFonts w:ascii="Times New Roman" w:hAnsi="Times New Roman"/>
          <w:color w:val="000000" w:themeColor="text1"/>
          <w:sz w:val="24"/>
        </w:rPr>
        <w:t>.</w:t>
      </w:r>
      <w:bookmarkEnd w:id="24"/>
    </w:p>
    <w:p w14:paraId="3933EA27" w14:textId="77777777" w:rsidR="003360DA" w:rsidRPr="00DD7575" w:rsidRDefault="003360DA" w:rsidP="00853AEC">
      <w:pPr>
        <w:spacing w:line="360" w:lineRule="auto"/>
        <w:jc w:val="both"/>
        <w:rPr>
          <w:rFonts w:ascii="Times New Roman" w:hAnsi="Times New Roman" w:cs="Times New Roman"/>
          <w:color w:val="000000" w:themeColor="text1"/>
          <w:sz w:val="24"/>
          <w:szCs w:val="24"/>
          <w:lang w:val="en-US"/>
        </w:rPr>
      </w:pPr>
      <w:r w:rsidRPr="00DD7575">
        <w:rPr>
          <w:rFonts w:ascii="Times New Roman" w:hAnsi="Times New Roman"/>
          <w:color w:val="000000" w:themeColor="text1"/>
          <w:sz w:val="24"/>
        </w:rPr>
        <w:t>In addition to this, ascertaining the feasibility of Walmart's investment activities is inseparable from the SWOT analysis which includes the company's strengths, weaknesses, opportunities, and threats. Through submitting the possible barriers and constraints, Walmart would increase the chances for successful results and reduce risks of this kind of investments</w:t>
      </w:r>
      <w:r w:rsidR="00576874" w:rsidRPr="00DD7575">
        <w:rPr>
          <w:rFonts w:ascii="Times New Roman" w:hAnsi="Times New Roman"/>
          <w:color w:val="000000" w:themeColor="text1"/>
          <w:sz w:val="24"/>
        </w:rPr>
        <w:t xml:space="preserve"> (</w:t>
      </w:r>
      <w:proofErr w:type="spellStart"/>
      <w:r w:rsidR="00576874" w:rsidRPr="00FC4F13">
        <w:rPr>
          <w:rFonts w:ascii="Times New Roman" w:hAnsi="Times New Roman"/>
          <w:b/>
          <w:bCs/>
          <w:color w:val="000000" w:themeColor="text1"/>
          <w:sz w:val="24"/>
          <w:lang w:val="en-US"/>
        </w:rPr>
        <w:t>Kliestik</w:t>
      </w:r>
      <w:proofErr w:type="spellEnd"/>
      <w:r w:rsidR="00576874" w:rsidRPr="00FC4F13">
        <w:rPr>
          <w:rFonts w:ascii="Times New Roman" w:hAnsi="Times New Roman"/>
          <w:b/>
          <w:bCs/>
          <w:color w:val="000000" w:themeColor="text1"/>
          <w:sz w:val="24"/>
          <w:lang w:val="en-US"/>
        </w:rPr>
        <w:t xml:space="preserve"> et al., 2020)</w:t>
      </w:r>
      <w:r w:rsidR="006C79C8" w:rsidRPr="00FC4F13">
        <w:rPr>
          <w:rFonts w:ascii="Times New Roman" w:hAnsi="Times New Roman"/>
          <w:b/>
          <w:bCs/>
          <w:color w:val="000000" w:themeColor="text1"/>
          <w:sz w:val="24"/>
        </w:rPr>
        <w:t>.</w:t>
      </w:r>
    </w:p>
    <w:p w14:paraId="17AA998F" w14:textId="69BDA00E" w:rsidR="003360DA" w:rsidRPr="00DD7575" w:rsidRDefault="003360DA" w:rsidP="00853AEC">
      <w:pPr>
        <w:spacing w:line="360" w:lineRule="auto"/>
        <w:jc w:val="both"/>
        <w:rPr>
          <w:rFonts w:ascii="Times New Roman" w:hAnsi="Times New Roman" w:cs="Times New Roman"/>
          <w:color w:val="000000" w:themeColor="text1"/>
          <w:sz w:val="24"/>
          <w:szCs w:val="24"/>
          <w:lang w:val="en-US"/>
        </w:rPr>
      </w:pPr>
      <w:r w:rsidRPr="00DD7575">
        <w:rPr>
          <w:rFonts w:ascii="Times New Roman" w:hAnsi="Times New Roman"/>
          <w:color w:val="000000" w:themeColor="text1"/>
          <w:sz w:val="24"/>
        </w:rPr>
        <w:t>Ultimately, feasibility analysis provides Walmart a means of making well-grounded investment decisions that reflect its goals while optimizing shareholder value and protecting its interests from risks.</w:t>
      </w:r>
      <w:r w:rsidR="002A5389">
        <w:rPr>
          <w:rFonts w:ascii="Times New Roman" w:hAnsi="Times New Roman"/>
          <w:color w:val="000000" w:themeColor="text1"/>
          <w:sz w:val="24"/>
        </w:rPr>
        <w:t xml:space="preserve"> </w:t>
      </w:r>
      <w:r w:rsidR="00884DFD" w:rsidRPr="00DD7575">
        <w:rPr>
          <w:rFonts w:ascii="Times New Roman" w:hAnsi="Times New Roman"/>
          <w:color w:val="000000" w:themeColor="text1"/>
          <w:sz w:val="24"/>
        </w:rPr>
        <w:t>I</w:t>
      </w:r>
      <w:r w:rsidRPr="00DD7575">
        <w:rPr>
          <w:rFonts w:ascii="Times New Roman" w:hAnsi="Times New Roman"/>
          <w:color w:val="000000" w:themeColor="text1"/>
          <w:sz w:val="24"/>
        </w:rPr>
        <w:t>n</w:t>
      </w:r>
      <w:r w:rsidR="002A5389">
        <w:rPr>
          <w:rFonts w:ascii="Times New Roman" w:hAnsi="Times New Roman"/>
          <w:color w:val="000000" w:themeColor="text1"/>
          <w:sz w:val="24"/>
        </w:rPr>
        <w:t xml:space="preserve"> </w:t>
      </w:r>
      <w:r w:rsidRPr="00DD7575">
        <w:rPr>
          <w:rFonts w:ascii="Times New Roman" w:hAnsi="Times New Roman"/>
          <w:color w:val="000000" w:themeColor="text1"/>
          <w:sz w:val="24"/>
        </w:rPr>
        <w:t xml:space="preserve">addition, a thorough feasibility analysis involves the acquaintance with the legal requirements and limitation which may affect the plans both legal and practical point of view. Through in-depth market research, financial </w:t>
      </w:r>
      <w:r w:rsidR="00884DFD" w:rsidRPr="00DD7575">
        <w:rPr>
          <w:rFonts w:ascii="Times New Roman" w:hAnsi="Times New Roman"/>
          <w:color w:val="000000" w:themeColor="text1"/>
          <w:sz w:val="24"/>
        </w:rPr>
        <w:t>modelling</w:t>
      </w:r>
      <w:r w:rsidRPr="00DD7575">
        <w:rPr>
          <w:rFonts w:ascii="Times New Roman" w:hAnsi="Times New Roman"/>
          <w:color w:val="000000" w:themeColor="text1"/>
          <w:sz w:val="24"/>
        </w:rPr>
        <w:t>, and risk assessment, Walmart is capable of evaluating the feasibility of investment projects and making informed decisions that follow its strategic objectives</w:t>
      </w:r>
      <w:r w:rsidR="002A5389">
        <w:rPr>
          <w:rFonts w:ascii="Times New Roman" w:hAnsi="Times New Roman"/>
          <w:color w:val="000000" w:themeColor="text1"/>
          <w:sz w:val="24"/>
        </w:rPr>
        <w:t xml:space="preserve"> </w:t>
      </w:r>
      <w:r w:rsidR="00D1299B" w:rsidRPr="00DD7575">
        <w:rPr>
          <w:rFonts w:ascii="Times New Roman" w:hAnsi="Times New Roman"/>
          <w:color w:val="000000" w:themeColor="text1"/>
          <w:sz w:val="24"/>
        </w:rPr>
        <w:t>(</w:t>
      </w:r>
      <w:proofErr w:type="spellStart"/>
      <w:r w:rsidR="00D1299B" w:rsidRPr="00FC4F13">
        <w:rPr>
          <w:rFonts w:ascii="Times New Roman" w:hAnsi="Times New Roman"/>
          <w:b/>
          <w:bCs/>
          <w:color w:val="000000" w:themeColor="text1"/>
          <w:sz w:val="24"/>
          <w:lang w:val="en-US"/>
        </w:rPr>
        <w:t>Vernimmen</w:t>
      </w:r>
      <w:proofErr w:type="spellEnd"/>
      <w:r w:rsidR="00D1299B" w:rsidRPr="00FC4F13">
        <w:rPr>
          <w:rFonts w:ascii="Times New Roman" w:hAnsi="Times New Roman"/>
          <w:b/>
          <w:bCs/>
          <w:color w:val="000000" w:themeColor="text1"/>
          <w:sz w:val="24"/>
        </w:rPr>
        <w:t xml:space="preserve"> et al. </w:t>
      </w:r>
      <w:r w:rsidR="00D1299B" w:rsidRPr="00FC4F13">
        <w:rPr>
          <w:rFonts w:ascii="Times New Roman" w:hAnsi="Times New Roman"/>
          <w:b/>
          <w:bCs/>
          <w:color w:val="000000" w:themeColor="text1"/>
          <w:sz w:val="24"/>
          <w:lang w:val="en-US"/>
        </w:rPr>
        <w:t>2018</w:t>
      </w:r>
      <w:r w:rsidR="00D1299B" w:rsidRPr="00FC4F13">
        <w:rPr>
          <w:rFonts w:ascii="Times New Roman" w:hAnsi="Times New Roman"/>
          <w:b/>
          <w:bCs/>
          <w:color w:val="000000" w:themeColor="text1"/>
          <w:sz w:val="24"/>
        </w:rPr>
        <w:t>)</w:t>
      </w:r>
      <w:r w:rsidRPr="00FC4F13">
        <w:rPr>
          <w:rFonts w:ascii="Times New Roman" w:hAnsi="Times New Roman"/>
          <w:b/>
          <w:bCs/>
          <w:color w:val="000000" w:themeColor="text1"/>
          <w:sz w:val="24"/>
        </w:rPr>
        <w:t>.</w:t>
      </w:r>
    </w:p>
    <w:p w14:paraId="06D1D00E" w14:textId="77777777" w:rsidR="003360DA" w:rsidRPr="00DD7575" w:rsidRDefault="001A5B50" w:rsidP="00853AEC">
      <w:pPr>
        <w:spacing w:line="360" w:lineRule="auto"/>
        <w:jc w:val="both"/>
        <w:rPr>
          <w:rFonts w:ascii="Times New Roman" w:hAnsi="Times New Roman" w:cs="Times New Roman"/>
          <w:color w:val="000000" w:themeColor="text1"/>
          <w:sz w:val="24"/>
          <w:szCs w:val="24"/>
          <w:lang w:val="en-US"/>
        </w:rPr>
      </w:pPr>
      <w:r w:rsidRPr="00DD7575">
        <w:rPr>
          <w:rFonts w:ascii="Times New Roman" w:hAnsi="Times New Roman"/>
          <w:color w:val="000000" w:themeColor="text1"/>
          <w:sz w:val="24"/>
        </w:rPr>
        <w:t>B</w:t>
      </w:r>
      <w:r w:rsidR="003360DA" w:rsidRPr="00DD7575">
        <w:rPr>
          <w:rFonts w:ascii="Times New Roman" w:hAnsi="Times New Roman"/>
          <w:color w:val="000000" w:themeColor="text1"/>
          <w:sz w:val="24"/>
        </w:rPr>
        <w:t xml:space="preserve">esides, using findings from SWOT analysis allows Walmart to magnify its strengths, work on its weaknesses, make use of opportunities and handle threats. Through this thorough approach to feasibility analysis, Walmart receives information that helps them make the correct decisions when </w:t>
      </w:r>
      <w:r w:rsidR="003360DA" w:rsidRPr="00DD7575">
        <w:rPr>
          <w:rFonts w:ascii="Times New Roman" w:hAnsi="Times New Roman"/>
          <w:color w:val="000000" w:themeColor="text1"/>
          <w:sz w:val="24"/>
        </w:rPr>
        <w:lastRenderedPageBreak/>
        <w:t xml:space="preserve">it comes to doing business effectively and generating investments that lead to sustainable growth and create long-term </w:t>
      </w:r>
      <w:proofErr w:type="gramStart"/>
      <w:r w:rsidR="003360DA" w:rsidRPr="00DD7575">
        <w:rPr>
          <w:rFonts w:ascii="Times New Roman" w:hAnsi="Times New Roman"/>
          <w:color w:val="000000" w:themeColor="text1"/>
          <w:sz w:val="24"/>
        </w:rPr>
        <w:t>value</w:t>
      </w:r>
      <w:r w:rsidR="00C132B8" w:rsidRPr="00DD7575">
        <w:rPr>
          <w:rFonts w:ascii="Times New Roman" w:hAnsi="Times New Roman"/>
          <w:color w:val="000000" w:themeColor="text1"/>
          <w:sz w:val="24"/>
        </w:rPr>
        <w:t>(</w:t>
      </w:r>
      <w:proofErr w:type="gramEnd"/>
      <w:r w:rsidR="00C132B8" w:rsidRPr="00FC4F13">
        <w:rPr>
          <w:rFonts w:ascii="Times New Roman" w:hAnsi="Times New Roman"/>
          <w:b/>
          <w:bCs/>
          <w:color w:val="000000" w:themeColor="text1"/>
          <w:sz w:val="24"/>
          <w:lang w:val="en-US"/>
        </w:rPr>
        <w:t>Shinkevich, Kudryavtseva, and Samarina,2023</w:t>
      </w:r>
      <w:r w:rsidR="00C132B8" w:rsidRPr="00DD7575">
        <w:rPr>
          <w:rFonts w:ascii="Times New Roman" w:hAnsi="Times New Roman"/>
          <w:color w:val="000000" w:themeColor="text1"/>
          <w:sz w:val="24"/>
        </w:rPr>
        <w:t>)</w:t>
      </w:r>
      <w:r w:rsidR="003360DA" w:rsidRPr="00DD7575">
        <w:rPr>
          <w:rFonts w:ascii="Times New Roman" w:hAnsi="Times New Roman"/>
          <w:color w:val="000000" w:themeColor="text1"/>
          <w:sz w:val="24"/>
        </w:rPr>
        <w:t>.</w:t>
      </w:r>
    </w:p>
    <w:p w14:paraId="3A27590A" w14:textId="77777777" w:rsidR="003360DA" w:rsidRPr="00DD7575" w:rsidRDefault="00FB086A" w:rsidP="00FC4F13">
      <w:pPr>
        <w:pStyle w:val="Heading2"/>
        <w:rPr>
          <w:lang w:val="en-US"/>
        </w:rPr>
      </w:pPr>
      <w:bookmarkStart w:id="25" w:name="_Toc164810569"/>
      <w:r w:rsidRPr="00DD7575">
        <w:t>4.6. Current outcomes</w:t>
      </w:r>
      <w:bookmarkEnd w:id="25"/>
    </w:p>
    <w:p w14:paraId="128FB811" w14:textId="10E6F1EE" w:rsidR="006B6F8D" w:rsidRPr="00DD7575" w:rsidRDefault="003360DA" w:rsidP="00853AEC">
      <w:pPr>
        <w:spacing w:line="360" w:lineRule="auto"/>
        <w:jc w:val="both"/>
        <w:rPr>
          <w:rFonts w:ascii="Times New Roman" w:hAnsi="Times New Roman"/>
          <w:color w:val="000000" w:themeColor="text1"/>
          <w:sz w:val="24"/>
        </w:rPr>
      </w:pPr>
      <w:r w:rsidRPr="00DD7575">
        <w:rPr>
          <w:rFonts w:ascii="Times New Roman" w:hAnsi="Times New Roman"/>
          <w:color w:val="000000" w:themeColor="text1"/>
          <w:sz w:val="24"/>
        </w:rPr>
        <w:t>For now, the results of Walmart's investment activities over the past five years have been a major success in terms of contributing to the company's strategic development and to its competitive position. For instance, the company has invested in many areas, such as e-commerce expansion, technological development, and sustainability programs, which have subsequently enriched its performance</w:t>
      </w:r>
      <w:r w:rsidR="00FC4F13">
        <w:rPr>
          <w:rFonts w:ascii="Times New Roman" w:hAnsi="Times New Roman"/>
          <w:color w:val="000000" w:themeColor="text1"/>
          <w:sz w:val="24"/>
        </w:rPr>
        <w:t xml:space="preserve"> </w:t>
      </w:r>
      <w:r w:rsidR="00C132B8" w:rsidRPr="00DD7575">
        <w:rPr>
          <w:rFonts w:ascii="Times New Roman" w:hAnsi="Times New Roman"/>
          <w:color w:val="000000" w:themeColor="text1"/>
          <w:sz w:val="24"/>
        </w:rPr>
        <w:t>(</w:t>
      </w:r>
      <w:r w:rsidR="00C132B8" w:rsidRPr="00FC4F13">
        <w:rPr>
          <w:rFonts w:ascii="Times New Roman" w:hAnsi="Times New Roman"/>
          <w:b/>
          <w:bCs/>
          <w:color w:val="000000" w:themeColor="text1"/>
          <w:sz w:val="24"/>
          <w:lang w:val="en-US"/>
        </w:rPr>
        <w:t xml:space="preserve">Block, </w:t>
      </w:r>
      <w:proofErr w:type="spellStart"/>
      <w:r w:rsidR="00C132B8" w:rsidRPr="00FC4F13">
        <w:rPr>
          <w:rFonts w:ascii="Times New Roman" w:hAnsi="Times New Roman"/>
          <w:b/>
          <w:bCs/>
          <w:color w:val="000000" w:themeColor="text1"/>
          <w:sz w:val="24"/>
          <w:lang w:val="en-US"/>
        </w:rPr>
        <w:t>Hirtand</w:t>
      </w:r>
      <w:proofErr w:type="spellEnd"/>
      <w:r w:rsidR="00C132B8" w:rsidRPr="00FC4F13">
        <w:rPr>
          <w:rFonts w:ascii="Times New Roman" w:hAnsi="Times New Roman"/>
          <w:b/>
          <w:bCs/>
          <w:color w:val="000000" w:themeColor="text1"/>
          <w:sz w:val="24"/>
          <w:lang w:val="en-US"/>
        </w:rPr>
        <w:t xml:space="preserve"> Danielsen, 2023</w:t>
      </w:r>
      <w:r w:rsidR="00C132B8" w:rsidRPr="00DD7575">
        <w:rPr>
          <w:rFonts w:ascii="Times New Roman" w:hAnsi="Times New Roman"/>
          <w:color w:val="000000" w:themeColor="text1"/>
          <w:sz w:val="24"/>
        </w:rPr>
        <w:t>)</w:t>
      </w:r>
      <w:r w:rsidRPr="00DD7575">
        <w:rPr>
          <w:rFonts w:ascii="Times New Roman" w:hAnsi="Times New Roman"/>
          <w:color w:val="000000" w:themeColor="text1"/>
          <w:sz w:val="24"/>
        </w:rPr>
        <w:t>. Besides, Walmart's mission to incorporate sustainable practices is in line with the changing perception of consumers, but it has also led to budget cuts and the enhancement of brand reputation. In summary, the results of recent Walmart investment activities reinforce the success of its strategic initiatives to boost growth, innovation, and shareholders' long-term value creation</w:t>
      </w:r>
      <w:r w:rsidR="00884DFD" w:rsidRPr="00DD7575">
        <w:rPr>
          <w:rFonts w:ascii="Times New Roman" w:hAnsi="Times New Roman"/>
          <w:color w:val="000000" w:themeColor="text1"/>
          <w:sz w:val="24"/>
        </w:rPr>
        <w:t>.</w:t>
      </w:r>
    </w:p>
    <w:p w14:paraId="2E951914" w14:textId="77777777" w:rsidR="00FB086A" w:rsidRPr="00DD7575" w:rsidRDefault="00FB086A" w:rsidP="00FC4F13">
      <w:pPr>
        <w:pStyle w:val="Heading1"/>
        <w:rPr>
          <w:lang w:val="en-US"/>
        </w:rPr>
      </w:pPr>
      <w:bookmarkStart w:id="26" w:name="_Toc164810570"/>
      <w:r w:rsidRPr="00DD7575">
        <w:t>5. Conclusion</w:t>
      </w:r>
      <w:bookmarkEnd w:id="26"/>
    </w:p>
    <w:p w14:paraId="5C64D542" w14:textId="744AA373" w:rsidR="00501DFA" w:rsidRPr="00501DFA" w:rsidRDefault="00501DFA" w:rsidP="00091F1B">
      <w:pPr>
        <w:pStyle w:val="NormalWeb"/>
        <w:spacing w:line="360" w:lineRule="auto"/>
      </w:pPr>
      <w:r>
        <w:t>The evaluation of Walmart's financial performance, focusing on liquidity and leverage ratios, capital structure, share price performance, and investment activity, provides insight into the company's current standing and future prospects. According to the report, Walmart maintains a solid financial position, although challenges exist in maintaining liquidity, such as a decline in current and quick ratios over the last five years. Additionally, changes in leverage ratios suggest a balanced mix of debt and equity financing to support growth initiatives (</w:t>
      </w:r>
      <w:proofErr w:type="spellStart"/>
      <w:r w:rsidRPr="00FC4F13">
        <w:rPr>
          <w:b/>
          <w:bCs/>
        </w:rPr>
        <w:t>Kovvali</w:t>
      </w:r>
      <w:proofErr w:type="spellEnd"/>
      <w:r w:rsidRPr="00FC4F13">
        <w:rPr>
          <w:b/>
          <w:bCs/>
        </w:rPr>
        <w:t>, 2023</w:t>
      </w:r>
      <w:r>
        <w:t>).</w:t>
      </w:r>
    </w:p>
    <w:p w14:paraId="5C5D51AC" w14:textId="4E7C69DB" w:rsidR="00501DFA" w:rsidRPr="00501DFA" w:rsidRDefault="00501DFA" w:rsidP="00091F1B">
      <w:pPr>
        <w:spacing w:line="360" w:lineRule="auto"/>
        <w:rPr>
          <w:rFonts w:ascii="Times New Roman" w:hAnsi="Times New Roman" w:cs="Times New Roman"/>
          <w:sz w:val="24"/>
          <w:szCs w:val="24"/>
        </w:rPr>
      </w:pPr>
      <w:r w:rsidRPr="00501DFA">
        <w:rPr>
          <w:rFonts w:ascii="Times New Roman" w:hAnsi="Times New Roman" w:cs="Times New Roman"/>
          <w:sz w:val="24"/>
          <w:szCs w:val="24"/>
        </w:rPr>
        <w:t>Walmart demonstrates resilience and adaptability despite facing challenges. This is evident in its consistent profitability, efficiency, and strategic investments. Focusing on e-commerce, technology, and sustainability will ensure Walmart's relevance and competitiveness in the evolving retail industry. A comparison with Amazon shows Walmart's cautious financial approach versus Amazon's aggressive growth strategy, explaining Amazon's higher annual returns. Despite this, Walmart's investments in e-commerce, technology, and sustainability are starting to pay off, boosting online sales, operational efficiency, and enhancing its reputation</w:t>
      </w:r>
      <w:r>
        <w:rPr>
          <w:rFonts w:ascii="Times New Roman" w:hAnsi="Times New Roman" w:cs="Times New Roman"/>
          <w:sz w:val="24"/>
          <w:szCs w:val="24"/>
        </w:rPr>
        <w:t>.</w:t>
      </w:r>
    </w:p>
    <w:p w14:paraId="140636AF" w14:textId="4D6C9803" w:rsidR="00501DFA" w:rsidRPr="00FC4F13" w:rsidRDefault="00BF4D03" w:rsidP="00091F1B">
      <w:pPr>
        <w:spacing w:line="360" w:lineRule="auto"/>
        <w:jc w:val="both"/>
        <w:rPr>
          <w:rFonts w:ascii="Times New Roman" w:hAnsi="Times New Roman"/>
          <w:b/>
          <w:bCs/>
          <w:color w:val="000000" w:themeColor="text1"/>
          <w:sz w:val="24"/>
        </w:rPr>
      </w:pPr>
      <w:r w:rsidRPr="00DD7575">
        <w:rPr>
          <w:rFonts w:ascii="Times New Roman" w:hAnsi="Times New Roman"/>
          <w:color w:val="000000" w:themeColor="text1"/>
          <w:sz w:val="24"/>
        </w:rPr>
        <w:t xml:space="preserve"> </w:t>
      </w:r>
      <w:r w:rsidRPr="00FC4F13">
        <w:rPr>
          <w:rFonts w:ascii="Times New Roman" w:hAnsi="Times New Roman" w:cs="Times New Roman"/>
          <w:b/>
          <w:bCs/>
          <w:color w:val="000000" w:themeColor="text1"/>
          <w:sz w:val="24"/>
        </w:rPr>
        <w:t xml:space="preserve">(Lee </w:t>
      </w:r>
      <w:r w:rsidRPr="00FC4F13">
        <w:rPr>
          <w:rFonts w:ascii="Times New Roman" w:hAnsi="Times New Roman" w:cs="Times New Roman"/>
          <w:b/>
          <w:bCs/>
          <w:i/>
          <w:iCs/>
          <w:color w:val="000000" w:themeColor="text1"/>
          <w:sz w:val="24"/>
        </w:rPr>
        <w:t xml:space="preserve">et al. </w:t>
      </w:r>
      <w:r w:rsidRPr="00FC4F13">
        <w:rPr>
          <w:rFonts w:ascii="Times New Roman" w:hAnsi="Times New Roman" w:cs="Times New Roman"/>
          <w:b/>
          <w:bCs/>
          <w:color w:val="000000" w:themeColor="text1"/>
          <w:sz w:val="24"/>
        </w:rPr>
        <w:t>2023)</w:t>
      </w:r>
    </w:p>
    <w:p w14:paraId="132D45EC" w14:textId="239F2484" w:rsidR="003360DA" w:rsidRPr="00501DFA" w:rsidRDefault="003360DA" w:rsidP="00091F1B">
      <w:pPr>
        <w:spacing w:line="360" w:lineRule="auto"/>
        <w:rPr>
          <w:rFonts w:ascii="Times New Roman" w:hAnsi="Times New Roman" w:cs="Times New Roman"/>
          <w:sz w:val="24"/>
          <w:szCs w:val="24"/>
        </w:rPr>
      </w:pPr>
      <w:r w:rsidRPr="00501DFA">
        <w:rPr>
          <w:rFonts w:ascii="Times New Roman" w:hAnsi="Times New Roman" w:cs="Times New Roman"/>
          <w:color w:val="000000" w:themeColor="text1"/>
          <w:sz w:val="24"/>
          <w:szCs w:val="24"/>
        </w:rPr>
        <w:lastRenderedPageBreak/>
        <w:t xml:space="preserve"> </w:t>
      </w:r>
      <w:r w:rsidR="00501DFA" w:rsidRPr="00501DFA">
        <w:rPr>
          <w:rFonts w:ascii="Times New Roman" w:hAnsi="Times New Roman" w:cs="Times New Roman"/>
          <w:sz w:val="24"/>
          <w:szCs w:val="24"/>
        </w:rPr>
        <w:t>"Walmart must prioritize investing in digitalization, innovation, and sustainability as the key focus of its strategic plan to maintain a competitive edge and capitalize on emerging market opportunities. Strengthening liquidity management and optimizing the capital structure are essential for the successful implementation of these strategic initiatives and ensuring financial stability."</w:t>
      </w:r>
    </w:p>
    <w:p w14:paraId="4AE01DB7" w14:textId="20E5ACA6" w:rsidR="00400DC7" w:rsidRPr="00624CCD" w:rsidRDefault="00624CCD" w:rsidP="00091F1B">
      <w:pPr>
        <w:spacing w:line="360" w:lineRule="auto"/>
        <w:rPr>
          <w:rFonts w:ascii="Times New Roman" w:hAnsi="Times New Roman" w:cs="Times New Roman"/>
          <w:sz w:val="24"/>
          <w:szCs w:val="24"/>
        </w:rPr>
      </w:pPr>
      <w:r w:rsidRPr="00624CCD">
        <w:rPr>
          <w:rFonts w:ascii="Times New Roman" w:hAnsi="Times New Roman" w:cs="Times New Roman"/>
          <w:sz w:val="24"/>
          <w:szCs w:val="24"/>
        </w:rPr>
        <w:t>Walmart, despite facing various challenges in a dynamic business landscape, remains well-positioned for sustained growth and value creation. The company's solid financial base, strategic investments, and customer-centric innovations are key factors ensuring its future success. By leveraging its strengths and addressing weaknesses, Walmart has the potential to lead the retail industry. Through continuous improvement, sound financial practices, and strategic investments, Walmart is fortifying itself for long-term success in the retail sector. Embracing its strengths and addressing vulnerabilities, Walmart stands as a resilient force ready to navigate changing market dynamics while driving continuous growth, profitability, and shareholder value.</w:t>
      </w:r>
      <w:r w:rsidR="00BF4D03" w:rsidRPr="00DD7575">
        <w:rPr>
          <w:rFonts w:ascii="Times New Roman" w:hAnsi="Times New Roman"/>
          <w:color w:val="000000" w:themeColor="text1"/>
          <w:sz w:val="24"/>
        </w:rPr>
        <w:t xml:space="preserve"> </w:t>
      </w:r>
      <w:r w:rsidR="00BF4D03" w:rsidRPr="00FC4F13">
        <w:rPr>
          <w:rFonts w:ascii="Times New Roman" w:hAnsi="Times New Roman" w:cs="Times New Roman"/>
          <w:b/>
          <w:bCs/>
          <w:color w:val="000000" w:themeColor="text1"/>
          <w:sz w:val="24"/>
        </w:rPr>
        <w:t>(Menand, 2023)</w:t>
      </w:r>
      <w:r w:rsidR="003360DA" w:rsidRPr="00FC4F13">
        <w:rPr>
          <w:rFonts w:ascii="Times New Roman" w:hAnsi="Times New Roman"/>
          <w:b/>
          <w:bCs/>
          <w:color w:val="000000" w:themeColor="text1"/>
          <w:sz w:val="24"/>
        </w:rPr>
        <w:t>.</w:t>
      </w:r>
    </w:p>
    <w:p w14:paraId="12E0CB0D" w14:textId="77777777" w:rsidR="00C20206" w:rsidRPr="00DD7575" w:rsidRDefault="00B00418" w:rsidP="00091F1B">
      <w:pPr>
        <w:spacing w:line="360" w:lineRule="auto"/>
        <w:rPr>
          <w:color w:val="000000" w:themeColor="text1"/>
        </w:rPr>
      </w:pPr>
      <w:r w:rsidRPr="00DD7575">
        <w:rPr>
          <w:color w:val="000000" w:themeColor="text1"/>
        </w:rPr>
        <w:br w:type="page"/>
      </w:r>
    </w:p>
    <w:p w14:paraId="54DA75D5" w14:textId="77777777" w:rsidR="00C20206" w:rsidRPr="00DD7575" w:rsidRDefault="00B00418" w:rsidP="00FC4F13">
      <w:pPr>
        <w:pStyle w:val="Heading1"/>
      </w:pPr>
      <w:bookmarkStart w:id="27" w:name="_Toc164810571"/>
      <w:r w:rsidRPr="00DD7575">
        <w:lastRenderedPageBreak/>
        <w:t>Reference List</w:t>
      </w:r>
      <w:bookmarkEnd w:id="27"/>
    </w:p>
    <w:p w14:paraId="1CE81B1C" w14:textId="0F64D41F" w:rsidR="00EF38A8" w:rsidRPr="00EF38A8" w:rsidRDefault="00853AEC" w:rsidP="00853AEC">
      <w:pPr>
        <w:spacing w:line="360" w:lineRule="auto"/>
        <w:jc w:val="both"/>
        <w:rPr>
          <w:rFonts w:ascii="Times New Roman" w:hAnsi="Times New Roman"/>
          <w:color w:val="000000" w:themeColor="text1"/>
          <w:sz w:val="24"/>
          <w:u w:val="single"/>
          <w:lang w:val="en-US"/>
        </w:rPr>
      </w:pPr>
      <w:bookmarkStart w:id="28" w:name="_Hlk164538284"/>
      <w:bookmarkStart w:id="29" w:name="_Hlk164437887"/>
      <w:r w:rsidRPr="00DD7575">
        <w:rPr>
          <w:rFonts w:ascii="Times New Roman" w:hAnsi="Times New Roman"/>
          <w:color w:val="000000" w:themeColor="text1"/>
          <w:sz w:val="24"/>
          <w:lang w:val="en-US"/>
        </w:rPr>
        <w:t xml:space="preserve">Amazon (2022). </w:t>
      </w:r>
      <w:r w:rsidRPr="00DD7575">
        <w:rPr>
          <w:rFonts w:ascii="Times New Roman" w:hAnsi="Times New Roman"/>
          <w:i/>
          <w:iCs/>
          <w:color w:val="000000" w:themeColor="text1"/>
          <w:sz w:val="24"/>
          <w:lang w:val="en-US"/>
        </w:rPr>
        <w:t>Amazon Annual Report, 2022</w:t>
      </w:r>
      <w:r w:rsidRPr="00DD7575">
        <w:rPr>
          <w:rFonts w:ascii="Times New Roman" w:hAnsi="Times New Roman"/>
          <w:color w:val="000000" w:themeColor="text1"/>
          <w:sz w:val="24"/>
          <w:lang w:val="en-US"/>
        </w:rPr>
        <w:t xml:space="preserve">. [online] </w:t>
      </w:r>
      <w:r w:rsidRPr="00DD7575">
        <w:rPr>
          <w:rFonts w:ascii="Times New Roman" w:hAnsi="Times New Roman"/>
          <w:i/>
          <w:iCs/>
          <w:color w:val="000000" w:themeColor="text1"/>
          <w:sz w:val="24"/>
          <w:lang w:val="en-US"/>
        </w:rPr>
        <w:t>Amazon</w:t>
      </w:r>
      <w:r w:rsidRPr="00DD7575">
        <w:rPr>
          <w:rFonts w:ascii="Times New Roman" w:hAnsi="Times New Roman"/>
          <w:color w:val="000000" w:themeColor="text1"/>
          <w:sz w:val="24"/>
          <w:lang w:val="en-US"/>
        </w:rPr>
        <w:t xml:space="preserve">. Available at: </w:t>
      </w:r>
      <w:hyperlink r:id="rId10" w:history="1">
        <w:r w:rsidRPr="00DD7575">
          <w:rPr>
            <w:rStyle w:val="Hyperlink"/>
            <w:rFonts w:ascii="Times New Roman" w:hAnsi="Times New Roman"/>
            <w:color w:val="000000" w:themeColor="text1"/>
            <w:sz w:val="24"/>
            <w:lang w:val="en-US"/>
          </w:rPr>
          <w:t>https://www.annualreports.com/HostedData/AnnualReportArchive/a/NASDAQ_AMZN_2022.pdf</w:t>
        </w:r>
      </w:hyperlink>
      <w:r w:rsidR="00EF38A8">
        <w:rPr>
          <w:rStyle w:val="Hyperlink"/>
          <w:rFonts w:ascii="Times New Roman" w:hAnsi="Times New Roman"/>
          <w:color w:val="000000" w:themeColor="text1"/>
          <w:sz w:val="24"/>
          <w:lang w:val="en-US"/>
        </w:rPr>
        <w:t>.</w:t>
      </w:r>
    </w:p>
    <w:p w14:paraId="3C586BC1" w14:textId="272AA40E" w:rsidR="00EF38A8" w:rsidRPr="00DD7575" w:rsidRDefault="00853AEC" w:rsidP="00853AEC">
      <w:pPr>
        <w:spacing w:line="360" w:lineRule="auto"/>
        <w:jc w:val="both"/>
        <w:rPr>
          <w:rFonts w:ascii="Times New Roman" w:hAnsi="Times New Roman"/>
          <w:color w:val="000000" w:themeColor="text1"/>
          <w:sz w:val="24"/>
          <w:lang w:val="en-US"/>
        </w:rPr>
      </w:pPr>
      <w:r w:rsidRPr="00DD7575">
        <w:rPr>
          <w:rFonts w:ascii="Times New Roman" w:hAnsi="Times New Roman"/>
          <w:color w:val="000000" w:themeColor="text1"/>
          <w:sz w:val="24"/>
          <w:lang w:val="en-US"/>
        </w:rPr>
        <w:t xml:space="preserve">Amazon (2023). </w:t>
      </w:r>
      <w:r w:rsidRPr="00DD7575">
        <w:rPr>
          <w:rFonts w:ascii="Times New Roman" w:hAnsi="Times New Roman"/>
          <w:i/>
          <w:iCs/>
          <w:color w:val="000000" w:themeColor="text1"/>
          <w:sz w:val="24"/>
          <w:lang w:val="en-US"/>
        </w:rPr>
        <w:t>Amazon Annual Report, 2023</w:t>
      </w:r>
      <w:r w:rsidRPr="00DD7575">
        <w:rPr>
          <w:rFonts w:ascii="Times New Roman" w:hAnsi="Times New Roman"/>
          <w:color w:val="000000" w:themeColor="text1"/>
          <w:sz w:val="24"/>
          <w:lang w:val="en-US"/>
        </w:rPr>
        <w:t xml:space="preserve">. [online] </w:t>
      </w:r>
      <w:r w:rsidRPr="00DD7575">
        <w:rPr>
          <w:rFonts w:ascii="Times New Roman" w:hAnsi="Times New Roman"/>
          <w:i/>
          <w:iCs/>
          <w:color w:val="000000" w:themeColor="text1"/>
          <w:sz w:val="24"/>
          <w:lang w:val="en-US"/>
        </w:rPr>
        <w:t>Amazon</w:t>
      </w:r>
      <w:r w:rsidRPr="00DD7575">
        <w:rPr>
          <w:rFonts w:ascii="Times New Roman" w:hAnsi="Times New Roman"/>
          <w:color w:val="000000" w:themeColor="text1"/>
          <w:sz w:val="24"/>
          <w:lang w:val="en-US"/>
        </w:rPr>
        <w:t xml:space="preserve">. Available at: </w:t>
      </w:r>
      <w:hyperlink r:id="rId11" w:history="1">
        <w:r w:rsidRPr="00DD7575">
          <w:rPr>
            <w:rStyle w:val="Hyperlink"/>
            <w:rFonts w:ascii="Times New Roman" w:hAnsi="Times New Roman"/>
            <w:color w:val="000000" w:themeColor="text1"/>
            <w:sz w:val="24"/>
            <w:lang w:val="en-US"/>
          </w:rPr>
          <w:t>https://www.annualreports.com/HostedData/AnnualReports/PDF/NASDAQ_AMZN_2023.pdf</w:t>
        </w:r>
      </w:hyperlink>
      <w:r w:rsidRPr="00DD7575">
        <w:rPr>
          <w:rFonts w:ascii="Times New Roman" w:hAnsi="Times New Roman"/>
          <w:color w:val="000000" w:themeColor="text1"/>
          <w:sz w:val="24"/>
          <w:lang w:val="en-US"/>
        </w:rPr>
        <w:t xml:space="preserve"> </w:t>
      </w:r>
    </w:p>
    <w:p w14:paraId="46B79A9C" w14:textId="286951EF" w:rsidR="00853AEC" w:rsidRPr="00DD7575" w:rsidRDefault="00853AEC" w:rsidP="00853AEC">
      <w:pPr>
        <w:pStyle w:val="NormalWeb"/>
        <w:spacing w:before="0" w:beforeAutospacing="0" w:after="200" w:afterAutospacing="0" w:line="360" w:lineRule="auto"/>
        <w:jc w:val="both"/>
        <w:rPr>
          <w:color w:val="000000" w:themeColor="text1"/>
        </w:rPr>
      </w:pPr>
      <w:proofErr w:type="spellStart"/>
      <w:r w:rsidRPr="00DD7575">
        <w:rPr>
          <w:color w:val="000000" w:themeColor="text1"/>
        </w:rPr>
        <w:t>Azimian</w:t>
      </w:r>
      <w:proofErr w:type="spellEnd"/>
      <w:r w:rsidRPr="00DD7575">
        <w:rPr>
          <w:color w:val="000000" w:themeColor="text1"/>
        </w:rPr>
        <w:t xml:space="preserve">, A., 2023. </w:t>
      </w:r>
      <w:proofErr w:type="spellStart"/>
      <w:r w:rsidRPr="00DD7575">
        <w:rPr>
          <w:color w:val="000000" w:themeColor="text1"/>
        </w:rPr>
        <w:t>Contgion</w:t>
      </w:r>
      <w:proofErr w:type="spellEnd"/>
      <w:r w:rsidRPr="00DD7575">
        <w:rPr>
          <w:color w:val="000000" w:themeColor="text1"/>
        </w:rPr>
        <w:t xml:space="preserve"> risk: How stakeholders mediate the impact of rivals’ misfortunes on firms. Cogent Business &amp; Management, 10(2</w:t>
      </w:r>
      <w:proofErr w:type="gramStart"/>
      <w:r w:rsidRPr="00DD7575">
        <w:rPr>
          <w:color w:val="000000" w:themeColor="text1"/>
        </w:rPr>
        <w:t>),.</w:t>
      </w:r>
      <w:proofErr w:type="gramEnd"/>
      <w:r w:rsidRPr="00DD7575">
        <w:rPr>
          <w:color w:val="000000" w:themeColor="text1"/>
        </w:rPr>
        <w:t> </w:t>
      </w:r>
      <w:r w:rsidRPr="00DD7575">
        <w:rPr>
          <w:color w:val="000000" w:themeColor="text1"/>
          <w:shd w:val="clear" w:color="auto" w:fill="FFFFFF"/>
        </w:rPr>
        <w:t xml:space="preserve">DOI: </w:t>
      </w:r>
      <w:hyperlink r:id="rId12" w:tgtFrame="_blank" w:history="1">
        <w:r w:rsidRPr="00DD7575">
          <w:rPr>
            <w:rStyle w:val="Hyperlink"/>
            <w:rFonts w:eastAsiaTheme="majorEastAsia"/>
            <w:color w:val="000000" w:themeColor="text1"/>
            <w:bdr w:val="none" w:sz="0" w:space="0" w:color="auto" w:frame="1"/>
            <w:shd w:val="clear" w:color="auto" w:fill="FFFFFF"/>
          </w:rPr>
          <w:t>10.1080/23311975.2023.2236304</w:t>
        </w:r>
      </w:hyperlink>
      <w:r w:rsidRPr="00DD7575">
        <w:rPr>
          <w:color w:val="000000" w:themeColor="text1"/>
        </w:rPr>
        <w:t xml:space="preserve"> </w:t>
      </w:r>
    </w:p>
    <w:p w14:paraId="0CB33641" w14:textId="77777777" w:rsidR="00853AEC" w:rsidRPr="00DD7575" w:rsidRDefault="00853AEC" w:rsidP="00853AEC">
      <w:pPr>
        <w:spacing w:line="360" w:lineRule="auto"/>
        <w:jc w:val="both"/>
        <w:rPr>
          <w:rFonts w:ascii="Times New Roman" w:hAnsi="Times New Roman"/>
          <w:color w:val="000000" w:themeColor="text1"/>
          <w:sz w:val="24"/>
          <w:lang w:val="en-US"/>
        </w:rPr>
      </w:pPr>
      <w:r w:rsidRPr="00DD7575">
        <w:rPr>
          <w:rFonts w:ascii="Times New Roman" w:hAnsi="Times New Roman"/>
          <w:color w:val="000000" w:themeColor="text1"/>
          <w:sz w:val="24"/>
          <w:lang w:val="en-US"/>
        </w:rPr>
        <w:t xml:space="preserve">Block, S.B., Hirt, G.A. and Danielsen, B.R. (2023). </w:t>
      </w:r>
      <w:r w:rsidRPr="00DD7575">
        <w:rPr>
          <w:rFonts w:ascii="Times New Roman" w:hAnsi="Times New Roman"/>
          <w:i/>
          <w:iCs/>
          <w:color w:val="000000" w:themeColor="text1"/>
          <w:sz w:val="24"/>
          <w:lang w:val="en-US"/>
        </w:rPr>
        <w:t>Foundations of financial management</w:t>
      </w:r>
      <w:r w:rsidRPr="00DD7575">
        <w:rPr>
          <w:rFonts w:ascii="Times New Roman" w:hAnsi="Times New Roman"/>
          <w:color w:val="000000" w:themeColor="text1"/>
          <w:sz w:val="24"/>
          <w:lang w:val="en-US"/>
        </w:rPr>
        <w:t xml:space="preserve">. 18th ed. Dubuque: </w:t>
      </w:r>
      <w:proofErr w:type="spellStart"/>
      <w:r w:rsidRPr="00DD7575">
        <w:rPr>
          <w:rFonts w:ascii="Times New Roman" w:hAnsi="Times New Roman"/>
          <w:color w:val="000000" w:themeColor="text1"/>
          <w:sz w:val="24"/>
          <w:lang w:val="en-US"/>
        </w:rPr>
        <w:t>Mcgraw-Hill</w:t>
      </w:r>
      <w:proofErr w:type="spellEnd"/>
      <w:r w:rsidRPr="00DD7575">
        <w:rPr>
          <w:rFonts w:ascii="Times New Roman" w:hAnsi="Times New Roman"/>
          <w:color w:val="000000" w:themeColor="text1"/>
          <w:sz w:val="24"/>
          <w:lang w:val="en-US"/>
        </w:rPr>
        <w:t xml:space="preserve"> Education.</w:t>
      </w:r>
    </w:p>
    <w:p w14:paraId="52351E73" w14:textId="77777777" w:rsidR="00853AEC" w:rsidRPr="00DD7575" w:rsidRDefault="00853AEC" w:rsidP="00853AEC">
      <w:pPr>
        <w:pStyle w:val="NormalWeb"/>
        <w:spacing w:before="0" w:beforeAutospacing="0" w:after="200" w:afterAutospacing="0" w:line="360" w:lineRule="auto"/>
        <w:jc w:val="both"/>
        <w:rPr>
          <w:color w:val="000000" w:themeColor="text1"/>
        </w:rPr>
      </w:pPr>
      <w:r w:rsidRPr="00DD7575">
        <w:rPr>
          <w:color w:val="000000" w:themeColor="text1"/>
        </w:rPr>
        <w:t xml:space="preserve">Cao, L. and Ren, J., 2022. Machine learning shows that the Covid-19 pandemic is impacting U.S. public companies unequally by changing risk structures. </w:t>
      </w:r>
      <w:proofErr w:type="spellStart"/>
      <w:r w:rsidRPr="00DD7575">
        <w:rPr>
          <w:color w:val="000000" w:themeColor="text1"/>
        </w:rPr>
        <w:t>PLoS</w:t>
      </w:r>
      <w:proofErr w:type="spellEnd"/>
      <w:r w:rsidRPr="00DD7575">
        <w:rPr>
          <w:color w:val="000000" w:themeColor="text1"/>
        </w:rPr>
        <w:t xml:space="preserve"> One, 17(6</w:t>
      </w:r>
      <w:proofErr w:type="gramStart"/>
      <w:r w:rsidRPr="00DD7575">
        <w:rPr>
          <w:color w:val="000000" w:themeColor="text1"/>
        </w:rPr>
        <w:t>),.</w:t>
      </w:r>
      <w:proofErr w:type="gramEnd"/>
      <w:r w:rsidRPr="00DD7575">
        <w:rPr>
          <w:color w:val="000000" w:themeColor="text1"/>
        </w:rPr>
        <w:t> </w:t>
      </w:r>
      <w:proofErr w:type="spellStart"/>
      <w:r w:rsidRPr="00DD7575">
        <w:rPr>
          <w:color w:val="000000" w:themeColor="text1"/>
          <w:lang w:val="en-GB"/>
        </w:rPr>
        <w:t>doi</w:t>
      </w:r>
      <w:proofErr w:type="spellEnd"/>
      <w:r w:rsidRPr="00DD7575">
        <w:rPr>
          <w:color w:val="000000" w:themeColor="text1"/>
          <w:lang w:val="en-GB"/>
        </w:rPr>
        <w:t>: </w:t>
      </w:r>
      <w:hyperlink r:id="rId13" w:tgtFrame="_blank" w:history="1">
        <w:r w:rsidRPr="00DD7575">
          <w:rPr>
            <w:rStyle w:val="Hyperlink"/>
            <w:color w:val="000000" w:themeColor="text1"/>
            <w:lang w:val="en-GB"/>
          </w:rPr>
          <w:t>10.1371/journal.pone.0269582</w:t>
        </w:r>
      </w:hyperlink>
    </w:p>
    <w:p w14:paraId="5ADDFC84" w14:textId="77777777" w:rsidR="00853AEC" w:rsidRPr="00DD7575" w:rsidRDefault="00853AEC" w:rsidP="00853AEC">
      <w:pPr>
        <w:pStyle w:val="NormalWeb"/>
        <w:spacing w:before="0" w:beforeAutospacing="0" w:after="200" w:afterAutospacing="0" w:line="360" w:lineRule="auto"/>
        <w:jc w:val="both"/>
        <w:rPr>
          <w:color w:val="000000" w:themeColor="text1"/>
        </w:rPr>
      </w:pPr>
      <w:proofErr w:type="spellStart"/>
      <w:r w:rsidRPr="00DD7575">
        <w:rPr>
          <w:color w:val="000000" w:themeColor="text1"/>
        </w:rPr>
        <w:t>Čirjevskis</w:t>
      </w:r>
      <w:proofErr w:type="spellEnd"/>
      <w:r w:rsidRPr="00DD7575">
        <w:rPr>
          <w:color w:val="000000" w:themeColor="text1"/>
        </w:rPr>
        <w:t>, A., 2024. Exploring Competence-Based Synergism in Strategic Collaborations: Evidence from the Global Healthcare Industry. Journal of Risk and Financial Management, 17(3), pp. 93. </w:t>
      </w:r>
      <w:r w:rsidRPr="00DD7575">
        <w:rPr>
          <w:color w:val="000000" w:themeColor="text1"/>
          <w:lang w:val="en-GB"/>
        </w:rPr>
        <w:t> </w:t>
      </w:r>
      <w:hyperlink r:id="rId14" w:history="1">
        <w:r w:rsidRPr="00DD7575">
          <w:rPr>
            <w:rStyle w:val="Hyperlink"/>
            <w:b/>
            <w:bCs/>
            <w:color w:val="000000" w:themeColor="text1"/>
            <w:lang w:val="en-GB"/>
          </w:rPr>
          <w:t>https://doi.org/10.3390/jrfm17030093</w:t>
        </w:r>
      </w:hyperlink>
    </w:p>
    <w:p w14:paraId="112D2C86" w14:textId="77777777" w:rsidR="00853AEC" w:rsidRPr="00DD7575" w:rsidRDefault="00853AEC" w:rsidP="00853AEC">
      <w:pPr>
        <w:spacing w:line="360" w:lineRule="auto"/>
        <w:jc w:val="both"/>
        <w:rPr>
          <w:rFonts w:ascii="Times New Roman" w:hAnsi="Times New Roman"/>
          <w:color w:val="000000" w:themeColor="text1"/>
          <w:sz w:val="24"/>
          <w:lang w:val="en-US"/>
        </w:rPr>
      </w:pPr>
      <w:r w:rsidRPr="00DD7575">
        <w:rPr>
          <w:rFonts w:ascii="Times New Roman" w:hAnsi="Times New Roman"/>
          <w:color w:val="000000" w:themeColor="text1"/>
          <w:sz w:val="24"/>
          <w:lang w:val="en-US"/>
        </w:rPr>
        <w:t xml:space="preserve">Dinh, T.T.-H., Vo, D.H., The Vo, A. and Nguyen, T.C. (2019). Foreign Direct Investment and Economic Growth in the Short Run and Long Run: Empirical Evidence from Developing Countries. </w:t>
      </w:r>
      <w:r w:rsidRPr="00DD7575">
        <w:rPr>
          <w:rFonts w:ascii="Times New Roman" w:hAnsi="Times New Roman"/>
          <w:i/>
          <w:iCs/>
          <w:color w:val="000000" w:themeColor="text1"/>
          <w:sz w:val="24"/>
          <w:lang w:val="en-US"/>
        </w:rPr>
        <w:t>Journal of Risk and Financial Management</w:t>
      </w:r>
      <w:r w:rsidRPr="00DD7575">
        <w:rPr>
          <w:rFonts w:ascii="Times New Roman" w:hAnsi="Times New Roman"/>
          <w:color w:val="000000" w:themeColor="text1"/>
          <w:sz w:val="24"/>
          <w:lang w:val="en-US"/>
        </w:rPr>
        <w:t xml:space="preserve">, [online] 12(4), p.176. </w:t>
      </w:r>
      <w:proofErr w:type="spellStart"/>
      <w:r w:rsidRPr="00DD7575">
        <w:rPr>
          <w:rFonts w:ascii="Times New Roman" w:hAnsi="Times New Roman"/>
          <w:color w:val="000000" w:themeColor="text1"/>
          <w:sz w:val="24"/>
          <w:lang w:val="en-US"/>
        </w:rPr>
        <w:t>doi:</w:t>
      </w:r>
      <w:hyperlink r:id="rId15" w:history="1">
        <w:r w:rsidRPr="00DD7575">
          <w:rPr>
            <w:rStyle w:val="Hyperlink"/>
            <w:rFonts w:ascii="Times New Roman" w:hAnsi="Times New Roman"/>
            <w:color w:val="000000" w:themeColor="text1"/>
            <w:sz w:val="24"/>
            <w:lang w:val="en-US"/>
          </w:rPr>
          <w:t>https</w:t>
        </w:r>
        <w:proofErr w:type="spellEnd"/>
        <w:r w:rsidRPr="00DD7575">
          <w:rPr>
            <w:rStyle w:val="Hyperlink"/>
            <w:rFonts w:ascii="Times New Roman" w:hAnsi="Times New Roman"/>
            <w:color w:val="000000" w:themeColor="text1"/>
            <w:sz w:val="24"/>
            <w:lang w:val="en-US"/>
          </w:rPr>
          <w:t>://doi.org/10.3390/jrfm12040176</w:t>
        </w:r>
      </w:hyperlink>
      <w:r w:rsidRPr="00DD7575">
        <w:rPr>
          <w:rFonts w:ascii="Times New Roman" w:hAnsi="Times New Roman"/>
          <w:color w:val="000000" w:themeColor="text1"/>
          <w:sz w:val="24"/>
          <w:lang w:val="en-US"/>
        </w:rPr>
        <w:t>.</w:t>
      </w:r>
    </w:p>
    <w:p w14:paraId="0D11B89F" w14:textId="77777777" w:rsidR="00853AEC" w:rsidRPr="00DD7575" w:rsidRDefault="00853AEC" w:rsidP="00853AEC">
      <w:pPr>
        <w:spacing w:line="360" w:lineRule="auto"/>
        <w:jc w:val="both"/>
        <w:rPr>
          <w:rFonts w:ascii="Times New Roman" w:hAnsi="Times New Roman"/>
          <w:color w:val="000000" w:themeColor="text1"/>
          <w:sz w:val="24"/>
          <w:lang w:val="en-US"/>
        </w:rPr>
      </w:pPr>
      <w:proofErr w:type="spellStart"/>
      <w:r w:rsidRPr="00DD7575">
        <w:rPr>
          <w:rFonts w:ascii="Times New Roman" w:hAnsi="Times New Roman"/>
          <w:color w:val="000000" w:themeColor="text1"/>
          <w:sz w:val="24"/>
          <w:lang w:val="en-US"/>
        </w:rPr>
        <w:t>Drobyazko</w:t>
      </w:r>
      <w:proofErr w:type="spellEnd"/>
      <w:r w:rsidRPr="00DD7575">
        <w:rPr>
          <w:rFonts w:ascii="Times New Roman" w:hAnsi="Times New Roman"/>
          <w:color w:val="000000" w:themeColor="text1"/>
          <w:sz w:val="24"/>
          <w:lang w:val="en-US"/>
        </w:rPr>
        <w:t xml:space="preserve">, S., </w:t>
      </w:r>
      <w:proofErr w:type="spellStart"/>
      <w:r w:rsidRPr="00DD7575">
        <w:rPr>
          <w:rFonts w:ascii="Times New Roman" w:hAnsi="Times New Roman"/>
          <w:color w:val="000000" w:themeColor="text1"/>
          <w:sz w:val="24"/>
          <w:lang w:val="en-US"/>
        </w:rPr>
        <w:t>Barwinska-Malajowicz</w:t>
      </w:r>
      <w:proofErr w:type="spellEnd"/>
      <w:r w:rsidRPr="00DD7575">
        <w:rPr>
          <w:rFonts w:ascii="Times New Roman" w:hAnsi="Times New Roman"/>
          <w:color w:val="000000" w:themeColor="text1"/>
          <w:sz w:val="24"/>
          <w:lang w:val="en-US"/>
        </w:rPr>
        <w:t xml:space="preserve">, A., Slusarczyk, B., </w:t>
      </w:r>
      <w:proofErr w:type="spellStart"/>
      <w:r w:rsidRPr="00DD7575">
        <w:rPr>
          <w:rFonts w:ascii="Times New Roman" w:hAnsi="Times New Roman"/>
          <w:color w:val="000000" w:themeColor="text1"/>
          <w:sz w:val="24"/>
          <w:lang w:val="en-US"/>
        </w:rPr>
        <w:t>Chubukova</w:t>
      </w:r>
      <w:proofErr w:type="spellEnd"/>
      <w:r w:rsidRPr="00DD7575">
        <w:rPr>
          <w:rFonts w:ascii="Times New Roman" w:hAnsi="Times New Roman"/>
          <w:color w:val="000000" w:themeColor="text1"/>
          <w:sz w:val="24"/>
          <w:lang w:val="en-US"/>
        </w:rPr>
        <w:t xml:space="preserve">, O. and </w:t>
      </w:r>
      <w:proofErr w:type="spellStart"/>
      <w:r w:rsidRPr="00DD7575">
        <w:rPr>
          <w:rFonts w:ascii="Times New Roman" w:hAnsi="Times New Roman"/>
          <w:color w:val="000000" w:themeColor="text1"/>
          <w:sz w:val="24"/>
          <w:lang w:val="en-US"/>
        </w:rPr>
        <w:t>Bielialov</w:t>
      </w:r>
      <w:proofErr w:type="spellEnd"/>
      <w:r w:rsidRPr="00DD7575">
        <w:rPr>
          <w:rFonts w:ascii="Times New Roman" w:hAnsi="Times New Roman"/>
          <w:color w:val="000000" w:themeColor="text1"/>
          <w:sz w:val="24"/>
          <w:lang w:val="en-US"/>
        </w:rPr>
        <w:t xml:space="preserve">, T. (2020). Risk Management in the System of Financial Stability of the Service Enterprise. </w:t>
      </w:r>
      <w:r w:rsidRPr="00DD7575">
        <w:rPr>
          <w:rFonts w:ascii="Times New Roman" w:hAnsi="Times New Roman"/>
          <w:i/>
          <w:iCs/>
          <w:color w:val="000000" w:themeColor="text1"/>
          <w:sz w:val="24"/>
          <w:lang w:val="en-US"/>
        </w:rPr>
        <w:t>Journal of Risk and Financial Management</w:t>
      </w:r>
      <w:r w:rsidRPr="00DD7575">
        <w:rPr>
          <w:rFonts w:ascii="Times New Roman" w:hAnsi="Times New Roman"/>
          <w:color w:val="000000" w:themeColor="text1"/>
          <w:sz w:val="24"/>
          <w:lang w:val="en-US"/>
        </w:rPr>
        <w:t xml:space="preserve">, [online] 13(12), p.300. </w:t>
      </w:r>
      <w:proofErr w:type="spellStart"/>
      <w:r w:rsidRPr="00DD7575">
        <w:rPr>
          <w:rFonts w:ascii="Times New Roman" w:hAnsi="Times New Roman"/>
          <w:color w:val="000000" w:themeColor="text1"/>
          <w:sz w:val="24"/>
          <w:lang w:val="en-US"/>
        </w:rPr>
        <w:t>doi:</w:t>
      </w:r>
      <w:hyperlink r:id="rId16" w:history="1">
        <w:r w:rsidRPr="00DD7575">
          <w:rPr>
            <w:rStyle w:val="Hyperlink"/>
            <w:rFonts w:ascii="Times New Roman" w:hAnsi="Times New Roman"/>
            <w:color w:val="000000" w:themeColor="text1"/>
            <w:sz w:val="24"/>
            <w:lang w:val="en-US"/>
          </w:rPr>
          <w:t>https</w:t>
        </w:r>
        <w:proofErr w:type="spellEnd"/>
        <w:r w:rsidRPr="00DD7575">
          <w:rPr>
            <w:rStyle w:val="Hyperlink"/>
            <w:rFonts w:ascii="Times New Roman" w:hAnsi="Times New Roman"/>
            <w:color w:val="000000" w:themeColor="text1"/>
            <w:sz w:val="24"/>
            <w:lang w:val="en-US"/>
          </w:rPr>
          <w:t>://doi.org/10.3390/jrfm13120300</w:t>
        </w:r>
      </w:hyperlink>
      <w:r w:rsidRPr="00DD7575">
        <w:rPr>
          <w:rFonts w:ascii="Times New Roman" w:hAnsi="Times New Roman"/>
          <w:color w:val="000000" w:themeColor="text1"/>
          <w:sz w:val="24"/>
          <w:lang w:val="en-US"/>
        </w:rPr>
        <w:t>.</w:t>
      </w:r>
    </w:p>
    <w:p w14:paraId="7BE4581E" w14:textId="77777777" w:rsidR="00853AEC" w:rsidRPr="00DD7575" w:rsidRDefault="00853AEC" w:rsidP="00853AEC">
      <w:pPr>
        <w:spacing w:line="360" w:lineRule="auto"/>
        <w:jc w:val="both"/>
        <w:rPr>
          <w:rFonts w:ascii="Times New Roman" w:hAnsi="Times New Roman"/>
          <w:color w:val="000000" w:themeColor="text1"/>
          <w:sz w:val="24"/>
          <w:lang w:val="en-US"/>
        </w:rPr>
      </w:pPr>
      <w:r w:rsidRPr="00DD7575">
        <w:rPr>
          <w:rFonts w:ascii="Times New Roman" w:hAnsi="Times New Roman"/>
          <w:color w:val="000000" w:themeColor="text1"/>
          <w:sz w:val="24"/>
          <w:lang w:val="en-US"/>
        </w:rPr>
        <w:t xml:space="preserve">Eng, L.L., Lin, J. and Neiva De Figueiredo, J. (2018). International Financial Reporting Standards adoption and information quality: Evidence from Brazil. </w:t>
      </w:r>
      <w:r w:rsidRPr="00DD7575">
        <w:rPr>
          <w:rFonts w:ascii="Times New Roman" w:hAnsi="Times New Roman"/>
          <w:i/>
          <w:iCs/>
          <w:color w:val="000000" w:themeColor="text1"/>
          <w:sz w:val="24"/>
          <w:lang w:val="en-US"/>
        </w:rPr>
        <w:t>Journal of International Financial Management &amp; Accounting</w:t>
      </w:r>
      <w:r w:rsidRPr="00DD7575">
        <w:rPr>
          <w:rFonts w:ascii="Times New Roman" w:hAnsi="Times New Roman"/>
          <w:color w:val="000000" w:themeColor="text1"/>
          <w:sz w:val="24"/>
          <w:lang w:val="en-US"/>
        </w:rPr>
        <w:t xml:space="preserve">, 30(1), pp.5–29. </w:t>
      </w:r>
      <w:proofErr w:type="spellStart"/>
      <w:r w:rsidRPr="00DD7575">
        <w:rPr>
          <w:rFonts w:ascii="Times New Roman" w:hAnsi="Times New Roman"/>
          <w:color w:val="000000" w:themeColor="text1"/>
          <w:sz w:val="24"/>
          <w:lang w:val="en-US"/>
        </w:rPr>
        <w:t>doi:</w:t>
      </w:r>
      <w:hyperlink r:id="rId17" w:history="1">
        <w:r w:rsidRPr="00DD7575">
          <w:rPr>
            <w:rStyle w:val="Hyperlink"/>
            <w:rFonts w:ascii="Times New Roman" w:hAnsi="Times New Roman"/>
            <w:color w:val="000000" w:themeColor="text1"/>
            <w:sz w:val="24"/>
            <w:lang w:val="en-US"/>
          </w:rPr>
          <w:t>https</w:t>
        </w:r>
        <w:proofErr w:type="spellEnd"/>
        <w:r w:rsidRPr="00DD7575">
          <w:rPr>
            <w:rStyle w:val="Hyperlink"/>
            <w:rFonts w:ascii="Times New Roman" w:hAnsi="Times New Roman"/>
            <w:color w:val="000000" w:themeColor="text1"/>
            <w:sz w:val="24"/>
            <w:lang w:val="en-US"/>
          </w:rPr>
          <w:t>://doi.org/10.1111/jifm.12092</w:t>
        </w:r>
      </w:hyperlink>
      <w:r w:rsidRPr="00DD7575">
        <w:rPr>
          <w:rFonts w:ascii="Times New Roman" w:hAnsi="Times New Roman"/>
          <w:color w:val="000000" w:themeColor="text1"/>
          <w:sz w:val="24"/>
          <w:lang w:val="en-US"/>
        </w:rPr>
        <w:t>.</w:t>
      </w:r>
    </w:p>
    <w:p w14:paraId="0215651F" w14:textId="77777777" w:rsidR="00853AEC" w:rsidRPr="004074F0" w:rsidRDefault="00853AEC" w:rsidP="00853AEC">
      <w:pPr>
        <w:shd w:val="clear" w:color="auto" w:fill="FFFFFF"/>
        <w:spacing w:line="360" w:lineRule="auto"/>
        <w:rPr>
          <w:rFonts w:ascii="Roboto" w:hAnsi="Roboto"/>
          <w:color w:val="000000" w:themeColor="text1"/>
          <w:sz w:val="18"/>
          <w:szCs w:val="18"/>
          <w:lang w:val="it-IT"/>
        </w:rPr>
      </w:pPr>
      <w:r w:rsidRPr="00DD7575">
        <w:rPr>
          <w:rFonts w:ascii="Times New Roman" w:hAnsi="Times New Roman" w:cs="Times New Roman"/>
          <w:color w:val="000000" w:themeColor="text1"/>
          <w:sz w:val="24"/>
        </w:rPr>
        <w:lastRenderedPageBreak/>
        <w:t xml:space="preserve">Ersoy, N., 2023. Applying an integrated data-driven weighting system - </w:t>
      </w:r>
      <w:proofErr w:type="spellStart"/>
      <w:r w:rsidRPr="00DD7575">
        <w:rPr>
          <w:rFonts w:ascii="Times New Roman" w:hAnsi="Times New Roman" w:cs="Times New Roman"/>
          <w:color w:val="000000" w:themeColor="text1"/>
          <w:sz w:val="24"/>
        </w:rPr>
        <w:t>CoCoSo</w:t>
      </w:r>
      <w:proofErr w:type="spellEnd"/>
      <w:r w:rsidRPr="00DD7575">
        <w:rPr>
          <w:rFonts w:ascii="Times New Roman" w:hAnsi="Times New Roman" w:cs="Times New Roman"/>
          <w:color w:val="000000" w:themeColor="text1"/>
          <w:sz w:val="24"/>
        </w:rPr>
        <w:t xml:space="preserve"> approach for financial performance evaluation of Fortune 500 companies. </w:t>
      </w:r>
      <w:r w:rsidRPr="004074F0">
        <w:rPr>
          <w:rFonts w:ascii="Times New Roman" w:hAnsi="Times New Roman" w:cs="Times New Roman"/>
          <w:color w:val="000000" w:themeColor="text1"/>
          <w:sz w:val="24"/>
          <w:lang w:val="it-IT"/>
        </w:rPr>
        <w:t>E+M Ekonomie a Management, 26(3), pp. 92-108.</w:t>
      </w:r>
      <w:r w:rsidRPr="004074F0">
        <w:rPr>
          <w:color w:val="000000" w:themeColor="text1"/>
          <w:sz w:val="36"/>
          <w:lang w:val="it-IT"/>
        </w:rPr>
        <w:t> </w:t>
      </w:r>
      <w:r w:rsidRPr="004074F0">
        <w:rPr>
          <w:rFonts w:ascii="Roboto" w:hAnsi="Roboto"/>
          <w:color w:val="000000" w:themeColor="text1"/>
          <w:sz w:val="24"/>
          <w:szCs w:val="18"/>
          <w:lang w:val="it-IT"/>
        </w:rPr>
        <w:t>DOI:</w:t>
      </w:r>
      <w:r w:rsidR="001A5438">
        <w:rPr>
          <w:rStyle w:val="Hyperlink"/>
          <w:rFonts w:ascii="inherit" w:hAnsi="inherit"/>
          <w:color w:val="000000" w:themeColor="text1"/>
          <w:sz w:val="24"/>
          <w:szCs w:val="18"/>
          <w:bdr w:val="none" w:sz="0" w:space="0" w:color="auto" w:frame="1"/>
        </w:rPr>
        <w:fldChar w:fldCharType="begin"/>
      </w:r>
      <w:r w:rsidR="001A5438" w:rsidRPr="004074F0">
        <w:rPr>
          <w:rStyle w:val="Hyperlink"/>
          <w:rFonts w:ascii="inherit" w:hAnsi="inherit"/>
          <w:color w:val="000000" w:themeColor="text1"/>
          <w:sz w:val="24"/>
          <w:szCs w:val="18"/>
          <w:bdr w:val="none" w:sz="0" w:space="0" w:color="auto" w:frame="1"/>
          <w:lang w:val="it-IT"/>
        </w:rPr>
        <w:instrText xml:space="preserve"> HYPERLINK "http://dx.doi.org/10.15240/tul/001/2023-3-006" \t "_blank" </w:instrText>
      </w:r>
      <w:r w:rsidR="001A5438">
        <w:rPr>
          <w:rStyle w:val="Hyperlink"/>
          <w:rFonts w:ascii="inherit" w:hAnsi="inherit"/>
          <w:color w:val="000000" w:themeColor="text1"/>
          <w:sz w:val="24"/>
          <w:szCs w:val="18"/>
          <w:bdr w:val="none" w:sz="0" w:space="0" w:color="auto" w:frame="1"/>
        </w:rPr>
      </w:r>
      <w:r w:rsidR="001A5438">
        <w:rPr>
          <w:rStyle w:val="Hyperlink"/>
          <w:rFonts w:ascii="inherit" w:hAnsi="inherit"/>
          <w:color w:val="000000" w:themeColor="text1"/>
          <w:sz w:val="24"/>
          <w:szCs w:val="18"/>
          <w:bdr w:val="none" w:sz="0" w:space="0" w:color="auto" w:frame="1"/>
        </w:rPr>
        <w:fldChar w:fldCharType="separate"/>
      </w:r>
      <w:r w:rsidRPr="004074F0">
        <w:rPr>
          <w:rStyle w:val="Hyperlink"/>
          <w:rFonts w:ascii="inherit" w:hAnsi="inherit"/>
          <w:color w:val="000000" w:themeColor="text1"/>
          <w:sz w:val="24"/>
          <w:szCs w:val="18"/>
          <w:bdr w:val="none" w:sz="0" w:space="0" w:color="auto" w:frame="1"/>
          <w:lang w:val="it-IT"/>
        </w:rPr>
        <w:t>10.15240/tul/001/2023-3-006</w:t>
      </w:r>
      <w:r w:rsidR="001A5438">
        <w:rPr>
          <w:rStyle w:val="Hyperlink"/>
          <w:rFonts w:ascii="inherit" w:hAnsi="inherit"/>
          <w:color w:val="000000" w:themeColor="text1"/>
          <w:sz w:val="24"/>
          <w:szCs w:val="18"/>
          <w:bdr w:val="none" w:sz="0" w:space="0" w:color="auto" w:frame="1"/>
        </w:rPr>
        <w:fldChar w:fldCharType="end"/>
      </w:r>
    </w:p>
    <w:p w14:paraId="09D5113C" w14:textId="77777777" w:rsidR="00853AEC" w:rsidRPr="00DD7575" w:rsidRDefault="00853AEC" w:rsidP="00853AEC">
      <w:pPr>
        <w:pStyle w:val="NormalWeb"/>
        <w:spacing w:before="0" w:beforeAutospacing="0" w:after="200" w:afterAutospacing="0" w:line="360" w:lineRule="auto"/>
        <w:jc w:val="both"/>
        <w:rPr>
          <w:color w:val="000000" w:themeColor="text1"/>
        </w:rPr>
      </w:pPr>
      <w:r w:rsidRPr="004074F0">
        <w:rPr>
          <w:color w:val="000000" w:themeColor="text1"/>
          <w:lang w:val="it-IT"/>
        </w:rPr>
        <w:t xml:space="preserve">Faggioni, F., Sestino, A. and Rossi, M.V., 2023. </w:t>
      </w:r>
      <w:r w:rsidRPr="00DD7575">
        <w:rPr>
          <w:color w:val="000000" w:themeColor="text1"/>
        </w:rPr>
        <w:t>Redefining Green Bonds Management through the Use of Blockchain Technologies: Effects on Investors' Behaviors. Economics, Management and Financial Markets, 18(2), pp. 30-53. </w:t>
      </w:r>
    </w:p>
    <w:p w14:paraId="4E02DC67" w14:textId="77777777" w:rsidR="00853AEC" w:rsidRPr="00DD7575" w:rsidRDefault="00853AEC" w:rsidP="00853AEC">
      <w:pPr>
        <w:spacing w:line="360" w:lineRule="auto"/>
        <w:jc w:val="both"/>
        <w:rPr>
          <w:rFonts w:ascii="Times New Roman" w:hAnsi="Times New Roman"/>
          <w:color w:val="000000" w:themeColor="text1"/>
          <w:sz w:val="24"/>
          <w:lang w:val="en-US"/>
        </w:rPr>
      </w:pPr>
      <w:r w:rsidRPr="00DD7575">
        <w:rPr>
          <w:rFonts w:ascii="Times New Roman" w:hAnsi="Times New Roman"/>
          <w:color w:val="000000" w:themeColor="text1"/>
          <w:sz w:val="24"/>
          <w:lang w:val="en-US"/>
        </w:rPr>
        <w:t xml:space="preserve">Finkler, S.A., Smith, D.L. and Calabrese, T.D. (2020). </w:t>
      </w:r>
      <w:r w:rsidRPr="00DD7575">
        <w:rPr>
          <w:rFonts w:ascii="Times New Roman" w:hAnsi="Times New Roman"/>
          <w:i/>
          <w:iCs/>
          <w:color w:val="000000" w:themeColor="text1"/>
          <w:sz w:val="24"/>
          <w:lang w:val="en-US"/>
        </w:rPr>
        <w:t>Financial management for public, health, and not-for-profit organizations</w:t>
      </w:r>
      <w:r w:rsidRPr="00DD7575">
        <w:rPr>
          <w:rFonts w:ascii="Times New Roman" w:hAnsi="Times New Roman"/>
          <w:color w:val="000000" w:themeColor="text1"/>
          <w:sz w:val="24"/>
          <w:lang w:val="en-US"/>
        </w:rPr>
        <w:t xml:space="preserve">. Thousand Oaks, California: </w:t>
      </w:r>
      <w:proofErr w:type="spellStart"/>
      <w:r w:rsidRPr="00DD7575">
        <w:rPr>
          <w:rFonts w:ascii="Times New Roman" w:hAnsi="Times New Roman"/>
          <w:color w:val="000000" w:themeColor="text1"/>
          <w:sz w:val="24"/>
          <w:lang w:val="en-US"/>
        </w:rPr>
        <w:t>Cq</w:t>
      </w:r>
      <w:proofErr w:type="spellEnd"/>
      <w:r w:rsidRPr="00DD7575">
        <w:rPr>
          <w:rFonts w:ascii="Times New Roman" w:hAnsi="Times New Roman"/>
          <w:color w:val="000000" w:themeColor="text1"/>
          <w:sz w:val="24"/>
          <w:lang w:val="en-US"/>
        </w:rPr>
        <w:t xml:space="preserve"> Press, An Imprint </w:t>
      </w:r>
      <w:proofErr w:type="gramStart"/>
      <w:r w:rsidRPr="00DD7575">
        <w:rPr>
          <w:rFonts w:ascii="Times New Roman" w:hAnsi="Times New Roman"/>
          <w:color w:val="000000" w:themeColor="text1"/>
          <w:sz w:val="24"/>
          <w:lang w:val="en-US"/>
        </w:rPr>
        <w:t>Of</w:t>
      </w:r>
      <w:proofErr w:type="gramEnd"/>
      <w:r w:rsidRPr="00DD7575">
        <w:rPr>
          <w:rFonts w:ascii="Times New Roman" w:hAnsi="Times New Roman"/>
          <w:color w:val="000000" w:themeColor="text1"/>
          <w:sz w:val="24"/>
          <w:lang w:val="en-US"/>
        </w:rPr>
        <w:t xml:space="preserve"> Sage Publications, Inc.</w:t>
      </w:r>
    </w:p>
    <w:p w14:paraId="5ECE2F54" w14:textId="77777777" w:rsidR="00853AEC" w:rsidRPr="00DD7575" w:rsidRDefault="00853AEC" w:rsidP="00853AEC">
      <w:pPr>
        <w:spacing w:line="360" w:lineRule="auto"/>
        <w:jc w:val="both"/>
        <w:rPr>
          <w:rFonts w:ascii="Times New Roman" w:hAnsi="Times New Roman"/>
          <w:color w:val="000000" w:themeColor="text1"/>
          <w:sz w:val="24"/>
          <w:lang w:val="en-US"/>
        </w:rPr>
      </w:pPr>
      <w:r w:rsidRPr="00DD7575">
        <w:rPr>
          <w:rFonts w:ascii="Times New Roman" w:hAnsi="Times New Roman"/>
          <w:color w:val="000000" w:themeColor="text1"/>
          <w:sz w:val="24"/>
          <w:lang w:val="en-US"/>
        </w:rPr>
        <w:t xml:space="preserve">Gartenberg, C., Prat, A. and Serafeim, G. (2019). Corporate Purpose and Financial Performance. </w:t>
      </w:r>
      <w:r w:rsidRPr="00DD7575">
        <w:rPr>
          <w:rFonts w:ascii="Times New Roman" w:hAnsi="Times New Roman"/>
          <w:i/>
          <w:iCs/>
          <w:color w:val="000000" w:themeColor="text1"/>
          <w:sz w:val="24"/>
          <w:lang w:val="en-US"/>
        </w:rPr>
        <w:t>Organization Science</w:t>
      </w:r>
      <w:r w:rsidRPr="00DD7575">
        <w:rPr>
          <w:rFonts w:ascii="Times New Roman" w:hAnsi="Times New Roman"/>
          <w:color w:val="000000" w:themeColor="text1"/>
          <w:sz w:val="24"/>
          <w:lang w:val="en-US"/>
        </w:rPr>
        <w:t xml:space="preserve">, 30(1), pp.1–18. </w:t>
      </w:r>
      <w:proofErr w:type="spellStart"/>
      <w:r w:rsidRPr="00DD7575">
        <w:rPr>
          <w:rFonts w:ascii="Times New Roman" w:hAnsi="Times New Roman"/>
          <w:color w:val="000000" w:themeColor="text1"/>
          <w:sz w:val="24"/>
          <w:lang w:val="en-US"/>
        </w:rPr>
        <w:t>doi:</w:t>
      </w:r>
      <w:hyperlink r:id="rId18" w:history="1">
        <w:r w:rsidRPr="00DD7575">
          <w:rPr>
            <w:rStyle w:val="Hyperlink"/>
            <w:rFonts w:ascii="Times New Roman" w:hAnsi="Times New Roman"/>
            <w:color w:val="000000" w:themeColor="text1"/>
            <w:sz w:val="24"/>
            <w:lang w:val="en-US"/>
          </w:rPr>
          <w:t>https</w:t>
        </w:r>
        <w:proofErr w:type="spellEnd"/>
        <w:r w:rsidRPr="00DD7575">
          <w:rPr>
            <w:rStyle w:val="Hyperlink"/>
            <w:rFonts w:ascii="Times New Roman" w:hAnsi="Times New Roman"/>
            <w:color w:val="000000" w:themeColor="text1"/>
            <w:sz w:val="24"/>
            <w:lang w:val="en-US"/>
          </w:rPr>
          <w:t>://doi.org/10.1287/orsc.2018.1230</w:t>
        </w:r>
      </w:hyperlink>
      <w:r w:rsidRPr="00DD7575">
        <w:rPr>
          <w:rFonts w:ascii="Times New Roman" w:hAnsi="Times New Roman"/>
          <w:color w:val="000000" w:themeColor="text1"/>
          <w:sz w:val="24"/>
          <w:lang w:val="en-US"/>
        </w:rPr>
        <w:t>.</w:t>
      </w:r>
    </w:p>
    <w:p w14:paraId="26FA84DB" w14:textId="77777777" w:rsidR="00853AEC" w:rsidRPr="00DD7575" w:rsidRDefault="00853AEC" w:rsidP="00853AEC">
      <w:pPr>
        <w:spacing w:line="360" w:lineRule="auto"/>
        <w:jc w:val="both"/>
        <w:rPr>
          <w:rFonts w:ascii="Times New Roman" w:hAnsi="Times New Roman"/>
          <w:color w:val="000000" w:themeColor="text1"/>
          <w:sz w:val="24"/>
          <w:lang w:val="en-US"/>
        </w:rPr>
      </w:pPr>
      <w:r w:rsidRPr="00DD7575">
        <w:rPr>
          <w:rFonts w:ascii="Times New Roman" w:hAnsi="Times New Roman"/>
          <w:color w:val="000000" w:themeColor="text1"/>
          <w:sz w:val="24"/>
          <w:lang w:val="en-US"/>
        </w:rPr>
        <w:t xml:space="preserve">Goldstein, I. and Hackbarth, D. (2019). Corporate finance theory: Introduction to special issue. </w:t>
      </w:r>
      <w:r w:rsidRPr="00DD7575">
        <w:rPr>
          <w:rFonts w:ascii="Times New Roman" w:hAnsi="Times New Roman"/>
          <w:i/>
          <w:iCs/>
          <w:color w:val="000000" w:themeColor="text1"/>
          <w:sz w:val="24"/>
          <w:lang w:val="en-US"/>
        </w:rPr>
        <w:t>Journal of Corporate Finance</w:t>
      </w:r>
      <w:r w:rsidRPr="00DD7575">
        <w:rPr>
          <w:rFonts w:ascii="Times New Roman" w:hAnsi="Times New Roman"/>
          <w:color w:val="000000" w:themeColor="text1"/>
          <w:sz w:val="24"/>
          <w:lang w:val="en-US"/>
        </w:rPr>
        <w:t xml:space="preserve">, 29, pp.535–541. </w:t>
      </w:r>
      <w:proofErr w:type="spellStart"/>
      <w:r w:rsidRPr="00DD7575">
        <w:rPr>
          <w:rFonts w:ascii="Times New Roman" w:hAnsi="Times New Roman"/>
          <w:color w:val="000000" w:themeColor="text1"/>
          <w:sz w:val="24"/>
          <w:lang w:val="en-US"/>
        </w:rPr>
        <w:t>doi:</w:t>
      </w:r>
      <w:hyperlink r:id="rId19" w:history="1">
        <w:r w:rsidRPr="00DD7575">
          <w:rPr>
            <w:rStyle w:val="Hyperlink"/>
            <w:rFonts w:ascii="Times New Roman" w:hAnsi="Times New Roman"/>
            <w:color w:val="000000" w:themeColor="text1"/>
            <w:sz w:val="24"/>
            <w:lang w:val="en-US"/>
          </w:rPr>
          <w:t>https</w:t>
        </w:r>
        <w:proofErr w:type="spellEnd"/>
        <w:r w:rsidRPr="00DD7575">
          <w:rPr>
            <w:rStyle w:val="Hyperlink"/>
            <w:rFonts w:ascii="Times New Roman" w:hAnsi="Times New Roman"/>
            <w:color w:val="000000" w:themeColor="text1"/>
            <w:sz w:val="24"/>
            <w:lang w:val="en-US"/>
          </w:rPr>
          <w:t>://doi.org/10.1016/j.jcorpfin.2014.10.018</w:t>
        </w:r>
      </w:hyperlink>
      <w:r w:rsidRPr="00DD7575">
        <w:rPr>
          <w:rFonts w:ascii="Times New Roman" w:hAnsi="Times New Roman"/>
          <w:color w:val="000000" w:themeColor="text1"/>
          <w:sz w:val="24"/>
          <w:lang w:val="en-US"/>
        </w:rPr>
        <w:t>.</w:t>
      </w:r>
    </w:p>
    <w:p w14:paraId="73C78924" w14:textId="77777777" w:rsidR="00853AEC" w:rsidRPr="00DD7575" w:rsidRDefault="00853AEC" w:rsidP="00853AEC">
      <w:pPr>
        <w:spacing w:line="360" w:lineRule="auto"/>
        <w:jc w:val="both"/>
        <w:rPr>
          <w:rFonts w:ascii="Times New Roman" w:hAnsi="Times New Roman"/>
          <w:color w:val="000000" w:themeColor="text1"/>
          <w:sz w:val="24"/>
          <w:lang w:val="en-US"/>
        </w:rPr>
      </w:pPr>
      <w:r w:rsidRPr="00DD7575">
        <w:rPr>
          <w:rFonts w:ascii="Times New Roman" w:hAnsi="Times New Roman"/>
          <w:color w:val="000000" w:themeColor="text1"/>
          <w:sz w:val="24"/>
          <w:lang w:val="en-US"/>
        </w:rPr>
        <w:t xml:space="preserve">Hillier, D., Ross, S., </w:t>
      </w:r>
      <w:proofErr w:type="spellStart"/>
      <w:r w:rsidRPr="00DD7575">
        <w:rPr>
          <w:rFonts w:ascii="Times New Roman" w:hAnsi="Times New Roman"/>
          <w:color w:val="000000" w:themeColor="text1"/>
          <w:sz w:val="24"/>
          <w:lang w:val="en-US"/>
        </w:rPr>
        <w:t>Westerfield</w:t>
      </w:r>
      <w:proofErr w:type="spellEnd"/>
      <w:r w:rsidRPr="00DD7575">
        <w:rPr>
          <w:rFonts w:ascii="Times New Roman" w:hAnsi="Times New Roman"/>
          <w:color w:val="000000" w:themeColor="text1"/>
          <w:sz w:val="24"/>
          <w:lang w:val="en-US"/>
        </w:rPr>
        <w:t xml:space="preserve">, R., Jaffe, J. and Jordan, B. (2021). </w:t>
      </w:r>
      <w:r w:rsidRPr="00DD7575">
        <w:rPr>
          <w:rFonts w:ascii="Times New Roman" w:hAnsi="Times New Roman"/>
          <w:i/>
          <w:iCs/>
          <w:color w:val="000000" w:themeColor="text1"/>
          <w:sz w:val="24"/>
          <w:lang w:val="en-US"/>
        </w:rPr>
        <w:t>Corporate Finance</w:t>
      </w:r>
      <w:r w:rsidRPr="00DD7575">
        <w:rPr>
          <w:rFonts w:ascii="Times New Roman" w:hAnsi="Times New Roman"/>
          <w:color w:val="000000" w:themeColor="text1"/>
          <w:sz w:val="24"/>
          <w:lang w:val="en-US"/>
        </w:rPr>
        <w:t xml:space="preserve">. 4th ed. London: </w:t>
      </w:r>
      <w:proofErr w:type="spellStart"/>
      <w:r w:rsidRPr="00DD7575">
        <w:rPr>
          <w:rFonts w:ascii="Times New Roman" w:hAnsi="Times New Roman"/>
          <w:color w:val="000000" w:themeColor="text1"/>
          <w:sz w:val="24"/>
          <w:lang w:val="en-US"/>
        </w:rPr>
        <w:t>Mcgraw-Hill</w:t>
      </w:r>
      <w:proofErr w:type="spellEnd"/>
      <w:r w:rsidRPr="00DD7575">
        <w:rPr>
          <w:rFonts w:ascii="Times New Roman" w:hAnsi="Times New Roman"/>
          <w:color w:val="000000" w:themeColor="text1"/>
          <w:sz w:val="24"/>
          <w:lang w:val="en-US"/>
        </w:rPr>
        <w:t xml:space="preserve"> Education.</w:t>
      </w:r>
    </w:p>
    <w:p w14:paraId="48E52423" w14:textId="77777777" w:rsidR="00853AEC" w:rsidRPr="00DD7575" w:rsidRDefault="00853AEC" w:rsidP="00853AEC">
      <w:pPr>
        <w:spacing w:line="360" w:lineRule="auto"/>
        <w:jc w:val="both"/>
        <w:rPr>
          <w:rFonts w:ascii="Times New Roman" w:hAnsi="Times New Roman"/>
          <w:color w:val="000000" w:themeColor="text1"/>
          <w:sz w:val="24"/>
          <w:lang w:val="en-US"/>
        </w:rPr>
      </w:pPr>
      <w:proofErr w:type="spellStart"/>
      <w:r w:rsidRPr="00DD7575">
        <w:rPr>
          <w:rFonts w:ascii="Times New Roman" w:hAnsi="Times New Roman"/>
          <w:color w:val="000000" w:themeColor="text1"/>
          <w:sz w:val="24"/>
          <w:lang w:val="en-US"/>
        </w:rPr>
        <w:t>Kliestik</w:t>
      </w:r>
      <w:proofErr w:type="spellEnd"/>
      <w:r w:rsidRPr="00DD7575">
        <w:rPr>
          <w:rFonts w:ascii="Times New Roman" w:hAnsi="Times New Roman"/>
          <w:color w:val="000000" w:themeColor="text1"/>
          <w:sz w:val="24"/>
          <w:lang w:val="en-US"/>
        </w:rPr>
        <w:t xml:space="preserve">, T., </w:t>
      </w:r>
      <w:proofErr w:type="spellStart"/>
      <w:r w:rsidRPr="00DD7575">
        <w:rPr>
          <w:rFonts w:ascii="Times New Roman" w:hAnsi="Times New Roman"/>
          <w:color w:val="000000" w:themeColor="text1"/>
          <w:sz w:val="24"/>
          <w:lang w:val="en-US"/>
        </w:rPr>
        <w:t>Valaskova</w:t>
      </w:r>
      <w:proofErr w:type="spellEnd"/>
      <w:r w:rsidRPr="00DD7575">
        <w:rPr>
          <w:rFonts w:ascii="Times New Roman" w:hAnsi="Times New Roman"/>
          <w:color w:val="000000" w:themeColor="text1"/>
          <w:sz w:val="24"/>
          <w:lang w:val="en-US"/>
        </w:rPr>
        <w:t xml:space="preserve">, K., </w:t>
      </w:r>
      <w:proofErr w:type="spellStart"/>
      <w:r w:rsidRPr="00DD7575">
        <w:rPr>
          <w:rFonts w:ascii="Times New Roman" w:hAnsi="Times New Roman"/>
          <w:color w:val="000000" w:themeColor="text1"/>
          <w:sz w:val="24"/>
          <w:lang w:val="en-US"/>
        </w:rPr>
        <w:t>Lazaroiu</w:t>
      </w:r>
      <w:proofErr w:type="spellEnd"/>
      <w:r w:rsidRPr="00DD7575">
        <w:rPr>
          <w:rFonts w:ascii="Times New Roman" w:hAnsi="Times New Roman"/>
          <w:color w:val="000000" w:themeColor="text1"/>
          <w:sz w:val="24"/>
          <w:lang w:val="en-US"/>
        </w:rPr>
        <w:t xml:space="preserve">, G., </w:t>
      </w:r>
      <w:proofErr w:type="spellStart"/>
      <w:r w:rsidRPr="00DD7575">
        <w:rPr>
          <w:rFonts w:ascii="Times New Roman" w:hAnsi="Times New Roman"/>
          <w:color w:val="000000" w:themeColor="text1"/>
          <w:sz w:val="24"/>
          <w:lang w:val="en-US"/>
        </w:rPr>
        <w:t>Kovacova</w:t>
      </w:r>
      <w:proofErr w:type="spellEnd"/>
      <w:r w:rsidRPr="00DD7575">
        <w:rPr>
          <w:rFonts w:ascii="Times New Roman" w:hAnsi="Times New Roman"/>
          <w:color w:val="000000" w:themeColor="text1"/>
          <w:sz w:val="24"/>
          <w:lang w:val="en-US"/>
        </w:rPr>
        <w:t xml:space="preserve">, M. and Vrbka, J. (2020). Remaining Financially Healthy and Competitive: The Role of Financial Predictors. </w:t>
      </w:r>
      <w:r w:rsidRPr="00DD7575">
        <w:rPr>
          <w:rFonts w:ascii="Times New Roman" w:hAnsi="Times New Roman"/>
          <w:i/>
          <w:iCs/>
          <w:color w:val="000000" w:themeColor="text1"/>
          <w:sz w:val="24"/>
          <w:lang w:val="en-US"/>
        </w:rPr>
        <w:t>Journal of Competitiveness</w:t>
      </w:r>
      <w:r w:rsidRPr="00DD7575">
        <w:rPr>
          <w:rFonts w:ascii="Times New Roman" w:hAnsi="Times New Roman"/>
          <w:color w:val="000000" w:themeColor="text1"/>
          <w:sz w:val="24"/>
          <w:lang w:val="en-US"/>
        </w:rPr>
        <w:t>, 12(1), pp.74–92.</w:t>
      </w:r>
    </w:p>
    <w:p w14:paraId="19A82883" w14:textId="77777777" w:rsidR="00853AEC" w:rsidRPr="00DD7575" w:rsidRDefault="00853AEC" w:rsidP="00853AEC">
      <w:pPr>
        <w:pStyle w:val="NormalWeb"/>
        <w:spacing w:before="0" w:beforeAutospacing="0" w:after="200" w:afterAutospacing="0" w:line="360" w:lineRule="auto"/>
        <w:jc w:val="both"/>
        <w:rPr>
          <w:color w:val="000000" w:themeColor="text1"/>
        </w:rPr>
      </w:pPr>
      <w:proofErr w:type="spellStart"/>
      <w:r w:rsidRPr="00DD7575">
        <w:rPr>
          <w:color w:val="000000" w:themeColor="text1"/>
        </w:rPr>
        <w:t>Kovvali</w:t>
      </w:r>
      <w:proofErr w:type="spellEnd"/>
      <w:r w:rsidRPr="00DD7575">
        <w:rPr>
          <w:color w:val="000000" w:themeColor="text1"/>
        </w:rPr>
        <w:t>, A., 2023. STARK CHOICES FOR CORPORATE REFORM. Columbia law review, 123(3), pp. 693-760. </w:t>
      </w:r>
      <w:proofErr w:type="spellStart"/>
      <w:r w:rsidRPr="00DD7575">
        <w:rPr>
          <w:color w:val="000000" w:themeColor="text1"/>
          <w:lang w:val="en-GB"/>
        </w:rPr>
        <w:t>doi</w:t>
      </w:r>
      <w:proofErr w:type="spellEnd"/>
      <w:r w:rsidRPr="00DD7575">
        <w:rPr>
          <w:color w:val="000000" w:themeColor="text1"/>
          <w:lang w:val="en-GB"/>
        </w:rPr>
        <w:t xml:space="preserve">: 10.22381/emfm18220232 </w:t>
      </w:r>
    </w:p>
    <w:p w14:paraId="6326DC3D" w14:textId="77777777" w:rsidR="00853AEC" w:rsidRPr="00DD7575" w:rsidRDefault="00853AEC" w:rsidP="00853AEC">
      <w:pPr>
        <w:pStyle w:val="NormalWeb"/>
        <w:spacing w:before="0" w:beforeAutospacing="0" w:after="200" w:afterAutospacing="0" w:line="360" w:lineRule="auto"/>
        <w:jc w:val="both"/>
        <w:rPr>
          <w:color w:val="000000" w:themeColor="text1"/>
        </w:rPr>
      </w:pPr>
      <w:r w:rsidRPr="00DD7575">
        <w:rPr>
          <w:color w:val="000000" w:themeColor="text1"/>
        </w:rPr>
        <w:t>Menand, L., 2023. The Logic and Limits of the Federal Reserve Act. Yale Journal on Regulation, 40(1), pp. 197-276. </w:t>
      </w:r>
      <w:hyperlink r:id="rId20" w:history="1">
        <w:r w:rsidRPr="00DD7575">
          <w:rPr>
            <w:rStyle w:val="Hyperlink"/>
            <w:color w:val="000000" w:themeColor="text1"/>
          </w:rPr>
          <w:t>https://papers.ssrn.com/sol3/papers.cfm?abstract_id=4031875</w:t>
        </w:r>
      </w:hyperlink>
      <w:r w:rsidRPr="00DD7575">
        <w:rPr>
          <w:color w:val="000000" w:themeColor="text1"/>
        </w:rPr>
        <w:t xml:space="preserve"> </w:t>
      </w:r>
    </w:p>
    <w:p w14:paraId="64DC0845" w14:textId="77777777" w:rsidR="00853AEC" w:rsidRPr="00DD7575" w:rsidRDefault="00853AEC" w:rsidP="00853AEC">
      <w:pPr>
        <w:spacing w:line="360" w:lineRule="auto"/>
        <w:jc w:val="both"/>
        <w:rPr>
          <w:rFonts w:ascii="Times New Roman" w:hAnsi="Times New Roman"/>
          <w:color w:val="000000" w:themeColor="text1"/>
          <w:sz w:val="24"/>
          <w:lang w:val="en-US"/>
        </w:rPr>
      </w:pPr>
      <w:r w:rsidRPr="00DD7575">
        <w:rPr>
          <w:rFonts w:ascii="Times New Roman" w:hAnsi="Times New Roman"/>
          <w:color w:val="000000" w:themeColor="text1"/>
          <w:sz w:val="24"/>
          <w:lang w:val="en-US"/>
        </w:rPr>
        <w:t xml:space="preserve">Puni, A. and </w:t>
      </w:r>
      <w:proofErr w:type="spellStart"/>
      <w:r w:rsidRPr="00DD7575">
        <w:rPr>
          <w:rFonts w:ascii="Times New Roman" w:hAnsi="Times New Roman"/>
          <w:color w:val="000000" w:themeColor="text1"/>
          <w:sz w:val="24"/>
          <w:lang w:val="en-US"/>
        </w:rPr>
        <w:t>Anlesinya</w:t>
      </w:r>
      <w:proofErr w:type="spellEnd"/>
      <w:r w:rsidRPr="00DD7575">
        <w:rPr>
          <w:rFonts w:ascii="Times New Roman" w:hAnsi="Times New Roman"/>
          <w:color w:val="000000" w:themeColor="text1"/>
          <w:sz w:val="24"/>
          <w:lang w:val="en-US"/>
        </w:rPr>
        <w:t xml:space="preserve">, A. (2020). Corporate governance mechanisms and firm performance in a developing country. </w:t>
      </w:r>
      <w:r w:rsidRPr="00DD7575">
        <w:rPr>
          <w:rFonts w:ascii="Times New Roman" w:hAnsi="Times New Roman"/>
          <w:i/>
          <w:iCs/>
          <w:color w:val="000000" w:themeColor="text1"/>
          <w:sz w:val="24"/>
          <w:lang w:val="en-US"/>
        </w:rPr>
        <w:t>International Journal of Law and Management</w:t>
      </w:r>
      <w:r w:rsidRPr="00DD7575">
        <w:rPr>
          <w:rFonts w:ascii="Times New Roman" w:hAnsi="Times New Roman"/>
          <w:color w:val="000000" w:themeColor="text1"/>
          <w:sz w:val="24"/>
          <w:lang w:val="en-US"/>
        </w:rPr>
        <w:t xml:space="preserve">, [online] 62(2), pp.147–169. </w:t>
      </w:r>
      <w:proofErr w:type="spellStart"/>
      <w:r w:rsidRPr="00DD7575">
        <w:rPr>
          <w:rFonts w:ascii="Times New Roman" w:hAnsi="Times New Roman"/>
          <w:color w:val="000000" w:themeColor="text1"/>
          <w:sz w:val="24"/>
          <w:lang w:val="en-US"/>
        </w:rPr>
        <w:t>doi:</w:t>
      </w:r>
      <w:hyperlink r:id="rId21" w:history="1">
        <w:r w:rsidRPr="00DD7575">
          <w:rPr>
            <w:rStyle w:val="Hyperlink"/>
            <w:rFonts w:ascii="Times New Roman" w:hAnsi="Times New Roman"/>
            <w:color w:val="000000" w:themeColor="text1"/>
            <w:sz w:val="24"/>
            <w:lang w:val="en-US"/>
          </w:rPr>
          <w:t>https</w:t>
        </w:r>
        <w:proofErr w:type="spellEnd"/>
        <w:r w:rsidRPr="00DD7575">
          <w:rPr>
            <w:rStyle w:val="Hyperlink"/>
            <w:rFonts w:ascii="Times New Roman" w:hAnsi="Times New Roman"/>
            <w:color w:val="000000" w:themeColor="text1"/>
            <w:sz w:val="24"/>
            <w:lang w:val="en-US"/>
          </w:rPr>
          <w:t>://doi.org/10.1108/ijlma-03-2019-0076</w:t>
        </w:r>
      </w:hyperlink>
      <w:r w:rsidRPr="00DD7575">
        <w:rPr>
          <w:rFonts w:ascii="Times New Roman" w:hAnsi="Times New Roman"/>
          <w:color w:val="000000" w:themeColor="text1"/>
          <w:sz w:val="24"/>
          <w:lang w:val="en-US"/>
        </w:rPr>
        <w:t>.</w:t>
      </w:r>
    </w:p>
    <w:p w14:paraId="68361F6C" w14:textId="77777777" w:rsidR="00853AEC" w:rsidRPr="00DD7575" w:rsidRDefault="00853AEC" w:rsidP="00853AEC">
      <w:pPr>
        <w:spacing w:line="360" w:lineRule="auto"/>
        <w:jc w:val="both"/>
        <w:rPr>
          <w:rFonts w:ascii="Times New Roman" w:hAnsi="Times New Roman"/>
          <w:color w:val="000000" w:themeColor="text1"/>
          <w:sz w:val="24"/>
          <w:lang w:val="en-US"/>
        </w:rPr>
      </w:pPr>
      <w:r w:rsidRPr="00DD7575">
        <w:rPr>
          <w:rFonts w:ascii="Times New Roman" w:hAnsi="Times New Roman"/>
          <w:color w:val="000000" w:themeColor="text1"/>
          <w:sz w:val="24"/>
          <w:lang w:val="en-US"/>
        </w:rPr>
        <w:lastRenderedPageBreak/>
        <w:t xml:space="preserve">Ross, S.A., </w:t>
      </w:r>
      <w:proofErr w:type="spellStart"/>
      <w:r w:rsidRPr="00DD7575">
        <w:rPr>
          <w:rFonts w:ascii="Times New Roman" w:hAnsi="Times New Roman"/>
          <w:color w:val="000000" w:themeColor="text1"/>
          <w:sz w:val="24"/>
          <w:lang w:val="en-US"/>
        </w:rPr>
        <w:t>Westerfield</w:t>
      </w:r>
      <w:proofErr w:type="spellEnd"/>
      <w:r w:rsidRPr="00DD7575">
        <w:rPr>
          <w:rFonts w:ascii="Times New Roman" w:hAnsi="Times New Roman"/>
          <w:color w:val="000000" w:themeColor="text1"/>
          <w:sz w:val="24"/>
          <w:lang w:val="en-US"/>
        </w:rPr>
        <w:t xml:space="preserve">, R. and Jordan, B.D. (2021). </w:t>
      </w:r>
      <w:r w:rsidRPr="00DD7575">
        <w:rPr>
          <w:rFonts w:ascii="Times New Roman" w:hAnsi="Times New Roman"/>
          <w:i/>
          <w:iCs/>
          <w:color w:val="000000" w:themeColor="text1"/>
          <w:sz w:val="24"/>
          <w:lang w:val="en-US"/>
        </w:rPr>
        <w:t>Fundamentals of corporate finance</w:t>
      </w:r>
      <w:r w:rsidRPr="00DD7575">
        <w:rPr>
          <w:rFonts w:ascii="Times New Roman" w:hAnsi="Times New Roman"/>
          <w:color w:val="000000" w:themeColor="text1"/>
          <w:sz w:val="24"/>
          <w:lang w:val="en-US"/>
        </w:rPr>
        <w:t xml:space="preserve">. New York </w:t>
      </w:r>
      <w:proofErr w:type="spellStart"/>
      <w:r w:rsidRPr="00DD7575">
        <w:rPr>
          <w:rFonts w:ascii="Times New Roman" w:hAnsi="Times New Roman"/>
          <w:color w:val="000000" w:themeColor="text1"/>
          <w:sz w:val="24"/>
          <w:lang w:val="en-US"/>
        </w:rPr>
        <w:t>Mcgraw</w:t>
      </w:r>
      <w:proofErr w:type="spellEnd"/>
      <w:r w:rsidRPr="00DD7575">
        <w:rPr>
          <w:rFonts w:ascii="Times New Roman" w:hAnsi="Times New Roman"/>
          <w:color w:val="000000" w:themeColor="text1"/>
          <w:sz w:val="24"/>
          <w:lang w:val="en-US"/>
        </w:rPr>
        <w:t xml:space="preserve"> Hill </w:t>
      </w:r>
      <w:proofErr w:type="spellStart"/>
      <w:r w:rsidRPr="00DD7575">
        <w:rPr>
          <w:rFonts w:ascii="Times New Roman" w:hAnsi="Times New Roman"/>
          <w:color w:val="000000" w:themeColor="text1"/>
          <w:sz w:val="24"/>
          <w:lang w:val="en-US"/>
        </w:rPr>
        <w:t>Llc</w:t>
      </w:r>
      <w:proofErr w:type="spellEnd"/>
      <w:r w:rsidRPr="00DD7575">
        <w:rPr>
          <w:rFonts w:ascii="Times New Roman" w:hAnsi="Times New Roman"/>
          <w:color w:val="000000" w:themeColor="text1"/>
          <w:sz w:val="24"/>
          <w:lang w:val="en-US"/>
        </w:rPr>
        <w:t>.</w:t>
      </w:r>
    </w:p>
    <w:p w14:paraId="7F6062B3" w14:textId="77777777" w:rsidR="00853AEC" w:rsidRPr="00DD7575" w:rsidRDefault="00853AEC" w:rsidP="00853AEC">
      <w:pPr>
        <w:spacing w:line="360" w:lineRule="auto"/>
        <w:jc w:val="both"/>
        <w:rPr>
          <w:rFonts w:ascii="Times New Roman" w:hAnsi="Times New Roman"/>
          <w:color w:val="000000" w:themeColor="text1"/>
          <w:sz w:val="24"/>
          <w:lang w:val="en-US"/>
        </w:rPr>
      </w:pPr>
      <w:r w:rsidRPr="00DD7575">
        <w:rPr>
          <w:rFonts w:ascii="Times New Roman" w:hAnsi="Times New Roman"/>
          <w:color w:val="000000" w:themeColor="text1"/>
          <w:sz w:val="24"/>
          <w:lang w:val="en-US"/>
        </w:rPr>
        <w:t xml:space="preserve">Shinkevich, A.I., Kudryavtseva, S.S. and </w:t>
      </w:r>
      <w:proofErr w:type="spellStart"/>
      <w:r w:rsidRPr="00DD7575">
        <w:rPr>
          <w:rFonts w:ascii="Times New Roman" w:hAnsi="Times New Roman"/>
          <w:color w:val="000000" w:themeColor="text1"/>
          <w:sz w:val="24"/>
          <w:lang w:val="en-US"/>
        </w:rPr>
        <w:t>Samarina</w:t>
      </w:r>
      <w:proofErr w:type="spellEnd"/>
      <w:r w:rsidRPr="00DD7575">
        <w:rPr>
          <w:rFonts w:ascii="Times New Roman" w:hAnsi="Times New Roman"/>
          <w:color w:val="000000" w:themeColor="text1"/>
          <w:sz w:val="24"/>
          <w:lang w:val="en-US"/>
        </w:rPr>
        <w:t xml:space="preserve">, V. (2023). Ecosystems as an Innovative Tool for the Development of the Financial Sector in the Digital Economy. </w:t>
      </w:r>
      <w:r w:rsidRPr="00DD7575">
        <w:rPr>
          <w:rFonts w:ascii="Times New Roman" w:hAnsi="Times New Roman"/>
          <w:i/>
          <w:iCs/>
          <w:color w:val="000000" w:themeColor="text1"/>
          <w:sz w:val="24"/>
          <w:lang w:val="en-US"/>
        </w:rPr>
        <w:t>Journal of risk and financial management</w:t>
      </w:r>
      <w:r w:rsidRPr="00DD7575">
        <w:rPr>
          <w:rFonts w:ascii="Times New Roman" w:hAnsi="Times New Roman"/>
          <w:color w:val="000000" w:themeColor="text1"/>
          <w:sz w:val="24"/>
          <w:lang w:val="en-US"/>
        </w:rPr>
        <w:t xml:space="preserve">, 16(2), pp.72–72. </w:t>
      </w:r>
      <w:proofErr w:type="spellStart"/>
      <w:r w:rsidRPr="00DD7575">
        <w:rPr>
          <w:rFonts w:ascii="Times New Roman" w:hAnsi="Times New Roman"/>
          <w:color w:val="000000" w:themeColor="text1"/>
          <w:sz w:val="24"/>
          <w:lang w:val="en-US"/>
        </w:rPr>
        <w:t>doi:</w:t>
      </w:r>
      <w:hyperlink r:id="rId22" w:history="1">
        <w:r w:rsidRPr="00DD7575">
          <w:rPr>
            <w:rStyle w:val="Hyperlink"/>
            <w:rFonts w:ascii="Times New Roman" w:hAnsi="Times New Roman"/>
            <w:color w:val="000000" w:themeColor="text1"/>
            <w:sz w:val="24"/>
            <w:lang w:val="en-US"/>
          </w:rPr>
          <w:t>https</w:t>
        </w:r>
        <w:proofErr w:type="spellEnd"/>
        <w:r w:rsidRPr="00DD7575">
          <w:rPr>
            <w:rStyle w:val="Hyperlink"/>
            <w:rFonts w:ascii="Times New Roman" w:hAnsi="Times New Roman"/>
            <w:color w:val="000000" w:themeColor="text1"/>
            <w:sz w:val="24"/>
            <w:lang w:val="en-US"/>
          </w:rPr>
          <w:t>://doi.org/10.3390/jrfm16020072</w:t>
        </w:r>
      </w:hyperlink>
      <w:r w:rsidRPr="00DD7575">
        <w:rPr>
          <w:rFonts w:ascii="Times New Roman" w:hAnsi="Times New Roman"/>
          <w:color w:val="000000" w:themeColor="text1"/>
          <w:sz w:val="24"/>
          <w:lang w:val="en-US"/>
        </w:rPr>
        <w:t>.</w:t>
      </w:r>
    </w:p>
    <w:p w14:paraId="2FB75F85" w14:textId="77777777" w:rsidR="00853AEC" w:rsidRPr="00DD7575" w:rsidRDefault="00853AEC" w:rsidP="00853AEC">
      <w:pPr>
        <w:spacing w:line="360" w:lineRule="auto"/>
        <w:jc w:val="both"/>
        <w:rPr>
          <w:rFonts w:ascii="Times New Roman" w:hAnsi="Times New Roman"/>
          <w:color w:val="000000" w:themeColor="text1"/>
          <w:sz w:val="24"/>
          <w:lang w:val="en-US"/>
        </w:rPr>
      </w:pPr>
      <w:r w:rsidRPr="00DD7575">
        <w:rPr>
          <w:rFonts w:ascii="Times New Roman" w:hAnsi="Times New Roman"/>
          <w:color w:val="000000" w:themeColor="text1"/>
          <w:sz w:val="24"/>
          <w:lang w:val="en-US"/>
        </w:rPr>
        <w:t xml:space="preserve">Shone, A. and Parry, B. (2013). </w:t>
      </w:r>
      <w:r w:rsidRPr="00DD7575">
        <w:rPr>
          <w:rFonts w:ascii="Times New Roman" w:hAnsi="Times New Roman"/>
          <w:i/>
          <w:iCs/>
          <w:color w:val="000000" w:themeColor="text1"/>
          <w:sz w:val="24"/>
          <w:lang w:val="en-US"/>
        </w:rPr>
        <w:t xml:space="preserve">Successful Event </w:t>
      </w:r>
      <w:proofErr w:type="gramStart"/>
      <w:r w:rsidRPr="00DD7575">
        <w:rPr>
          <w:rFonts w:ascii="Times New Roman" w:hAnsi="Times New Roman"/>
          <w:i/>
          <w:iCs/>
          <w:color w:val="000000" w:themeColor="text1"/>
          <w:sz w:val="24"/>
          <w:lang w:val="en-US"/>
        </w:rPr>
        <w:t>Management :</w:t>
      </w:r>
      <w:proofErr w:type="gramEnd"/>
      <w:r w:rsidRPr="00DD7575">
        <w:rPr>
          <w:rFonts w:ascii="Times New Roman" w:hAnsi="Times New Roman"/>
          <w:i/>
          <w:iCs/>
          <w:color w:val="000000" w:themeColor="text1"/>
          <w:sz w:val="24"/>
          <w:lang w:val="en-US"/>
        </w:rPr>
        <w:t xml:space="preserve"> a Practical Handbook</w:t>
      </w:r>
      <w:r w:rsidRPr="00DD7575">
        <w:rPr>
          <w:rFonts w:ascii="Times New Roman" w:hAnsi="Times New Roman"/>
          <w:color w:val="000000" w:themeColor="text1"/>
          <w:sz w:val="24"/>
          <w:lang w:val="en-US"/>
        </w:rPr>
        <w:t>. 4th ed. Andover, Hampshire: Cengage Learning, Cop.</w:t>
      </w:r>
    </w:p>
    <w:p w14:paraId="28D839C6" w14:textId="77777777" w:rsidR="00853AEC" w:rsidRPr="00DD7575" w:rsidRDefault="00853AEC" w:rsidP="00853AEC">
      <w:pPr>
        <w:spacing w:line="360" w:lineRule="auto"/>
        <w:jc w:val="both"/>
        <w:rPr>
          <w:rFonts w:ascii="Times New Roman" w:hAnsi="Times New Roman"/>
          <w:color w:val="000000" w:themeColor="text1"/>
          <w:sz w:val="24"/>
          <w:lang w:val="en-US"/>
        </w:rPr>
      </w:pPr>
      <w:r w:rsidRPr="004074F0">
        <w:rPr>
          <w:rFonts w:ascii="Times New Roman" w:hAnsi="Times New Roman"/>
          <w:color w:val="000000" w:themeColor="text1"/>
          <w:sz w:val="24"/>
          <w:lang w:val="it-IT"/>
        </w:rPr>
        <w:t xml:space="preserve">Vernimmen, P., Pascal Quiry, Yan Le Fur, Maurizio Dallocchio, Salvi, A. and Wiley, J. (2018). </w:t>
      </w:r>
      <w:r w:rsidRPr="00DD7575">
        <w:rPr>
          <w:rFonts w:ascii="Times New Roman" w:hAnsi="Times New Roman"/>
          <w:i/>
          <w:iCs/>
          <w:color w:val="000000" w:themeColor="text1"/>
          <w:sz w:val="24"/>
          <w:lang w:val="en-US"/>
        </w:rPr>
        <w:t xml:space="preserve">Corporate </w:t>
      </w:r>
      <w:proofErr w:type="gramStart"/>
      <w:r w:rsidRPr="00DD7575">
        <w:rPr>
          <w:rFonts w:ascii="Times New Roman" w:hAnsi="Times New Roman"/>
          <w:i/>
          <w:iCs/>
          <w:color w:val="000000" w:themeColor="text1"/>
          <w:sz w:val="24"/>
          <w:lang w:val="en-US"/>
        </w:rPr>
        <w:t>finance :</w:t>
      </w:r>
      <w:proofErr w:type="gramEnd"/>
      <w:r w:rsidRPr="00DD7575">
        <w:rPr>
          <w:rFonts w:ascii="Times New Roman" w:hAnsi="Times New Roman"/>
          <w:i/>
          <w:iCs/>
          <w:color w:val="000000" w:themeColor="text1"/>
          <w:sz w:val="24"/>
          <w:lang w:val="en-US"/>
        </w:rPr>
        <w:t xml:space="preserve"> theory and practice</w:t>
      </w:r>
      <w:r w:rsidRPr="00DD7575">
        <w:rPr>
          <w:rFonts w:ascii="Times New Roman" w:hAnsi="Times New Roman"/>
          <w:color w:val="000000" w:themeColor="text1"/>
          <w:sz w:val="24"/>
          <w:lang w:val="en-US"/>
        </w:rPr>
        <w:t>. Chichester: Wiley.</w:t>
      </w:r>
    </w:p>
    <w:p w14:paraId="0A2D2D36" w14:textId="77777777" w:rsidR="00853AEC" w:rsidRPr="00DD7575" w:rsidRDefault="00853AEC" w:rsidP="00853AEC">
      <w:pPr>
        <w:spacing w:line="360" w:lineRule="auto"/>
        <w:jc w:val="both"/>
        <w:rPr>
          <w:rFonts w:ascii="Times New Roman" w:hAnsi="Times New Roman"/>
          <w:color w:val="000000" w:themeColor="text1"/>
          <w:sz w:val="24"/>
          <w:lang w:val="en-US"/>
        </w:rPr>
      </w:pPr>
      <w:r w:rsidRPr="00DD7575">
        <w:rPr>
          <w:rFonts w:ascii="Times New Roman" w:hAnsi="Times New Roman"/>
          <w:color w:val="000000" w:themeColor="text1"/>
          <w:sz w:val="24"/>
          <w:lang w:val="en-US"/>
        </w:rPr>
        <w:t xml:space="preserve">Walmart (2021). </w:t>
      </w:r>
      <w:r w:rsidRPr="00DD7575">
        <w:rPr>
          <w:rFonts w:ascii="Times New Roman" w:hAnsi="Times New Roman"/>
          <w:i/>
          <w:iCs/>
          <w:color w:val="000000" w:themeColor="text1"/>
          <w:sz w:val="24"/>
          <w:lang w:val="en-US"/>
        </w:rPr>
        <w:t>Walmart Annual Report, 2021</w:t>
      </w:r>
      <w:r w:rsidRPr="00DD7575">
        <w:rPr>
          <w:rFonts w:ascii="Times New Roman" w:hAnsi="Times New Roman"/>
          <w:color w:val="000000" w:themeColor="text1"/>
          <w:sz w:val="24"/>
          <w:lang w:val="en-US"/>
        </w:rPr>
        <w:t xml:space="preserve">. [online] </w:t>
      </w:r>
      <w:r w:rsidRPr="00DD7575">
        <w:rPr>
          <w:rFonts w:ascii="Times New Roman" w:hAnsi="Times New Roman"/>
          <w:i/>
          <w:iCs/>
          <w:color w:val="000000" w:themeColor="text1"/>
          <w:sz w:val="24"/>
          <w:lang w:val="en-US"/>
        </w:rPr>
        <w:t>Walmart</w:t>
      </w:r>
      <w:r w:rsidRPr="00DD7575">
        <w:rPr>
          <w:rFonts w:ascii="Times New Roman" w:hAnsi="Times New Roman"/>
          <w:color w:val="000000" w:themeColor="text1"/>
          <w:sz w:val="24"/>
          <w:lang w:val="en-US"/>
        </w:rPr>
        <w:t xml:space="preserve">. Walmart. Available at: </w:t>
      </w:r>
      <w:hyperlink r:id="rId23" w:history="1">
        <w:r w:rsidRPr="00DD7575">
          <w:rPr>
            <w:rStyle w:val="Hyperlink"/>
            <w:rFonts w:ascii="Times New Roman" w:hAnsi="Times New Roman"/>
            <w:color w:val="000000" w:themeColor="text1"/>
            <w:sz w:val="24"/>
            <w:lang w:val="en-US"/>
          </w:rPr>
          <w:t>https://www.annualreports.com/HostedData/AnnualReportArchive/w/NYSE_WMT_2021.pdf</w:t>
        </w:r>
      </w:hyperlink>
      <w:r w:rsidRPr="00DD7575">
        <w:rPr>
          <w:rFonts w:ascii="Times New Roman" w:hAnsi="Times New Roman"/>
          <w:color w:val="000000" w:themeColor="text1"/>
          <w:sz w:val="24"/>
          <w:lang w:val="en-US"/>
        </w:rPr>
        <w:t xml:space="preserve"> [Accessed 19 Apr. 2024].</w:t>
      </w:r>
    </w:p>
    <w:p w14:paraId="022C20A6" w14:textId="77777777" w:rsidR="00853AEC" w:rsidRPr="00DD7575" w:rsidRDefault="00853AEC" w:rsidP="00853AEC">
      <w:pPr>
        <w:spacing w:line="360" w:lineRule="auto"/>
        <w:jc w:val="both"/>
        <w:rPr>
          <w:rFonts w:ascii="Times New Roman" w:hAnsi="Times New Roman"/>
          <w:color w:val="000000" w:themeColor="text1"/>
          <w:sz w:val="24"/>
          <w:lang w:val="en-US"/>
        </w:rPr>
      </w:pPr>
      <w:r w:rsidRPr="00DD7575">
        <w:rPr>
          <w:rFonts w:ascii="Times New Roman" w:hAnsi="Times New Roman"/>
          <w:color w:val="000000" w:themeColor="text1"/>
          <w:sz w:val="24"/>
          <w:lang w:val="en-US"/>
        </w:rPr>
        <w:t xml:space="preserve">Walmart (2022). </w:t>
      </w:r>
      <w:r w:rsidRPr="00DD7575">
        <w:rPr>
          <w:rFonts w:ascii="Times New Roman" w:hAnsi="Times New Roman"/>
          <w:i/>
          <w:iCs/>
          <w:color w:val="000000" w:themeColor="text1"/>
          <w:sz w:val="24"/>
          <w:lang w:val="en-US"/>
        </w:rPr>
        <w:t>Walmart Annual Report, 2022</w:t>
      </w:r>
      <w:r w:rsidRPr="00DD7575">
        <w:rPr>
          <w:rFonts w:ascii="Times New Roman" w:hAnsi="Times New Roman"/>
          <w:color w:val="000000" w:themeColor="text1"/>
          <w:sz w:val="24"/>
          <w:lang w:val="en-US"/>
        </w:rPr>
        <w:t xml:space="preserve">. [online] </w:t>
      </w:r>
      <w:r w:rsidRPr="00DD7575">
        <w:rPr>
          <w:rFonts w:ascii="Times New Roman" w:hAnsi="Times New Roman"/>
          <w:i/>
          <w:iCs/>
          <w:color w:val="000000" w:themeColor="text1"/>
          <w:sz w:val="24"/>
          <w:lang w:val="en-US"/>
        </w:rPr>
        <w:t>Walmart</w:t>
      </w:r>
      <w:r w:rsidRPr="00DD7575">
        <w:rPr>
          <w:rFonts w:ascii="Times New Roman" w:hAnsi="Times New Roman"/>
          <w:color w:val="000000" w:themeColor="text1"/>
          <w:sz w:val="24"/>
          <w:lang w:val="en-US"/>
        </w:rPr>
        <w:t xml:space="preserve">. Walmart. Available at: </w:t>
      </w:r>
      <w:hyperlink r:id="rId24" w:history="1">
        <w:r w:rsidRPr="00DD7575">
          <w:rPr>
            <w:rStyle w:val="Hyperlink"/>
            <w:rFonts w:ascii="Times New Roman" w:hAnsi="Times New Roman"/>
            <w:color w:val="000000" w:themeColor="text1"/>
            <w:sz w:val="24"/>
            <w:lang w:val="en-US"/>
          </w:rPr>
          <w:t>https://www.annualreports.com/HostedData/AnnualReports/PDF/NYSE_WMT_2022.pdf</w:t>
        </w:r>
      </w:hyperlink>
      <w:r w:rsidRPr="00DD7575">
        <w:rPr>
          <w:rFonts w:ascii="Times New Roman" w:hAnsi="Times New Roman"/>
          <w:color w:val="000000" w:themeColor="text1"/>
          <w:sz w:val="24"/>
          <w:lang w:val="en-US"/>
        </w:rPr>
        <w:t xml:space="preserve"> [Accessed 19 Apr. 2024].</w:t>
      </w:r>
    </w:p>
    <w:p w14:paraId="71ED4456" w14:textId="77777777" w:rsidR="00853AEC" w:rsidRPr="00DD7575" w:rsidRDefault="00853AEC" w:rsidP="00853AEC">
      <w:pPr>
        <w:spacing w:line="360" w:lineRule="auto"/>
        <w:jc w:val="both"/>
        <w:rPr>
          <w:rFonts w:ascii="Times New Roman" w:hAnsi="Times New Roman"/>
          <w:color w:val="000000" w:themeColor="text1"/>
          <w:sz w:val="24"/>
          <w:lang w:val="en-US"/>
        </w:rPr>
      </w:pPr>
      <w:r w:rsidRPr="00DD7575">
        <w:rPr>
          <w:rFonts w:ascii="Times New Roman" w:hAnsi="Times New Roman"/>
          <w:color w:val="000000" w:themeColor="text1"/>
          <w:sz w:val="24"/>
          <w:lang w:val="en-US"/>
        </w:rPr>
        <w:t xml:space="preserve">Yahoo Finance (2024a). </w:t>
      </w:r>
      <w:r w:rsidRPr="00DD7575">
        <w:rPr>
          <w:rFonts w:ascii="Times New Roman" w:hAnsi="Times New Roman"/>
          <w:i/>
          <w:iCs/>
          <w:color w:val="000000" w:themeColor="text1"/>
          <w:sz w:val="24"/>
          <w:lang w:val="en-US"/>
        </w:rPr>
        <w:t>Amazon Historical Data</w:t>
      </w:r>
      <w:r w:rsidRPr="00DD7575">
        <w:rPr>
          <w:rFonts w:ascii="Times New Roman" w:hAnsi="Times New Roman"/>
          <w:color w:val="000000" w:themeColor="text1"/>
          <w:sz w:val="24"/>
          <w:lang w:val="en-US"/>
        </w:rPr>
        <w:t xml:space="preserve">. [online] Yahoo Finance. Available at: </w:t>
      </w:r>
      <w:hyperlink r:id="rId25" w:history="1">
        <w:r w:rsidRPr="00DD7575">
          <w:rPr>
            <w:rStyle w:val="Hyperlink"/>
            <w:rFonts w:ascii="Times New Roman" w:hAnsi="Times New Roman"/>
            <w:color w:val="000000" w:themeColor="text1"/>
            <w:sz w:val="24"/>
            <w:lang w:val="en-US"/>
          </w:rPr>
          <w:t>https://finance.yahoo.com/quote/AMZN/history/?period1=1546300800&amp;period2=1704067200&amp;frequency=1mo</w:t>
        </w:r>
      </w:hyperlink>
      <w:r w:rsidRPr="00DD7575">
        <w:rPr>
          <w:rFonts w:ascii="Times New Roman" w:hAnsi="Times New Roman"/>
          <w:color w:val="000000" w:themeColor="text1"/>
          <w:sz w:val="24"/>
          <w:lang w:val="en-US"/>
        </w:rPr>
        <w:t xml:space="preserve"> [Accessed 19 Apr. 2024].</w:t>
      </w:r>
    </w:p>
    <w:p w14:paraId="366394C0" w14:textId="77777777" w:rsidR="00853AEC" w:rsidRPr="00DD7575" w:rsidRDefault="00853AEC" w:rsidP="00853AEC">
      <w:pPr>
        <w:spacing w:line="360" w:lineRule="auto"/>
        <w:jc w:val="both"/>
        <w:rPr>
          <w:rFonts w:ascii="Times New Roman" w:hAnsi="Times New Roman"/>
          <w:color w:val="000000" w:themeColor="text1"/>
          <w:sz w:val="24"/>
          <w:lang w:val="en-US"/>
        </w:rPr>
      </w:pPr>
      <w:r w:rsidRPr="00DD7575">
        <w:rPr>
          <w:rFonts w:ascii="Times New Roman" w:hAnsi="Times New Roman"/>
          <w:color w:val="000000" w:themeColor="text1"/>
          <w:sz w:val="24"/>
          <w:lang w:val="en-US"/>
        </w:rPr>
        <w:t xml:space="preserve">Yahoo Finance (2024b). </w:t>
      </w:r>
      <w:r w:rsidRPr="00DD7575">
        <w:rPr>
          <w:rFonts w:ascii="Times New Roman" w:hAnsi="Times New Roman"/>
          <w:i/>
          <w:iCs/>
          <w:color w:val="000000" w:themeColor="text1"/>
          <w:sz w:val="24"/>
          <w:lang w:val="en-US"/>
        </w:rPr>
        <w:t>Walmart Historical Data</w:t>
      </w:r>
      <w:r w:rsidRPr="00DD7575">
        <w:rPr>
          <w:rFonts w:ascii="Times New Roman" w:hAnsi="Times New Roman"/>
          <w:color w:val="000000" w:themeColor="text1"/>
          <w:sz w:val="24"/>
          <w:lang w:val="en-US"/>
        </w:rPr>
        <w:t xml:space="preserve">. [online] yahoo Finance. Available at: </w:t>
      </w:r>
      <w:hyperlink r:id="rId26" w:history="1">
        <w:r w:rsidRPr="00DD7575">
          <w:rPr>
            <w:rStyle w:val="Hyperlink"/>
            <w:rFonts w:ascii="Times New Roman" w:hAnsi="Times New Roman"/>
            <w:color w:val="000000" w:themeColor="text1"/>
            <w:sz w:val="24"/>
            <w:lang w:val="en-US"/>
          </w:rPr>
          <w:t>https://finance.yahoo.com/quote/WMT/history/?period1=1546300800&amp;period2=1704067200&amp;frequency=1mo</w:t>
        </w:r>
      </w:hyperlink>
      <w:r w:rsidRPr="00DD7575">
        <w:rPr>
          <w:rFonts w:ascii="Times New Roman" w:hAnsi="Times New Roman"/>
          <w:color w:val="000000" w:themeColor="text1"/>
          <w:sz w:val="24"/>
          <w:lang w:val="en-US"/>
        </w:rPr>
        <w:t xml:space="preserve"> [Accessed 19 Apr. 2024].</w:t>
      </w:r>
    </w:p>
    <w:p w14:paraId="254E5DBF" w14:textId="77777777" w:rsidR="00853AEC" w:rsidRPr="00DD7575" w:rsidRDefault="00853AEC" w:rsidP="00853AEC">
      <w:pPr>
        <w:spacing w:line="360" w:lineRule="auto"/>
        <w:jc w:val="both"/>
        <w:rPr>
          <w:rFonts w:ascii="Times New Roman" w:hAnsi="Times New Roman"/>
          <w:color w:val="000000" w:themeColor="text1"/>
          <w:sz w:val="24"/>
          <w:lang w:val="en-US"/>
        </w:rPr>
      </w:pPr>
      <w:r w:rsidRPr="00DD7575">
        <w:rPr>
          <w:rFonts w:ascii="Times New Roman" w:hAnsi="Times New Roman"/>
          <w:color w:val="000000" w:themeColor="text1"/>
          <w:sz w:val="24"/>
          <w:lang w:val="en-US"/>
        </w:rPr>
        <w:t xml:space="preserve">Ye, J. and Kulathunga, K. (2019). How Does Financial Literacy Promote Sustainability in SMEs? A Developing Country Perspective. </w:t>
      </w:r>
      <w:r w:rsidRPr="00DD7575">
        <w:rPr>
          <w:rFonts w:ascii="Times New Roman" w:hAnsi="Times New Roman"/>
          <w:i/>
          <w:iCs/>
          <w:color w:val="000000" w:themeColor="text1"/>
          <w:sz w:val="24"/>
          <w:lang w:val="en-US"/>
        </w:rPr>
        <w:t>Sustainability</w:t>
      </w:r>
      <w:r w:rsidRPr="00DD7575">
        <w:rPr>
          <w:rFonts w:ascii="Times New Roman" w:hAnsi="Times New Roman"/>
          <w:color w:val="000000" w:themeColor="text1"/>
          <w:sz w:val="24"/>
          <w:lang w:val="en-US"/>
        </w:rPr>
        <w:t xml:space="preserve">, 11(10), p.2990. </w:t>
      </w:r>
      <w:proofErr w:type="spellStart"/>
      <w:r w:rsidRPr="00DD7575">
        <w:rPr>
          <w:rFonts w:ascii="Times New Roman" w:hAnsi="Times New Roman"/>
          <w:color w:val="000000" w:themeColor="text1"/>
          <w:sz w:val="24"/>
          <w:lang w:val="en-US"/>
        </w:rPr>
        <w:t>doi:</w:t>
      </w:r>
      <w:hyperlink r:id="rId27" w:history="1">
        <w:r w:rsidRPr="00DD7575">
          <w:rPr>
            <w:rStyle w:val="Hyperlink"/>
            <w:rFonts w:ascii="Times New Roman" w:hAnsi="Times New Roman"/>
            <w:color w:val="000000" w:themeColor="text1"/>
            <w:sz w:val="24"/>
            <w:lang w:val="en-US"/>
          </w:rPr>
          <w:t>https</w:t>
        </w:r>
        <w:proofErr w:type="spellEnd"/>
        <w:r w:rsidRPr="00DD7575">
          <w:rPr>
            <w:rStyle w:val="Hyperlink"/>
            <w:rFonts w:ascii="Times New Roman" w:hAnsi="Times New Roman"/>
            <w:color w:val="000000" w:themeColor="text1"/>
            <w:sz w:val="24"/>
            <w:lang w:val="en-US"/>
          </w:rPr>
          <w:t>://doi.org/10.3390/su11102990</w:t>
        </w:r>
      </w:hyperlink>
      <w:r w:rsidRPr="00DD7575">
        <w:rPr>
          <w:rFonts w:ascii="Times New Roman" w:hAnsi="Times New Roman"/>
          <w:color w:val="000000" w:themeColor="text1"/>
          <w:sz w:val="24"/>
          <w:lang w:val="en-US"/>
        </w:rPr>
        <w:t>.</w:t>
      </w:r>
    </w:p>
    <w:p w14:paraId="4A6F339D" w14:textId="77777777" w:rsidR="00853AEC" w:rsidRPr="00DD7575" w:rsidRDefault="00853AEC" w:rsidP="00853AEC">
      <w:pPr>
        <w:spacing w:line="360" w:lineRule="auto"/>
        <w:jc w:val="both"/>
        <w:rPr>
          <w:rFonts w:ascii="Times New Roman" w:hAnsi="Times New Roman"/>
          <w:color w:val="000000" w:themeColor="text1"/>
          <w:sz w:val="24"/>
          <w:lang w:val="en-US"/>
        </w:rPr>
      </w:pPr>
      <w:r w:rsidRPr="00DD7575">
        <w:rPr>
          <w:rFonts w:ascii="Times New Roman" w:hAnsi="Times New Roman"/>
          <w:color w:val="000000" w:themeColor="text1"/>
          <w:sz w:val="24"/>
          <w:lang w:val="en-US"/>
        </w:rPr>
        <w:t xml:space="preserve">Zhang, X. and Jiang, H. (2019). Application of Copula function in financial risk analysis. </w:t>
      </w:r>
      <w:r w:rsidRPr="00DD7575">
        <w:rPr>
          <w:rFonts w:ascii="Times New Roman" w:hAnsi="Times New Roman"/>
          <w:i/>
          <w:iCs/>
          <w:color w:val="000000" w:themeColor="text1"/>
          <w:sz w:val="24"/>
          <w:lang w:val="en-US"/>
        </w:rPr>
        <w:t>Computers &amp; Electrical Engineering</w:t>
      </w:r>
      <w:r w:rsidRPr="00DD7575">
        <w:rPr>
          <w:rFonts w:ascii="Times New Roman" w:hAnsi="Times New Roman"/>
          <w:color w:val="000000" w:themeColor="text1"/>
          <w:sz w:val="24"/>
          <w:lang w:val="en-US"/>
        </w:rPr>
        <w:t xml:space="preserve">, 77, pp.376–388. </w:t>
      </w:r>
      <w:proofErr w:type="spellStart"/>
      <w:r w:rsidRPr="00DD7575">
        <w:rPr>
          <w:rFonts w:ascii="Times New Roman" w:hAnsi="Times New Roman"/>
          <w:color w:val="000000" w:themeColor="text1"/>
          <w:sz w:val="24"/>
          <w:lang w:val="en-US"/>
        </w:rPr>
        <w:t>doi:</w:t>
      </w:r>
      <w:hyperlink r:id="rId28" w:history="1">
        <w:r w:rsidRPr="00DD7575">
          <w:rPr>
            <w:rStyle w:val="Hyperlink"/>
            <w:rFonts w:ascii="Times New Roman" w:hAnsi="Times New Roman"/>
            <w:color w:val="000000" w:themeColor="text1"/>
            <w:sz w:val="24"/>
            <w:lang w:val="en-US"/>
          </w:rPr>
          <w:t>https</w:t>
        </w:r>
        <w:proofErr w:type="spellEnd"/>
        <w:r w:rsidRPr="00DD7575">
          <w:rPr>
            <w:rStyle w:val="Hyperlink"/>
            <w:rFonts w:ascii="Times New Roman" w:hAnsi="Times New Roman"/>
            <w:color w:val="000000" w:themeColor="text1"/>
            <w:sz w:val="24"/>
            <w:lang w:val="en-US"/>
          </w:rPr>
          <w:t>://doi.org/10.1016/j.compeleceng.2019.06.011</w:t>
        </w:r>
      </w:hyperlink>
      <w:r w:rsidRPr="00DD7575">
        <w:rPr>
          <w:rFonts w:ascii="Times New Roman" w:hAnsi="Times New Roman"/>
          <w:color w:val="000000" w:themeColor="text1"/>
          <w:sz w:val="24"/>
          <w:lang w:val="en-US"/>
        </w:rPr>
        <w:t>.</w:t>
      </w:r>
    </w:p>
    <w:p w14:paraId="271BF5F6" w14:textId="77777777" w:rsidR="009738AB" w:rsidRPr="00DD7575" w:rsidRDefault="009738AB" w:rsidP="00853AEC">
      <w:pPr>
        <w:spacing w:line="360" w:lineRule="auto"/>
        <w:jc w:val="both"/>
        <w:rPr>
          <w:rFonts w:ascii="Times New Roman" w:hAnsi="Times New Roman"/>
          <w:color w:val="000000" w:themeColor="text1"/>
          <w:sz w:val="24"/>
          <w:lang w:val="en-US"/>
        </w:rPr>
      </w:pPr>
    </w:p>
    <w:bookmarkEnd w:id="28"/>
    <w:bookmarkEnd w:id="29"/>
    <w:p w14:paraId="76B7B5BB" w14:textId="77777777" w:rsidR="00C20206" w:rsidRPr="00DD7575" w:rsidRDefault="00C20206" w:rsidP="00853AEC">
      <w:pPr>
        <w:spacing w:line="360" w:lineRule="auto"/>
        <w:jc w:val="both"/>
        <w:rPr>
          <w:color w:val="000000" w:themeColor="text1"/>
        </w:rPr>
      </w:pPr>
    </w:p>
    <w:sectPr w:rsidR="00C20206" w:rsidRPr="00DD7575" w:rsidSect="00A07A7F">
      <w:headerReference w:type="default" r:id="rId29"/>
      <w:footerReference w:type="default" r:id="rId30"/>
      <w:headerReference w:type="first" r:id="rId3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F2B348" w14:textId="77777777" w:rsidR="00A07A7F" w:rsidRDefault="00A07A7F">
      <w:pPr>
        <w:spacing w:after="0" w:line="240" w:lineRule="auto"/>
      </w:pPr>
      <w:r>
        <w:separator/>
      </w:r>
    </w:p>
  </w:endnote>
  <w:endnote w:type="continuationSeparator" w:id="0">
    <w:p w14:paraId="41A49CC9" w14:textId="77777777" w:rsidR="00A07A7F" w:rsidRDefault="00A07A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altName w:val="Times New Roman"/>
    <w:charset w:val="00"/>
    <w:family w:val="auto"/>
    <w:pitch w:val="variable"/>
    <w:sig w:usb0="E0000AFF" w:usb1="5000217F" w:usb2="00000021" w:usb3="00000000" w:csb0="0000019F" w:csb1="00000000"/>
  </w:font>
  <w:font w:name="inherit">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B02276" w14:textId="77777777" w:rsidR="001A5438" w:rsidRPr="00146A94" w:rsidRDefault="001A5438">
    <w:pPr>
      <w:jc w:val="right"/>
      <w:rPr>
        <w:rFonts w:ascii="Times New Roman" w:hAnsi="Times New Roman" w:cs="Times New Roman"/>
        <w:sz w:val="20"/>
        <w:szCs w:val="20"/>
      </w:rPr>
    </w:pPr>
    <w:r w:rsidRPr="00146A94">
      <w:rPr>
        <w:rFonts w:ascii="Times New Roman" w:hAnsi="Times New Roman" w:cs="Times New Roman"/>
        <w:sz w:val="20"/>
        <w:szCs w:val="20"/>
      </w:rPr>
      <w:fldChar w:fldCharType="begin"/>
    </w:r>
    <w:r w:rsidRPr="00146A94">
      <w:rPr>
        <w:rFonts w:ascii="Times New Roman" w:hAnsi="Times New Roman" w:cs="Times New Roman"/>
        <w:sz w:val="20"/>
        <w:szCs w:val="20"/>
      </w:rPr>
      <w:instrText>PAGE</w:instrText>
    </w:r>
    <w:r w:rsidRPr="00146A94">
      <w:rPr>
        <w:rFonts w:ascii="Times New Roman" w:hAnsi="Times New Roman" w:cs="Times New Roman"/>
        <w:sz w:val="20"/>
        <w:szCs w:val="20"/>
      </w:rPr>
      <w:fldChar w:fldCharType="separate"/>
    </w:r>
    <w:r w:rsidR="006F440B">
      <w:rPr>
        <w:rFonts w:ascii="Times New Roman" w:hAnsi="Times New Roman" w:cs="Times New Roman"/>
        <w:noProof/>
        <w:sz w:val="20"/>
        <w:szCs w:val="20"/>
      </w:rPr>
      <w:t>21</w:t>
    </w:r>
    <w:r w:rsidRPr="00146A94">
      <w:rPr>
        <w:rFonts w:ascii="Times New Roman" w:hAnsi="Times New Roman" w:cs="Times New Roman"/>
        <w:sz w:val="20"/>
        <w:szCs w:val="20"/>
      </w:rPr>
      <w:fldChar w:fldCharType="end"/>
    </w:r>
    <w:r w:rsidRPr="00146A94">
      <w:rPr>
        <w:rFonts w:ascii="Times New Roman" w:hAnsi="Times New Roman" w:cs="Times New Roman"/>
        <w:sz w:val="20"/>
        <w:szCs w:val="20"/>
      </w:rPr>
      <w:fldChar w:fldCharType="begin"/>
    </w:r>
    <w:r w:rsidRPr="00146A94">
      <w:rPr>
        <w:rFonts w:ascii="Times New Roman" w:hAnsi="Times New Roman" w:cs="Times New Roman"/>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73602D" w14:textId="77777777" w:rsidR="00A07A7F" w:rsidRDefault="00A07A7F">
      <w:pPr>
        <w:spacing w:after="0" w:line="240" w:lineRule="auto"/>
      </w:pPr>
      <w:r>
        <w:separator/>
      </w:r>
    </w:p>
  </w:footnote>
  <w:footnote w:type="continuationSeparator" w:id="0">
    <w:p w14:paraId="57613051" w14:textId="77777777" w:rsidR="00A07A7F" w:rsidRDefault="00A07A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1815D1" w14:textId="77777777" w:rsidR="001A5438" w:rsidRDefault="001A5438">
    <w:pPr>
      <w:pStyle w:val="Header"/>
    </w:pPr>
    <w:r>
      <w:rPr>
        <w:rFonts w:ascii="Times New Roman"/>
        <w:noProof/>
        <w:sz w:val="20"/>
        <w:lang w:val="en-US"/>
      </w:rPr>
      <w:drawing>
        <wp:inline distT="0" distB="0" distL="0" distR="0" wp14:anchorId="2A917A0D" wp14:editId="2A040457">
          <wp:extent cx="1455420" cy="47870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 cstate="print"/>
                  <a:stretch>
                    <a:fillRect/>
                  </a:stretch>
                </pic:blipFill>
                <pic:spPr>
                  <a:xfrm>
                    <a:off x="0" y="0"/>
                    <a:ext cx="1466874" cy="482472"/>
                  </a:xfrm>
                  <a:prstGeom prst="rect">
                    <a:avLst/>
                  </a:prstGeom>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AA1DEF" w14:textId="77777777" w:rsidR="001A5438" w:rsidRDefault="001A5438">
    <w:pPr>
      <w:pStyle w:val="Header"/>
    </w:pPr>
    <w:r>
      <w:rPr>
        <w:rFonts w:ascii="Times New Roman"/>
        <w:noProof/>
        <w:sz w:val="20"/>
        <w:lang w:val="en-US"/>
      </w:rPr>
      <w:drawing>
        <wp:inline distT="0" distB="0" distL="0" distR="0" wp14:anchorId="7727393F" wp14:editId="36CC1635">
          <wp:extent cx="1455420" cy="478705"/>
          <wp:effectExtent l="0" t="0" r="0" b="0"/>
          <wp:docPr id="53299458"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 cstate="print"/>
                  <a:stretch>
                    <a:fillRect/>
                  </a:stretch>
                </pic:blipFill>
                <pic:spPr>
                  <a:xfrm>
                    <a:off x="0" y="0"/>
                    <a:ext cx="1466874" cy="482472"/>
                  </a:xfrm>
                  <a:prstGeom prst="rect">
                    <a:avLst/>
                  </a:prstGeom>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2119"/>
    <w:rsid w:val="00010391"/>
    <w:rsid w:val="00012248"/>
    <w:rsid w:val="00015A9D"/>
    <w:rsid w:val="000653B2"/>
    <w:rsid w:val="00072119"/>
    <w:rsid w:val="000816F1"/>
    <w:rsid w:val="00091F1B"/>
    <w:rsid w:val="000A7352"/>
    <w:rsid w:val="000E2591"/>
    <w:rsid w:val="001362C6"/>
    <w:rsid w:val="00146A94"/>
    <w:rsid w:val="00166E4C"/>
    <w:rsid w:val="001A5438"/>
    <w:rsid w:val="001A5B50"/>
    <w:rsid w:val="001D1AB1"/>
    <w:rsid w:val="001D4C81"/>
    <w:rsid w:val="00201A79"/>
    <w:rsid w:val="00226A2C"/>
    <w:rsid w:val="002324AD"/>
    <w:rsid w:val="00242723"/>
    <w:rsid w:val="002431D3"/>
    <w:rsid w:val="00251163"/>
    <w:rsid w:val="00265F37"/>
    <w:rsid w:val="002A5389"/>
    <w:rsid w:val="002E4748"/>
    <w:rsid w:val="003170B8"/>
    <w:rsid w:val="003360DA"/>
    <w:rsid w:val="00346B47"/>
    <w:rsid w:val="00346DC5"/>
    <w:rsid w:val="00354F4E"/>
    <w:rsid w:val="00394155"/>
    <w:rsid w:val="0039655C"/>
    <w:rsid w:val="003A06C2"/>
    <w:rsid w:val="003C3B08"/>
    <w:rsid w:val="003D2CB0"/>
    <w:rsid w:val="00400DC7"/>
    <w:rsid w:val="004074F0"/>
    <w:rsid w:val="00411BA5"/>
    <w:rsid w:val="004149B1"/>
    <w:rsid w:val="00473A43"/>
    <w:rsid w:val="004741CE"/>
    <w:rsid w:val="004C4BBB"/>
    <w:rsid w:val="004D6C0E"/>
    <w:rsid w:val="004E1551"/>
    <w:rsid w:val="004E1F32"/>
    <w:rsid w:val="004E3E29"/>
    <w:rsid w:val="00501DFA"/>
    <w:rsid w:val="00523532"/>
    <w:rsid w:val="00545DBF"/>
    <w:rsid w:val="00576874"/>
    <w:rsid w:val="005A0F79"/>
    <w:rsid w:val="005B401F"/>
    <w:rsid w:val="005C2C35"/>
    <w:rsid w:val="006079DA"/>
    <w:rsid w:val="00612E76"/>
    <w:rsid w:val="006153DE"/>
    <w:rsid w:val="00624CCD"/>
    <w:rsid w:val="00643B8F"/>
    <w:rsid w:val="00647C44"/>
    <w:rsid w:val="00665B93"/>
    <w:rsid w:val="00672DD9"/>
    <w:rsid w:val="00676643"/>
    <w:rsid w:val="00696543"/>
    <w:rsid w:val="006B6F8D"/>
    <w:rsid w:val="006C0AF2"/>
    <w:rsid w:val="006C79C8"/>
    <w:rsid w:val="006F440B"/>
    <w:rsid w:val="006F6172"/>
    <w:rsid w:val="00710DAD"/>
    <w:rsid w:val="00720177"/>
    <w:rsid w:val="00741254"/>
    <w:rsid w:val="00744CA6"/>
    <w:rsid w:val="007459ED"/>
    <w:rsid w:val="0077332E"/>
    <w:rsid w:val="00774CE8"/>
    <w:rsid w:val="00781C4B"/>
    <w:rsid w:val="007B21A8"/>
    <w:rsid w:val="007D5D27"/>
    <w:rsid w:val="00813FDB"/>
    <w:rsid w:val="00853AEC"/>
    <w:rsid w:val="008568CF"/>
    <w:rsid w:val="008620AB"/>
    <w:rsid w:val="00880FFD"/>
    <w:rsid w:val="00884DFD"/>
    <w:rsid w:val="00890CFB"/>
    <w:rsid w:val="008A2647"/>
    <w:rsid w:val="008C17B1"/>
    <w:rsid w:val="008C4668"/>
    <w:rsid w:val="008C6A9E"/>
    <w:rsid w:val="00904A21"/>
    <w:rsid w:val="009259E9"/>
    <w:rsid w:val="00934797"/>
    <w:rsid w:val="009441F4"/>
    <w:rsid w:val="00947ACD"/>
    <w:rsid w:val="00953116"/>
    <w:rsid w:val="009738AB"/>
    <w:rsid w:val="009869F5"/>
    <w:rsid w:val="009B25B1"/>
    <w:rsid w:val="009B7E3A"/>
    <w:rsid w:val="009C71F4"/>
    <w:rsid w:val="009D3F82"/>
    <w:rsid w:val="009E7C5D"/>
    <w:rsid w:val="00A07A7F"/>
    <w:rsid w:val="00A50ED7"/>
    <w:rsid w:val="00AA5914"/>
    <w:rsid w:val="00AB3C45"/>
    <w:rsid w:val="00AD5B35"/>
    <w:rsid w:val="00AF19F8"/>
    <w:rsid w:val="00B00418"/>
    <w:rsid w:val="00B42DFC"/>
    <w:rsid w:val="00B549E7"/>
    <w:rsid w:val="00B872BE"/>
    <w:rsid w:val="00B903C7"/>
    <w:rsid w:val="00BA3A78"/>
    <w:rsid w:val="00BD7857"/>
    <w:rsid w:val="00BF4D03"/>
    <w:rsid w:val="00C132B8"/>
    <w:rsid w:val="00C170C4"/>
    <w:rsid w:val="00C20206"/>
    <w:rsid w:val="00C33F30"/>
    <w:rsid w:val="00C51570"/>
    <w:rsid w:val="00C5337C"/>
    <w:rsid w:val="00C57506"/>
    <w:rsid w:val="00C61BC3"/>
    <w:rsid w:val="00C73A04"/>
    <w:rsid w:val="00C82644"/>
    <w:rsid w:val="00CB1FFE"/>
    <w:rsid w:val="00CC2604"/>
    <w:rsid w:val="00CE0328"/>
    <w:rsid w:val="00CF05EE"/>
    <w:rsid w:val="00D01736"/>
    <w:rsid w:val="00D06086"/>
    <w:rsid w:val="00D06C87"/>
    <w:rsid w:val="00D1299B"/>
    <w:rsid w:val="00D20029"/>
    <w:rsid w:val="00D76AB1"/>
    <w:rsid w:val="00DB0E8A"/>
    <w:rsid w:val="00DD7575"/>
    <w:rsid w:val="00DE4E50"/>
    <w:rsid w:val="00E31BE9"/>
    <w:rsid w:val="00E56D1D"/>
    <w:rsid w:val="00E672D2"/>
    <w:rsid w:val="00E817D4"/>
    <w:rsid w:val="00E822F6"/>
    <w:rsid w:val="00EA3C1D"/>
    <w:rsid w:val="00EA4C9C"/>
    <w:rsid w:val="00EB3FDF"/>
    <w:rsid w:val="00EE6B62"/>
    <w:rsid w:val="00EF38A8"/>
    <w:rsid w:val="00F170F1"/>
    <w:rsid w:val="00F23EEA"/>
    <w:rsid w:val="00F300F3"/>
    <w:rsid w:val="00F349E8"/>
    <w:rsid w:val="00F43685"/>
    <w:rsid w:val="00F67B51"/>
    <w:rsid w:val="00F67FB2"/>
    <w:rsid w:val="00F83A78"/>
    <w:rsid w:val="00FA1D83"/>
    <w:rsid w:val="00FB086A"/>
    <w:rsid w:val="00FC2C39"/>
    <w:rsid w:val="00FC4F13"/>
    <w:rsid w:val="00FE526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99EFC"/>
  <w15:docId w15:val="{13FD1592-A183-464C-90A5-780232B52B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7FB2"/>
    <w:rPr>
      <w:lang w:val="en-GB"/>
    </w:rPr>
  </w:style>
  <w:style w:type="paragraph" w:styleId="Heading1">
    <w:name w:val="heading 1"/>
    <w:basedOn w:val="Normal"/>
    <w:next w:val="Normal"/>
    <w:link w:val="Heading1Char"/>
    <w:autoRedefine/>
    <w:uiPriority w:val="9"/>
    <w:qFormat/>
    <w:rsid w:val="00FC4F13"/>
    <w:pPr>
      <w:keepNext/>
      <w:keepLines/>
      <w:spacing w:before="240" w:after="0" w:line="360" w:lineRule="auto"/>
      <w:jc w:val="both"/>
      <w:outlineLvl w:val="0"/>
    </w:pPr>
    <w:rPr>
      <w:rFonts w:ascii="Times New Roman" w:eastAsiaTheme="majorEastAsia" w:hAnsi="Times New Roman" w:cstheme="majorBidi"/>
      <w:b/>
      <w:color w:val="000000" w:themeColor="text1"/>
      <w:sz w:val="28"/>
      <w:szCs w:val="28"/>
    </w:rPr>
  </w:style>
  <w:style w:type="paragraph" w:styleId="Heading2">
    <w:name w:val="heading 2"/>
    <w:basedOn w:val="Normal"/>
    <w:next w:val="Normal"/>
    <w:link w:val="Heading2Char"/>
    <w:autoRedefine/>
    <w:uiPriority w:val="9"/>
    <w:unhideWhenUsed/>
    <w:qFormat/>
    <w:rsid w:val="00FC4F13"/>
    <w:pPr>
      <w:keepNext/>
      <w:keepLines/>
      <w:spacing w:before="40" w:after="0" w:line="360" w:lineRule="auto"/>
      <w:jc w:val="both"/>
      <w:outlineLvl w:val="1"/>
    </w:pPr>
    <w:rPr>
      <w:rFonts w:ascii="Times New Roman" w:eastAsiaTheme="majorEastAsia" w:hAnsi="Times New Roman" w:cstheme="majorBidi"/>
      <w:b/>
      <w:color w:val="000000" w:themeColor="text1"/>
      <w:sz w:val="28"/>
      <w:szCs w:val="28"/>
    </w:rPr>
  </w:style>
  <w:style w:type="paragraph" w:styleId="Heading4">
    <w:name w:val="heading 4"/>
    <w:basedOn w:val="Normal"/>
    <w:next w:val="Normal"/>
    <w:link w:val="Heading4Char"/>
    <w:uiPriority w:val="9"/>
    <w:unhideWhenUsed/>
    <w:qFormat/>
    <w:rsid w:val="00F67FB2"/>
    <w:pPr>
      <w:keepNext/>
      <w:keepLines/>
      <w:spacing w:before="40" w:after="0" w:line="360" w:lineRule="auto"/>
      <w:jc w:val="center"/>
      <w:outlineLvl w:val="3"/>
    </w:pPr>
    <w:rPr>
      <w:rFonts w:ascii="Times New Roman" w:eastAsiaTheme="majorEastAsia" w:hAnsi="Times New Roman" w:cstheme="majorBidi"/>
      <w:b/>
      <w:iCs/>
      <w:color w:val="000000" w:themeColor="text1"/>
      <w:sz w:val="24"/>
    </w:rPr>
  </w:style>
  <w:style w:type="paragraph" w:styleId="Heading5">
    <w:name w:val="heading 5"/>
    <w:basedOn w:val="Normal"/>
    <w:next w:val="Normal"/>
    <w:link w:val="Heading5Char"/>
    <w:uiPriority w:val="9"/>
    <w:unhideWhenUsed/>
    <w:qFormat/>
    <w:rsid w:val="00F67FB2"/>
    <w:pPr>
      <w:keepNext/>
      <w:keepLines/>
      <w:spacing w:before="40" w:after="0" w:line="360" w:lineRule="auto"/>
      <w:jc w:val="center"/>
      <w:outlineLvl w:val="4"/>
    </w:pPr>
    <w:rPr>
      <w:rFonts w:ascii="Times New Roman" w:eastAsiaTheme="majorEastAsia" w:hAnsi="Times New Roman" w:cstheme="majorBidi"/>
      <w:b/>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4F13"/>
    <w:rPr>
      <w:rFonts w:ascii="Times New Roman" w:eastAsiaTheme="majorEastAsia" w:hAnsi="Times New Roman" w:cstheme="majorBidi"/>
      <w:b/>
      <w:color w:val="000000" w:themeColor="text1"/>
      <w:sz w:val="28"/>
      <w:szCs w:val="28"/>
      <w:lang w:val="en-GB"/>
    </w:rPr>
  </w:style>
  <w:style w:type="character" w:customStyle="1" w:styleId="Heading2Char">
    <w:name w:val="Heading 2 Char"/>
    <w:basedOn w:val="DefaultParagraphFont"/>
    <w:link w:val="Heading2"/>
    <w:uiPriority w:val="9"/>
    <w:rsid w:val="00FC4F13"/>
    <w:rPr>
      <w:rFonts w:ascii="Times New Roman" w:eastAsiaTheme="majorEastAsia" w:hAnsi="Times New Roman" w:cstheme="majorBidi"/>
      <w:b/>
      <w:color w:val="000000" w:themeColor="text1"/>
      <w:sz w:val="28"/>
      <w:szCs w:val="28"/>
      <w:lang w:val="en-GB"/>
    </w:rPr>
  </w:style>
  <w:style w:type="paragraph" w:styleId="TOCHeading">
    <w:name w:val="TOC Heading"/>
    <w:basedOn w:val="Heading1"/>
    <w:next w:val="Normal"/>
    <w:uiPriority w:val="39"/>
    <w:unhideWhenUsed/>
    <w:qFormat/>
    <w:rsid w:val="00884DFD"/>
    <w:pPr>
      <w:spacing w:line="259" w:lineRule="auto"/>
      <w:jc w:val="left"/>
      <w:outlineLvl w:val="9"/>
    </w:pPr>
    <w:rPr>
      <w:rFonts w:asciiTheme="majorHAnsi" w:hAnsiTheme="majorHAnsi"/>
      <w:b w:val="0"/>
      <w:color w:val="2F5496" w:themeColor="accent1" w:themeShade="BF"/>
      <w:kern w:val="0"/>
      <w:sz w:val="32"/>
      <w:lang w:val="en-US"/>
    </w:rPr>
  </w:style>
  <w:style w:type="paragraph" w:styleId="TOC1">
    <w:name w:val="toc 1"/>
    <w:basedOn w:val="Normal"/>
    <w:next w:val="Normal"/>
    <w:autoRedefine/>
    <w:uiPriority w:val="39"/>
    <w:unhideWhenUsed/>
    <w:rsid w:val="00884DFD"/>
    <w:pPr>
      <w:spacing w:after="100"/>
    </w:pPr>
  </w:style>
  <w:style w:type="paragraph" w:styleId="TOC2">
    <w:name w:val="toc 2"/>
    <w:basedOn w:val="Normal"/>
    <w:next w:val="Normal"/>
    <w:autoRedefine/>
    <w:uiPriority w:val="39"/>
    <w:unhideWhenUsed/>
    <w:rsid w:val="00884DFD"/>
    <w:pPr>
      <w:spacing w:after="100"/>
      <w:ind w:left="220"/>
    </w:pPr>
  </w:style>
  <w:style w:type="character" w:styleId="Hyperlink">
    <w:name w:val="Hyperlink"/>
    <w:basedOn w:val="DefaultParagraphFont"/>
    <w:uiPriority w:val="99"/>
    <w:unhideWhenUsed/>
    <w:rsid w:val="00884DFD"/>
    <w:rPr>
      <w:color w:val="0563C1" w:themeColor="hyperlink"/>
      <w:u w:val="single"/>
    </w:rPr>
  </w:style>
  <w:style w:type="paragraph" w:styleId="Header">
    <w:name w:val="header"/>
    <w:basedOn w:val="Normal"/>
    <w:link w:val="HeaderChar"/>
    <w:uiPriority w:val="99"/>
    <w:unhideWhenUsed/>
    <w:rsid w:val="00146A94"/>
    <w:pPr>
      <w:tabs>
        <w:tab w:val="center" w:pos="4680"/>
        <w:tab w:val="right" w:pos="9360"/>
      </w:tabs>
      <w:spacing w:after="0" w:line="240" w:lineRule="auto"/>
    </w:pPr>
  </w:style>
  <w:style w:type="character" w:customStyle="1" w:styleId="HeaderChar">
    <w:name w:val="Header Char"/>
    <w:basedOn w:val="DefaultParagraphFont"/>
    <w:link w:val="Header"/>
    <w:uiPriority w:val="99"/>
    <w:rsid w:val="00146A94"/>
    <w:rPr>
      <w:lang w:val="en-GB"/>
    </w:rPr>
  </w:style>
  <w:style w:type="paragraph" w:styleId="Footer">
    <w:name w:val="footer"/>
    <w:basedOn w:val="Normal"/>
    <w:link w:val="FooterChar"/>
    <w:uiPriority w:val="99"/>
    <w:unhideWhenUsed/>
    <w:rsid w:val="00146A94"/>
    <w:pPr>
      <w:tabs>
        <w:tab w:val="center" w:pos="4680"/>
        <w:tab w:val="right" w:pos="9360"/>
      </w:tabs>
      <w:spacing w:after="0" w:line="240" w:lineRule="auto"/>
    </w:pPr>
  </w:style>
  <w:style w:type="character" w:customStyle="1" w:styleId="FooterChar">
    <w:name w:val="Footer Char"/>
    <w:basedOn w:val="DefaultParagraphFont"/>
    <w:link w:val="Footer"/>
    <w:uiPriority w:val="99"/>
    <w:rsid w:val="00146A94"/>
    <w:rPr>
      <w:lang w:val="en-GB"/>
    </w:rPr>
  </w:style>
  <w:style w:type="character" w:customStyle="1" w:styleId="Heading5Char">
    <w:name w:val="Heading 5 Char"/>
    <w:basedOn w:val="DefaultParagraphFont"/>
    <w:link w:val="Heading5"/>
    <w:uiPriority w:val="9"/>
    <w:rsid w:val="00F67FB2"/>
    <w:rPr>
      <w:rFonts w:ascii="Times New Roman" w:eastAsiaTheme="majorEastAsia" w:hAnsi="Times New Roman" w:cstheme="majorBidi"/>
      <w:b/>
      <w:color w:val="000000" w:themeColor="text1"/>
      <w:sz w:val="24"/>
      <w:lang w:val="en-GB"/>
    </w:rPr>
  </w:style>
  <w:style w:type="character" w:customStyle="1" w:styleId="Heading4Char">
    <w:name w:val="Heading 4 Char"/>
    <w:basedOn w:val="DefaultParagraphFont"/>
    <w:link w:val="Heading4"/>
    <w:uiPriority w:val="9"/>
    <w:rsid w:val="00F67FB2"/>
    <w:rPr>
      <w:rFonts w:ascii="Times New Roman" w:eastAsiaTheme="majorEastAsia" w:hAnsi="Times New Roman" w:cstheme="majorBidi"/>
      <w:b/>
      <w:iCs/>
      <w:color w:val="000000" w:themeColor="text1"/>
      <w:sz w:val="24"/>
      <w:lang w:val="en-GB"/>
    </w:rPr>
  </w:style>
  <w:style w:type="paragraph" w:styleId="TableofFigures">
    <w:name w:val="table of figures"/>
    <w:basedOn w:val="Normal"/>
    <w:next w:val="Normal"/>
    <w:uiPriority w:val="99"/>
    <w:unhideWhenUsed/>
    <w:rsid w:val="00880FFD"/>
    <w:pPr>
      <w:spacing w:after="0"/>
    </w:pPr>
  </w:style>
  <w:style w:type="character" w:customStyle="1" w:styleId="UnresolvedMention1">
    <w:name w:val="Unresolved Mention1"/>
    <w:basedOn w:val="DefaultParagraphFont"/>
    <w:uiPriority w:val="99"/>
    <w:semiHidden/>
    <w:unhideWhenUsed/>
    <w:rsid w:val="00B872BE"/>
    <w:rPr>
      <w:color w:val="605E5C"/>
      <w:shd w:val="clear" w:color="auto" w:fill="E1DFDD"/>
    </w:rPr>
  </w:style>
  <w:style w:type="table" w:styleId="TableGrid">
    <w:name w:val="Table Grid"/>
    <w:basedOn w:val="TableNormal"/>
    <w:uiPriority w:val="39"/>
    <w:rsid w:val="009441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77332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332E"/>
    <w:rPr>
      <w:rFonts w:ascii="Tahoma" w:hAnsi="Tahoma" w:cs="Tahoma"/>
      <w:sz w:val="16"/>
      <w:szCs w:val="16"/>
      <w:lang w:val="en-GB"/>
    </w:rPr>
  </w:style>
  <w:style w:type="paragraph" w:styleId="NormalWeb">
    <w:name w:val="Normal (Web)"/>
    <w:basedOn w:val="Normal"/>
    <w:uiPriority w:val="99"/>
    <w:unhideWhenUsed/>
    <w:rsid w:val="009738AB"/>
    <w:pPr>
      <w:spacing w:before="100" w:beforeAutospacing="1" w:after="100" w:afterAutospacing="1" w:line="240" w:lineRule="auto"/>
    </w:pPr>
    <w:rPr>
      <w:rFonts w:ascii="Times New Roman" w:eastAsia="Times New Roman" w:hAnsi="Times New Roman" w:cs="Times New Roman"/>
      <w:kern w:val="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521474">
      <w:bodyDiv w:val="1"/>
      <w:marLeft w:val="0"/>
      <w:marRight w:val="0"/>
      <w:marTop w:val="0"/>
      <w:marBottom w:val="0"/>
      <w:divBdr>
        <w:top w:val="none" w:sz="0" w:space="0" w:color="auto"/>
        <w:left w:val="none" w:sz="0" w:space="0" w:color="auto"/>
        <w:bottom w:val="none" w:sz="0" w:space="0" w:color="auto"/>
        <w:right w:val="none" w:sz="0" w:space="0" w:color="auto"/>
      </w:divBdr>
    </w:div>
    <w:div w:id="104345607">
      <w:bodyDiv w:val="1"/>
      <w:marLeft w:val="0"/>
      <w:marRight w:val="0"/>
      <w:marTop w:val="0"/>
      <w:marBottom w:val="0"/>
      <w:divBdr>
        <w:top w:val="none" w:sz="0" w:space="0" w:color="auto"/>
        <w:left w:val="none" w:sz="0" w:space="0" w:color="auto"/>
        <w:bottom w:val="none" w:sz="0" w:space="0" w:color="auto"/>
        <w:right w:val="none" w:sz="0" w:space="0" w:color="auto"/>
      </w:divBdr>
    </w:div>
    <w:div w:id="158084990">
      <w:bodyDiv w:val="1"/>
      <w:marLeft w:val="0"/>
      <w:marRight w:val="0"/>
      <w:marTop w:val="0"/>
      <w:marBottom w:val="0"/>
      <w:divBdr>
        <w:top w:val="none" w:sz="0" w:space="0" w:color="auto"/>
        <w:left w:val="none" w:sz="0" w:space="0" w:color="auto"/>
        <w:bottom w:val="none" w:sz="0" w:space="0" w:color="auto"/>
        <w:right w:val="none" w:sz="0" w:space="0" w:color="auto"/>
      </w:divBdr>
    </w:div>
    <w:div w:id="198012710">
      <w:bodyDiv w:val="1"/>
      <w:marLeft w:val="0"/>
      <w:marRight w:val="0"/>
      <w:marTop w:val="0"/>
      <w:marBottom w:val="0"/>
      <w:divBdr>
        <w:top w:val="none" w:sz="0" w:space="0" w:color="auto"/>
        <w:left w:val="none" w:sz="0" w:space="0" w:color="auto"/>
        <w:bottom w:val="none" w:sz="0" w:space="0" w:color="auto"/>
        <w:right w:val="none" w:sz="0" w:space="0" w:color="auto"/>
      </w:divBdr>
    </w:div>
    <w:div w:id="219639844">
      <w:bodyDiv w:val="1"/>
      <w:marLeft w:val="0"/>
      <w:marRight w:val="0"/>
      <w:marTop w:val="0"/>
      <w:marBottom w:val="0"/>
      <w:divBdr>
        <w:top w:val="none" w:sz="0" w:space="0" w:color="auto"/>
        <w:left w:val="none" w:sz="0" w:space="0" w:color="auto"/>
        <w:bottom w:val="none" w:sz="0" w:space="0" w:color="auto"/>
        <w:right w:val="none" w:sz="0" w:space="0" w:color="auto"/>
      </w:divBdr>
    </w:div>
    <w:div w:id="232546290">
      <w:bodyDiv w:val="1"/>
      <w:marLeft w:val="0"/>
      <w:marRight w:val="0"/>
      <w:marTop w:val="0"/>
      <w:marBottom w:val="0"/>
      <w:divBdr>
        <w:top w:val="none" w:sz="0" w:space="0" w:color="auto"/>
        <w:left w:val="none" w:sz="0" w:space="0" w:color="auto"/>
        <w:bottom w:val="none" w:sz="0" w:space="0" w:color="auto"/>
        <w:right w:val="none" w:sz="0" w:space="0" w:color="auto"/>
      </w:divBdr>
    </w:div>
    <w:div w:id="273289837">
      <w:bodyDiv w:val="1"/>
      <w:marLeft w:val="0"/>
      <w:marRight w:val="0"/>
      <w:marTop w:val="0"/>
      <w:marBottom w:val="0"/>
      <w:divBdr>
        <w:top w:val="none" w:sz="0" w:space="0" w:color="auto"/>
        <w:left w:val="none" w:sz="0" w:space="0" w:color="auto"/>
        <w:bottom w:val="none" w:sz="0" w:space="0" w:color="auto"/>
        <w:right w:val="none" w:sz="0" w:space="0" w:color="auto"/>
      </w:divBdr>
    </w:div>
    <w:div w:id="300888206">
      <w:bodyDiv w:val="1"/>
      <w:marLeft w:val="0"/>
      <w:marRight w:val="0"/>
      <w:marTop w:val="0"/>
      <w:marBottom w:val="0"/>
      <w:divBdr>
        <w:top w:val="none" w:sz="0" w:space="0" w:color="auto"/>
        <w:left w:val="none" w:sz="0" w:space="0" w:color="auto"/>
        <w:bottom w:val="none" w:sz="0" w:space="0" w:color="auto"/>
        <w:right w:val="none" w:sz="0" w:space="0" w:color="auto"/>
      </w:divBdr>
      <w:divsChild>
        <w:div w:id="2088840749">
          <w:marLeft w:val="0"/>
          <w:marRight w:val="0"/>
          <w:marTop w:val="0"/>
          <w:marBottom w:val="0"/>
          <w:divBdr>
            <w:top w:val="none" w:sz="0" w:space="0" w:color="auto"/>
            <w:left w:val="none" w:sz="0" w:space="0" w:color="auto"/>
            <w:bottom w:val="none" w:sz="0" w:space="0" w:color="auto"/>
            <w:right w:val="none" w:sz="0" w:space="0" w:color="auto"/>
          </w:divBdr>
        </w:div>
      </w:divsChild>
    </w:div>
    <w:div w:id="315576072">
      <w:bodyDiv w:val="1"/>
      <w:marLeft w:val="0"/>
      <w:marRight w:val="0"/>
      <w:marTop w:val="0"/>
      <w:marBottom w:val="0"/>
      <w:divBdr>
        <w:top w:val="none" w:sz="0" w:space="0" w:color="auto"/>
        <w:left w:val="none" w:sz="0" w:space="0" w:color="auto"/>
        <w:bottom w:val="none" w:sz="0" w:space="0" w:color="auto"/>
        <w:right w:val="none" w:sz="0" w:space="0" w:color="auto"/>
      </w:divBdr>
    </w:div>
    <w:div w:id="365566895">
      <w:bodyDiv w:val="1"/>
      <w:marLeft w:val="0"/>
      <w:marRight w:val="0"/>
      <w:marTop w:val="0"/>
      <w:marBottom w:val="0"/>
      <w:divBdr>
        <w:top w:val="none" w:sz="0" w:space="0" w:color="auto"/>
        <w:left w:val="none" w:sz="0" w:space="0" w:color="auto"/>
        <w:bottom w:val="none" w:sz="0" w:space="0" w:color="auto"/>
        <w:right w:val="none" w:sz="0" w:space="0" w:color="auto"/>
      </w:divBdr>
      <w:divsChild>
        <w:div w:id="514000839">
          <w:marLeft w:val="0"/>
          <w:marRight w:val="0"/>
          <w:marTop w:val="0"/>
          <w:marBottom w:val="0"/>
          <w:divBdr>
            <w:top w:val="single" w:sz="6" w:space="0" w:color="auto"/>
            <w:left w:val="single" w:sz="6" w:space="0" w:color="auto"/>
            <w:bottom w:val="single" w:sz="6" w:space="0" w:color="auto"/>
            <w:right w:val="single" w:sz="6" w:space="0" w:color="auto"/>
          </w:divBdr>
        </w:div>
      </w:divsChild>
    </w:div>
    <w:div w:id="380204032">
      <w:bodyDiv w:val="1"/>
      <w:marLeft w:val="0"/>
      <w:marRight w:val="0"/>
      <w:marTop w:val="0"/>
      <w:marBottom w:val="0"/>
      <w:divBdr>
        <w:top w:val="none" w:sz="0" w:space="0" w:color="auto"/>
        <w:left w:val="none" w:sz="0" w:space="0" w:color="auto"/>
        <w:bottom w:val="none" w:sz="0" w:space="0" w:color="auto"/>
        <w:right w:val="none" w:sz="0" w:space="0" w:color="auto"/>
      </w:divBdr>
    </w:div>
    <w:div w:id="400562709">
      <w:bodyDiv w:val="1"/>
      <w:marLeft w:val="0"/>
      <w:marRight w:val="0"/>
      <w:marTop w:val="0"/>
      <w:marBottom w:val="0"/>
      <w:divBdr>
        <w:top w:val="none" w:sz="0" w:space="0" w:color="auto"/>
        <w:left w:val="none" w:sz="0" w:space="0" w:color="auto"/>
        <w:bottom w:val="none" w:sz="0" w:space="0" w:color="auto"/>
        <w:right w:val="none" w:sz="0" w:space="0" w:color="auto"/>
      </w:divBdr>
    </w:div>
    <w:div w:id="429283364">
      <w:bodyDiv w:val="1"/>
      <w:marLeft w:val="0"/>
      <w:marRight w:val="0"/>
      <w:marTop w:val="0"/>
      <w:marBottom w:val="0"/>
      <w:divBdr>
        <w:top w:val="none" w:sz="0" w:space="0" w:color="auto"/>
        <w:left w:val="none" w:sz="0" w:space="0" w:color="auto"/>
        <w:bottom w:val="none" w:sz="0" w:space="0" w:color="auto"/>
        <w:right w:val="none" w:sz="0" w:space="0" w:color="auto"/>
      </w:divBdr>
    </w:div>
    <w:div w:id="489833377">
      <w:bodyDiv w:val="1"/>
      <w:marLeft w:val="0"/>
      <w:marRight w:val="0"/>
      <w:marTop w:val="0"/>
      <w:marBottom w:val="0"/>
      <w:divBdr>
        <w:top w:val="none" w:sz="0" w:space="0" w:color="auto"/>
        <w:left w:val="none" w:sz="0" w:space="0" w:color="auto"/>
        <w:bottom w:val="none" w:sz="0" w:space="0" w:color="auto"/>
        <w:right w:val="none" w:sz="0" w:space="0" w:color="auto"/>
      </w:divBdr>
      <w:divsChild>
        <w:div w:id="1027440529">
          <w:marLeft w:val="0"/>
          <w:marRight w:val="0"/>
          <w:marTop w:val="0"/>
          <w:marBottom w:val="0"/>
          <w:divBdr>
            <w:top w:val="none" w:sz="0" w:space="0" w:color="auto"/>
            <w:left w:val="none" w:sz="0" w:space="0" w:color="auto"/>
            <w:bottom w:val="none" w:sz="0" w:space="0" w:color="auto"/>
            <w:right w:val="none" w:sz="0" w:space="0" w:color="auto"/>
          </w:divBdr>
        </w:div>
      </w:divsChild>
    </w:div>
    <w:div w:id="555314789">
      <w:bodyDiv w:val="1"/>
      <w:marLeft w:val="0"/>
      <w:marRight w:val="0"/>
      <w:marTop w:val="0"/>
      <w:marBottom w:val="0"/>
      <w:divBdr>
        <w:top w:val="none" w:sz="0" w:space="0" w:color="auto"/>
        <w:left w:val="none" w:sz="0" w:space="0" w:color="auto"/>
        <w:bottom w:val="none" w:sz="0" w:space="0" w:color="auto"/>
        <w:right w:val="none" w:sz="0" w:space="0" w:color="auto"/>
      </w:divBdr>
    </w:div>
    <w:div w:id="555631282">
      <w:bodyDiv w:val="1"/>
      <w:marLeft w:val="0"/>
      <w:marRight w:val="0"/>
      <w:marTop w:val="0"/>
      <w:marBottom w:val="0"/>
      <w:divBdr>
        <w:top w:val="none" w:sz="0" w:space="0" w:color="auto"/>
        <w:left w:val="none" w:sz="0" w:space="0" w:color="auto"/>
        <w:bottom w:val="none" w:sz="0" w:space="0" w:color="auto"/>
        <w:right w:val="none" w:sz="0" w:space="0" w:color="auto"/>
      </w:divBdr>
    </w:div>
    <w:div w:id="569776192">
      <w:bodyDiv w:val="1"/>
      <w:marLeft w:val="0"/>
      <w:marRight w:val="0"/>
      <w:marTop w:val="0"/>
      <w:marBottom w:val="0"/>
      <w:divBdr>
        <w:top w:val="none" w:sz="0" w:space="0" w:color="auto"/>
        <w:left w:val="none" w:sz="0" w:space="0" w:color="auto"/>
        <w:bottom w:val="none" w:sz="0" w:space="0" w:color="auto"/>
        <w:right w:val="none" w:sz="0" w:space="0" w:color="auto"/>
      </w:divBdr>
    </w:div>
    <w:div w:id="695693273">
      <w:bodyDiv w:val="1"/>
      <w:marLeft w:val="0"/>
      <w:marRight w:val="0"/>
      <w:marTop w:val="0"/>
      <w:marBottom w:val="0"/>
      <w:divBdr>
        <w:top w:val="none" w:sz="0" w:space="0" w:color="auto"/>
        <w:left w:val="none" w:sz="0" w:space="0" w:color="auto"/>
        <w:bottom w:val="none" w:sz="0" w:space="0" w:color="auto"/>
        <w:right w:val="none" w:sz="0" w:space="0" w:color="auto"/>
      </w:divBdr>
    </w:div>
    <w:div w:id="737434382">
      <w:bodyDiv w:val="1"/>
      <w:marLeft w:val="0"/>
      <w:marRight w:val="0"/>
      <w:marTop w:val="0"/>
      <w:marBottom w:val="0"/>
      <w:divBdr>
        <w:top w:val="none" w:sz="0" w:space="0" w:color="auto"/>
        <w:left w:val="none" w:sz="0" w:space="0" w:color="auto"/>
        <w:bottom w:val="none" w:sz="0" w:space="0" w:color="auto"/>
        <w:right w:val="none" w:sz="0" w:space="0" w:color="auto"/>
      </w:divBdr>
    </w:div>
    <w:div w:id="778063870">
      <w:bodyDiv w:val="1"/>
      <w:marLeft w:val="0"/>
      <w:marRight w:val="0"/>
      <w:marTop w:val="0"/>
      <w:marBottom w:val="0"/>
      <w:divBdr>
        <w:top w:val="none" w:sz="0" w:space="0" w:color="auto"/>
        <w:left w:val="none" w:sz="0" w:space="0" w:color="auto"/>
        <w:bottom w:val="none" w:sz="0" w:space="0" w:color="auto"/>
        <w:right w:val="none" w:sz="0" w:space="0" w:color="auto"/>
      </w:divBdr>
      <w:divsChild>
        <w:div w:id="1002515339">
          <w:marLeft w:val="0"/>
          <w:marRight w:val="0"/>
          <w:marTop w:val="0"/>
          <w:marBottom w:val="75"/>
          <w:divBdr>
            <w:top w:val="none" w:sz="0" w:space="0" w:color="auto"/>
            <w:left w:val="none" w:sz="0" w:space="0" w:color="auto"/>
            <w:bottom w:val="none" w:sz="0" w:space="0" w:color="auto"/>
            <w:right w:val="none" w:sz="0" w:space="0" w:color="auto"/>
          </w:divBdr>
        </w:div>
        <w:div w:id="132873343">
          <w:marLeft w:val="0"/>
          <w:marRight w:val="0"/>
          <w:marTop w:val="150"/>
          <w:marBottom w:val="150"/>
          <w:divBdr>
            <w:top w:val="none" w:sz="0" w:space="0" w:color="auto"/>
            <w:left w:val="none" w:sz="0" w:space="0" w:color="auto"/>
            <w:bottom w:val="none" w:sz="0" w:space="0" w:color="auto"/>
            <w:right w:val="none" w:sz="0" w:space="0" w:color="auto"/>
          </w:divBdr>
        </w:div>
      </w:divsChild>
    </w:div>
    <w:div w:id="778991438">
      <w:bodyDiv w:val="1"/>
      <w:marLeft w:val="0"/>
      <w:marRight w:val="0"/>
      <w:marTop w:val="0"/>
      <w:marBottom w:val="0"/>
      <w:divBdr>
        <w:top w:val="none" w:sz="0" w:space="0" w:color="auto"/>
        <w:left w:val="none" w:sz="0" w:space="0" w:color="auto"/>
        <w:bottom w:val="none" w:sz="0" w:space="0" w:color="auto"/>
        <w:right w:val="none" w:sz="0" w:space="0" w:color="auto"/>
      </w:divBdr>
    </w:div>
    <w:div w:id="885874067">
      <w:bodyDiv w:val="1"/>
      <w:marLeft w:val="0"/>
      <w:marRight w:val="0"/>
      <w:marTop w:val="0"/>
      <w:marBottom w:val="0"/>
      <w:divBdr>
        <w:top w:val="none" w:sz="0" w:space="0" w:color="auto"/>
        <w:left w:val="none" w:sz="0" w:space="0" w:color="auto"/>
        <w:bottom w:val="none" w:sz="0" w:space="0" w:color="auto"/>
        <w:right w:val="none" w:sz="0" w:space="0" w:color="auto"/>
      </w:divBdr>
      <w:divsChild>
        <w:div w:id="1783724800">
          <w:marLeft w:val="0"/>
          <w:marRight w:val="0"/>
          <w:marTop w:val="0"/>
          <w:marBottom w:val="0"/>
          <w:divBdr>
            <w:top w:val="single" w:sz="6" w:space="0" w:color="auto"/>
            <w:left w:val="single" w:sz="6" w:space="0" w:color="auto"/>
            <w:bottom w:val="single" w:sz="6" w:space="0" w:color="auto"/>
            <w:right w:val="single" w:sz="6" w:space="0" w:color="auto"/>
          </w:divBdr>
        </w:div>
      </w:divsChild>
    </w:div>
    <w:div w:id="929194815">
      <w:bodyDiv w:val="1"/>
      <w:marLeft w:val="0"/>
      <w:marRight w:val="0"/>
      <w:marTop w:val="0"/>
      <w:marBottom w:val="0"/>
      <w:divBdr>
        <w:top w:val="none" w:sz="0" w:space="0" w:color="auto"/>
        <w:left w:val="none" w:sz="0" w:space="0" w:color="auto"/>
        <w:bottom w:val="none" w:sz="0" w:space="0" w:color="auto"/>
        <w:right w:val="none" w:sz="0" w:space="0" w:color="auto"/>
      </w:divBdr>
    </w:div>
    <w:div w:id="940458154">
      <w:bodyDiv w:val="1"/>
      <w:marLeft w:val="0"/>
      <w:marRight w:val="0"/>
      <w:marTop w:val="0"/>
      <w:marBottom w:val="0"/>
      <w:divBdr>
        <w:top w:val="none" w:sz="0" w:space="0" w:color="auto"/>
        <w:left w:val="none" w:sz="0" w:space="0" w:color="auto"/>
        <w:bottom w:val="none" w:sz="0" w:space="0" w:color="auto"/>
        <w:right w:val="none" w:sz="0" w:space="0" w:color="auto"/>
      </w:divBdr>
    </w:div>
    <w:div w:id="952785728">
      <w:bodyDiv w:val="1"/>
      <w:marLeft w:val="0"/>
      <w:marRight w:val="0"/>
      <w:marTop w:val="0"/>
      <w:marBottom w:val="0"/>
      <w:divBdr>
        <w:top w:val="none" w:sz="0" w:space="0" w:color="auto"/>
        <w:left w:val="none" w:sz="0" w:space="0" w:color="auto"/>
        <w:bottom w:val="none" w:sz="0" w:space="0" w:color="auto"/>
        <w:right w:val="none" w:sz="0" w:space="0" w:color="auto"/>
      </w:divBdr>
      <w:divsChild>
        <w:div w:id="178930498">
          <w:marLeft w:val="0"/>
          <w:marRight w:val="0"/>
          <w:marTop w:val="0"/>
          <w:marBottom w:val="0"/>
          <w:divBdr>
            <w:top w:val="single" w:sz="6" w:space="0" w:color="auto"/>
            <w:left w:val="single" w:sz="6" w:space="0" w:color="auto"/>
            <w:bottom w:val="single" w:sz="6" w:space="0" w:color="auto"/>
            <w:right w:val="single" w:sz="6" w:space="0" w:color="auto"/>
          </w:divBdr>
        </w:div>
      </w:divsChild>
    </w:div>
    <w:div w:id="957445635">
      <w:bodyDiv w:val="1"/>
      <w:marLeft w:val="0"/>
      <w:marRight w:val="0"/>
      <w:marTop w:val="0"/>
      <w:marBottom w:val="0"/>
      <w:divBdr>
        <w:top w:val="none" w:sz="0" w:space="0" w:color="auto"/>
        <w:left w:val="none" w:sz="0" w:space="0" w:color="auto"/>
        <w:bottom w:val="none" w:sz="0" w:space="0" w:color="auto"/>
        <w:right w:val="none" w:sz="0" w:space="0" w:color="auto"/>
      </w:divBdr>
    </w:div>
    <w:div w:id="1061949684">
      <w:bodyDiv w:val="1"/>
      <w:marLeft w:val="0"/>
      <w:marRight w:val="0"/>
      <w:marTop w:val="0"/>
      <w:marBottom w:val="0"/>
      <w:divBdr>
        <w:top w:val="none" w:sz="0" w:space="0" w:color="auto"/>
        <w:left w:val="none" w:sz="0" w:space="0" w:color="auto"/>
        <w:bottom w:val="none" w:sz="0" w:space="0" w:color="auto"/>
        <w:right w:val="none" w:sz="0" w:space="0" w:color="auto"/>
      </w:divBdr>
    </w:div>
    <w:div w:id="1063794967">
      <w:bodyDiv w:val="1"/>
      <w:marLeft w:val="0"/>
      <w:marRight w:val="0"/>
      <w:marTop w:val="0"/>
      <w:marBottom w:val="0"/>
      <w:divBdr>
        <w:top w:val="none" w:sz="0" w:space="0" w:color="auto"/>
        <w:left w:val="none" w:sz="0" w:space="0" w:color="auto"/>
        <w:bottom w:val="none" w:sz="0" w:space="0" w:color="auto"/>
        <w:right w:val="none" w:sz="0" w:space="0" w:color="auto"/>
      </w:divBdr>
    </w:div>
    <w:div w:id="1089542536">
      <w:bodyDiv w:val="1"/>
      <w:marLeft w:val="0"/>
      <w:marRight w:val="0"/>
      <w:marTop w:val="0"/>
      <w:marBottom w:val="0"/>
      <w:divBdr>
        <w:top w:val="none" w:sz="0" w:space="0" w:color="auto"/>
        <w:left w:val="none" w:sz="0" w:space="0" w:color="auto"/>
        <w:bottom w:val="none" w:sz="0" w:space="0" w:color="auto"/>
        <w:right w:val="none" w:sz="0" w:space="0" w:color="auto"/>
      </w:divBdr>
    </w:div>
    <w:div w:id="1104958870">
      <w:bodyDiv w:val="1"/>
      <w:marLeft w:val="0"/>
      <w:marRight w:val="0"/>
      <w:marTop w:val="0"/>
      <w:marBottom w:val="0"/>
      <w:divBdr>
        <w:top w:val="none" w:sz="0" w:space="0" w:color="auto"/>
        <w:left w:val="none" w:sz="0" w:space="0" w:color="auto"/>
        <w:bottom w:val="none" w:sz="0" w:space="0" w:color="auto"/>
        <w:right w:val="none" w:sz="0" w:space="0" w:color="auto"/>
      </w:divBdr>
      <w:divsChild>
        <w:div w:id="583993366">
          <w:marLeft w:val="0"/>
          <w:marRight w:val="0"/>
          <w:marTop w:val="0"/>
          <w:marBottom w:val="0"/>
          <w:divBdr>
            <w:top w:val="none" w:sz="0" w:space="0" w:color="auto"/>
            <w:left w:val="none" w:sz="0" w:space="0" w:color="auto"/>
            <w:bottom w:val="none" w:sz="0" w:space="0" w:color="auto"/>
            <w:right w:val="none" w:sz="0" w:space="0" w:color="auto"/>
          </w:divBdr>
        </w:div>
      </w:divsChild>
    </w:div>
    <w:div w:id="1126630447">
      <w:bodyDiv w:val="1"/>
      <w:marLeft w:val="0"/>
      <w:marRight w:val="0"/>
      <w:marTop w:val="0"/>
      <w:marBottom w:val="0"/>
      <w:divBdr>
        <w:top w:val="none" w:sz="0" w:space="0" w:color="auto"/>
        <w:left w:val="none" w:sz="0" w:space="0" w:color="auto"/>
        <w:bottom w:val="none" w:sz="0" w:space="0" w:color="auto"/>
        <w:right w:val="none" w:sz="0" w:space="0" w:color="auto"/>
      </w:divBdr>
    </w:div>
    <w:div w:id="1168054113">
      <w:bodyDiv w:val="1"/>
      <w:marLeft w:val="0"/>
      <w:marRight w:val="0"/>
      <w:marTop w:val="0"/>
      <w:marBottom w:val="0"/>
      <w:divBdr>
        <w:top w:val="none" w:sz="0" w:space="0" w:color="auto"/>
        <w:left w:val="none" w:sz="0" w:space="0" w:color="auto"/>
        <w:bottom w:val="none" w:sz="0" w:space="0" w:color="auto"/>
        <w:right w:val="none" w:sz="0" w:space="0" w:color="auto"/>
      </w:divBdr>
    </w:div>
    <w:div w:id="1174953059">
      <w:bodyDiv w:val="1"/>
      <w:marLeft w:val="0"/>
      <w:marRight w:val="0"/>
      <w:marTop w:val="0"/>
      <w:marBottom w:val="0"/>
      <w:divBdr>
        <w:top w:val="none" w:sz="0" w:space="0" w:color="auto"/>
        <w:left w:val="none" w:sz="0" w:space="0" w:color="auto"/>
        <w:bottom w:val="none" w:sz="0" w:space="0" w:color="auto"/>
        <w:right w:val="none" w:sz="0" w:space="0" w:color="auto"/>
      </w:divBdr>
      <w:divsChild>
        <w:div w:id="1480415025">
          <w:marLeft w:val="0"/>
          <w:marRight w:val="0"/>
          <w:marTop w:val="0"/>
          <w:marBottom w:val="0"/>
          <w:divBdr>
            <w:top w:val="single" w:sz="6" w:space="0" w:color="auto"/>
            <w:left w:val="single" w:sz="6" w:space="0" w:color="auto"/>
            <w:bottom w:val="single" w:sz="6" w:space="0" w:color="auto"/>
            <w:right w:val="single" w:sz="6" w:space="0" w:color="auto"/>
          </w:divBdr>
        </w:div>
      </w:divsChild>
    </w:div>
    <w:div w:id="1230917591">
      <w:bodyDiv w:val="1"/>
      <w:marLeft w:val="0"/>
      <w:marRight w:val="0"/>
      <w:marTop w:val="0"/>
      <w:marBottom w:val="0"/>
      <w:divBdr>
        <w:top w:val="none" w:sz="0" w:space="0" w:color="auto"/>
        <w:left w:val="none" w:sz="0" w:space="0" w:color="auto"/>
        <w:bottom w:val="none" w:sz="0" w:space="0" w:color="auto"/>
        <w:right w:val="none" w:sz="0" w:space="0" w:color="auto"/>
      </w:divBdr>
      <w:divsChild>
        <w:div w:id="1324508453">
          <w:marLeft w:val="0"/>
          <w:marRight w:val="0"/>
          <w:marTop w:val="0"/>
          <w:marBottom w:val="0"/>
          <w:divBdr>
            <w:top w:val="single" w:sz="6" w:space="0" w:color="auto"/>
            <w:left w:val="single" w:sz="6" w:space="0" w:color="auto"/>
            <w:bottom w:val="single" w:sz="6" w:space="0" w:color="auto"/>
            <w:right w:val="single" w:sz="6" w:space="0" w:color="auto"/>
          </w:divBdr>
        </w:div>
      </w:divsChild>
    </w:div>
    <w:div w:id="1259026059">
      <w:bodyDiv w:val="1"/>
      <w:marLeft w:val="0"/>
      <w:marRight w:val="0"/>
      <w:marTop w:val="0"/>
      <w:marBottom w:val="0"/>
      <w:divBdr>
        <w:top w:val="none" w:sz="0" w:space="0" w:color="auto"/>
        <w:left w:val="none" w:sz="0" w:space="0" w:color="auto"/>
        <w:bottom w:val="none" w:sz="0" w:space="0" w:color="auto"/>
        <w:right w:val="none" w:sz="0" w:space="0" w:color="auto"/>
      </w:divBdr>
    </w:div>
    <w:div w:id="1283686077">
      <w:bodyDiv w:val="1"/>
      <w:marLeft w:val="0"/>
      <w:marRight w:val="0"/>
      <w:marTop w:val="0"/>
      <w:marBottom w:val="0"/>
      <w:divBdr>
        <w:top w:val="none" w:sz="0" w:space="0" w:color="auto"/>
        <w:left w:val="none" w:sz="0" w:space="0" w:color="auto"/>
        <w:bottom w:val="none" w:sz="0" w:space="0" w:color="auto"/>
        <w:right w:val="none" w:sz="0" w:space="0" w:color="auto"/>
      </w:divBdr>
    </w:div>
    <w:div w:id="1348219340">
      <w:bodyDiv w:val="1"/>
      <w:marLeft w:val="0"/>
      <w:marRight w:val="0"/>
      <w:marTop w:val="0"/>
      <w:marBottom w:val="0"/>
      <w:divBdr>
        <w:top w:val="none" w:sz="0" w:space="0" w:color="auto"/>
        <w:left w:val="none" w:sz="0" w:space="0" w:color="auto"/>
        <w:bottom w:val="none" w:sz="0" w:space="0" w:color="auto"/>
        <w:right w:val="none" w:sz="0" w:space="0" w:color="auto"/>
      </w:divBdr>
      <w:divsChild>
        <w:div w:id="1624189874">
          <w:marLeft w:val="0"/>
          <w:marRight w:val="0"/>
          <w:marTop w:val="0"/>
          <w:marBottom w:val="0"/>
          <w:divBdr>
            <w:top w:val="none" w:sz="0" w:space="0" w:color="auto"/>
            <w:left w:val="none" w:sz="0" w:space="0" w:color="auto"/>
            <w:bottom w:val="none" w:sz="0" w:space="0" w:color="auto"/>
            <w:right w:val="none" w:sz="0" w:space="0" w:color="auto"/>
          </w:divBdr>
        </w:div>
      </w:divsChild>
    </w:div>
    <w:div w:id="1366561543">
      <w:bodyDiv w:val="1"/>
      <w:marLeft w:val="0"/>
      <w:marRight w:val="0"/>
      <w:marTop w:val="0"/>
      <w:marBottom w:val="0"/>
      <w:divBdr>
        <w:top w:val="none" w:sz="0" w:space="0" w:color="auto"/>
        <w:left w:val="none" w:sz="0" w:space="0" w:color="auto"/>
        <w:bottom w:val="none" w:sz="0" w:space="0" w:color="auto"/>
        <w:right w:val="none" w:sz="0" w:space="0" w:color="auto"/>
      </w:divBdr>
      <w:divsChild>
        <w:div w:id="1818648505">
          <w:marLeft w:val="0"/>
          <w:marRight w:val="0"/>
          <w:marTop w:val="0"/>
          <w:marBottom w:val="0"/>
          <w:divBdr>
            <w:top w:val="none" w:sz="0" w:space="0" w:color="auto"/>
            <w:left w:val="none" w:sz="0" w:space="0" w:color="auto"/>
            <w:bottom w:val="none" w:sz="0" w:space="0" w:color="auto"/>
            <w:right w:val="none" w:sz="0" w:space="0" w:color="auto"/>
          </w:divBdr>
        </w:div>
      </w:divsChild>
    </w:div>
    <w:div w:id="1379016583">
      <w:bodyDiv w:val="1"/>
      <w:marLeft w:val="0"/>
      <w:marRight w:val="0"/>
      <w:marTop w:val="0"/>
      <w:marBottom w:val="0"/>
      <w:divBdr>
        <w:top w:val="none" w:sz="0" w:space="0" w:color="auto"/>
        <w:left w:val="none" w:sz="0" w:space="0" w:color="auto"/>
        <w:bottom w:val="none" w:sz="0" w:space="0" w:color="auto"/>
        <w:right w:val="none" w:sz="0" w:space="0" w:color="auto"/>
      </w:divBdr>
    </w:div>
    <w:div w:id="1455978099">
      <w:bodyDiv w:val="1"/>
      <w:marLeft w:val="0"/>
      <w:marRight w:val="0"/>
      <w:marTop w:val="0"/>
      <w:marBottom w:val="0"/>
      <w:divBdr>
        <w:top w:val="none" w:sz="0" w:space="0" w:color="auto"/>
        <w:left w:val="none" w:sz="0" w:space="0" w:color="auto"/>
        <w:bottom w:val="none" w:sz="0" w:space="0" w:color="auto"/>
        <w:right w:val="none" w:sz="0" w:space="0" w:color="auto"/>
      </w:divBdr>
    </w:div>
    <w:div w:id="1484617481">
      <w:bodyDiv w:val="1"/>
      <w:marLeft w:val="0"/>
      <w:marRight w:val="0"/>
      <w:marTop w:val="0"/>
      <w:marBottom w:val="0"/>
      <w:divBdr>
        <w:top w:val="none" w:sz="0" w:space="0" w:color="auto"/>
        <w:left w:val="none" w:sz="0" w:space="0" w:color="auto"/>
        <w:bottom w:val="none" w:sz="0" w:space="0" w:color="auto"/>
        <w:right w:val="none" w:sz="0" w:space="0" w:color="auto"/>
      </w:divBdr>
      <w:divsChild>
        <w:div w:id="750585187">
          <w:marLeft w:val="0"/>
          <w:marRight w:val="0"/>
          <w:marTop w:val="0"/>
          <w:marBottom w:val="0"/>
          <w:divBdr>
            <w:top w:val="single" w:sz="6" w:space="0" w:color="auto"/>
            <w:left w:val="single" w:sz="6" w:space="0" w:color="auto"/>
            <w:bottom w:val="single" w:sz="6" w:space="0" w:color="auto"/>
            <w:right w:val="single" w:sz="6" w:space="0" w:color="auto"/>
          </w:divBdr>
        </w:div>
      </w:divsChild>
    </w:div>
    <w:div w:id="1491562970">
      <w:bodyDiv w:val="1"/>
      <w:marLeft w:val="0"/>
      <w:marRight w:val="0"/>
      <w:marTop w:val="0"/>
      <w:marBottom w:val="0"/>
      <w:divBdr>
        <w:top w:val="none" w:sz="0" w:space="0" w:color="auto"/>
        <w:left w:val="none" w:sz="0" w:space="0" w:color="auto"/>
        <w:bottom w:val="none" w:sz="0" w:space="0" w:color="auto"/>
        <w:right w:val="none" w:sz="0" w:space="0" w:color="auto"/>
      </w:divBdr>
      <w:divsChild>
        <w:div w:id="2071070697">
          <w:marLeft w:val="0"/>
          <w:marRight w:val="0"/>
          <w:marTop w:val="0"/>
          <w:marBottom w:val="75"/>
          <w:divBdr>
            <w:top w:val="none" w:sz="0" w:space="0" w:color="auto"/>
            <w:left w:val="none" w:sz="0" w:space="0" w:color="auto"/>
            <w:bottom w:val="none" w:sz="0" w:space="0" w:color="auto"/>
            <w:right w:val="none" w:sz="0" w:space="0" w:color="auto"/>
          </w:divBdr>
        </w:div>
        <w:div w:id="1927108623">
          <w:marLeft w:val="0"/>
          <w:marRight w:val="0"/>
          <w:marTop w:val="150"/>
          <w:marBottom w:val="150"/>
          <w:divBdr>
            <w:top w:val="none" w:sz="0" w:space="0" w:color="auto"/>
            <w:left w:val="none" w:sz="0" w:space="0" w:color="auto"/>
            <w:bottom w:val="none" w:sz="0" w:space="0" w:color="auto"/>
            <w:right w:val="none" w:sz="0" w:space="0" w:color="auto"/>
          </w:divBdr>
        </w:div>
      </w:divsChild>
    </w:div>
    <w:div w:id="1503154893">
      <w:bodyDiv w:val="1"/>
      <w:marLeft w:val="0"/>
      <w:marRight w:val="0"/>
      <w:marTop w:val="0"/>
      <w:marBottom w:val="0"/>
      <w:divBdr>
        <w:top w:val="none" w:sz="0" w:space="0" w:color="auto"/>
        <w:left w:val="none" w:sz="0" w:space="0" w:color="auto"/>
        <w:bottom w:val="none" w:sz="0" w:space="0" w:color="auto"/>
        <w:right w:val="none" w:sz="0" w:space="0" w:color="auto"/>
      </w:divBdr>
    </w:div>
    <w:div w:id="1512646506">
      <w:bodyDiv w:val="1"/>
      <w:marLeft w:val="0"/>
      <w:marRight w:val="0"/>
      <w:marTop w:val="0"/>
      <w:marBottom w:val="0"/>
      <w:divBdr>
        <w:top w:val="none" w:sz="0" w:space="0" w:color="auto"/>
        <w:left w:val="none" w:sz="0" w:space="0" w:color="auto"/>
        <w:bottom w:val="none" w:sz="0" w:space="0" w:color="auto"/>
        <w:right w:val="none" w:sz="0" w:space="0" w:color="auto"/>
      </w:divBdr>
    </w:div>
    <w:div w:id="1577058465">
      <w:bodyDiv w:val="1"/>
      <w:marLeft w:val="0"/>
      <w:marRight w:val="0"/>
      <w:marTop w:val="0"/>
      <w:marBottom w:val="0"/>
      <w:divBdr>
        <w:top w:val="none" w:sz="0" w:space="0" w:color="auto"/>
        <w:left w:val="none" w:sz="0" w:space="0" w:color="auto"/>
        <w:bottom w:val="none" w:sz="0" w:space="0" w:color="auto"/>
        <w:right w:val="none" w:sz="0" w:space="0" w:color="auto"/>
      </w:divBdr>
      <w:divsChild>
        <w:div w:id="484050917">
          <w:marLeft w:val="0"/>
          <w:marRight w:val="0"/>
          <w:marTop w:val="0"/>
          <w:marBottom w:val="0"/>
          <w:divBdr>
            <w:top w:val="none" w:sz="0" w:space="0" w:color="auto"/>
            <w:left w:val="none" w:sz="0" w:space="0" w:color="auto"/>
            <w:bottom w:val="none" w:sz="0" w:space="0" w:color="auto"/>
            <w:right w:val="none" w:sz="0" w:space="0" w:color="auto"/>
          </w:divBdr>
        </w:div>
      </w:divsChild>
    </w:div>
    <w:div w:id="1626619207">
      <w:bodyDiv w:val="1"/>
      <w:marLeft w:val="0"/>
      <w:marRight w:val="0"/>
      <w:marTop w:val="0"/>
      <w:marBottom w:val="0"/>
      <w:divBdr>
        <w:top w:val="none" w:sz="0" w:space="0" w:color="auto"/>
        <w:left w:val="none" w:sz="0" w:space="0" w:color="auto"/>
        <w:bottom w:val="none" w:sz="0" w:space="0" w:color="auto"/>
        <w:right w:val="none" w:sz="0" w:space="0" w:color="auto"/>
      </w:divBdr>
    </w:div>
    <w:div w:id="1662124104">
      <w:bodyDiv w:val="1"/>
      <w:marLeft w:val="0"/>
      <w:marRight w:val="0"/>
      <w:marTop w:val="0"/>
      <w:marBottom w:val="0"/>
      <w:divBdr>
        <w:top w:val="none" w:sz="0" w:space="0" w:color="auto"/>
        <w:left w:val="none" w:sz="0" w:space="0" w:color="auto"/>
        <w:bottom w:val="none" w:sz="0" w:space="0" w:color="auto"/>
        <w:right w:val="none" w:sz="0" w:space="0" w:color="auto"/>
      </w:divBdr>
    </w:div>
    <w:div w:id="1753429116">
      <w:bodyDiv w:val="1"/>
      <w:marLeft w:val="0"/>
      <w:marRight w:val="0"/>
      <w:marTop w:val="0"/>
      <w:marBottom w:val="0"/>
      <w:divBdr>
        <w:top w:val="none" w:sz="0" w:space="0" w:color="auto"/>
        <w:left w:val="none" w:sz="0" w:space="0" w:color="auto"/>
        <w:bottom w:val="none" w:sz="0" w:space="0" w:color="auto"/>
        <w:right w:val="none" w:sz="0" w:space="0" w:color="auto"/>
      </w:divBdr>
    </w:div>
    <w:div w:id="1756510266">
      <w:bodyDiv w:val="1"/>
      <w:marLeft w:val="0"/>
      <w:marRight w:val="0"/>
      <w:marTop w:val="0"/>
      <w:marBottom w:val="0"/>
      <w:divBdr>
        <w:top w:val="none" w:sz="0" w:space="0" w:color="auto"/>
        <w:left w:val="none" w:sz="0" w:space="0" w:color="auto"/>
        <w:bottom w:val="none" w:sz="0" w:space="0" w:color="auto"/>
        <w:right w:val="none" w:sz="0" w:space="0" w:color="auto"/>
      </w:divBdr>
    </w:div>
    <w:div w:id="1801070458">
      <w:bodyDiv w:val="1"/>
      <w:marLeft w:val="0"/>
      <w:marRight w:val="0"/>
      <w:marTop w:val="0"/>
      <w:marBottom w:val="0"/>
      <w:divBdr>
        <w:top w:val="none" w:sz="0" w:space="0" w:color="auto"/>
        <w:left w:val="none" w:sz="0" w:space="0" w:color="auto"/>
        <w:bottom w:val="none" w:sz="0" w:space="0" w:color="auto"/>
        <w:right w:val="none" w:sz="0" w:space="0" w:color="auto"/>
      </w:divBdr>
      <w:divsChild>
        <w:div w:id="398746861">
          <w:marLeft w:val="0"/>
          <w:marRight w:val="0"/>
          <w:marTop w:val="0"/>
          <w:marBottom w:val="0"/>
          <w:divBdr>
            <w:top w:val="none" w:sz="0" w:space="0" w:color="auto"/>
            <w:left w:val="none" w:sz="0" w:space="0" w:color="auto"/>
            <w:bottom w:val="none" w:sz="0" w:space="0" w:color="auto"/>
            <w:right w:val="none" w:sz="0" w:space="0" w:color="auto"/>
          </w:divBdr>
        </w:div>
      </w:divsChild>
    </w:div>
    <w:div w:id="1815297117">
      <w:bodyDiv w:val="1"/>
      <w:marLeft w:val="0"/>
      <w:marRight w:val="0"/>
      <w:marTop w:val="0"/>
      <w:marBottom w:val="0"/>
      <w:divBdr>
        <w:top w:val="none" w:sz="0" w:space="0" w:color="auto"/>
        <w:left w:val="none" w:sz="0" w:space="0" w:color="auto"/>
        <w:bottom w:val="none" w:sz="0" w:space="0" w:color="auto"/>
        <w:right w:val="none" w:sz="0" w:space="0" w:color="auto"/>
      </w:divBdr>
    </w:div>
    <w:div w:id="1875655098">
      <w:bodyDiv w:val="1"/>
      <w:marLeft w:val="0"/>
      <w:marRight w:val="0"/>
      <w:marTop w:val="0"/>
      <w:marBottom w:val="0"/>
      <w:divBdr>
        <w:top w:val="none" w:sz="0" w:space="0" w:color="auto"/>
        <w:left w:val="none" w:sz="0" w:space="0" w:color="auto"/>
        <w:bottom w:val="none" w:sz="0" w:space="0" w:color="auto"/>
        <w:right w:val="none" w:sz="0" w:space="0" w:color="auto"/>
      </w:divBdr>
    </w:div>
    <w:div w:id="1884709649">
      <w:bodyDiv w:val="1"/>
      <w:marLeft w:val="0"/>
      <w:marRight w:val="0"/>
      <w:marTop w:val="0"/>
      <w:marBottom w:val="0"/>
      <w:divBdr>
        <w:top w:val="none" w:sz="0" w:space="0" w:color="auto"/>
        <w:left w:val="none" w:sz="0" w:space="0" w:color="auto"/>
        <w:bottom w:val="none" w:sz="0" w:space="0" w:color="auto"/>
        <w:right w:val="none" w:sz="0" w:space="0" w:color="auto"/>
      </w:divBdr>
    </w:div>
    <w:div w:id="1927222465">
      <w:bodyDiv w:val="1"/>
      <w:marLeft w:val="0"/>
      <w:marRight w:val="0"/>
      <w:marTop w:val="0"/>
      <w:marBottom w:val="0"/>
      <w:divBdr>
        <w:top w:val="none" w:sz="0" w:space="0" w:color="auto"/>
        <w:left w:val="none" w:sz="0" w:space="0" w:color="auto"/>
        <w:bottom w:val="none" w:sz="0" w:space="0" w:color="auto"/>
        <w:right w:val="none" w:sz="0" w:space="0" w:color="auto"/>
      </w:divBdr>
      <w:divsChild>
        <w:div w:id="187060606">
          <w:marLeft w:val="0"/>
          <w:marRight w:val="0"/>
          <w:marTop w:val="0"/>
          <w:marBottom w:val="75"/>
          <w:divBdr>
            <w:top w:val="none" w:sz="0" w:space="0" w:color="auto"/>
            <w:left w:val="none" w:sz="0" w:space="0" w:color="auto"/>
            <w:bottom w:val="none" w:sz="0" w:space="0" w:color="auto"/>
            <w:right w:val="none" w:sz="0" w:space="0" w:color="auto"/>
          </w:divBdr>
        </w:div>
        <w:div w:id="1882211092">
          <w:marLeft w:val="0"/>
          <w:marRight w:val="0"/>
          <w:marTop w:val="150"/>
          <w:marBottom w:val="150"/>
          <w:divBdr>
            <w:top w:val="none" w:sz="0" w:space="0" w:color="auto"/>
            <w:left w:val="none" w:sz="0" w:space="0" w:color="auto"/>
            <w:bottom w:val="none" w:sz="0" w:space="0" w:color="auto"/>
            <w:right w:val="none" w:sz="0" w:space="0" w:color="auto"/>
          </w:divBdr>
        </w:div>
      </w:divsChild>
    </w:div>
    <w:div w:id="1952203129">
      <w:bodyDiv w:val="1"/>
      <w:marLeft w:val="0"/>
      <w:marRight w:val="0"/>
      <w:marTop w:val="0"/>
      <w:marBottom w:val="0"/>
      <w:divBdr>
        <w:top w:val="none" w:sz="0" w:space="0" w:color="auto"/>
        <w:left w:val="none" w:sz="0" w:space="0" w:color="auto"/>
        <w:bottom w:val="none" w:sz="0" w:space="0" w:color="auto"/>
        <w:right w:val="none" w:sz="0" w:space="0" w:color="auto"/>
      </w:divBdr>
      <w:divsChild>
        <w:div w:id="266929926">
          <w:marLeft w:val="0"/>
          <w:marRight w:val="0"/>
          <w:marTop w:val="0"/>
          <w:marBottom w:val="0"/>
          <w:divBdr>
            <w:top w:val="none" w:sz="0" w:space="0" w:color="auto"/>
            <w:left w:val="none" w:sz="0" w:space="0" w:color="auto"/>
            <w:bottom w:val="none" w:sz="0" w:space="0" w:color="auto"/>
            <w:right w:val="none" w:sz="0" w:space="0" w:color="auto"/>
          </w:divBdr>
        </w:div>
      </w:divsChild>
    </w:div>
    <w:div w:id="1997145492">
      <w:bodyDiv w:val="1"/>
      <w:marLeft w:val="0"/>
      <w:marRight w:val="0"/>
      <w:marTop w:val="0"/>
      <w:marBottom w:val="0"/>
      <w:divBdr>
        <w:top w:val="none" w:sz="0" w:space="0" w:color="auto"/>
        <w:left w:val="none" w:sz="0" w:space="0" w:color="auto"/>
        <w:bottom w:val="none" w:sz="0" w:space="0" w:color="auto"/>
        <w:right w:val="none" w:sz="0" w:space="0" w:color="auto"/>
      </w:divBdr>
    </w:div>
    <w:div w:id="2017272067">
      <w:bodyDiv w:val="1"/>
      <w:marLeft w:val="0"/>
      <w:marRight w:val="0"/>
      <w:marTop w:val="0"/>
      <w:marBottom w:val="0"/>
      <w:divBdr>
        <w:top w:val="none" w:sz="0" w:space="0" w:color="auto"/>
        <w:left w:val="none" w:sz="0" w:space="0" w:color="auto"/>
        <w:bottom w:val="none" w:sz="0" w:space="0" w:color="auto"/>
        <w:right w:val="none" w:sz="0" w:space="0" w:color="auto"/>
      </w:divBdr>
    </w:div>
    <w:div w:id="20225817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371%2Fjournal.pone.0269582" TargetMode="External"/><Relationship Id="rId18" Type="http://schemas.openxmlformats.org/officeDocument/2006/relationships/hyperlink" Target="https://doi.org/10.1287/orsc.2018.1230" TargetMode="External"/><Relationship Id="rId26" Type="http://schemas.openxmlformats.org/officeDocument/2006/relationships/hyperlink" Target="https://finance.yahoo.com/quote/WMT/history/?period1=1546300800&amp;period2=1704067200&amp;frequency=1mo" TargetMode="External"/><Relationship Id="rId3" Type="http://schemas.openxmlformats.org/officeDocument/2006/relationships/settings" Target="settings.xml"/><Relationship Id="rId21" Type="http://schemas.openxmlformats.org/officeDocument/2006/relationships/hyperlink" Target="https://doi.org/10.1108/ijlma-03-2019-0076" TargetMode="External"/><Relationship Id="rId7" Type="http://schemas.openxmlformats.org/officeDocument/2006/relationships/image" Target="media/image1.png"/><Relationship Id="rId12" Type="http://schemas.openxmlformats.org/officeDocument/2006/relationships/hyperlink" Target="http://dx.doi.org/10.1080/23311975.2023.2236304" TargetMode="External"/><Relationship Id="rId17" Type="http://schemas.openxmlformats.org/officeDocument/2006/relationships/hyperlink" Target="https://doi.org/10.1111/jifm.12092" TargetMode="External"/><Relationship Id="rId25" Type="http://schemas.openxmlformats.org/officeDocument/2006/relationships/hyperlink" Target="https://finance.yahoo.com/quote/AMZN/history/?period1=1546300800&amp;period2=1704067200&amp;frequency=1mo"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3390/jrfm13120300" TargetMode="External"/><Relationship Id="rId20" Type="http://schemas.openxmlformats.org/officeDocument/2006/relationships/hyperlink" Target="https://papers.ssrn.com/sol3/papers.cfm?abstract_id=4031875"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nnualreports.com/HostedData/AnnualReports/PDF/NASDAQ_AMZN_2023.pdf" TargetMode="External"/><Relationship Id="rId24" Type="http://schemas.openxmlformats.org/officeDocument/2006/relationships/hyperlink" Target="https://www.annualreports.com/HostedData/AnnualReports/PDF/NYSE_WMT_2022.pdf"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3390/jrfm12040176" TargetMode="External"/><Relationship Id="rId23" Type="http://schemas.openxmlformats.org/officeDocument/2006/relationships/hyperlink" Target="https://www.annualreports.com/HostedData/AnnualReportArchive/w/NYSE_WMT_2021.pdf" TargetMode="External"/><Relationship Id="rId28" Type="http://schemas.openxmlformats.org/officeDocument/2006/relationships/hyperlink" Target="https://doi.org/10.1016/j.compeleceng.2019.06.011" TargetMode="External"/><Relationship Id="rId10" Type="http://schemas.openxmlformats.org/officeDocument/2006/relationships/hyperlink" Target="https://www.annualreports.com/HostedData/AnnualReportArchive/a/NASDAQ_AMZN_2022.pdf" TargetMode="External"/><Relationship Id="rId19" Type="http://schemas.openxmlformats.org/officeDocument/2006/relationships/hyperlink" Target="https://doi.org/10.1016/j.jcorpfin.2014.10.018" TargetMode="External"/><Relationship Id="rId31"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3390/jrfm17030093" TargetMode="External"/><Relationship Id="rId22" Type="http://schemas.openxmlformats.org/officeDocument/2006/relationships/hyperlink" Target="https://doi.org/10.3390/jrfm16020072" TargetMode="External"/><Relationship Id="rId27" Type="http://schemas.openxmlformats.org/officeDocument/2006/relationships/hyperlink" Target="https://doi.org/10.3390/su11102990" TargetMode="External"/><Relationship Id="rId30" Type="http://schemas.openxmlformats.org/officeDocument/2006/relationships/footer" Target="footer1.xml"/><Relationship Id="rId8"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_rels/header2.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44"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5F39A8B-F7AD-47B4-A3C0-E3EBB237450E}">
  <we:reference id="wa200000368" version="1.0.0.0" store="en-US" storeType="OMEX"/>
  <we:alternateReferences>
    <we:reference id="wa200000368" version="1.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28F6C5-4678-4F67-8CFE-28EFAB63DD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25</Pages>
  <Words>6800</Words>
  <Characters>38760</Characters>
  <Application>Microsoft Office Word</Application>
  <DocSecurity>0</DocSecurity>
  <Lines>323</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ABHI</dc:creator>
  <cp:keywords/>
  <dc:description/>
  <cp:lastModifiedBy>Amisha Setiyar</cp:lastModifiedBy>
  <cp:revision>37</cp:revision>
  <dcterms:created xsi:type="dcterms:W3CDTF">2024-04-23T18:12:00Z</dcterms:created>
  <dcterms:modified xsi:type="dcterms:W3CDTF">2024-04-24T08:26:00Z</dcterms:modified>
</cp:coreProperties>
</file>