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1FDBEC" w14:textId="77741FD5" w:rsidR="00627862" w:rsidRDefault="002C08B0" w:rsidP="002C08B0">
      <w:pPr>
        <w:pStyle w:val="Heading1"/>
        <w:jc w:val="center"/>
      </w:pPr>
      <w:r>
        <w:t xml:space="preserve">AI </w:t>
      </w:r>
      <w:r w:rsidR="007C5219">
        <w:t>Acknowledgement</w:t>
      </w:r>
      <w:r>
        <w:t xml:space="preserve"> Statement </w:t>
      </w:r>
    </w:p>
    <w:p w14:paraId="1F03F0B7" w14:textId="77777777" w:rsidR="002C08B0" w:rsidRDefault="002C08B0" w:rsidP="002C08B0"/>
    <w:p w14:paraId="10313603" w14:textId="2020A26D" w:rsidR="002C08B0" w:rsidRPr="002C08B0" w:rsidRDefault="002C08B0" w:rsidP="002C08B0">
      <w:r w:rsidRPr="002C08B0">
        <w:t xml:space="preserve">I acknowledge that this essay is entirely my own work. </w:t>
      </w:r>
    </w:p>
    <w:p w14:paraId="68AB8AC0" w14:textId="77777777" w:rsidR="002C08B0" w:rsidRDefault="002C08B0" w:rsidP="002C08B0"/>
    <w:p w14:paraId="50E79D6F" w14:textId="77777777" w:rsidR="002C08B0" w:rsidRPr="002C08B0" w:rsidRDefault="002C08B0" w:rsidP="002C08B0"/>
    <w:p w14:paraId="4BCA48D4" w14:textId="77777777" w:rsidR="002C08B0" w:rsidRDefault="002C08B0" w:rsidP="00F47DC1">
      <w:pPr>
        <w:ind w:firstLine="720"/>
        <w:rPr>
          <w:rFonts w:ascii="Times New Roman" w:hAnsi="Times New Roman" w:cs="Times New Roman"/>
          <w:sz w:val="24"/>
          <w:szCs w:val="24"/>
        </w:rPr>
      </w:pPr>
    </w:p>
    <w:p w14:paraId="2B41AC30" w14:textId="77777777" w:rsidR="002C08B0" w:rsidRDefault="002C08B0" w:rsidP="00F47DC1">
      <w:pPr>
        <w:ind w:firstLine="720"/>
        <w:rPr>
          <w:rFonts w:ascii="Times New Roman" w:hAnsi="Times New Roman" w:cs="Times New Roman"/>
          <w:sz w:val="24"/>
          <w:szCs w:val="24"/>
        </w:rPr>
      </w:pPr>
    </w:p>
    <w:p w14:paraId="30656DC9" w14:textId="77777777" w:rsidR="002C08B0" w:rsidRDefault="002C08B0" w:rsidP="00F47DC1">
      <w:pPr>
        <w:ind w:firstLine="720"/>
        <w:rPr>
          <w:rFonts w:ascii="Times New Roman" w:hAnsi="Times New Roman" w:cs="Times New Roman"/>
          <w:sz w:val="24"/>
          <w:szCs w:val="24"/>
        </w:rPr>
      </w:pPr>
    </w:p>
    <w:p w14:paraId="0F03131B" w14:textId="77777777" w:rsidR="002C08B0" w:rsidRDefault="002C08B0" w:rsidP="00F47DC1">
      <w:pPr>
        <w:ind w:firstLine="720"/>
        <w:rPr>
          <w:rFonts w:ascii="Times New Roman" w:hAnsi="Times New Roman" w:cs="Times New Roman"/>
          <w:sz w:val="24"/>
          <w:szCs w:val="24"/>
        </w:rPr>
      </w:pPr>
    </w:p>
    <w:p w14:paraId="28796A60" w14:textId="77777777" w:rsidR="002C08B0" w:rsidRDefault="002C08B0" w:rsidP="00F47DC1">
      <w:pPr>
        <w:ind w:firstLine="720"/>
        <w:rPr>
          <w:rFonts w:ascii="Times New Roman" w:hAnsi="Times New Roman" w:cs="Times New Roman"/>
          <w:sz w:val="24"/>
          <w:szCs w:val="24"/>
        </w:rPr>
      </w:pPr>
    </w:p>
    <w:p w14:paraId="7AAE9C26" w14:textId="77777777" w:rsidR="002C08B0" w:rsidRDefault="002C08B0" w:rsidP="00F47DC1">
      <w:pPr>
        <w:ind w:firstLine="720"/>
        <w:rPr>
          <w:rFonts w:ascii="Times New Roman" w:hAnsi="Times New Roman" w:cs="Times New Roman"/>
          <w:sz w:val="24"/>
          <w:szCs w:val="24"/>
        </w:rPr>
      </w:pPr>
    </w:p>
    <w:p w14:paraId="54AB4560" w14:textId="77777777" w:rsidR="002C08B0" w:rsidRDefault="002C08B0" w:rsidP="00F47DC1">
      <w:pPr>
        <w:ind w:firstLine="720"/>
        <w:rPr>
          <w:rFonts w:ascii="Times New Roman" w:hAnsi="Times New Roman" w:cs="Times New Roman"/>
          <w:sz w:val="24"/>
          <w:szCs w:val="24"/>
        </w:rPr>
      </w:pPr>
    </w:p>
    <w:p w14:paraId="688FBDEE" w14:textId="77777777" w:rsidR="002C08B0" w:rsidRDefault="002C08B0" w:rsidP="00F47DC1">
      <w:pPr>
        <w:ind w:firstLine="720"/>
        <w:rPr>
          <w:rFonts w:ascii="Times New Roman" w:hAnsi="Times New Roman" w:cs="Times New Roman"/>
          <w:sz w:val="24"/>
          <w:szCs w:val="24"/>
        </w:rPr>
      </w:pPr>
    </w:p>
    <w:p w14:paraId="6FB0CFB6" w14:textId="77777777" w:rsidR="002C08B0" w:rsidRDefault="002C08B0" w:rsidP="00F47DC1">
      <w:pPr>
        <w:ind w:firstLine="720"/>
        <w:rPr>
          <w:rFonts w:ascii="Times New Roman" w:hAnsi="Times New Roman" w:cs="Times New Roman"/>
          <w:sz w:val="24"/>
          <w:szCs w:val="24"/>
        </w:rPr>
      </w:pPr>
    </w:p>
    <w:p w14:paraId="1D3D2220" w14:textId="77777777" w:rsidR="002C08B0" w:rsidRDefault="002C08B0" w:rsidP="00F47DC1">
      <w:pPr>
        <w:ind w:firstLine="720"/>
        <w:rPr>
          <w:rFonts w:ascii="Times New Roman" w:hAnsi="Times New Roman" w:cs="Times New Roman"/>
          <w:sz w:val="24"/>
          <w:szCs w:val="24"/>
        </w:rPr>
      </w:pPr>
    </w:p>
    <w:p w14:paraId="02DD5864" w14:textId="77777777" w:rsidR="002C08B0" w:rsidRDefault="002C08B0" w:rsidP="00F47DC1">
      <w:pPr>
        <w:ind w:firstLine="720"/>
        <w:rPr>
          <w:rFonts w:ascii="Times New Roman" w:hAnsi="Times New Roman" w:cs="Times New Roman"/>
          <w:sz w:val="24"/>
          <w:szCs w:val="24"/>
        </w:rPr>
      </w:pPr>
    </w:p>
    <w:p w14:paraId="62131A37" w14:textId="77777777" w:rsidR="002C08B0" w:rsidRDefault="002C08B0" w:rsidP="00F47DC1">
      <w:pPr>
        <w:ind w:firstLine="720"/>
        <w:rPr>
          <w:rFonts w:ascii="Times New Roman" w:hAnsi="Times New Roman" w:cs="Times New Roman"/>
          <w:sz w:val="24"/>
          <w:szCs w:val="24"/>
        </w:rPr>
      </w:pPr>
    </w:p>
    <w:p w14:paraId="1764D37B" w14:textId="77777777" w:rsidR="002C08B0" w:rsidRDefault="002C08B0" w:rsidP="00F47DC1">
      <w:pPr>
        <w:ind w:firstLine="720"/>
        <w:rPr>
          <w:rFonts w:ascii="Times New Roman" w:hAnsi="Times New Roman" w:cs="Times New Roman"/>
          <w:sz w:val="24"/>
          <w:szCs w:val="24"/>
        </w:rPr>
      </w:pPr>
    </w:p>
    <w:p w14:paraId="51C61FE4" w14:textId="77777777" w:rsidR="002C08B0" w:rsidRDefault="002C08B0" w:rsidP="00F47DC1">
      <w:pPr>
        <w:ind w:firstLine="720"/>
        <w:rPr>
          <w:rFonts w:ascii="Times New Roman" w:hAnsi="Times New Roman" w:cs="Times New Roman"/>
          <w:sz w:val="24"/>
          <w:szCs w:val="24"/>
        </w:rPr>
      </w:pPr>
    </w:p>
    <w:p w14:paraId="10443CCC" w14:textId="77777777" w:rsidR="002C08B0" w:rsidRDefault="002C08B0" w:rsidP="00F47DC1">
      <w:pPr>
        <w:ind w:firstLine="720"/>
        <w:rPr>
          <w:rFonts w:ascii="Times New Roman" w:hAnsi="Times New Roman" w:cs="Times New Roman"/>
          <w:sz w:val="24"/>
          <w:szCs w:val="24"/>
        </w:rPr>
      </w:pPr>
    </w:p>
    <w:p w14:paraId="4FE739F0" w14:textId="77777777" w:rsidR="002C08B0" w:rsidRDefault="002C08B0" w:rsidP="00F47DC1">
      <w:pPr>
        <w:ind w:firstLine="720"/>
        <w:rPr>
          <w:rFonts w:ascii="Times New Roman" w:hAnsi="Times New Roman" w:cs="Times New Roman"/>
          <w:sz w:val="24"/>
          <w:szCs w:val="24"/>
        </w:rPr>
      </w:pPr>
    </w:p>
    <w:p w14:paraId="3713E250" w14:textId="77777777" w:rsidR="002C08B0" w:rsidRDefault="002C08B0" w:rsidP="00F47DC1">
      <w:pPr>
        <w:ind w:firstLine="720"/>
        <w:rPr>
          <w:rFonts w:ascii="Times New Roman" w:hAnsi="Times New Roman" w:cs="Times New Roman"/>
          <w:sz w:val="24"/>
          <w:szCs w:val="24"/>
        </w:rPr>
      </w:pPr>
    </w:p>
    <w:p w14:paraId="2E83932D" w14:textId="77777777" w:rsidR="002C08B0" w:rsidRDefault="002C08B0" w:rsidP="00F47DC1">
      <w:pPr>
        <w:ind w:firstLine="720"/>
        <w:rPr>
          <w:rFonts w:ascii="Times New Roman" w:hAnsi="Times New Roman" w:cs="Times New Roman"/>
          <w:sz w:val="24"/>
          <w:szCs w:val="24"/>
        </w:rPr>
      </w:pPr>
    </w:p>
    <w:p w14:paraId="2DBA7B94" w14:textId="77777777" w:rsidR="002C08B0" w:rsidRDefault="002C08B0" w:rsidP="00F47DC1">
      <w:pPr>
        <w:ind w:firstLine="720"/>
        <w:rPr>
          <w:rFonts w:ascii="Times New Roman" w:hAnsi="Times New Roman" w:cs="Times New Roman"/>
          <w:sz w:val="24"/>
          <w:szCs w:val="24"/>
        </w:rPr>
      </w:pPr>
    </w:p>
    <w:p w14:paraId="0218B5E2" w14:textId="77777777" w:rsidR="002C08B0" w:rsidRDefault="002C08B0" w:rsidP="00F47DC1">
      <w:pPr>
        <w:ind w:firstLine="720"/>
        <w:rPr>
          <w:rFonts w:ascii="Times New Roman" w:hAnsi="Times New Roman" w:cs="Times New Roman"/>
          <w:sz w:val="24"/>
          <w:szCs w:val="24"/>
        </w:rPr>
      </w:pPr>
    </w:p>
    <w:p w14:paraId="42359E31" w14:textId="77777777" w:rsidR="002C08B0" w:rsidRDefault="002C08B0" w:rsidP="00F47DC1">
      <w:pPr>
        <w:ind w:firstLine="720"/>
        <w:rPr>
          <w:rFonts w:ascii="Times New Roman" w:hAnsi="Times New Roman" w:cs="Times New Roman"/>
          <w:sz w:val="24"/>
          <w:szCs w:val="24"/>
        </w:rPr>
      </w:pPr>
    </w:p>
    <w:p w14:paraId="61A0615B" w14:textId="77777777" w:rsidR="002C08B0" w:rsidRDefault="002C08B0" w:rsidP="00F47DC1">
      <w:pPr>
        <w:ind w:firstLine="720"/>
        <w:rPr>
          <w:rFonts w:ascii="Times New Roman" w:hAnsi="Times New Roman" w:cs="Times New Roman"/>
          <w:sz w:val="24"/>
          <w:szCs w:val="24"/>
        </w:rPr>
      </w:pPr>
    </w:p>
    <w:p w14:paraId="51DD11F9" w14:textId="77777777" w:rsidR="002C08B0" w:rsidRPr="00627862" w:rsidRDefault="002C08B0" w:rsidP="00F47DC1">
      <w:pPr>
        <w:ind w:firstLine="720"/>
        <w:rPr>
          <w:rFonts w:ascii="Times New Roman" w:hAnsi="Times New Roman" w:cs="Times New Roman"/>
          <w:sz w:val="24"/>
          <w:szCs w:val="24"/>
        </w:rPr>
      </w:pPr>
    </w:p>
    <w:p w14:paraId="5FAF808F" w14:textId="34BCB652"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lastRenderedPageBreak/>
        <w:t>Eyewitness memory is a cornerstone of both psychological research and legal proceedings, yet it is widely recogni</w:t>
      </w:r>
      <w:r>
        <w:rPr>
          <w:rFonts w:ascii="Times New Roman" w:hAnsi="Times New Roman" w:cs="Times New Roman"/>
          <w:sz w:val="24"/>
          <w:szCs w:val="24"/>
        </w:rPr>
        <w:t>s</w:t>
      </w:r>
      <w:r w:rsidRPr="00F47DC1">
        <w:rPr>
          <w:rFonts w:ascii="Times New Roman" w:hAnsi="Times New Roman" w:cs="Times New Roman"/>
          <w:sz w:val="24"/>
          <w:szCs w:val="24"/>
        </w:rPr>
        <w:t xml:space="preserve">ed as highly fallible due to the influence of multiple cognitive factors. Understanding the processes that affect eyewitness memory is crucial for both theoretical development in cognitive psychology and practical applications in law enforcement and the judiciary. </w:t>
      </w:r>
      <w:r>
        <w:rPr>
          <w:rFonts w:ascii="Times New Roman" w:hAnsi="Times New Roman" w:cs="Times New Roman"/>
          <w:sz w:val="24"/>
          <w:szCs w:val="24"/>
        </w:rPr>
        <w:t>Therefore, t</w:t>
      </w:r>
      <w:r w:rsidRPr="00F47DC1">
        <w:rPr>
          <w:rFonts w:ascii="Times New Roman" w:hAnsi="Times New Roman" w:cs="Times New Roman"/>
          <w:sz w:val="24"/>
          <w:szCs w:val="24"/>
        </w:rPr>
        <w:t>his essay critically evaluates cognitive factors influencing eyewitness memory, drawing on theoretical frameworks and empirical research, while grounding the discussion in evidence from the mock eyewitness scenarios conducted during on-campus sessions on 02.02.26. Key terms central to this analysis include “eyewitness memory,” defined as an individual’s recollection of a witnessed event and “cognitive factors,” which encompass internal mental processes such as attention, perception, memory reconstruction and arousal that can shape the accuracy of recall. While multiple cognitive factors affect memory, this essay focuses on three in particular: attention and perception, memory reconstruction and post-event information</w:t>
      </w:r>
      <w:r w:rsidR="002C08B0">
        <w:rPr>
          <w:rFonts w:ascii="Times New Roman" w:hAnsi="Times New Roman" w:cs="Times New Roman"/>
          <w:sz w:val="24"/>
          <w:szCs w:val="24"/>
        </w:rPr>
        <w:t xml:space="preserve"> </w:t>
      </w:r>
      <w:r w:rsidRPr="00F47DC1">
        <w:rPr>
          <w:rFonts w:ascii="Times New Roman" w:hAnsi="Times New Roman" w:cs="Times New Roman"/>
          <w:sz w:val="24"/>
          <w:szCs w:val="24"/>
        </w:rPr>
        <w:t xml:space="preserve">and stress and arousal. This </w:t>
      </w:r>
      <w:r>
        <w:rPr>
          <w:rFonts w:ascii="Times New Roman" w:hAnsi="Times New Roman" w:cs="Times New Roman"/>
          <w:sz w:val="24"/>
          <w:szCs w:val="24"/>
        </w:rPr>
        <w:t xml:space="preserve">approach </w:t>
      </w:r>
      <w:r w:rsidRPr="00F47DC1">
        <w:rPr>
          <w:rFonts w:ascii="Times New Roman" w:hAnsi="Times New Roman" w:cs="Times New Roman"/>
          <w:sz w:val="24"/>
          <w:szCs w:val="24"/>
        </w:rPr>
        <w:t>allows for a detailed and critical evaluation of how theory and research illuminate the processes underlying eyewitness memory, while also examining the strengths and limitations of the evidence and methodology and relating findings to the outcomes of the in-class mock scenarios.</w:t>
      </w:r>
    </w:p>
    <w:p w14:paraId="6AE3CEC1" w14:textId="726FE9AA" w:rsidR="00F47DC1" w:rsidRPr="00F47DC1" w:rsidRDefault="00F47DC1" w:rsidP="00F47DC1">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begin with, the t</w:t>
      </w:r>
      <w:r w:rsidRPr="00F47DC1">
        <w:rPr>
          <w:rFonts w:ascii="Times New Roman" w:hAnsi="Times New Roman" w:cs="Times New Roman"/>
          <w:sz w:val="24"/>
          <w:szCs w:val="24"/>
        </w:rPr>
        <w:t xml:space="preserve">heoretical framing of eyewitness memory is strengthened by situating it within broader models of memory. Contemporary cognitive psychology </w:t>
      </w:r>
      <w:r>
        <w:rPr>
          <w:rFonts w:ascii="Times New Roman" w:hAnsi="Times New Roman" w:cs="Times New Roman"/>
          <w:sz w:val="24"/>
          <w:szCs w:val="24"/>
        </w:rPr>
        <w:t>conceptualises</w:t>
      </w:r>
      <w:r w:rsidRPr="00F47DC1">
        <w:rPr>
          <w:rFonts w:ascii="Times New Roman" w:hAnsi="Times New Roman" w:cs="Times New Roman"/>
          <w:sz w:val="24"/>
          <w:szCs w:val="24"/>
        </w:rPr>
        <w:t xml:space="preserve"> memory as comprising distinct but interacting stages: encoding, storage and retrieval. Errors can arise at any stage and eyewitness memory research demonstrates that distortion is not confined to retrieval alone. Encoding may be incomplete due to attentional limitations, storage may be influenced by interference or decay and retrieval may be shaped by suggestion, expectation or contextual cues. This multi-stage perspective is important but rather reflect normal cognitive functioning. Furthermore, eyewitness memory research </w:t>
      </w:r>
      <w:r w:rsidRPr="00F47DC1">
        <w:rPr>
          <w:rFonts w:ascii="Times New Roman" w:hAnsi="Times New Roman" w:cs="Times New Roman"/>
          <w:sz w:val="24"/>
          <w:szCs w:val="24"/>
        </w:rPr>
        <w:lastRenderedPageBreak/>
        <w:t>distinguishes between “estimator variables” and “system variables” (Wells, 1978). Estimator variables refer to factors beyond the control of the legal system, such as lighting, stress or cross-race identification, whereas system variables refer to procedures that can be modified, such as interview techniques or lineup structure.</w:t>
      </w:r>
      <w:r>
        <w:rPr>
          <w:rFonts w:ascii="Times New Roman" w:hAnsi="Times New Roman" w:cs="Times New Roman"/>
          <w:sz w:val="24"/>
          <w:szCs w:val="24"/>
        </w:rPr>
        <w:t xml:space="preserve"> Consequently,</w:t>
      </w:r>
      <w:r w:rsidRPr="00F47DC1">
        <w:rPr>
          <w:rFonts w:ascii="Times New Roman" w:hAnsi="Times New Roman" w:cs="Times New Roman"/>
          <w:sz w:val="24"/>
          <w:szCs w:val="24"/>
        </w:rPr>
        <w:t xml:space="preserve"> </w:t>
      </w:r>
      <w:r>
        <w:rPr>
          <w:rFonts w:ascii="Times New Roman" w:hAnsi="Times New Roman" w:cs="Times New Roman"/>
          <w:sz w:val="24"/>
          <w:szCs w:val="24"/>
        </w:rPr>
        <w:t>t</w:t>
      </w:r>
      <w:r w:rsidRPr="00F47DC1">
        <w:rPr>
          <w:rFonts w:ascii="Times New Roman" w:hAnsi="Times New Roman" w:cs="Times New Roman"/>
          <w:sz w:val="24"/>
          <w:szCs w:val="24"/>
        </w:rPr>
        <w:t>his distinction is crucial when evaluating both the theoretical implications of research and its applied relevance. By considering how cognitive factors operate across different stages of memory processing and within both estimator and system frameworks, a more comprehensive understanding of eyewitness reliability is achieved.</w:t>
      </w:r>
      <w:r w:rsidRPr="00F47DC1">
        <w:rPr>
          <w:b/>
          <w:bCs/>
        </w:rPr>
        <w:t xml:space="preserve"> </w:t>
      </w:r>
      <w:r w:rsidRPr="00F47DC1">
        <w:rPr>
          <w:rFonts w:ascii="Times New Roman" w:hAnsi="Times New Roman" w:cs="Times New Roman"/>
          <w:sz w:val="24"/>
          <w:szCs w:val="24"/>
        </w:rPr>
        <w:t>For example, as previously outlined, the distinction between estimator and system variables is particularly relevant when applied to the classroom scenario. Lighting and perceptual complexity operated as estimator variables affecting encoding quality, whereas the phrasing of questions would represent a system variable capable of influencing retrieval accuracy. Thus, this applied framing highlights the direct legal relevance of cognitive research.</w:t>
      </w:r>
    </w:p>
    <w:p w14:paraId="407FB607" w14:textId="60C3CCA1"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Turning to the first cognitive factor, </w:t>
      </w:r>
      <w:r>
        <w:rPr>
          <w:rFonts w:ascii="Times New Roman" w:hAnsi="Times New Roman" w:cs="Times New Roman"/>
          <w:sz w:val="24"/>
          <w:szCs w:val="24"/>
        </w:rPr>
        <w:t>a</w:t>
      </w:r>
      <w:r w:rsidRPr="00F47DC1">
        <w:rPr>
          <w:rFonts w:ascii="Times New Roman" w:hAnsi="Times New Roman" w:cs="Times New Roman"/>
          <w:sz w:val="24"/>
          <w:szCs w:val="24"/>
        </w:rPr>
        <w:t xml:space="preserve">ttention is one of the most fundamental cognitive processes influencing eyewitness memory, as it determines what information is encoded during the observation of an event. Cognitive theory posits that attentional resources are limited and that individuals selectively focus on salient stimuli while often neglecting peripheral details (Neisser, 1976). A key phenomenon illustrating the impact of attention on eyewitness memory is the weapon focus effect, first empirically demonstrated by Loftus, Loftus, and Messo (1987), which shows that the presence of a threatening object, such as a weapon, captures attention and reduces memory for surrounding details. Although the classroom scenario did not involve a weapon, the principle of selective attention is clearly observable in the eyewitness reports. Across all seven accounts, the man standing in the </w:t>
      </w:r>
      <w:r>
        <w:rPr>
          <w:rFonts w:ascii="Times New Roman" w:hAnsi="Times New Roman" w:cs="Times New Roman"/>
          <w:sz w:val="24"/>
          <w:szCs w:val="24"/>
        </w:rPr>
        <w:t>centre</w:t>
      </w:r>
      <w:r w:rsidRPr="00F47DC1">
        <w:rPr>
          <w:rFonts w:ascii="Times New Roman" w:hAnsi="Times New Roman" w:cs="Times New Roman"/>
          <w:sz w:val="24"/>
          <w:szCs w:val="24"/>
        </w:rPr>
        <w:t xml:space="preserve"> of the room was consistently identified, including descriptions of his clothing, hair </w:t>
      </w:r>
      <w:r>
        <w:rPr>
          <w:rFonts w:ascii="Times New Roman" w:hAnsi="Times New Roman" w:cs="Times New Roman"/>
          <w:sz w:val="24"/>
          <w:szCs w:val="24"/>
        </w:rPr>
        <w:t>colour</w:t>
      </w:r>
      <w:r w:rsidRPr="00F47DC1">
        <w:rPr>
          <w:rFonts w:ascii="Times New Roman" w:hAnsi="Times New Roman" w:cs="Times New Roman"/>
          <w:sz w:val="24"/>
          <w:szCs w:val="24"/>
        </w:rPr>
        <w:t xml:space="preserve"> and general build. For instance, EW1 noted that the individual was wearing blue jeans </w:t>
      </w:r>
      <w:r w:rsidRPr="00F47DC1">
        <w:rPr>
          <w:rFonts w:ascii="Times New Roman" w:hAnsi="Times New Roman" w:cs="Times New Roman"/>
          <w:sz w:val="24"/>
          <w:szCs w:val="24"/>
        </w:rPr>
        <w:lastRenderedPageBreak/>
        <w:t xml:space="preserve">and a blue t-shirt, while EW2 similarly reported blue jeans and a blue top. </w:t>
      </w:r>
      <w:r>
        <w:rPr>
          <w:rFonts w:ascii="Times New Roman" w:hAnsi="Times New Roman" w:cs="Times New Roman"/>
          <w:sz w:val="24"/>
          <w:szCs w:val="24"/>
        </w:rPr>
        <w:t>Therefore, t</w:t>
      </w:r>
      <w:r w:rsidRPr="00F47DC1">
        <w:rPr>
          <w:rFonts w:ascii="Times New Roman" w:hAnsi="Times New Roman" w:cs="Times New Roman"/>
          <w:sz w:val="24"/>
          <w:szCs w:val="24"/>
        </w:rPr>
        <w:t xml:space="preserve">his consistency across accounts indicates that central features were robustly attended to and accurately encoded, supporting theoretical predictions regarding attentional </w:t>
      </w:r>
      <w:r>
        <w:rPr>
          <w:rFonts w:ascii="Times New Roman" w:hAnsi="Times New Roman" w:cs="Times New Roman"/>
          <w:sz w:val="24"/>
          <w:szCs w:val="24"/>
        </w:rPr>
        <w:t>prioritisation</w:t>
      </w:r>
      <w:r w:rsidRPr="00F47DC1">
        <w:rPr>
          <w:rFonts w:ascii="Times New Roman" w:hAnsi="Times New Roman" w:cs="Times New Roman"/>
          <w:sz w:val="24"/>
          <w:szCs w:val="24"/>
        </w:rPr>
        <w:t>.</w:t>
      </w:r>
    </w:p>
    <w:p w14:paraId="7E770461" w14:textId="528E1DE5" w:rsidR="00F47DC1" w:rsidRPr="00F47DC1" w:rsidRDefault="00F47DC1" w:rsidP="00F47DC1">
      <w:pPr>
        <w:spacing w:line="480" w:lineRule="auto"/>
        <w:ind w:firstLine="720"/>
        <w:rPr>
          <w:rFonts w:ascii="Times New Roman" w:hAnsi="Times New Roman" w:cs="Times New Roman"/>
          <w:sz w:val="24"/>
          <w:szCs w:val="24"/>
        </w:rPr>
      </w:pPr>
      <w:r>
        <w:rPr>
          <w:rFonts w:ascii="Times New Roman" w:hAnsi="Times New Roman" w:cs="Times New Roman"/>
          <w:sz w:val="24"/>
          <w:szCs w:val="24"/>
        </w:rPr>
        <w:t>Nevertheless</w:t>
      </w:r>
      <w:r w:rsidRPr="00F47DC1">
        <w:rPr>
          <w:rFonts w:ascii="Times New Roman" w:hAnsi="Times New Roman" w:cs="Times New Roman"/>
          <w:sz w:val="24"/>
          <w:szCs w:val="24"/>
        </w:rPr>
        <w:t>, significant discrepancies emerged in the recall of peripheral features, demonstrating the limits of attention and perception. EW1 described an object resembling a golf club behind the man, while EW3 and EW5 made no mention of it. The condition of the room, which included strewn books and clothes, desks and miscellaneous items, was variably recalled. EW4 noted two desks, a bed, and lamps, while EW2 described the scene as “really dark” and expressed uncertainty regarding objects such as money or boxes. These inconsistencies underscore the selective nature of attention: witnesses encode and recall elements they consider salient, with peripheral or less relevant objects often omitted or misrepresented. Additionally, variations in the perception of lighting suggest that environmental factors interact with attentional focus to influence encoding. Some witnesses perceived dim lighting, while others noted partial daylight, demonstrating that subtle changes in perceptual conditions can affect what details are attended to and retained in memory (Yuille &amp; Cutshall, 1986).</w:t>
      </w:r>
    </w:p>
    <w:p w14:paraId="36EFF546" w14:textId="3A195E89"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Critically</w:t>
      </w:r>
      <w:r>
        <w:rPr>
          <w:rFonts w:ascii="Times New Roman" w:hAnsi="Times New Roman" w:cs="Times New Roman"/>
          <w:sz w:val="24"/>
          <w:szCs w:val="24"/>
        </w:rPr>
        <w:t>,</w:t>
      </w:r>
      <w:r w:rsidRPr="00F47DC1">
        <w:rPr>
          <w:rFonts w:ascii="Times New Roman" w:hAnsi="Times New Roman" w:cs="Times New Roman"/>
          <w:sz w:val="24"/>
          <w:szCs w:val="24"/>
        </w:rPr>
        <w:t xml:space="preserve"> evaluating attention-based theories highlights both their explanatory power and limitations. The weapon focus effect and theories of selective attention provide a clear mechanism for why central details are often recalled more accurately than peripheral ones and they are supported by consistent empirical evidence. Nonetheless, these theories do not account for individual differences in attentional deployment, such as variations in prior experience, perceptual skill, or expectation, which may also shape what is encoded. Furthermore, laboratory and mock scenarios, while offering control over key variables, lack the emotional salience and unpredictability of real-world events, potentially limiting ecological validity. Despite these limitations, the in-class eyewitness accounts provide clear </w:t>
      </w:r>
      <w:r w:rsidRPr="00F47DC1">
        <w:rPr>
          <w:rFonts w:ascii="Times New Roman" w:hAnsi="Times New Roman" w:cs="Times New Roman"/>
          <w:sz w:val="24"/>
          <w:szCs w:val="24"/>
        </w:rPr>
        <w:lastRenderedPageBreak/>
        <w:t xml:space="preserve">evidence of attentional </w:t>
      </w:r>
      <w:r>
        <w:rPr>
          <w:rFonts w:ascii="Times New Roman" w:hAnsi="Times New Roman" w:cs="Times New Roman"/>
          <w:sz w:val="24"/>
          <w:szCs w:val="24"/>
        </w:rPr>
        <w:t>prioritisation</w:t>
      </w:r>
      <w:r w:rsidRPr="00F47DC1">
        <w:rPr>
          <w:rFonts w:ascii="Times New Roman" w:hAnsi="Times New Roman" w:cs="Times New Roman"/>
          <w:sz w:val="24"/>
          <w:szCs w:val="24"/>
        </w:rPr>
        <w:t>, demonstrating both theory-consistent patterns and the natural variability inherent in human observation.</w:t>
      </w:r>
    </w:p>
    <w:p w14:paraId="2EA157F8" w14:textId="4C80D8D3" w:rsidR="00F47DC1" w:rsidRPr="00F47DC1" w:rsidRDefault="00F47DC1" w:rsidP="00F47DC1">
      <w:pPr>
        <w:spacing w:line="480" w:lineRule="auto"/>
        <w:ind w:firstLine="720"/>
        <w:rPr>
          <w:rFonts w:ascii="Times New Roman" w:hAnsi="Times New Roman" w:cs="Times New Roman"/>
          <w:sz w:val="24"/>
          <w:szCs w:val="24"/>
        </w:rPr>
      </w:pPr>
      <w:r>
        <w:rPr>
          <w:rFonts w:ascii="Times New Roman" w:hAnsi="Times New Roman" w:cs="Times New Roman"/>
          <w:sz w:val="24"/>
          <w:szCs w:val="24"/>
        </w:rPr>
        <w:t>Moving on to the second cognitive factor, m</w:t>
      </w:r>
      <w:r w:rsidRPr="00F47DC1">
        <w:rPr>
          <w:rFonts w:ascii="Times New Roman" w:hAnsi="Times New Roman" w:cs="Times New Roman"/>
          <w:sz w:val="24"/>
          <w:szCs w:val="24"/>
        </w:rPr>
        <w:t>emory reconstruction and post-event information represent a second major cognitive factor influencing eyewitness memory. Unlike a photographic record, memory is a reconstructive process, shaped by prior knowledge, schemas and subsequent exposure to information (Bartlett, 1932). Empirical research has consistently demonstrated that reconstructive processes can introduce errors into eyewitness accounts, particularly when witnesses are uncertain or incomplete in their original encoding. Loftus and Palmer (1974) famously showed that the wording of questions could systematically alter participants’ recollections of events, highlighting the susceptibility of memory to suggestion. Although the misinformation effect is one of the most replicated findings in eyewitness research, its underlying mechanisms remain contested. The trace alteration or “destructive updating” account proposes that misleading post-event information becomes integrated into the original memory trace, effectively modifying stored representations (Loftus et al., 1978). According to this view, memory is fundamentally malleable and new information can overwrite or blend with previously encoded details. However, alternative explanations challenge the assumption of permanent alteration. McCloskey and Zaragoza (1985) proposed a non-retention or retrieval-based account, arguing that original memory traces may remain intact but become less accessible over time. When misleading information is introduced, it may be retrieved instead of the original detail due to source confusion or relative accessibility rather than true memory modification. Experimental paradigms that remove misleading alternatives from test options have shown reduced misinformation effects, suggesting that retrieval dynamics and response bias play a significant role. T</w:t>
      </w:r>
      <w:r w:rsidR="00240E53">
        <w:rPr>
          <w:rFonts w:ascii="Times New Roman" w:hAnsi="Times New Roman" w:cs="Times New Roman"/>
          <w:sz w:val="24"/>
          <w:szCs w:val="24"/>
        </w:rPr>
        <w:t>herefore, t</w:t>
      </w:r>
      <w:r w:rsidRPr="00F47DC1">
        <w:rPr>
          <w:rFonts w:ascii="Times New Roman" w:hAnsi="Times New Roman" w:cs="Times New Roman"/>
          <w:sz w:val="24"/>
          <w:szCs w:val="24"/>
        </w:rPr>
        <w:t xml:space="preserve">his debate remains theoretically unresolved and demonstrates that eyewitness distortion cannot be attributed to a single mechanism. Instead, reconstructive error </w:t>
      </w:r>
      <w:r w:rsidRPr="00F47DC1">
        <w:rPr>
          <w:rFonts w:ascii="Times New Roman" w:hAnsi="Times New Roman" w:cs="Times New Roman"/>
          <w:sz w:val="24"/>
          <w:szCs w:val="24"/>
        </w:rPr>
        <w:lastRenderedPageBreak/>
        <w:t xml:space="preserve">likely reflects the interaction of encoding weakness, storage decay and retrieval competition. </w:t>
      </w:r>
      <w:r w:rsidR="00240E53">
        <w:rPr>
          <w:rFonts w:ascii="Times New Roman" w:hAnsi="Times New Roman" w:cs="Times New Roman"/>
          <w:sz w:val="24"/>
          <w:szCs w:val="24"/>
        </w:rPr>
        <w:t>Recognising</w:t>
      </w:r>
      <w:r w:rsidRPr="00F47DC1">
        <w:rPr>
          <w:rFonts w:ascii="Times New Roman" w:hAnsi="Times New Roman" w:cs="Times New Roman"/>
          <w:sz w:val="24"/>
          <w:szCs w:val="24"/>
        </w:rPr>
        <w:t xml:space="preserve"> this complexity prevents overgeneralization and supports a more nuanced interpretation of memory malleability.</w:t>
      </w:r>
    </w:p>
    <w:p w14:paraId="7EB8A141" w14:textId="7CCF6056"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In the mock scenario, variations in eyewitness reports clearly illustrate reconstructive processes. Clothing was described inconsistently, with some witnesses recalling grey trousers and others dark jeans, suggesting that uncertain perceptual details were reconstructed rather than precisely remembered. Similarly, descriptions of the man’s facial hair and expression diverged, with interpretations ranging from “slightly menacing” to “confused or afraid.” Such discrepancies indicate that witnesses relied on schemas and subjective interpretation when encoding or retrieving ambiguous information. Variability was also evident in the recall of room features, where peripheral objects were inconsistently reported or omitted altogether. Th</w:t>
      </w:r>
      <w:r w:rsidR="00240E53">
        <w:rPr>
          <w:rFonts w:ascii="Times New Roman" w:hAnsi="Times New Roman" w:cs="Times New Roman"/>
          <w:sz w:val="24"/>
          <w:szCs w:val="24"/>
        </w:rPr>
        <w:t>us, th</w:t>
      </w:r>
      <w:r w:rsidRPr="00F47DC1">
        <w:rPr>
          <w:rFonts w:ascii="Times New Roman" w:hAnsi="Times New Roman" w:cs="Times New Roman"/>
          <w:sz w:val="24"/>
          <w:szCs w:val="24"/>
        </w:rPr>
        <w:t>ese inconsistencies align with reconstructive memory theory, demonstrating that recall reflects interpretation as much as perception.</w:t>
      </w:r>
    </w:p>
    <w:p w14:paraId="0C0F247E" w14:textId="6DE0F61F" w:rsidR="00F47DC1" w:rsidRPr="00F47DC1" w:rsidRDefault="00240E53" w:rsidP="00F47DC1">
      <w:pPr>
        <w:spacing w:line="480" w:lineRule="auto"/>
        <w:ind w:firstLine="720"/>
        <w:rPr>
          <w:rFonts w:ascii="Times New Roman" w:hAnsi="Times New Roman" w:cs="Times New Roman"/>
          <w:sz w:val="24"/>
          <w:szCs w:val="24"/>
        </w:rPr>
      </w:pPr>
      <w:r>
        <w:rPr>
          <w:rFonts w:ascii="Times New Roman" w:hAnsi="Times New Roman" w:cs="Times New Roman"/>
          <w:sz w:val="24"/>
          <w:szCs w:val="24"/>
        </w:rPr>
        <w:t>Similarly, t</w:t>
      </w:r>
      <w:r w:rsidR="00F47DC1" w:rsidRPr="00F47DC1">
        <w:rPr>
          <w:rFonts w:ascii="Times New Roman" w:hAnsi="Times New Roman" w:cs="Times New Roman"/>
          <w:sz w:val="24"/>
          <w:szCs w:val="24"/>
        </w:rPr>
        <w:t xml:space="preserve">he critical evaluation of reconstructive memory theory reveals both strengths and limitations. Bartlett’s schema theory and subsequent empirical findings explain a broad spectrum of memory errors and have clear applications in legal contexts, such as informing the phrasing of police interviews to </w:t>
      </w:r>
      <w:r>
        <w:rPr>
          <w:rFonts w:ascii="Times New Roman" w:hAnsi="Times New Roman" w:cs="Times New Roman"/>
          <w:sz w:val="24"/>
          <w:szCs w:val="24"/>
        </w:rPr>
        <w:t>minimise</w:t>
      </w:r>
      <w:r w:rsidR="00F47DC1" w:rsidRPr="00F47DC1">
        <w:rPr>
          <w:rFonts w:ascii="Times New Roman" w:hAnsi="Times New Roman" w:cs="Times New Roman"/>
          <w:sz w:val="24"/>
          <w:szCs w:val="24"/>
        </w:rPr>
        <w:t xml:space="preserve"> suggestibility. However, reconstructive memory research often relies on artificial or simplified stimuli, raising questions about ecological validity. Mock scenarios, while providing controlled conditions for comparison across witnesses, may not fully capture the complexity, stress or stakes of real-life events. Moreover, individual differences in prior knowledge, cultural background and attentional biases further complicate the predictability of reconstructive errors, underscoring the importance of critical evaluation when applying theory to real-world settings.</w:t>
      </w:r>
    </w:p>
    <w:p w14:paraId="3BF79C36" w14:textId="416212F1" w:rsidR="00F47DC1" w:rsidRPr="00F47DC1" w:rsidRDefault="00240E53" w:rsidP="00F47DC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third major factor is s</w:t>
      </w:r>
      <w:r w:rsidR="00F47DC1" w:rsidRPr="00F47DC1">
        <w:rPr>
          <w:rFonts w:ascii="Times New Roman" w:hAnsi="Times New Roman" w:cs="Times New Roman"/>
          <w:sz w:val="24"/>
          <w:szCs w:val="24"/>
        </w:rPr>
        <w:t>tress and arousal</w:t>
      </w:r>
      <w:r>
        <w:rPr>
          <w:rFonts w:ascii="Times New Roman" w:hAnsi="Times New Roman" w:cs="Times New Roman"/>
          <w:sz w:val="24"/>
          <w:szCs w:val="24"/>
        </w:rPr>
        <w:t>, which</w:t>
      </w:r>
      <w:r w:rsidR="00F47DC1" w:rsidRPr="00F47DC1">
        <w:rPr>
          <w:rFonts w:ascii="Times New Roman" w:hAnsi="Times New Roman" w:cs="Times New Roman"/>
          <w:sz w:val="24"/>
          <w:szCs w:val="24"/>
        </w:rPr>
        <w:t xml:space="preserve"> constitute the third key cognitive factor influencing eyewitness memory. The Yerkes-Dodson Law posits that moderate levels of arousal can enhance attention and memory, while high levels of stress impair encoding and retrieval, potentially inducing “tunnel vision” that narrows focus onto central features (Deffenbacher, 1983). In the in-class scenario, although participants were not exposed to life-threatening stimuli, several witnesses reported experiencing subjective tension in response to the man’s appearance or </w:t>
      </w:r>
      <w:r w:rsidR="002C08B0">
        <w:rPr>
          <w:rFonts w:ascii="Times New Roman" w:hAnsi="Times New Roman" w:cs="Times New Roman"/>
          <w:sz w:val="24"/>
          <w:szCs w:val="24"/>
        </w:rPr>
        <w:t>demeanour</w:t>
      </w:r>
      <w:r w:rsidR="00F47DC1" w:rsidRPr="00F47DC1">
        <w:rPr>
          <w:rFonts w:ascii="Times New Roman" w:hAnsi="Times New Roman" w:cs="Times New Roman"/>
          <w:sz w:val="24"/>
          <w:szCs w:val="24"/>
        </w:rPr>
        <w:t xml:space="preserve">. EW3 described the man as “slightly menacing,” EW6 </w:t>
      </w:r>
      <w:r w:rsidR="002C08B0">
        <w:rPr>
          <w:rFonts w:ascii="Times New Roman" w:hAnsi="Times New Roman" w:cs="Times New Roman"/>
          <w:sz w:val="24"/>
          <w:szCs w:val="24"/>
        </w:rPr>
        <w:t>characterised</w:t>
      </w:r>
      <w:r w:rsidR="00F47DC1" w:rsidRPr="00F47DC1">
        <w:rPr>
          <w:rFonts w:ascii="Times New Roman" w:hAnsi="Times New Roman" w:cs="Times New Roman"/>
          <w:sz w:val="24"/>
          <w:szCs w:val="24"/>
        </w:rPr>
        <w:t xml:space="preserve"> him as “confused or afraid,” and EW5 noted a “serious expression.” </w:t>
      </w:r>
      <w:r>
        <w:rPr>
          <w:rFonts w:ascii="Times New Roman" w:hAnsi="Times New Roman" w:cs="Times New Roman"/>
          <w:sz w:val="24"/>
          <w:szCs w:val="24"/>
        </w:rPr>
        <w:t>Consequently, t</w:t>
      </w:r>
      <w:r w:rsidR="00F47DC1" w:rsidRPr="00F47DC1">
        <w:rPr>
          <w:rFonts w:ascii="Times New Roman" w:hAnsi="Times New Roman" w:cs="Times New Roman"/>
          <w:sz w:val="24"/>
          <w:szCs w:val="24"/>
        </w:rPr>
        <w:t xml:space="preserve">hese reports suggest that even mild arousal influenced attentional allocation, </w:t>
      </w:r>
      <w:r w:rsidR="002C08B0">
        <w:rPr>
          <w:rFonts w:ascii="Times New Roman" w:hAnsi="Times New Roman" w:cs="Times New Roman"/>
          <w:sz w:val="24"/>
          <w:szCs w:val="24"/>
        </w:rPr>
        <w:t>prioritising</w:t>
      </w:r>
      <w:r w:rsidR="00F47DC1" w:rsidRPr="00F47DC1">
        <w:rPr>
          <w:rFonts w:ascii="Times New Roman" w:hAnsi="Times New Roman" w:cs="Times New Roman"/>
          <w:sz w:val="24"/>
          <w:szCs w:val="24"/>
        </w:rPr>
        <w:t xml:space="preserve"> central features such as the individual’s posture and clothing</w:t>
      </w:r>
      <w:r w:rsidR="002C08B0">
        <w:rPr>
          <w:rFonts w:ascii="Times New Roman" w:hAnsi="Times New Roman" w:cs="Times New Roman"/>
          <w:sz w:val="24"/>
          <w:szCs w:val="24"/>
        </w:rPr>
        <w:t>,</w:t>
      </w:r>
      <w:r w:rsidR="00F47DC1" w:rsidRPr="00F47DC1">
        <w:rPr>
          <w:rFonts w:ascii="Times New Roman" w:hAnsi="Times New Roman" w:cs="Times New Roman"/>
          <w:sz w:val="24"/>
          <w:szCs w:val="24"/>
        </w:rPr>
        <w:t xml:space="preserve"> while peripheral details were inconsistently recalled. This pattern aligns with theoretical predictions and demonstrates that arousal, even in controlled scenarios, can shape memory encoding.</w:t>
      </w:r>
    </w:p>
    <w:p w14:paraId="2530A46D" w14:textId="3C7FE126"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Critically, stress-based theories have substantial empirical support in explaining attentional narrowing and memory distortions under conditions of heightened arousal. </w:t>
      </w:r>
      <w:r w:rsidR="00F67FCA" w:rsidRPr="00F67FCA">
        <w:rPr>
          <w:rFonts w:ascii="Times New Roman" w:hAnsi="Times New Roman" w:cs="Times New Roman"/>
          <w:sz w:val="24"/>
          <w:szCs w:val="24"/>
        </w:rPr>
        <w:t>However, more recent meta-analytic evidence suggests that the relationship between stress and eyewitness memory is more nuanced than early models imply, with effects varying according to stress timing, task demands and individual differences (Marr et al., 2021)</w:t>
      </w:r>
      <w:r w:rsidR="00F67FCA" w:rsidRPr="00F67FCA">
        <w:rPr>
          <w:rFonts w:ascii="Times New Roman" w:hAnsi="Times New Roman" w:cs="Times New Roman"/>
          <w:sz w:val="24"/>
          <w:szCs w:val="24"/>
        </w:rPr>
        <w:t xml:space="preserve">. </w:t>
      </w:r>
      <w:r w:rsidR="00DB1256">
        <w:rPr>
          <w:rFonts w:ascii="Times New Roman" w:hAnsi="Times New Roman" w:cs="Times New Roman"/>
          <w:sz w:val="24"/>
          <w:szCs w:val="24"/>
        </w:rPr>
        <w:t>Additionally</w:t>
      </w:r>
      <w:r w:rsidRPr="00F47DC1">
        <w:rPr>
          <w:rFonts w:ascii="Times New Roman" w:hAnsi="Times New Roman" w:cs="Times New Roman"/>
          <w:sz w:val="24"/>
          <w:szCs w:val="24"/>
        </w:rPr>
        <w:t xml:space="preserve">, they face limitations when extrapolated to mock or laboratory settings, where stress levels are necessarily lower than in real-world crimes. Individual differences, including prior experience, personality and subjective appraisal of the event, further influence the degree to which arousal impacts memory. The classroom eyewitness accounts reveal both consistencies and divergences that reflect these individual variations. The repeated identification of central features indicates that attentional focus was preserved, whereas inconsistencies in peripheral details suggest the moderating influence of subjective arousal, supporting the theoretical framework while highlighting real-world variability. Importantly, </w:t>
      </w:r>
      <w:r w:rsidRPr="00F47DC1">
        <w:rPr>
          <w:rFonts w:ascii="Times New Roman" w:hAnsi="Times New Roman" w:cs="Times New Roman"/>
          <w:sz w:val="24"/>
          <w:szCs w:val="24"/>
        </w:rPr>
        <w:lastRenderedPageBreak/>
        <w:t>attentional narrowing under stress may amplify reconstructive processes. When peripheral details are weakly encoded due to arousal-induced tunnel vision, witnesses may later rely more heavily on schemas to fill gaps. This interaction illustrates that cognitive factors do not operate in isolation but may compound one another, increasing the likelihood of distortion.</w:t>
      </w:r>
    </w:p>
    <w:p w14:paraId="5620B726" w14:textId="58F0C597"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An additional dimension that intersects with stress and retrieval processes is the relationship between eyewitness confidence and accuracy. Within courtroom settings, confident testimony is often interpreted as highly credible. However, empirical research demonstrates that confidence is not a consistently reliable predictor of accuracy. Wells and Bradfield (1998) found that confirming feedback following an identification decision significantly inflated witnesses’ confidence without improving objective accuracy. Participants who were told “Good, you identified the suspect” later reported greater certainty, better viewing conditions, and heightened clarity of memory, despite no change in actual performance. This confidence inflation effect illustrates how post-identification feedback can distort metacognitive judgments about memory. Moreover, confidence can increase over time through rehearsal and repeated retrieval, even as memory accuracy declines. Although confidence was not formally measured in the classroom scenario, the variability in descriptive precision suggests that subjective certainty may not map directly onto objective accuracy. Therefore, reliance on confidence as an indicator of reliability is empirically unjustified and underscores the necessity of system-level safeguards.</w:t>
      </w:r>
      <w:r w:rsidR="00113839">
        <w:rPr>
          <w:rFonts w:ascii="Times New Roman" w:hAnsi="Times New Roman" w:cs="Times New Roman"/>
          <w:sz w:val="24"/>
          <w:szCs w:val="24"/>
        </w:rPr>
        <w:t xml:space="preserve"> </w:t>
      </w:r>
      <w:r w:rsidR="00113839" w:rsidRPr="00113839">
        <w:rPr>
          <w:rFonts w:ascii="Times New Roman" w:hAnsi="Times New Roman" w:cs="Times New Roman"/>
          <w:sz w:val="24"/>
          <w:szCs w:val="24"/>
        </w:rPr>
        <w:t>Therefore, although confidence can be inflated through post-identification feedback, more recent research indicates that high-confidence identifications made under carefully controlled lineup conditions may in fact be highly diagnostic of accuracy (Wixted et al., 2018), suggesting that the confidence–accuracy relationship is conditional rather than uniformly weak.</w:t>
      </w:r>
    </w:p>
    <w:p w14:paraId="401F0692" w14:textId="77777777"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Methodologically, the use of mock eyewitness scenarios offers both strengths and limitations. Controlled classroom environments allow for systematic comparison across </w:t>
      </w:r>
      <w:r w:rsidRPr="00F47DC1">
        <w:rPr>
          <w:rFonts w:ascii="Times New Roman" w:hAnsi="Times New Roman" w:cs="Times New Roman"/>
          <w:sz w:val="24"/>
          <w:szCs w:val="24"/>
        </w:rPr>
        <w:lastRenderedPageBreak/>
        <w:t>witnesses and standardised presentation of stimuli, enabling cognitive factors such as attention, reconstruction, and arousal to be examined in a consistent manner. This enhances internal validity while maintaining ethical safeguards, as participants are not exposed to genuine danger. However, ecological validity remains constrained. Participants are aware that the scenario does not involve real threat, likely attenuating stress-related effects and altering attentional priorities. While laboratory studies provide high experimental control and field studies offer greater realism, each involves trade-offs between control and generalisability. The classroom scenario occupies an intermediate position, offering moderate realism without sacrificing standardisation. Ethical considerations further limit the induction of high stress, requiring researchers to balance methodological rigour with participant welfare. Consequently, findings from mock scenarios should be interpreted cautiously when applied to high-stakes criminal contexts, though they remain valuable for illustrating core cognitive mechanisms.</w:t>
      </w:r>
    </w:p>
    <w:p w14:paraId="014BD9BF" w14:textId="5B60175B"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Practical implications of these findings are significant for legal and investigative settings. Understanding that eyewitness memory is selectively attentive, reconstructive, and sensitive to arousal </w:t>
      </w:r>
      <w:r w:rsidR="002C08B0">
        <w:rPr>
          <w:rFonts w:ascii="Times New Roman" w:hAnsi="Times New Roman" w:cs="Times New Roman"/>
          <w:sz w:val="24"/>
          <w:szCs w:val="24"/>
        </w:rPr>
        <w:t>emphasises</w:t>
      </w:r>
      <w:r w:rsidRPr="00F47DC1">
        <w:rPr>
          <w:rFonts w:ascii="Times New Roman" w:hAnsi="Times New Roman" w:cs="Times New Roman"/>
          <w:sz w:val="24"/>
          <w:szCs w:val="24"/>
        </w:rPr>
        <w:t xml:space="preserve"> the need for careful interview techniques, </w:t>
      </w:r>
      <w:r w:rsidR="002C08B0">
        <w:rPr>
          <w:rFonts w:ascii="Times New Roman" w:hAnsi="Times New Roman" w:cs="Times New Roman"/>
          <w:sz w:val="24"/>
          <w:szCs w:val="24"/>
        </w:rPr>
        <w:t>minimising</w:t>
      </w:r>
      <w:r w:rsidRPr="00F47DC1">
        <w:rPr>
          <w:rFonts w:ascii="Times New Roman" w:hAnsi="Times New Roman" w:cs="Times New Roman"/>
          <w:sz w:val="24"/>
          <w:szCs w:val="24"/>
        </w:rPr>
        <w:t xml:space="preserve"> leading questions, and considering individual differences. Ethical considerations also arise: researchers must ensure that participants are not exposed to undue stress, </w:t>
      </w:r>
      <w:r w:rsidR="002C08B0">
        <w:rPr>
          <w:rFonts w:ascii="Times New Roman" w:hAnsi="Times New Roman" w:cs="Times New Roman"/>
          <w:sz w:val="24"/>
          <w:szCs w:val="24"/>
        </w:rPr>
        <w:t xml:space="preserve">that </w:t>
      </w:r>
      <w:r w:rsidRPr="00F47DC1">
        <w:rPr>
          <w:rFonts w:ascii="Times New Roman" w:hAnsi="Times New Roman" w:cs="Times New Roman"/>
          <w:sz w:val="24"/>
          <w:szCs w:val="24"/>
        </w:rPr>
        <w:t xml:space="preserve">deception is managed appropriately and </w:t>
      </w:r>
      <w:r w:rsidR="002C08B0">
        <w:rPr>
          <w:rFonts w:ascii="Times New Roman" w:hAnsi="Times New Roman" w:cs="Times New Roman"/>
          <w:sz w:val="24"/>
          <w:szCs w:val="24"/>
        </w:rPr>
        <w:t xml:space="preserve">that </w:t>
      </w:r>
      <w:r w:rsidRPr="00F47DC1">
        <w:rPr>
          <w:rFonts w:ascii="Times New Roman" w:hAnsi="Times New Roman" w:cs="Times New Roman"/>
          <w:sz w:val="24"/>
          <w:szCs w:val="24"/>
        </w:rPr>
        <w:t>consent is informed. The classroom scenario illustrates a methodologically safe approach to exploring these factors while providing tangible examples of memory errors, demonstrating how applied cognition research can inform real-world practice without compromising ethical standards.</w:t>
      </w:r>
    </w:p>
    <w:p w14:paraId="55ED2B88" w14:textId="39FCABBA" w:rsidR="00F47DC1" w:rsidRP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A more extensive methodological and ethical evaluation further enhances understanding of applied cognition research. Laboratory studies offer strong internal validity by isolating specific cognitive variables, yet they often rely on artificial stimuli such as short </w:t>
      </w:r>
      <w:r w:rsidRPr="00F47DC1">
        <w:rPr>
          <w:rFonts w:ascii="Times New Roman" w:hAnsi="Times New Roman" w:cs="Times New Roman"/>
          <w:sz w:val="24"/>
          <w:szCs w:val="24"/>
        </w:rPr>
        <w:lastRenderedPageBreak/>
        <w:t xml:space="preserve">video clips or static images. While such control allows for causal inference, it may underestimate the emotional intensity, complexity and unpredictability of real-world crimes. The classroom mock scenario represents an intermediate approach, offering greater ecological realism than many laboratory tasks while maintaining controlled exposure across participants. However, the absence of </w:t>
      </w:r>
      <w:r w:rsidR="002C08B0">
        <w:rPr>
          <w:rFonts w:ascii="Times New Roman" w:hAnsi="Times New Roman" w:cs="Times New Roman"/>
          <w:sz w:val="24"/>
          <w:szCs w:val="24"/>
        </w:rPr>
        <w:t xml:space="preserve">a </w:t>
      </w:r>
      <w:r w:rsidRPr="00F47DC1">
        <w:rPr>
          <w:rFonts w:ascii="Times New Roman" w:hAnsi="Times New Roman" w:cs="Times New Roman"/>
          <w:sz w:val="24"/>
          <w:szCs w:val="24"/>
        </w:rPr>
        <w:t>genuine threat likely attenuated stress-related effects, limiting generalisability to high-stakes criminal contexts. Field studies provide complementary insight but sacrifice experimental control, making it difficult to isolate specific cognitive mechanisms. Ethical constraints further shape research design. Inducing high levels of stress or deception raises concerns regarding participant welfare, meaning that researchers must balance realism with ethical responsibility. Additionally, applied research carries societal implications: overstating the unreliability of eyewitness testimony may undermine legitimate convictions, while understating its limitations risks wrongful conviction. Therefore, responsible scholarship requires cautious interpretation, methodological triangulation, and sensitivity to both legal and ethical consequences.</w:t>
      </w:r>
    </w:p>
    <w:p w14:paraId="06ABF4A0" w14:textId="70EDFD64" w:rsidR="00F47DC1" w:rsidRDefault="00F47DC1" w:rsidP="00F47DC1">
      <w:pPr>
        <w:spacing w:line="480" w:lineRule="auto"/>
        <w:ind w:firstLine="720"/>
        <w:rPr>
          <w:rFonts w:ascii="Times New Roman" w:hAnsi="Times New Roman" w:cs="Times New Roman"/>
          <w:sz w:val="24"/>
          <w:szCs w:val="24"/>
        </w:rPr>
      </w:pPr>
      <w:r w:rsidRPr="00F47DC1">
        <w:rPr>
          <w:rFonts w:ascii="Times New Roman" w:hAnsi="Times New Roman" w:cs="Times New Roman"/>
          <w:sz w:val="24"/>
          <w:szCs w:val="24"/>
        </w:rPr>
        <w:t xml:space="preserve">In conclusion, eyewitness memory is shaped by a complex interplay of cognitive factors, including attention and perception, memory reconstruction and post-event information and stress and arousal. Analysis of the in-class mock eyewitness scenarios illustrates that central details are more consistently recalled than peripheral features, while individual interpretation and schema-driven reconstruction introduce variability and potential distortion. Empirical research and theoretical frameworks, including the weapon focus effect, schema theory, reconstructive memory research and the Yerkes-Dodson Law, provide explanatory mechanisms for these patterns. Critical evaluation reveals strengths in explanatory power and practical applicability, alongside limitations regarding ecological validity and individual differences. The mock scenario methodology offers a safe and controlled environment to observe these cognitive processes, highlighting both practical and </w:t>
      </w:r>
      <w:r w:rsidRPr="00F47DC1">
        <w:rPr>
          <w:rFonts w:ascii="Times New Roman" w:hAnsi="Times New Roman" w:cs="Times New Roman"/>
          <w:sz w:val="24"/>
          <w:szCs w:val="24"/>
        </w:rPr>
        <w:lastRenderedPageBreak/>
        <w:t xml:space="preserve">ethical considerations for studying eyewitness memory. Critically, the evidence does not suggest that eyewitness testimony is inherently unreliable, but rather that it is conditionally reliable depending on cognitive, situational and procedural safeguards. A nuanced interpretation is therefore required within legal contexts, one that recognises both the strengths and vulnerabilities of human memory. Simplistic assumptions of either complete accuracy or total unreliability are inconsistent with empirical evidence. Overall, integrating theory, research and scenario evidence highlights the inherently complex and malleable nature of eyewitness memory. </w:t>
      </w:r>
      <w:r w:rsidR="002950AB" w:rsidRPr="002950AB">
        <w:rPr>
          <w:rFonts w:ascii="Times New Roman" w:hAnsi="Times New Roman" w:cs="Times New Roman"/>
          <w:sz w:val="24"/>
          <w:szCs w:val="24"/>
        </w:rPr>
        <w:t>Accordingly, the most defensible position is not that eyewitness memory is inherently unreliable, but that its reliability is probabilistic and contingent upon identifiable cognitive and procedural conditions</w:t>
      </w:r>
      <w:r w:rsidR="002950AB">
        <w:rPr>
          <w:rFonts w:ascii="Times New Roman" w:hAnsi="Times New Roman" w:cs="Times New Roman"/>
          <w:sz w:val="24"/>
          <w:szCs w:val="24"/>
        </w:rPr>
        <w:t xml:space="preserve">. </w:t>
      </w:r>
      <w:r w:rsidRPr="00F47DC1">
        <w:rPr>
          <w:rFonts w:ascii="Times New Roman" w:hAnsi="Times New Roman" w:cs="Times New Roman"/>
          <w:sz w:val="24"/>
          <w:szCs w:val="24"/>
        </w:rPr>
        <w:t xml:space="preserve">This analysis </w:t>
      </w:r>
      <w:r w:rsidR="002950AB">
        <w:rPr>
          <w:rFonts w:ascii="Times New Roman" w:hAnsi="Times New Roman" w:cs="Times New Roman"/>
          <w:sz w:val="24"/>
          <w:szCs w:val="24"/>
        </w:rPr>
        <w:t>highlights</w:t>
      </w:r>
      <w:r w:rsidRPr="00F47DC1">
        <w:rPr>
          <w:rFonts w:ascii="Times New Roman" w:hAnsi="Times New Roman" w:cs="Times New Roman"/>
          <w:sz w:val="24"/>
          <w:szCs w:val="24"/>
        </w:rPr>
        <w:t xml:space="preserve"> the necessity of critically evaluating cognitive factors, carefully designing applied research and considering ethical and practical implications for both legal and psychological practice, demonstrating the real-world relevance of cognitive psychology in understanding human memory.</w:t>
      </w:r>
    </w:p>
    <w:p w14:paraId="370AE681" w14:textId="77777777" w:rsidR="008746EC" w:rsidRDefault="008746EC" w:rsidP="00F47DC1">
      <w:pPr>
        <w:spacing w:line="480" w:lineRule="auto"/>
        <w:ind w:firstLine="720"/>
        <w:rPr>
          <w:rFonts w:ascii="Times New Roman" w:hAnsi="Times New Roman" w:cs="Times New Roman"/>
          <w:sz w:val="24"/>
          <w:szCs w:val="24"/>
        </w:rPr>
      </w:pPr>
    </w:p>
    <w:p w14:paraId="17F82EDC" w14:textId="77777777" w:rsidR="008746EC" w:rsidRDefault="008746EC" w:rsidP="00F47DC1">
      <w:pPr>
        <w:spacing w:line="480" w:lineRule="auto"/>
        <w:ind w:firstLine="720"/>
        <w:rPr>
          <w:rFonts w:ascii="Times New Roman" w:hAnsi="Times New Roman" w:cs="Times New Roman"/>
          <w:sz w:val="24"/>
          <w:szCs w:val="24"/>
        </w:rPr>
      </w:pPr>
    </w:p>
    <w:p w14:paraId="243CE5CF" w14:textId="77777777" w:rsidR="008746EC" w:rsidRDefault="008746EC" w:rsidP="00F47DC1">
      <w:pPr>
        <w:spacing w:line="480" w:lineRule="auto"/>
        <w:ind w:firstLine="720"/>
        <w:rPr>
          <w:rFonts w:ascii="Times New Roman" w:hAnsi="Times New Roman" w:cs="Times New Roman"/>
          <w:sz w:val="24"/>
          <w:szCs w:val="24"/>
        </w:rPr>
      </w:pPr>
    </w:p>
    <w:p w14:paraId="3E3BC0DC" w14:textId="77777777" w:rsidR="008746EC" w:rsidRDefault="008746EC" w:rsidP="00F47DC1">
      <w:pPr>
        <w:spacing w:line="480" w:lineRule="auto"/>
        <w:ind w:firstLine="720"/>
        <w:rPr>
          <w:rFonts w:ascii="Times New Roman" w:hAnsi="Times New Roman" w:cs="Times New Roman"/>
          <w:sz w:val="24"/>
          <w:szCs w:val="24"/>
        </w:rPr>
      </w:pPr>
    </w:p>
    <w:p w14:paraId="02A3EA53" w14:textId="77777777" w:rsidR="008746EC" w:rsidRDefault="008746EC" w:rsidP="00F47DC1">
      <w:pPr>
        <w:spacing w:line="480" w:lineRule="auto"/>
        <w:ind w:firstLine="720"/>
        <w:rPr>
          <w:rFonts w:ascii="Times New Roman" w:hAnsi="Times New Roman" w:cs="Times New Roman"/>
          <w:sz w:val="24"/>
          <w:szCs w:val="24"/>
        </w:rPr>
      </w:pPr>
    </w:p>
    <w:p w14:paraId="5B1B6118" w14:textId="77777777" w:rsidR="008746EC" w:rsidRDefault="008746EC" w:rsidP="00F47DC1">
      <w:pPr>
        <w:spacing w:line="480" w:lineRule="auto"/>
        <w:ind w:firstLine="720"/>
        <w:rPr>
          <w:rFonts w:ascii="Times New Roman" w:hAnsi="Times New Roman" w:cs="Times New Roman"/>
          <w:sz w:val="24"/>
          <w:szCs w:val="24"/>
        </w:rPr>
      </w:pPr>
    </w:p>
    <w:p w14:paraId="7E633B48" w14:textId="77777777" w:rsidR="008746EC" w:rsidRDefault="008746EC" w:rsidP="00F47DC1">
      <w:pPr>
        <w:spacing w:line="480" w:lineRule="auto"/>
        <w:ind w:firstLine="720"/>
        <w:rPr>
          <w:rFonts w:ascii="Times New Roman" w:hAnsi="Times New Roman" w:cs="Times New Roman"/>
          <w:sz w:val="24"/>
          <w:szCs w:val="24"/>
        </w:rPr>
      </w:pPr>
    </w:p>
    <w:p w14:paraId="7F4463F4" w14:textId="77777777" w:rsidR="008746EC" w:rsidRDefault="008746EC" w:rsidP="00F47DC1">
      <w:pPr>
        <w:spacing w:line="480" w:lineRule="auto"/>
        <w:ind w:firstLine="720"/>
        <w:rPr>
          <w:rFonts w:ascii="Times New Roman" w:hAnsi="Times New Roman" w:cs="Times New Roman"/>
          <w:sz w:val="24"/>
          <w:szCs w:val="24"/>
        </w:rPr>
      </w:pPr>
    </w:p>
    <w:p w14:paraId="1F2ED198" w14:textId="77777777" w:rsidR="008746EC" w:rsidRDefault="008746EC" w:rsidP="00F47DC1">
      <w:pPr>
        <w:spacing w:line="480" w:lineRule="auto"/>
        <w:ind w:firstLine="720"/>
        <w:rPr>
          <w:rFonts w:ascii="Times New Roman" w:hAnsi="Times New Roman" w:cs="Times New Roman"/>
          <w:sz w:val="24"/>
          <w:szCs w:val="24"/>
        </w:rPr>
      </w:pPr>
    </w:p>
    <w:p w14:paraId="37EAD5AE" w14:textId="1C33CDD3" w:rsidR="008746EC" w:rsidRDefault="002B1029" w:rsidP="002B1029">
      <w:pPr>
        <w:pStyle w:val="Heading1"/>
      </w:pPr>
      <w:r>
        <w:lastRenderedPageBreak/>
        <w:t>References</w:t>
      </w:r>
    </w:p>
    <w:p w14:paraId="6730E211" w14:textId="77777777" w:rsidR="002B1029" w:rsidRPr="002B1029" w:rsidRDefault="002B1029" w:rsidP="002B1029"/>
    <w:p w14:paraId="78A2E269" w14:textId="77777777" w:rsidR="007450A0" w:rsidRPr="008746EC" w:rsidRDefault="00F47DC1" w:rsidP="008746EC">
      <w:pPr>
        <w:spacing w:line="480" w:lineRule="auto"/>
        <w:ind w:firstLine="720"/>
        <w:rPr>
          <w:rFonts w:ascii="Times New Roman" w:hAnsi="Times New Roman" w:cs="Times New Roman"/>
          <w:sz w:val="24"/>
          <w:szCs w:val="24"/>
        </w:rPr>
      </w:pPr>
      <w:r w:rsidRPr="008746EC">
        <w:rPr>
          <w:rFonts w:ascii="Times New Roman" w:hAnsi="Times New Roman" w:cs="Times New Roman"/>
          <w:sz w:val="24"/>
          <w:szCs w:val="24"/>
        </w:rPr>
        <w:t xml:space="preserve"> </w:t>
      </w:r>
      <w:r w:rsidR="007450A0" w:rsidRPr="008746EC">
        <w:rPr>
          <w:rFonts w:ascii="Times New Roman" w:hAnsi="Times New Roman" w:cs="Times New Roman"/>
          <w:sz w:val="24"/>
          <w:szCs w:val="24"/>
        </w:rPr>
        <w:t xml:space="preserve">Bartlett, F. C. (1932). </w:t>
      </w:r>
      <w:r w:rsidR="007450A0" w:rsidRPr="008746EC">
        <w:rPr>
          <w:rFonts w:ascii="Times New Roman" w:hAnsi="Times New Roman" w:cs="Times New Roman"/>
          <w:i/>
          <w:iCs/>
          <w:sz w:val="24"/>
          <w:szCs w:val="24"/>
        </w:rPr>
        <w:t>Remembering: A study in experimental and social psychology</w:t>
      </w:r>
      <w:r w:rsidR="007450A0" w:rsidRPr="008746EC">
        <w:rPr>
          <w:rFonts w:ascii="Times New Roman" w:hAnsi="Times New Roman" w:cs="Times New Roman"/>
          <w:sz w:val="24"/>
          <w:szCs w:val="24"/>
        </w:rPr>
        <w:t>. Cambridge University Press.</w:t>
      </w:r>
    </w:p>
    <w:p w14:paraId="1BD4D659" w14:textId="57BECB59" w:rsidR="007450A0" w:rsidRPr="007450A0" w:rsidRDefault="007450A0" w:rsidP="008746EC">
      <w:pPr>
        <w:spacing w:line="480" w:lineRule="auto"/>
        <w:ind w:firstLine="720"/>
        <w:rPr>
          <w:rFonts w:ascii="Times New Roman" w:hAnsi="Times New Roman" w:cs="Times New Roman"/>
          <w:sz w:val="24"/>
          <w:szCs w:val="24"/>
        </w:rPr>
      </w:pPr>
      <w:proofErr w:type="spellStart"/>
      <w:r w:rsidRPr="007450A0">
        <w:rPr>
          <w:rFonts w:ascii="Times New Roman" w:hAnsi="Times New Roman" w:cs="Times New Roman"/>
          <w:sz w:val="24"/>
          <w:szCs w:val="24"/>
        </w:rPr>
        <w:t>Deffenbacher</w:t>
      </w:r>
      <w:proofErr w:type="spellEnd"/>
      <w:r w:rsidRPr="007450A0">
        <w:rPr>
          <w:rFonts w:ascii="Times New Roman" w:hAnsi="Times New Roman" w:cs="Times New Roman"/>
          <w:sz w:val="24"/>
          <w:szCs w:val="24"/>
        </w:rPr>
        <w:t xml:space="preserve">, K. A. (1983). The influence of arousal on reliability of testimony. </w:t>
      </w:r>
      <w:r w:rsidRPr="007450A0">
        <w:rPr>
          <w:rFonts w:ascii="Times New Roman" w:hAnsi="Times New Roman" w:cs="Times New Roman"/>
          <w:i/>
          <w:iCs/>
          <w:sz w:val="24"/>
          <w:szCs w:val="24"/>
        </w:rPr>
        <w:t>Applied Cognitive Psychology, 7</w:t>
      </w:r>
      <w:r w:rsidRPr="007450A0">
        <w:rPr>
          <w:rFonts w:ascii="Times New Roman" w:hAnsi="Times New Roman" w:cs="Times New Roman"/>
          <w:sz w:val="24"/>
          <w:szCs w:val="24"/>
        </w:rPr>
        <w:t xml:space="preserve">(2), 159–168. </w:t>
      </w:r>
      <w:hyperlink r:id="rId7" w:history="1">
        <w:r w:rsidR="00141249" w:rsidRPr="007450A0">
          <w:rPr>
            <w:rStyle w:val="Hyperlink"/>
            <w:rFonts w:ascii="Times New Roman" w:hAnsi="Times New Roman" w:cs="Times New Roman"/>
            <w:sz w:val="24"/>
            <w:szCs w:val="24"/>
          </w:rPr>
          <w:t>https://doi.org/10.1002/acp.235007020</w:t>
        </w:r>
        <w:r w:rsidR="00141249" w:rsidRPr="00330460">
          <w:rPr>
            <w:rStyle w:val="Hyperlink"/>
            <w:rFonts w:ascii="Times New Roman" w:hAnsi="Times New Roman" w:cs="Times New Roman"/>
            <w:sz w:val="24"/>
            <w:szCs w:val="24"/>
          </w:rPr>
          <w:t>5</w:t>
        </w:r>
      </w:hyperlink>
      <w:r w:rsidR="00141249">
        <w:rPr>
          <w:rFonts w:ascii="Times New Roman" w:hAnsi="Times New Roman" w:cs="Times New Roman"/>
          <w:sz w:val="24"/>
          <w:szCs w:val="24"/>
        </w:rPr>
        <w:t xml:space="preserve"> </w:t>
      </w:r>
    </w:p>
    <w:p w14:paraId="4F2FE614" w14:textId="1BF9DD54"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Loftus, E. F., Loftus, G. R., &amp; Messo, J. (1987). Some facts about “weapon focus.” </w:t>
      </w:r>
      <w:r w:rsidRPr="007450A0">
        <w:rPr>
          <w:rFonts w:ascii="Times New Roman" w:hAnsi="Times New Roman" w:cs="Times New Roman"/>
          <w:i/>
          <w:iCs/>
          <w:sz w:val="24"/>
          <w:szCs w:val="24"/>
        </w:rPr>
        <w:t xml:space="preserve">Law and Human </w:t>
      </w:r>
      <w:proofErr w:type="spellStart"/>
      <w:r w:rsidRPr="007450A0">
        <w:rPr>
          <w:rFonts w:ascii="Times New Roman" w:hAnsi="Times New Roman" w:cs="Times New Roman"/>
          <w:i/>
          <w:iCs/>
          <w:sz w:val="24"/>
          <w:szCs w:val="24"/>
        </w:rPr>
        <w:t>Behavior</w:t>
      </w:r>
      <w:proofErr w:type="spellEnd"/>
      <w:r w:rsidRPr="007450A0">
        <w:rPr>
          <w:rFonts w:ascii="Times New Roman" w:hAnsi="Times New Roman" w:cs="Times New Roman"/>
          <w:i/>
          <w:iCs/>
          <w:sz w:val="24"/>
          <w:szCs w:val="24"/>
        </w:rPr>
        <w:t>, 11</w:t>
      </w:r>
      <w:r w:rsidRPr="007450A0">
        <w:rPr>
          <w:rFonts w:ascii="Times New Roman" w:hAnsi="Times New Roman" w:cs="Times New Roman"/>
          <w:sz w:val="24"/>
          <w:szCs w:val="24"/>
        </w:rPr>
        <w:t xml:space="preserve">(1), 55–62. </w:t>
      </w:r>
      <w:hyperlink r:id="rId8" w:history="1">
        <w:r w:rsidR="002B1029" w:rsidRPr="007450A0">
          <w:rPr>
            <w:rStyle w:val="Hyperlink"/>
            <w:rFonts w:ascii="Times New Roman" w:hAnsi="Times New Roman" w:cs="Times New Roman"/>
            <w:sz w:val="24"/>
            <w:szCs w:val="24"/>
          </w:rPr>
          <w:t>https://doi.org/10.1007/BF0104483</w:t>
        </w:r>
        <w:r w:rsidR="002B1029" w:rsidRPr="00330460">
          <w:rPr>
            <w:rStyle w:val="Hyperlink"/>
            <w:rFonts w:ascii="Times New Roman" w:hAnsi="Times New Roman" w:cs="Times New Roman"/>
            <w:sz w:val="24"/>
            <w:szCs w:val="24"/>
          </w:rPr>
          <w:t>9</w:t>
        </w:r>
      </w:hyperlink>
      <w:r w:rsidR="002B1029">
        <w:rPr>
          <w:rFonts w:ascii="Times New Roman" w:hAnsi="Times New Roman" w:cs="Times New Roman"/>
          <w:sz w:val="24"/>
          <w:szCs w:val="24"/>
        </w:rPr>
        <w:t xml:space="preserve"> </w:t>
      </w:r>
    </w:p>
    <w:p w14:paraId="7B9A6D9F" w14:textId="6E78FAB3"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Loftus, E. F., Miller, D. G., &amp; Burns, H. J. (1978). Semantic integration of verbal information into a visual memory. </w:t>
      </w:r>
      <w:r w:rsidRPr="007450A0">
        <w:rPr>
          <w:rFonts w:ascii="Times New Roman" w:hAnsi="Times New Roman" w:cs="Times New Roman"/>
          <w:i/>
          <w:iCs/>
          <w:sz w:val="24"/>
          <w:szCs w:val="24"/>
        </w:rPr>
        <w:t>Journal of Experimental Psychology: Human Learning and Memory, 4</w:t>
      </w:r>
      <w:r w:rsidRPr="007450A0">
        <w:rPr>
          <w:rFonts w:ascii="Times New Roman" w:hAnsi="Times New Roman" w:cs="Times New Roman"/>
          <w:sz w:val="24"/>
          <w:szCs w:val="24"/>
        </w:rPr>
        <w:t xml:space="preserve">(1), 19–31. </w:t>
      </w:r>
      <w:hyperlink r:id="rId9" w:history="1">
        <w:r w:rsidR="002B1029" w:rsidRPr="007450A0">
          <w:rPr>
            <w:rStyle w:val="Hyperlink"/>
            <w:rFonts w:ascii="Times New Roman" w:hAnsi="Times New Roman" w:cs="Times New Roman"/>
            <w:sz w:val="24"/>
            <w:szCs w:val="24"/>
          </w:rPr>
          <w:t>https://doi.org/10.1037/0278-7393.4.1.1</w:t>
        </w:r>
        <w:r w:rsidR="002B1029" w:rsidRPr="00330460">
          <w:rPr>
            <w:rStyle w:val="Hyperlink"/>
            <w:rFonts w:ascii="Times New Roman" w:hAnsi="Times New Roman" w:cs="Times New Roman"/>
            <w:sz w:val="24"/>
            <w:szCs w:val="24"/>
          </w:rPr>
          <w:t>9</w:t>
        </w:r>
      </w:hyperlink>
      <w:r w:rsidR="002B1029">
        <w:rPr>
          <w:rFonts w:ascii="Times New Roman" w:hAnsi="Times New Roman" w:cs="Times New Roman"/>
          <w:sz w:val="24"/>
          <w:szCs w:val="24"/>
        </w:rPr>
        <w:t xml:space="preserve"> </w:t>
      </w:r>
    </w:p>
    <w:p w14:paraId="6E6C5D3A" w14:textId="7240B7B4"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Loftus, E. F., &amp; Palmer, J. C. (1974). Reconstruction of automobile destruction: An example of the interaction between language and memory. </w:t>
      </w:r>
      <w:r w:rsidRPr="007450A0">
        <w:rPr>
          <w:rFonts w:ascii="Times New Roman" w:hAnsi="Times New Roman" w:cs="Times New Roman"/>
          <w:i/>
          <w:iCs/>
          <w:sz w:val="24"/>
          <w:szCs w:val="24"/>
        </w:rPr>
        <w:t xml:space="preserve">Journal of Verbal Learning and Verbal </w:t>
      </w:r>
      <w:proofErr w:type="spellStart"/>
      <w:r w:rsidRPr="007450A0">
        <w:rPr>
          <w:rFonts w:ascii="Times New Roman" w:hAnsi="Times New Roman" w:cs="Times New Roman"/>
          <w:i/>
          <w:iCs/>
          <w:sz w:val="24"/>
          <w:szCs w:val="24"/>
        </w:rPr>
        <w:t>Behavior</w:t>
      </w:r>
      <w:proofErr w:type="spellEnd"/>
      <w:r w:rsidRPr="007450A0">
        <w:rPr>
          <w:rFonts w:ascii="Times New Roman" w:hAnsi="Times New Roman" w:cs="Times New Roman"/>
          <w:i/>
          <w:iCs/>
          <w:sz w:val="24"/>
          <w:szCs w:val="24"/>
        </w:rPr>
        <w:t>, 13</w:t>
      </w:r>
      <w:r w:rsidRPr="007450A0">
        <w:rPr>
          <w:rFonts w:ascii="Times New Roman" w:hAnsi="Times New Roman" w:cs="Times New Roman"/>
          <w:sz w:val="24"/>
          <w:szCs w:val="24"/>
        </w:rPr>
        <w:t xml:space="preserve">(5), 585–589. </w:t>
      </w:r>
      <w:hyperlink r:id="rId10" w:history="1">
        <w:r w:rsidR="002B1029" w:rsidRPr="007450A0">
          <w:rPr>
            <w:rStyle w:val="Hyperlink"/>
            <w:rFonts w:ascii="Times New Roman" w:hAnsi="Times New Roman" w:cs="Times New Roman"/>
            <w:sz w:val="24"/>
            <w:szCs w:val="24"/>
          </w:rPr>
          <w:t>https://doi.org/10.1016/S0022-5371(74)80011-</w:t>
        </w:r>
        <w:r w:rsidR="002B1029" w:rsidRPr="00330460">
          <w:rPr>
            <w:rStyle w:val="Hyperlink"/>
            <w:rFonts w:ascii="Times New Roman" w:hAnsi="Times New Roman" w:cs="Times New Roman"/>
            <w:sz w:val="24"/>
            <w:szCs w:val="24"/>
          </w:rPr>
          <w:t>3</w:t>
        </w:r>
      </w:hyperlink>
      <w:r w:rsidR="002B1029">
        <w:rPr>
          <w:rFonts w:ascii="Times New Roman" w:hAnsi="Times New Roman" w:cs="Times New Roman"/>
          <w:sz w:val="24"/>
          <w:szCs w:val="24"/>
        </w:rPr>
        <w:t xml:space="preserve"> </w:t>
      </w:r>
    </w:p>
    <w:p w14:paraId="4E416CA3" w14:textId="5E396538"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Marr, C., </w:t>
      </w:r>
      <w:proofErr w:type="spellStart"/>
      <w:r w:rsidRPr="007450A0">
        <w:rPr>
          <w:rFonts w:ascii="Times New Roman" w:hAnsi="Times New Roman" w:cs="Times New Roman"/>
          <w:sz w:val="24"/>
          <w:szCs w:val="24"/>
        </w:rPr>
        <w:t>Otgaar</w:t>
      </w:r>
      <w:proofErr w:type="spellEnd"/>
      <w:r w:rsidRPr="007450A0">
        <w:rPr>
          <w:rFonts w:ascii="Times New Roman" w:hAnsi="Times New Roman" w:cs="Times New Roman"/>
          <w:sz w:val="24"/>
          <w:szCs w:val="24"/>
        </w:rPr>
        <w:t xml:space="preserve">, H., Sauerland, M., &amp; </w:t>
      </w:r>
      <w:proofErr w:type="spellStart"/>
      <w:r w:rsidRPr="007450A0">
        <w:rPr>
          <w:rFonts w:ascii="Times New Roman" w:hAnsi="Times New Roman" w:cs="Times New Roman"/>
          <w:sz w:val="24"/>
          <w:szCs w:val="24"/>
        </w:rPr>
        <w:t>Quaedflieg</w:t>
      </w:r>
      <w:proofErr w:type="spellEnd"/>
      <w:r w:rsidRPr="007450A0">
        <w:rPr>
          <w:rFonts w:ascii="Times New Roman" w:hAnsi="Times New Roman" w:cs="Times New Roman"/>
          <w:sz w:val="24"/>
          <w:szCs w:val="24"/>
        </w:rPr>
        <w:t xml:space="preserve">, C. W. E. M. (2021). The effects of acute stress on eyewitness memory: A meta-analysis and integrative review. </w:t>
      </w:r>
      <w:r w:rsidRPr="007450A0">
        <w:rPr>
          <w:rFonts w:ascii="Times New Roman" w:hAnsi="Times New Roman" w:cs="Times New Roman"/>
          <w:i/>
          <w:iCs/>
          <w:sz w:val="24"/>
          <w:szCs w:val="24"/>
        </w:rPr>
        <w:t>Psychological Bulletin, 147</w:t>
      </w:r>
      <w:r w:rsidRPr="007450A0">
        <w:rPr>
          <w:rFonts w:ascii="Times New Roman" w:hAnsi="Times New Roman" w:cs="Times New Roman"/>
          <w:sz w:val="24"/>
          <w:szCs w:val="24"/>
        </w:rPr>
        <w:t xml:space="preserve">(6), 605–636. </w:t>
      </w:r>
      <w:hyperlink r:id="rId11" w:history="1">
        <w:r w:rsidR="002B1029" w:rsidRPr="007450A0">
          <w:rPr>
            <w:rStyle w:val="Hyperlink"/>
            <w:rFonts w:ascii="Times New Roman" w:hAnsi="Times New Roman" w:cs="Times New Roman"/>
            <w:sz w:val="24"/>
            <w:szCs w:val="24"/>
          </w:rPr>
          <w:t>https://doi.org/10.1037/bul000032</w:t>
        </w:r>
        <w:r w:rsidR="002B1029" w:rsidRPr="00330460">
          <w:rPr>
            <w:rStyle w:val="Hyperlink"/>
            <w:rFonts w:ascii="Times New Roman" w:hAnsi="Times New Roman" w:cs="Times New Roman"/>
            <w:sz w:val="24"/>
            <w:szCs w:val="24"/>
          </w:rPr>
          <w:t>9</w:t>
        </w:r>
      </w:hyperlink>
      <w:r w:rsidR="002B1029">
        <w:rPr>
          <w:rFonts w:ascii="Times New Roman" w:hAnsi="Times New Roman" w:cs="Times New Roman"/>
          <w:sz w:val="24"/>
          <w:szCs w:val="24"/>
        </w:rPr>
        <w:t xml:space="preserve"> </w:t>
      </w:r>
    </w:p>
    <w:p w14:paraId="3EF178B7" w14:textId="58504BFE"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McCloskey, M., &amp; Zaragoza, M. (1985). Misleading </w:t>
      </w:r>
      <w:proofErr w:type="spellStart"/>
      <w:r w:rsidRPr="007450A0">
        <w:rPr>
          <w:rFonts w:ascii="Times New Roman" w:hAnsi="Times New Roman" w:cs="Times New Roman"/>
          <w:sz w:val="24"/>
          <w:szCs w:val="24"/>
        </w:rPr>
        <w:t>postevent</w:t>
      </w:r>
      <w:proofErr w:type="spellEnd"/>
      <w:r w:rsidRPr="007450A0">
        <w:rPr>
          <w:rFonts w:ascii="Times New Roman" w:hAnsi="Times New Roman" w:cs="Times New Roman"/>
          <w:sz w:val="24"/>
          <w:szCs w:val="24"/>
        </w:rPr>
        <w:t xml:space="preserve"> information and memory for events: Arguments and evidence against memory impairment hypotheses. </w:t>
      </w:r>
      <w:r w:rsidRPr="007450A0">
        <w:rPr>
          <w:rFonts w:ascii="Times New Roman" w:hAnsi="Times New Roman" w:cs="Times New Roman"/>
          <w:i/>
          <w:iCs/>
          <w:sz w:val="24"/>
          <w:szCs w:val="24"/>
        </w:rPr>
        <w:t>Journal of Experimental Psychology: General, 114</w:t>
      </w:r>
      <w:r w:rsidRPr="007450A0">
        <w:rPr>
          <w:rFonts w:ascii="Times New Roman" w:hAnsi="Times New Roman" w:cs="Times New Roman"/>
          <w:sz w:val="24"/>
          <w:szCs w:val="24"/>
        </w:rPr>
        <w:t xml:space="preserve">(1), 1–16. </w:t>
      </w:r>
      <w:hyperlink r:id="rId12" w:history="1">
        <w:r w:rsidR="002B1029" w:rsidRPr="007450A0">
          <w:rPr>
            <w:rStyle w:val="Hyperlink"/>
            <w:rFonts w:ascii="Times New Roman" w:hAnsi="Times New Roman" w:cs="Times New Roman"/>
            <w:sz w:val="24"/>
            <w:szCs w:val="24"/>
          </w:rPr>
          <w:t>https://doi.org/10.1037/0096-3445.114.1.</w:t>
        </w:r>
        <w:r w:rsidR="002B1029" w:rsidRPr="00330460">
          <w:rPr>
            <w:rStyle w:val="Hyperlink"/>
            <w:rFonts w:ascii="Times New Roman" w:hAnsi="Times New Roman" w:cs="Times New Roman"/>
            <w:sz w:val="24"/>
            <w:szCs w:val="24"/>
          </w:rPr>
          <w:t>1</w:t>
        </w:r>
      </w:hyperlink>
      <w:r w:rsidR="002B1029">
        <w:rPr>
          <w:rFonts w:ascii="Times New Roman" w:hAnsi="Times New Roman" w:cs="Times New Roman"/>
          <w:sz w:val="24"/>
          <w:szCs w:val="24"/>
        </w:rPr>
        <w:t xml:space="preserve"> </w:t>
      </w:r>
    </w:p>
    <w:p w14:paraId="50B0D39B" w14:textId="77777777"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Neisser, U. (1976). </w:t>
      </w:r>
      <w:r w:rsidRPr="007450A0">
        <w:rPr>
          <w:rFonts w:ascii="Times New Roman" w:hAnsi="Times New Roman" w:cs="Times New Roman"/>
          <w:i/>
          <w:iCs/>
          <w:sz w:val="24"/>
          <w:szCs w:val="24"/>
        </w:rPr>
        <w:t>Cognition and reality: Principles and implications of cognitive psychology</w:t>
      </w:r>
      <w:r w:rsidRPr="007450A0">
        <w:rPr>
          <w:rFonts w:ascii="Times New Roman" w:hAnsi="Times New Roman" w:cs="Times New Roman"/>
          <w:sz w:val="24"/>
          <w:szCs w:val="24"/>
        </w:rPr>
        <w:t>. W. H. Freeman.</w:t>
      </w:r>
    </w:p>
    <w:p w14:paraId="2AB2B3F5" w14:textId="77777777"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lastRenderedPageBreak/>
        <w:t xml:space="preserve">Wells, G. L. (1978). Applied eyewitness-testimony research: System variables and estimator variables. </w:t>
      </w:r>
      <w:r w:rsidRPr="007450A0">
        <w:rPr>
          <w:rFonts w:ascii="Times New Roman" w:hAnsi="Times New Roman" w:cs="Times New Roman"/>
          <w:i/>
          <w:iCs/>
          <w:sz w:val="24"/>
          <w:szCs w:val="24"/>
        </w:rPr>
        <w:t>Journal of Personality and Social Psychology, 36</w:t>
      </w:r>
      <w:r w:rsidRPr="007450A0">
        <w:rPr>
          <w:rFonts w:ascii="Times New Roman" w:hAnsi="Times New Roman" w:cs="Times New Roman"/>
          <w:sz w:val="24"/>
          <w:szCs w:val="24"/>
        </w:rPr>
        <w:t xml:space="preserve">(12), 1546–1557. </w:t>
      </w:r>
      <w:hyperlink r:id="rId13" w:tgtFrame="_new" w:history="1">
        <w:r w:rsidRPr="007450A0">
          <w:rPr>
            <w:rStyle w:val="Hyperlink"/>
            <w:rFonts w:ascii="Times New Roman" w:hAnsi="Times New Roman" w:cs="Times New Roman"/>
            <w:sz w:val="24"/>
            <w:szCs w:val="24"/>
          </w:rPr>
          <w:t>https://doi.org/10.1037/0022-3514.36.12.1546</w:t>
        </w:r>
      </w:hyperlink>
    </w:p>
    <w:p w14:paraId="24AE7EE5" w14:textId="77777777"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Wells, G. L., &amp; Bradfield, A. L. (1998). “Good, you identified the suspect”: Feedback to eyewitnesses distorts their reports of the witnessing experience. </w:t>
      </w:r>
      <w:r w:rsidRPr="007450A0">
        <w:rPr>
          <w:rFonts w:ascii="Times New Roman" w:hAnsi="Times New Roman" w:cs="Times New Roman"/>
          <w:i/>
          <w:iCs/>
          <w:sz w:val="24"/>
          <w:szCs w:val="24"/>
        </w:rPr>
        <w:t>Journal of Applied Psychology, 83</w:t>
      </w:r>
      <w:r w:rsidRPr="007450A0">
        <w:rPr>
          <w:rFonts w:ascii="Times New Roman" w:hAnsi="Times New Roman" w:cs="Times New Roman"/>
          <w:sz w:val="24"/>
          <w:szCs w:val="24"/>
        </w:rPr>
        <w:t xml:space="preserve">(3), 360–376. </w:t>
      </w:r>
      <w:hyperlink r:id="rId14" w:tgtFrame="_new" w:history="1">
        <w:r w:rsidRPr="007450A0">
          <w:rPr>
            <w:rStyle w:val="Hyperlink"/>
            <w:rFonts w:ascii="Times New Roman" w:hAnsi="Times New Roman" w:cs="Times New Roman"/>
            <w:sz w:val="24"/>
            <w:szCs w:val="24"/>
          </w:rPr>
          <w:t>https://doi.org/10.1037/0021-9010.83.3.360</w:t>
        </w:r>
      </w:hyperlink>
    </w:p>
    <w:p w14:paraId="5546D635" w14:textId="66295BB2"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Wixted, J. T., Mickes, L., &amp; Fisher, R. P. (2018). Rethinking the reliability of eyewitness identification. </w:t>
      </w:r>
      <w:r w:rsidRPr="007450A0">
        <w:rPr>
          <w:rFonts w:ascii="Times New Roman" w:hAnsi="Times New Roman" w:cs="Times New Roman"/>
          <w:i/>
          <w:iCs/>
          <w:sz w:val="24"/>
          <w:szCs w:val="24"/>
        </w:rPr>
        <w:t>Perspectives on Psychological Science, 13</w:t>
      </w:r>
      <w:r w:rsidRPr="007450A0">
        <w:rPr>
          <w:rFonts w:ascii="Times New Roman" w:hAnsi="Times New Roman" w:cs="Times New Roman"/>
          <w:sz w:val="24"/>
          <w:szCs w:val="24"/>
        </w:rPr>
        <w:t xml:space="preserve">(3), 324–335. </w:t>
      </w:r>
      <w:hyperlink r:id="rId15" w:history="1">
        <w:r w:rsidR="002B1029" w:rsidRPr="007450A0">
          <w:rPr>
            <w:rStyle w:val="Hyperlink"/>
            <w:rFonts w:ascii="Times New Roman" w:hAnsi="Times New Roman" w:cs="Times New Roman"/>
            <w:sz w:val="24"/>
            <w:szCs w:val="24"/>
          </w:rPr>
          <w:t>https://doi.org/10.1177/174569161773487</w:t>
        </w:r>
        <w:r w:rsidR="002B1029" w:rsidRPr="00330460">
          <w:rPr>
            <w:rStyle w:val="Hyperlink"/>
            <w:rFonts w:ascii="Times New Roman" w:hAnsi="Times New Roman" w:cs="Times New Roman"/>
            <w:sz w:val="24"/>
            <w:szCs w:val="24"/>
          </w:rPr>
          <w:t>8</w:t>
        </w:r>
      </w:hyperlink>
      <w:r w:rsidR="002B1029">
        <w:rPr>
          <w:rFonts w:ascii="Times New Roman" w:hAnsi="Times New Roman" w:cs="Times New Roman"/>
          <w:sz w:val="24"/>
          <w:szCs w:val="24"/>
        </w:rPr>
        <w:t xml:space="preserve"> </w:t>
      </w:r>
    </w:p>
    <w:p w14:paraId="19947FE1" w14:textId="30CEFEA5" w:rsidR="007450A0" w:rsidRPr="007450A0" w:rsidRDefault="007450A0" w:rsidP="008746EC">
      <w:pPr>
        <w:spacing w:line="480" w:lineRule="auto"/>
        <w:ind w:firstLine="720"/>
        <w:rPr>
          <w:rFonts w:ascii="Times New Roman" w:hAnsi="Times New Roman" w:cs="Times New Roman"/>
          <w:sz w:val="24"/>
          <w:szCs w:val="24"/>
        </w:rPr>
      </w:pPr>
      <w:r w:rsidRPr="007450A0">
        <w:rPr>
          <w:rFonts w:ascii="Times New Roman" w:hAnsi="Times New Roman" w:cs="Times New Roman"/>
          <w:sz w:val="24"/>
          <w:szCs w:val="24"/>
        </w:rPr>
        <w:t xml:space="preserve">Yuille, J. C., &amp; Cutshall, J. L. (1986). A case study of eyewitness memory of a crime. </w:t>
      </w:r>
      <w:r w:rsidRPr="007450A0">
        <w:rPr>
          <w:rFonts w:ascii="Times New Roman" w:hAnsi="Times New Roman" w:cs="Times New Roman"/>
          <w:i/>
          <w:iCs/>
          <w:sz w:val="24"/>
          <w:szCs w:val="24"/>
        </w:rPr>
        <w:t>Journal of Applied Psychology, 71</w:t>
      </w:r>
      <w:r w:rsidRPr="007450A0">
        <w:rPr>
          <w:rFonts w:ascii="Times New Roman" w:hAnsi="Times New Roman" w:cs="Times New Roman"/>
          <w:sz w:val="24"/>
          <w:szCs w:val="24"/>
        </w:rPr>
        <w:t xml:space="preserve">(2), 291–301. </w:t>
      </w:r>
      <w:hyperlink r:id="rId16" w:history="1">
        <w:r w:rsidR="002B1029" w:rsidRPr="007450A0">
          <w:rPr>
            <w:rStyle w:val="Hyperlink"/>
            <w:rFonts w:ascii="Times New Roman" w:hAnsi="Times New Roman" w:cs="Times New Roman"/>
            <w:sz w:val="24"/>
            <w:szCs w:val="24"/>
          </w:rPr>
          <w:t>https://doi.org/10.1037/0021-9010.71.2.29</w:t>
        </w:r>
        <w:r w:rsidR="002B1029" w:rsidRPr="00330460">
          <w:rPr>
            <w:rStyle w:val="Hyperlink"/>
            <w:rFonts w:ascii="Times New Roman" w:hAnsi="Times New Roman" w:cs="Times New Roman"/>
            <w:sz w:val="24"/>
            <w:szCs w:val="24"/>
          </w:rPr>
          <w:t>1</w:t>
        </w:r>
      </w:hyperlink>
      <w:r w:rsidR="002B1029">
        <w:rPr>
          <w:rFonts w:ascii="Times New Roman" w:hAnsi="Times New Roman" w:cs="Times New Roman"/>
          <w:sz w:val="24"/>
          <w:szCs w:val="24"/>
        </w:rPr>
        <w:t xml:space="preserve"> </w:t>
      </w:r>
    </w:p>
    <w:p w14:paraId="1B1A9F0D" w14:textId="70FA9F4C" w:rsidR="00225EDD" w:rsidRDefault="00225EDD" w:rsidP="00F47DC1">
      <w:pPr>
        <w:spacing w:line="480" w:lineRule="auto"/>
      </w:pPr>
    </w:p>
    <w:sectPr w:rsidR="00225E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62"/>
    <w:rsid w:val="00066BDB"/>
    <w:rsid w:val="00113839"/>
    <w:rsid w:val="00141249"/>
    <w:rsid w:val="00225EDD"/>
    <w:rsid w:val="00240E53"/>
    <w:rsid w:val="002950AB"/>
    <w:rsid w:val="002B1029"/>
    <w:rsid w:val="002C08B0"/>
    <w:rsid w:val="0045048E"/>
    <w:rsid w:val="005D33F7"/>
    <w:rsid w:val="00627862"/>
    <w:rsid w:val="007450A0"/>
    <w:rsid w:val="007C5219"/>
    <w:rsid w:val="008746EC"/>
    <w:rsid w:val="00A07D1A"/>
    <w:rsid w:val="00A83855"/>
    <w:rsid w:val="00AC7337"/>
    <w:rsid w:val="00DA2C66"/>
    <w:rsid w:val="00DB1256"/>
    <w:rsid w:val="00ED7523"/>
    <w:rsid w:val="00F47DC1"/>
    <w:rsid w:val="00F67FCA"/>
    <w:rsid w:val="00FC0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36E8E"/>
  <w15:chartTrackingRefBased/>
  <w15:docId w15:val="{A91D222B-6079-4161-8F8F-D7768C03E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8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78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78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78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78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78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78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78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78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8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78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78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78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78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78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78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78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7862"/>
    <w:rPr>
      <w:rFonts w:eastAsiaTheme="majorEastAsia" w:cstheme="majorBidi"/>
      <w:color w:val="272727" w:themeColor="text1" w:themeTint="D8"/>
    </w:rPr>
  </w:style>
  <w:style w:type="paragraph" w:styleId="Title">
    <w:name w:val="Title"/>
    <w:basedOn w:val="Normal"/>
    <w:next w:val="Normal"/>
    <w:link w:val="TitleChar"/>
    <w:uiPriority w:val="10"/>
    <w:qFormat/>
    <w:rsid w:val="006278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8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78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8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7862"/>
    <w:pPr>
      <w:spacing w:before="160"/>
      <w:jc w:val="center"/>
    </w:pPr>
    <w:rPr>
      <w:i/>
      <w:iCs/>
      <w:color w:val="404040" w:themeColor="text1" w:themeTint="BF"/>
    </w:rPr>
  </w:style>
  <w:style w:type="character" w:customStyle="1" w:styleId="QuoteChar">
    <w:name w:val="Quote Char"/>
    <w:basedOn w:val="DefaultParagraphFont"/>
    <w:link w:val="Quote"/>
    <w:uiPriority w:val="29"/>
    <w:rsid w:val="00627862"/>
    <w:rPr>
      <w:i/>
      <w:iCs/>
      <w:color w:val="404040" w:themeColor="text1" w:themeTint="BF"/>
    </w:rPr>
  </w:style>
  <w:style w:type="paragraph" w:styleId="ListParagraph">
    <w:name w:val="List Paragraph"/>
    <w:basedOn w:val="Normal"/>
    <w:uiPriority w:val="34"/>
    <w:qFormat/>
    <w:rsid w:val="00627862"/>
    <w:pPr>
      <w:ind w:left="720"/>
      <w:contextualSpacing/>
    </w:pPr>
  </w:style>
  <w:style w:type="character" w:styleId="IntenseEmphasis">
    <w:name w:val="Intense Emphasis"/>
    <w:basedOn w:val="DefaultParagraphFont"/>
    <w:uiPriority w:val="21"/>
    <w:qFormat/>
    <w:rsid w:val="00627862"/>
    <w:rPr>
      <w:i/>
      <w:iCs/>
      <w:color w:val="0F4761" w:themeColor="accent1" w:themeShade="BF"/>
    </w:rPr>
  </w:style>
  <w:style w:type="paragraph" w:styleId="IntenseQuote">
    <w:name w:val="Intense Quote"/>
    <w:basedOn w:val="Normal"/>
    <w:next w:val="Normal"/>
    <w:link w:val="IntenseQuoteChar"/>
    <w:uiPriority w:val="30"/>
    <w:qFormat/>
    <w:rsid w:val="006278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7862"/>
    <w:rPr>
      <w:i/>
      <w:iCs/>
      <w:color w:val="0F4761" w:themeColor="accent1" w:themeShade="BF"/>
    </w:rPr>
  </w:style>
  <w:style w:type="character" w:styleId="IntenseReference">
    <w:name w:val="Intense Reference"/>
    <w:basedOn w:val="DefaultParagraphFont"/>
    <w:uiPriority w:val="32"/>
    <w:qFormat/>
    <w:rsid w:val="00627862"/>
    <w:rPr>
      <w:b/>
      <w:bCs/>
      <w:smallCaps/>
      <w:color w:val="0F4761" w:themeColor="accent1" w:themeShade="BF"/>
      <w:spacing w:val="5"/>
    </w:rPr>
  </w:style>
  <w:style w:type="paragraph" w:styleId="NormalWeb">
    <w:name w:val="Normal (Web)"/>
    <w:basedOn w:val="Normal"/>
    <w:uiPriority w:val="99"/>
    <w:semiHidden/>
    <w:unhideWhenUsed/>
    <w:rsid w:val="007450A0"/>
    <w:rPr>
      <w:rFonts w:ascii="Times New Roman" w:hAnsi="Times New Roman" w:cs="Times New Roman"/>
      <w:sz w:val="24"/>
      <w:szCs w:val="24"/>
    </w:rPr>
  </w:style>
  <w:style w:type="character" w:styleId="Hyperlink">
    <w:name w:val="Hyperlink"/>
    <w:basedOn w:val="DefaultParagraphFont"/>
    <w:uiPriority w:val="99"/>
    <w:unhideWhenUsed/>
    <w:rsid w:val="007450A0"/>
    <w:rPr>
      <w:color w:val="467886" w:themeColor="hyperlink"/>
      <w:u w:val="single"/>
    </w:rPr>
  </w:style>
  <w:style w:type="character" w:styleId="UnresolvedMention">
    <w:name w:val="Unresolved Mention"/>
    <w:basedOn w:val="DefaultParagraphFont"/>
    <w:uiPriority w:val="99"/>
    <w:semiHidden/>
    <w:unhideWhenUsed/>
    <w:rsid w:val="007450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BF01044839" TargetMode="External"/><Relationship Id="rId13" Type="http://schemas.openxmlformats.org/officeDocument/2006/relationships/hyperlink" Target="https://doi.org/10.1037/0022-3514.36.12.154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doi.org/10.1002/acp.2350070205" TargetMode="External"/><Relationship Id="rId12" Type="http://schemas.openxmlformats.org/officeDocument/2006/relationships/hyperlink" Target="https://doi.org/10.1037/0096-3445.114.1.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37/0021-9010.71.2.29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37/bul0000329" TargetMode="External"/><Relationship Id="rId5" Type="http://schemas.openxmlformats.org/officeDocument/2006/relationships/settings" Target="settings.xml"/><Relationship Id="rId15" Type="http://schemas.openxmlformats.org/officeDocument/2006/relationships/hyperlink" Target="https://doi.org/10.1177/1745691617734878" TargetMode="External"/><Relationship Id="rId10" Type="http://schemas.openxmlformats.org/officeDocument/2006/relationships/hyperlink" Target="https://doi.org/10.1016/S0022-5371(74)80011-3" TargetMode="External"/><Relationship Id="rId4" Type="http://schemas.openxmlformats.org/officeDocument/2006/relationships/styles" Target="styles.xml"/><Relationship Id="rId9" Type="http://schemas.openxmlformats.org/officeDocument/2006/relationships/hyperlink" Target="https://doi.org/10.1037/0278-7393.4.1.19" TargetMode="External"/><Relationship Id="rId14" Type="http://schemas.openxmlformats.org/officeDocument/2006/relationships/hyperlink" Target="https://doi.org/10.1037/0021-9010.83.3.3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33626f991ac365eb0ded0406d920627a">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611adce1c01f1569e8ce7c5f6127b94" ns3:_="" ns4:_="">
    <xsd:import namespace="ad7316b1-23f1-480c-8fa6-cbf037f4db9c"/>
    <xsd:import namespace="bd2b2a82-bc2e-4fcc-b8ad-fd63686c78d2"/>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2D2D6B0C-7503-4804-9151-A559D4FB5D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38DCA4-C57F-41C3-BDFF-67849945232C}">
  <ds:schemaRefs>
    <ds:schemaRef ds:uri="http://schemas.microsoft.com/sharepoint/v3/contenttype/forms"/>
  </ds:schemaRefs>
</ds:datastoreItem>
</file>

<file path=customXml/itemProps3.xml><?xml version="1.0" encoding="utf-8"?>
<ds:datastoreItem xmlns:ds="http://schemas.openxmlformats.org/officeDocument/2006/customXml" ds:itemID="{561FD41C-8C1A-45C4-9319-B25E4EA5A88E}">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3542</Words>
  <Characters>20195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 (2306162)</dc:creator>
  <cp:keywords/>
  <dc:description/>
  <cp:lastModifiedBy>Kayleigh Jones (2306162)</cp:lastModifiedBy>
  <cp:revision>15</cp:revision>
  <dcterms:created xsi:type="dcterms:W3CDTF">2026-02-26T15:49:00Z</dcterms:created>
  <dcterms:modified xsi:type="dcterms:W3CDTF">2026-03-06T07:41:00Z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a55342ce-d8c5-421c-b56e-4703a310eced</vt:lpwstr>
  </property>
  <property fmtid="{D5CDD505-2E9C-101B-9397-08002B2CF9AE}" pid="3" name="ContentTypeId">
    <vt:lpwstr>0x01010096C48B67E562FF45ADD1FE43E2BC7706</vt:lpwstr>
  </property>
</Properties>
</file>