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49A2F7" w14:textId="6D65D900" w:rsidR="00DC2B31" w:rsidRDefault="005213B4" w:rsidP="005213B4">
      <w:pPr>
        <w:pStyle w:val="Heading1"/>
      </w:pPr>
      <w:r>
        <w:rPr>
          <w:noProof/>
        </w:rPr>
        <w:drawing>
          <wp:anchor distT="0" distB="0" distL="114300" distR="114300" simplePos="0" relativeHeight="251658240" behindDoc="0" locked="0" layoutInCell="1" allowOverlap="1" wp14:anchorId="72D1BA3F" wp14:editId="2DEB1F88">
            <wp:simplePos x="0" y="0"/>
            <wp:positionH relativeFrom="column">
              <wp:posOffset>4437813</wp:posOffset>
            </wp:positionH>
            <wp:positionV relativeFrom="paragraph">
              <wp:posOffset>-419100</wp:posOffset>
            </wp:positionV>
            <wp:extent cx="1715337" cy="571500"/>
            <wp:effectExtent l="0" t="0" r="0" b="0"/>
            <wp:wrapNone/>
            <wp:docPr id="6054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5948" cy="571704"/>
                    </a:xfrm>
                    <a:prstGeom prst="rect">
                      <a:avLst/>
                    </a:prstGeom>
                    <a:noFill/>
                    <a:ln>
                      <a:noFill/>
                    </a:ln>
                  </pic:spPr>
                </pic:pic>
              </a:graphicData>
            </a:graphic>
            <wp14:sizeRelH relativeFrom="margin">
              <wp14:pctWidth>0</wp14:pctWidth>
            </wp14:sizeRelH>
            <wp14:sizeRelV relativeFrom="margin">
              <wp14:pctHeight>0</wp14:pctHeight>
            </wp14:sizeRelV>
          </wp:anchor>
        </w:drawing>
      </w:r>
      <w:r>
        <w:t>ACBA7004 Environmental Planning and Policy</w:t>
      </w:r>
    </w:p>
    <w:p w14:paraId="40B095DA" w14:textId="77777777" w:rsidR="005213B4" w:rsidRDefault="005213B4"/>
    <w:p w14:paraId="0DC8124B" w14:textId="134D3698" w:rsidR="005213B4" w:rsidRDefault="00C40641" w:rsidP="005213B4">
      <w:pPr>
        <w:pStyle w:val="Heading2"/>
      </w:pPr>
      <w:r>
        <w:t>Module</w:t>
      </w:r>
      <w:r w:rsidR="005213B4">
        <w:t xml:space="preserve"> information</w:t>
      </w:r>
    </w:p>
    <w:p w14:paraId="6E6EFCDC" w14:textId="77777777" w:rsidR="005213B4" w:rsidRDefault="005213B4" w:rsidP="005213B4">
      <w:pPr>
        <w:pStyle w:val="Heading3"/>
      </w:pPr>
      <w:r>
        <w:t>1. AIM(S)</w:t>
      </w:r>
    </w:p>
    <w:p w14:paraId="32E776B7" w14:textId="0FEEB6F9" w:rsidR="005213B4" w:rsidRDefault="005213B4" w:rsidP="005213B4">
      <w:pPr>
        <w:pStyle w:val="ListParagraph"/>
        <w:numPr>
          <w:ilvl w:val="0"/>
          <w:numId w:val="1"/>
        </w:numPr>
      </w:pPr>
      <w:r>
        <w:t>To provide an understanding of policy formulation, structure and implementation and to examine specific aspects of planning systems, including Strategic Environmental Assessment and Environmental Impact Assessment, and its effect on the economy, society and the environment.</w:t>
      </w:r>
    </w:p>
    <w:p w14:paraId="74C20871" w14:textId="77777777" w:rsidR="005213B4" w:rsidRDefault="005213B4" w:rsidP="005213B4">
      <w:pPr>
        <w:pStyle w:val="Heading3"/>
      </w:pPr>
      <w:r>
        <w:t>2. LEARNING OUTCOMES</w:t>
      </w:r>
    </w:p>
    <w:p w14:paraId="52CADF92" w14:textId="77777777" w:rsidR="005213B4" w:rsidRDefault="005213B4" w:rsidP="005213B4">
      <w:pPr>
        <w:pStyle w:val="ListParagraph"/>
        <w:numPr>
          <w:ilvl w:val="0"/>
          <w:numId w:val="1"/>
        </w:numPr>
      </w:pPr>
      <w:r>
        <w:t>Upon the successful completion of this module, the student should be able to demonstrate the ability to:</w:t>
      </w:r>
    </w:p>
    <w:p w14:paraId="4BEFBC14" w14:textId="07020CF3" w:rsidR="005213B4" w:rsidRDefault="005213B4" w:rsidP="005213B4">
      <w:pPr>
        <w:pStyle w:val="ListParagraph"/>
        <w:numPr>
          <w:ilvl w:val="0"/>
          <w:numId w:val="1"/>
        </w:numPr>
      </w:pPr>
      <w:r>
        <w:t>Demonstrate an in depth understanding of the environmental implications of developing strategic policies and plans.</w:t>
      </w:r>
    </w:p>
    <w:p w14:paraId="470F3584" w14:textId="3CEF1C7C" w:rsidR="005213B4" w:rsidRDefault="005213B4" w:rsidP="005213B4">
      <w:pPr>
        <w:pStyle w:val="ListParagraph"/>
        <w:numPr>
          <w:ilvl w:val="0"/>
          <w:numId w:val="1"/>
        </w:numPr>
      </w:pPr>
      <w:r>
        <w:t>Analyse environmental policies based on contextual analysis.</w:t>
      </w:r>
    </w:p>
    <w:p w14:paraId="2D84D229" w14:textId="639BC508" w:rsidR="005213B4" w:rsidRDefault="005213B4" w:rsidP="005213B4">
      <w:pPr>
        <w:pStyle w:val="ListParagraph"/>
        <w:numPr>
          <w:ilvl w:val="0"/>
          <w:numId w:val="1"/>
        </w:numPr>
      </w:pPr>
      <w:r>
        <w:t>Critically assess policy formulation and implementation.</w:t>
      </w:r>
    </w:p>
    <w:p w14:paraId="5B7F3420" w14:textId="38261EE7" w:rsidR="005213B4" w:rsidRDefault="005213B4" w:rsidP="005213B4">
      <w:pPr>
        <w:pStyle w:val="ListParagraph"/>
        <w:numPr>
          <w:ilvl w:val="0"/>
          <w:numId w:val="1"/>
        </w:numPr>
      </w:pPr>
      <w:r>
        <w:t>Consider the ramifications of policy on the environment and associated economy.</w:t>
      </w:r>
    </w:p>
    <w:p w14:paraId="39FFA989" w14:textId="77777777" w:rsidR="005213B4" w:rsidRDefault="005213B4" w:rsidP="005213B4">
      <w:pPr>
        <w:pStyle w:val="Heading3"/>
      </w:pPr>
      <w:r>
        <w:t>3. INDICATIVE CONTENT</w:t>
      </w:r>
    </w:p>
    <w:p w14:paraId="2017B48E" w14:textId="423DEF9F" w:rsidR="005213B4" w:rsidRDefault="005213B4" w:rsidP="005213B4">
      <w:pPr>
        <w:pStyle w:val="ListParagraph"/>
        <w:numPr>
          <w:ilvl w:val="0"/>
          <w:numId w:val="2"/>
        </w:numPr>
      </w:pPr>
      <w:r>
        <w:t>An introduction to National, European and global policies.</w:t>
      </w:r>
    </w:p>
    <w:p w14:paraId="48765F83" w14:textId="7369D169" w:rsidR="005213B4" w:rsidRDefault="005213B4" w:rsidP="005213B4">
      <w:pPr>
        <w:pStyle w:val="ListParagraph"/>
        <w:numPr>
          <w:ilvl w:val="0"/>
          <w:numId w:val="2"/>
        </w:numPr>
      </w:pPr>
      <w:r>
        <w:t>Application of specific strategic policies such as Shoreline Management, landscape designations, stakeholder partnerships, and inputs from Government and NGO’s.</w:t>
      </w:r>
    </w:p>
    <w:p w14:paraId="003AF9B6" w14:textId="62BB0530" w:rsidR="005213B4" w:rsidRDefault="005213B4" w:rsidP="005213B4">
      <w:pPr>
        <w:pStyle w:val="ListParagraph"/>
        <w:numPr>
          <w:ilvl w:val="0"/>
          <w:numId w:val="2"/>
        </w:numPr>
      </w:pPr>
      <w:r>
        <w:t>Analysis of the Strategic Environmental Assessment and Environmental Impact Assessment, including Mitigation and Compensation.</w:t>
      </w:r>
    </w:p>
    <w:p w14:paraId="718A7BC7" w14:textId="3DF97C6C" w:rsidR="005213B4" w:rsidRDefault="005213B4" w:rsidP="005213B4">
      <w:pPr>
        <w:pStyle w:val="ListParagraph"/>
        <w:numPr>
          <w:ilvl w:val="0"/>
          <w:numId w:val="2"/>
        </w:numPr>
      </w:pPr>
      <w:r>
        <w:t>The relationship between the environment and policy formulation.</w:t>
      </w:r>
    </w:p>
    <w:p w14:paraId="68BB7821" w14:textId="203838E6" w:rsidR="005213B4" w:rsidRDefault="005213B4" w:rsidP="005213B4">
      <w:pPr>
        <w:pStyle w:val="ListParagraph"/>
        <w:numPr>
          <w:ilvl w:val="0"/>
          <w:numId w:val="2"/>
        </w:numPr>
      </w:pPr>
      <w:r>
        <w:t>Environmental policy formulation, implementation and monitoring.</w:t>
      </w:r>
    </w:p>
    <w:p w14:paraId="7AFC755B" w14:textId="115C3817" w:rsidR="005213B4" w:rsidRDefault="005213B4" w:rsidP="005213B4">
      <w:pPr>
        <w:pStyle w:val="ListParagraph"/>
        <w:numPr>
          <w:ilvl w:val="0"/>
          <w:numId w:val="2"/>
        </w:numPr>
      </w:pPr>
      <w:r>
        <w:t>Environmental Impact Assessment formulation, including auditing.</w:t>
      </w:r>
    </w:p>
    <w:p w14:paraId="422F2F6D" w14:textId="54C9803B" w:rsidR="005213B4" w:rsidRDefault="005213B4" w:rsidP="005213B4">
      <w:pPr>
        <w:pStyle w:val="ListParagraph"/>
        <w:numPr>
          <w:ilvl w:val="0"/>
          <w:numId w:val="2"/>
        </w:numPr>
      </w:pPr>
      <w:r>
        <w:t>Methods of assessing environmental impacts.</w:t>
      </w:r>
    </w:p>
    <w:p w14:paraId="273B3CBE" w14:textId="00D731E4" w:rsidR="005213B4" w:rsidRDefault="005213B4" w:rsidP="005213B4">
      <w:pPr>
        <w:pStyle w:val="ListParagraph"/>
        <w:numPr>
          <w:ilvl w:val="0"/>
          <w:numId w:val="2"/>
        </w:numPr>
      </w:pPr>
      <w:r>
        <w:t>Evaluation of policies and their effects on society, the economy and the environment.</w:t>
      </w:r>
    </w:p>
    <w:p w14:paraId="26961E31" w14:textId="77777777" w:rsidR="005213B4" w:rsidRDefault="005213B4" w:rsidP="005213B4">
      <w:pPr>
        <w:pStyle w:val="Heading3"/>
      </w:pPr>
      <w:r>
        <w:t>4. LEARNING AND TEACHING STRATEGY</w:t>
      </w:r>
    </w:p>
    <w:p w14:paraId="6810F71E" w14:textId="77777777" w:rsidR="005213B4" w:rsidRDefault="005213B4" w:rsidP="005213B4">
      <w:r>
        <w:t xml:space="preserve">Individual topics will be introduced in lectures. Lectures will be supported by tutorials and/or directed study. Seminars, group discussions and workshops will be used to </w:t>
      </w:r>
      <w:r>
        <w:lastRenderedPageBreak/>
        <w:t>develop ideas, concepts and practical applications. The public conference will be delivered and organised by the students in collaboration with tutors.</w:t>
      </w:r>
    </w:p>
    <w:p w14:paraId="6DE53860" w14:textId="77777777" w:rsidR="005213B4" w:rsidRDefault="005213B4" w:rsidP="005213B4">
      <w:r>
        <w:t>Allocation of teaching to deliver the module are:</w:t>
      </w:r>
    </w:p>
    <w:tbl>
      <w:tblPr>
        <w:tblStyle w:val="TableGrid"/>
        <w:tblW w:w="0" w:type="auto"/>
        <w:tblLook w:val="04A0" w:firstRow="1" w:lastRow="0" w:firstColumn="1" w:lastColumn="0" w:noHBand="0" w:noVBand="1"/>
      </w:tblPr>
      <w:tblGrid>
        <w:gridCol w:w="3005"/>
        <w:gridCol w:w="3005"/>
        <w:gridCol w:w="3006"/>
      </w:tblGrid>
      <w:tr w:rsidR="002861BA" w14:paraId="2C746CB7" w14:textId="77777777" w:rsidTr="002861BA">
        <w:tc>
          <w:tcPr>
            <w:tcW w:w="3005" w:type="dxa"/>
          </w:tcPr>
          <w:p w14:paraId="2CE89D0D" w14:textId="732918ED" w:rsidR="002861BA" w:rsidRDefault="002861BA" w:rsidP="005213B4">
            <w:r>
              <w:t>Activity type</w:t>
            </w:r>
          </w:p>
        </w:tc>
        <w:tc>
          <w:tcPr>
            <w:tcW w:w="3005" w:type="dxa"/>
          </w:tcPr>
          <w:p w14:paraId="72DDCC1E" w14:textId="31BC1471" w:rsidR="002861BA" w:rsidRDefault="002861BA" w:rsidP="005213B4">
            <w:r>
              <w:t>Hours</w:t>
            </w:r>
          </w:p>
        </w:tc>
        <w:tc>
          <w:tcPr>
            <w:tcW w:w="3006" w:type="dxa"/>
          </w:tcPr>
          <w:p w14:paraId="41EC9748" w14:textId="6BFDE278" w:rsidR="002861BA" w:rsidRDefault="002861BA" w:rsidP="005213B4">
            <w:r>
              <w:t>Percentage</w:t>
            </w:r>
          </w:p>
        </w:tc>
      </w:tr>
      <w:tr w:rsidR="002861BA" w14:paraId="409B4FD9" w14:textId="77777777" w:rsidTr="002861BA">
        <w:tc>
          <w:tcPr>
            <w:tcW w:w="3005" w:type="dxa"/>
          </w:tcPr>
          <w:p w14:paraId="097B6DDE" w14:textId="595B3C81" w:rsidR="002861BA" w:rsidRDefault="002861BA" w:rsidP="005213B4">
            <w:r>
              <w:t>Scheduled learning</w:t>
            </w:r>
          </w:p>
        </w:tc>
        <w:tc>
          <w:tcPr>
            <w:tcW w:w="3005" w:type="dxa"/>
          </w:tcPr>
          <w:p w14:paraId="5F3298C4" w14:textId="04867DF9" w:rsidR="002861BA" w:rsidRDefault="002861BA" w:rsidP="005213B4">
            <w:r>
              <w:t>50</w:t>
            </w:r>
          </w:p>
        </w:tc>
        <w:tc>
          <w:tcPr>
            <w:tcW w:w="3006" w:type="dxa"/>
          </w:tcPr>
          <w:p w14:paraId="331B7D1B" w14:textId="3ED9ECEF" w:rsidR="002861BA" w:rsidRDefault="00A375C9" w:rsidP="005213B4">
            <w:r>
              <w:t>25%</w:t>
            </w:r>
          </w:p>
        </w:tc>
      </w:tr>
      <w:tr w:rsidR="002861BA" w14:paraId="7D91C41F" w14:textId="77777777" w:rsidTr="002861BA">
        <w:tc>
          <w:tcPr>
            <w:tcW w:w="3005" w:type="dxa"/>
          </w:tcPr>
          <w:p w14:paraId="215305E9" w14:textId="192F6237" w:rsidR="002861BA" w:rsidRDefault="00A375C9" w:rsidP="005213B4">
            <w:r>
              <w:t>Independent learning</w:t>
            </w:r>
          </w:p>
        </w:tc>
        <w:tc>
          <w:tcPr>
            <w:tcW w:w="3005" w:type="dxa"/>
          </w:tcPr>
          <w:p w14:paraId="09167977" w14:textId="42C8F5F8" w:rsidR="002861BA" w:rsidRDefault="00A375C9" w:rsidP="005213B4">
            <w:r>
              <w:t>150</w:t>
            </w:r>
          </w:p>
        </w:tc>
        <w:tc>
          <w:tcPr>
            <w:tcW w:w="3006" w:type="dxa"/>
          </w:tcPr>
          <w:p w14:paraId="3E3E7816" w14:textId="60258275" w:rsidR="002861BA" w:rsidRDefault="00A375C9" w:rsidP="005213B4">
            <w:r>
              <w:t>75%</w:t>
            </w:r>
          </w:p>
        </w:tc>
      </w:tr>
      <w:tr w:rsidR="00A375C9" w14:paraId="3E4121FB" w14:textId="77777777" w:rsidTr="002861BA">
        <w:tc>
          <w:tcPr>
            <w:tcW w:w="3005" w:type="dxa"/>
          </w:tcPr>
          <w:p w14:paraId="1796738D" w14:textId="5F4D92B8" w:rsidR="00A375C9" w:rsidRDefault="00A375C9" w:rsidP="005213B4">
            <w:r>
              <w:t>Placement learning</w:t>
            </w:r>
          </w:p>
        </w:tc>
        <w:tc>
          <w:tcPr>
            <w:tcW w:w="3005" w:type="dxa"/>
          </w:tcPr>
          <w:p w14:paraId="01DB9735" w14:textId="2ED3722B" w:rsidR="00A375C9" w:rsidRDefault="00A375C9" w:rsidP="005213B4"/>
        </w:tc>
        <w:tc>
          <w:tcPr>
            <w:tcW w:w="3006" w:type="dxa"/>
          </w:tcPr>
          <w:p w14:paraId="60447B75" w14:textId="77777777" w:rsidR="00A375C9" w:rsidRDefault="00A375C9" w:rsidP="005213B4"/>
        </w:tc>
      </w:tr>
      <w:tr w:rsidR="00A375C9" w14:paraId="7615B64E" w14:textId="77777777" w:rsidTr="002861BA">
        <w:tc>
          <w:tcPr>
            <w:tcW w:w="3005" w:type="dxa"/>
          </w:tcPr>
          <w:p w14:paraId="181250EA" w14:textId="71631D1F" w:rsidR="00A375C9" w:rsidRDefault="00A375C9" w:rsidP="005213B4">
            <w:r>
              <w:t>TOTAL</w:t>
            </w:r>
          </w:p>
        </w:tc>
        <w:tc>
          <w:tcPr>
            <w:tcW w:w="3005" w:type="dxa"/>
          </w:tcPr>
          <w:p w14:paraId="11B6EA5E" w14:textId="30868B5D" w:rsidR="00A375C9" w:rsidRDefault="00A375C9" w:rsidP="005213B4">
            <w:r>
              <w:t>200</w:t>
            </w:r>
          </w:p>
        </w:tc>
        <w:tc>
          <w:tcPr>
            <w:tcW w:w="3006" w:type="dxa"/>
          </w:tcPr>
          <w:p w14:paraId="3149C4F5" w14:textId="69CF9C29" w:rsidR="00A375C9" w:rsidRDefault="00A375C9" w:rsidP="005213B4">
            <w:r>
              <w:t>100%</w:t>
            </w:r>
          </w:p>
        </w:tc>
      </w:tr>
    </w:tbl>
    <w:p w14:paraId="54DFE5FE" w14:textId="77777777" w:rsidR="002861BA" w:rsidRDefault="002861BA" w:rsidP="005213B4"/>
    <w:p w14:paraId="2E347831" w14:textId="550B40F5" w:rsidR="005213B4" w:rsidRDefault="005213B4" w:rsidP="005213B4">
      <w:pPr>
        <w:pStyle w:val="Heading3"/>
      </w:pPr>
      <w:r>
        <w:t>5. ASSESSMENT</w:t>
      </w:r>
      <w:r w:rsidR="00E041EE">
        <w:t xml:space="preserve"> DETAILS</w:t>
      </w:r>
    </w:p>
    <w:p w14:paraId="1A334271" w14:textId="003629AF" w:rsidR="005213B4" w:rsidRPr="005213B4" w:rsidRDefault="005213B4" w:rsidP="00E041EE">
      <w:pPr>
        <w:pStyle w:val="Heading4"/>
      </w:pPr>
      <w:r w:rsidRPr="005213B4">
        <w:t xml:space="preserve">Assessment Component 1 – 70% </w:t>
      </w:r>
    </w:p>
    <w:p w14:paraId="3B88A0B9" w14:textId="045201C0" w:rsidR="005213B4" w:rsidRPr="005213B4" w:rsidRDefault="005213B4" w:rsidP="005213B4">
      <w:r w:rsidRPr="005213B4">
        <w:t xml:space="preserve">Select an EIA and critically review the relationship between theory and practice. </w:t>
      </w:r>
    </w:p>
    <w:p w14:paraId="038AB17A" w14:textId="77777777" w:rsidR="005213B4" w:rsidRPr="005213B4" w:rsidRDefault="005213B4" w:rsidP="005213B4">
      <w:r w:rsidRPr="005213B4">
        <w:t xml:space="preserve">For example, The EIA of the Mumbles RNLI lifeboat station (2014). </w:t>
      </w:r>
    </w:p>
    <w:p w14:paraId="7AC747BE" w14:textId="49E0726D" w:rsidR="005213B4" w:rsidRPr="005213B4" w:rsidRDefault="005213B4" w:rsidP="005213B4">
      <w:r w:rsidRPr="005213B4">
        <w:t>This is required in a critique report format of 4,</w:t>
      </w:r>
      <w:r w:rsidR="002C6E3C">
        <w:t>0</w:t>
      </w:r>
      <w:r w:rsidRPr="005213B4">
        <w:t xml:space="preserve">00 words </w:t>
      </w:r>
      <w:r w:rsidR="002C6E3C">
        <w:t>(</w:t>
      </w:r>
      <w:r w:rsidR="005D1A3B">
        <w:t xml:space="preserve">+/- 10%) </w:t>
      </w:r>
      <w:r w:rsidRPr="005213B4">
        <w:t xml:space="preserve">excluding appendices. </w:t>
      </w:r>
    </w:p>
    <w:p w14:paraId="4A184D97" w14:textId="77777777" w:rsidR="005213B4" w:rsidRPr="005213B4" w:rsidRDefault="005213B4" w:rsidP="00E041EE">
      <w:pPr>
        <w:pStyle w:val="Heading4"/>
      </w:pPr>
      <w:r w:rsidRPr="005213B4">
        <w:t xml:space="preserve">Assessment Component 2 – 30% </w:t>
      </w:r>
    </w:p>
    <w:p w14:paraId="21658694" w14:textId="77777777" w:rsidR="005213B4" w:rsidRPr="005213B4" w:rsidRDefault="005213B4" w:rsidP="005213B4">
      <w:r w:rsidRPr="005213B4">
        <w:t xml:space="preserve">The marked report should is then presented at a conference organised/advertised by the students and attended by members of the public (10 minute presentation, plus 5 minute discussion). </w:t>
      </w:r>
    </w:p>
    <w:p w14:paraId="4EE8A4BF" w14:textId="77777777" w:rsidR="005213B4" w:rsidRPr="005213B4" w:rsidRDefault="005213B4" w:rsidP="00E041EE">
      <w:pPr>
        <w:pStyle w:val="Heading5"/>
      </w:pPr>
      <w:r w:rsidRPr="005213B4">
        <w:t xml:space="preserve">2a. Collection of reports in a journal </w:t>
      </w:r>
    </w:p>
    <w:p w14:paraId="53C36EDF" w14:textId="77777777" w:rsidR="00A4426B" w:rsidRDefault="005213B4" w:rsidP="005213B4">
      <w:r w:rsidRPr="005213B4">
        <w:t xml:space="preserve">After the feedback comments from staff have been returned, the group needs to organise editorial meetings to publish the collection of reports (which should address any issues raised in the staff comments) using the journal Environmental Impact Assessment Review guidelines. Hence you ALL need to coordinate the report format before the conference. The conference reports should be bound (spiral or could be in the form of a website), published, and ready for distribution at the conference. Remember that presentation and consistency is essential in journal compilation. </w:t>
      </w:r>
    </w:p>
    <w:p w14:paraId="2464D1A2" w14:textId="4F06D26D" w:rsidR="005213B4" w:rsidRPr="00166A69" w:rsidRDefault="005213B4" w:rsidP="005213B4">
      <w:pPr>
        <w:rPr>
          <w:b/>
          <w:bCs/>
          <w:i/>
          <w:iCs/>
        </w:rPr>
      </w:pPr>
      <w:r w:rsidRPr="00166A69">
        <w:rPr>
          <w:b/>
          <w:bCs/>
          <w:i/>
          <w:iCs/>
        </w:rPr>
        <w:t xml:space="preserve">10% of the module mark </w:t>
      </w:r>
    </w:p>
    <w:p w14:paraId="4ACAEC6C" w14:textId="468568C9" w:rsidR="005213B4" w:rsidRPr="005213B4" w:rsidRDefault="005213B4" w:rsidP="005213B4">
      <w:r w:rsidRPr="005213B4">
        <w:t>Conference Journal: Tuesday 2</w:t>
      </w:r>
      <w:r w:rsidR="00DC28D0">
        <w:t>1st</w:t>
      </w:r>
      <w:r w:rsidRPr="005213B4">
        <w:t xml:space="preserve"> January 2024 before 9.00 am </w:t>
      </w:r>
    </w:p>
    <w:p w14:paraId="65DCCA64" w14:textId="77777777" w:rsidR="005213B4" w:rsidRPr="005213B4" w:rsidRDefault="005213B4" w:rsidP="00E041EE">
      <w:pPr>
        <w:pStyle w:val="Heading5"/>
      </w:pPr>
      <w:r w:rsidRPr="005213B4">
        <w:t xml:space="preserve">2b. Conference Presentation </w:t>
      </w:r>
    </w:p>
    <w:p w14:paraId="78BE433A" w14:textId="77777777" w:rsidR="00A4426B" w:rsidRDefault="005213B4" w:rsidP="005213B4">
      <w:r w:rsidRPr="005213B4">
        <w:t xml:space="preserve">Your report and response to staff comments should then be presented at a public conference. 10 mins presentation plus 5 mins discussion. </w:t>
      </w:r>
    </w:p>
    <w:p w14:paraId="4B5EAE07" w14:textId="0B814199" w:rsidR="005213B4" w:rsidRPr="00EF1C88" w:rsidRDefault="005213B4" w:rsidP="005213B4">
      <w:pPr>
        <w:rPr>
          <w:b/>
          <w:bCs/>
          <w:i/>
          <w:iCs/>
        </w:rPr>
      </w:pPr>
      <w:r w:rsidRPr="00EF1C88">
        <w:rPr>
          <w:b/>
          <w:bCs/>
          <w:i/>
          <w:iCs/>
        </w:rPr>
        <w:t xml:space="preserve">20% of the module mark. </w:t>
      </w:r>
    </w:p>
    <w:p w14:paraId="75957EC2" w14:textId="59B267A0" w:rsidR="005213B4" w:rsidRDefault="005213B4" w:rsidP="005213B4">
      <w:r w:rsidRPr="005213B4">
        <w:t>Conference Presentation Tuesday 23rd January 2022 From 1.00 pm</w:t>
      </w:r>
      <w:r w:rsidR="00166A69">
        <w:t xml:space="preserve"> (time TBC)</w:t>
      </w:r>
    </w:p>
    <w:p w14:paraId="169143E2" w14:textId="77777777" w:rsidR="00D16ADD" w:rsidRDefault="00D16ADD" w:rsidP="005213B4"/>
    <w:p w14:paraId="671ACFED" w14:textId="77777777" w:rsidR="002A7AC8" w:rsidRDefault="002A7AC8" w:rsidP="00380CC2">
      <w:pPr>
        <w:pStyle w:val="Heading5"/>
      </w:pPr>
      <w:r w:rsidRPr="002A7AC8">
        <w:t>Assessment Summary</w:t>
      </w:r>
    </w:p>
    <w:tbl>
      <w:tblPr>
        <w:tblStyle w:val="TableGrid"/>
        <w:tblW w:w="0" w:type="auto"/>
        <w:jc w:val="center"/>
        <w:tblLook w:val="04A0" w:firstRow="1" w:lastRow="0" w:firstColumn="1" w:lastColumn="0" w:noHBand="0" w:noVBand="1"/>
      </w:tblPr>
      <w:tblGrid>
        <w:gridCol w:w="2405"/>
        <w:gridCol w:w="2482"/>
      </w:tblGrid>
      <w:tr w:rsidR="002A7AC8" w14:paraId="2C4C0062" w14:textId="77777777" w:rsidTr="00D16612">
        <w:trPr>
          <w:trHeight w:val="369"/>
          <w:jc w:val="center"/>
        </w:trPr>
        <w:tc>
          <w:tcPr>
            <w:tcW w:w="2405" w:type="dxa"/>
          </w:tcPr>
          <w:p w14:paraId="39B3C1AA" w14:textId="11B9D5C7" w:rsidR="002A7AC8" w:rsidRPr="00B0699E" w:rsidRDefault="002A7AC8" w:rsidP="002A7AC8">
            <w:pPr>
              <w:rPr>
                <w:b/>
                <w:bCs/>
              </w:rPr>
            </w:pPr>
            <w:r w:rsidRPr="00B0699E">
              <w:rPr>
                <w:b/>
                <w:bCs/>
              </w:rPr>
              <w:t>Activity type</w:t>
            </w:r>
          </w:p>
        </w:tc>
        <w:tc>
          <w:tcPr>
            <w:tcW w:w="2482" w:type="dxa"/>
          </w:tcPr>
          <w:p w14:paraId="40197937" w14:textId="1C625A78" w:rsidR="002A7AC8" w:rsidRPr="00B0699E" w:rsidRDefault="002A7AC8" w:rsidP="002A7AC8">
            <w:pPr>
              <w:rPr>
                <w:b/>
                <w:bCs/>
              </w:rPr>
            </w:pPr>
            <w:r w:rsidRPr="00B0699E">
              <w:rPr>
                <w:b/>
                <w:bCs/>
              </w:rPr>
              <w:t>Percentage</w:t>
            </w:r>
          </w:p>
        </w:tc>
      </w:tr>
      <w:tr w:rsidR="002A7AC8" w14:paraId="63478A1E" w14:textId="77777777" w:rsidTr="00D16612">
        <w:trPr>
          <w:trHeight w:val="382"/>
          <w:jc w:val="center"/>
        </w:trPr>
        <w:tc>
          <w:tcPr>
            <w:tcW w:w="2405" w:type="dxa"/>
          </w:tcPr>
          <w:p w14:paraId="7AB77B6D" w14:textId="27AAB775" w:rsidR="002A7AC8" w:rsidRDefault="002A7AC8" w:rsidP="002A7AC8">
            <w:r>
              <w:t>Written exam</w:t>
            </w:r>
          </w:p>
        </w:tc>
        <w:tc>
          <w:tcPr>
            <w:tcW w:w="2482" w:type="dxa"/>
          </w:tcPr>
          <w:p w14:paraId="6C06FDE7" w14:textId="118CBA08" w:rsidR="002A7AC8" w:rsidRDefault="002A7AC8" w:rsidP="002A7AC8">
            <w:r>
              <w:t>N/A</w:t>
            </w:r>
          </w:p>
        </w:tc>
      </w:tr>
      <w:tr w:rsidR="002A7AC8" w14:paraId="6CE30934" w14:textId="77777777" w:rsidTr="00D16612">
        <w:trPr>
          <w:trHeight w:val="369"/>
          <w:jc w:val="center"/>
        </w:trPr>
        <w:tc>
          <w:tcPr>
            <w:tcW w:w="2405" w:type="dxa"/>
          </w:tcPr>
          <w:p w14:paraId="4A8A7CD6" w14:textId="3C9A984C" w:rsidR="002A7AC8" w:rsidRDefault="002A7AC8" w:rsidP="002A7AC8">
            <w:r>
              <w:t>Coursework</w:t>
            </w:r>
          </w:p>
        </w:tc>
        <w:tc>
          <w:tcPr>
            <w:tcW w:w="2482" w:type="dxa"/>
          </w:tcPr>
          <w:p w14:paraId="3DE3F2B6" w14:textId="7633D50A" w:rsidR="002A7AC8" w:rsidRDefault="002A7AC8" w:rsidP="002A7AC8">
            <w:r>
              <w:t>70%</w:t>
            </w:r>
          </w:p>
        </w:tc>
      </w:tr>
      <w:tr w:rsidR="002A7AC8" w14:paraId="6657B35B" w14:textId="77777777" w:rsidTr="00D16612">
        <w:trPr>
          <w:trHeight w:val="369"/>
          <w:jc w:val="center"/>
        </w:trPr>
        <w:tc>
          <w:tcPr>
            <w:tcW w:w="2405" w:type="dxa"/>
          </w:tcPr>
          <w:p w14:paraId="5CE50EF8" w14:textId="00DDAFD6" w:rsidR="002A7AC8" w:rsidRDefault="002A7AC8" w:rsidP="002A7AC8">
            <w:r>
              <w:t>Practical</w:t>
            </w:r>
          </w:p>
        </w:tc>
        <w:tc>
          <w:tcPr>
            <w:tcW w:w="2482" w:type="dxa"/>
          </w:tcPr>
          <w:p w14:paraId="5A7C1C54" w14:textId="3EE50493" w:rsidR="002A7AC8" w:rsidRDefault="002A7AC8" w:rsidP="002A7AC8">
            <w:r>
              <w:t>30%</w:t>
            </w:r>
          </w:p>
        </w:tc>
      </w:tr>
      <w:tr w:rsidR="002A7AC8" w14:paraId="5F8F8FA0" w14:textId="77777777" w:rsidTr="00D16612">
        <w:trPr>
          <w:trHeight w:val="369"/>
          <w:jc w:val="center"/>
        </w:trPr>
        <w:tc>
          <w:tcPr>
            <w:tcW w:w="2405" w:type="dxa"/>
          </w:tcPr>
          <w:p w14:paraId="4D889907" w14:textId="336336BC" w:rsidR="002A7AC8" w:rsidRPr="00B0699E" w:rsidRDefault="002A7AC8" w:rsidP="002A7AC8">
            <w:pPr>
              <w:rPr>
                <w:b/>
                <w:bCs/>
              </w:rPr>
            </w:pPr>
            <w:r w:rsidRPr="00B0699E">
              <w:rPr>
                <w:b/>
                <w:bCs/>
              </w:rPr>
              <w:t>TOTAL</w:t>
            </w:r>
          </w:p>
        </w:tc>
        <w:tc>
          <w:tcPr>
            <w:tcW w:w="2482" w:type="dxa"/>
          </w:tcPr>
          <w:p w14:paraId="0C637BC3" w14:textId="7F44C3F5" w:rsidR="002A7AC8" w:rsidRDefault="002A7AC8" w:rsidP="002A7AC8">
            <w:r>
              <w:t>100%</w:t>
            </w:r>
          </w:p>
        </w:tc>
      </w:tr>
    </w:tbl>
    <w:p w14:paraId="5B0B265D" w14:textId="77777777" w:rsidR="002A7AC8" w:rsidRDefault="002A7AC8" w:rsidP="002A7AC8"/>
    <w:p w14:paraId="237298A6" w14:textId="77777777" w:rsidR="007A724E" w:rsidRDefault="007A724E" w:rsidP="00214EA9">
      <w:pPr>
        <w:pStyle w:val="Heading3"/>
      </w:pPr>
      <w:r>
        <w:t xml:space="preserve">6. TIMETABLE </w:t>
      </w:r>
    </w:p>
    <w:tbl>
      <w:tblPr>
        <w:tblW w:w="9072" w:type="dxa"/>
        <w:tblLook w:val="04A0" w:firstRow="1" w:lastRow="0" w:firstColumn="1" w:lastColumn="0" w:noHBand="0" w:noVBand="1"/>
      </w:tblPr>
      <w:tblGrid>
        <w:gridCol w:w="1012"/>
        <w:gridCol w:w="1278"/>
        <w:gridCol w:w="2105"/>
        <w:gridCol w:w="1984"/>
        <w:gridCol w:w="2693"/>
      </w:tblGrid>
      <w:tr w:rsidR="00BD56DE" w14:paraId="24B13992" w14:textId="77777777" w:rsidTr="00BD56DE">
        <w:trPr>
          <w:trHeight w:val="970"/>
        </w:trPr>
        <w:tc>
          <w:tcPr>
            <w:tcW w:w="9072" w:type="dxa"/>
            <w:gridSpan w:val="5"/>
            <w:tcBorders>
              <w:top w:val="single" w:sz="8" w:space="0" w:color="auto"/>
              <w:left w:val="nil"/>
              <w:bottom w:val="single" w:sz="8" w:space="0" w:color="auto"/>
              <w:right w:val="single" w:sz="8" w:space="0" w:color="000000"/>
            </w:tcBorders>
            <w:shd w:val="clear" w:color="000000" w:fill="E2EFDA"/>
            <w:vAlign w:val="center"/>
            <w:hideMark/>
          </w:tcPr>
          <w:p w14:paraId="51C8F022"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ACBA7004: Environmental Planning and Policy</w:t>
            </w:r>
            <w:r>
              <w:rPr>
                <w:rFonts w:ascii="Calibri" w:hAnsi="Calibri" w:cs="Calibri"/>
                <w:b/>
                <w:bCs/>
                <w:color w:val="000000"/>
                <w:sz w:val="22"/>
                <w:szCs w:val="22"/>
              </w:rPr>
              <w:br/>
              <w:t>Tues 2-6pm</w:t>
            </w:r>
            <w:r>
              <w:rPr>
                <w:rFonts w:ascii="Calibri" w:hAnsi="Calibri" w:cs="Calibri"/>
                <w:b/>
                <w:bCs/>
                <w:color w:val="000000"/>
                <w:sz w:val="22"/>
                <w:szCs w:val="22"/>
              </w:rPr>
              <w:br/>
              <w:t>IQ 118</w:t>
            </w:r>
          </w:p>
        </w:tc>
      </w:tr>
      <w:tr w:rsidR="00BD56DE" w14:paraId="7DA93F17" w14:textId="77777777" w:rsidTr="00BD56DE">
        <w:trPr>
          <w:trHeight w:val="59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3DFA5B20"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Teaching Week</w:t>
            </w:r>
          </w:p>
        </w:tc>
        <w:tc>
          <w:tcPr>
            <w:tcW w:w="1278" w:type="dxa"/>
            <w:tcBorders>
              <w:top w:val="nil"/>
              <w:left w:val="nil"/>
              <w:bottom w:val="single" w:sz="8" w:space="0" w:color="auto"/>
              <w:right w:val="single" w:sz="8" w:space="0" w:color="auto"/>
            </w:tcBorders>
            <w:shd w:val="clear" w:color="auto" w:fill="auto"/>
            <w:vAlign w:val="center"/>
            <w:hideMark/>
          </w:tcPr>
          <w:p w14:paraId="4886A03C"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Date</w:t>
            </w:r>
          </w:p>
        </w:tc>
        <w:tc>
          <w:tcPr>
            <w:tcW w:w="2105" w:type="dxa"/>
            <w:tcBorders>
              <w:top w:val="nil"/>
              <w:left w:val="nil"/>
              <w:bottom w:val="single" w:sz="8" w:space="0" w:color="auto"/>
              <w:right w:val="nil"/>
            </w:tcBorders>
            <w:shd w:val="clear" w:color="auto" w:fill="auto"/>
            <w:vAlign w:val="center"/>
            <w:hideMark/>
          </w:tcPr>
          <w:p w14:paraId="6FBDEDD1"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Lecture content</w:t>
            </w:r>
          </w:p>
        </w:tc>
        <w:tc>
          <w:tcPr>
            <w:tcW w:w="1984" w:type="dxa"/>
            <w:tcBorders>
              <w:top w:val="nil"/>
              <w:left w:val="single" w:sz="8" w:space="0" w:color="auto"/>
              <w:bottom w:val="single" w:sz="8" w:space="0" w:color="auto"/>
              <w:right w:val="nil"/>
            </w:tcBorders>
            <w:shd w:val="clear" w:color="auto" w:fill="auto"/>
            <w:vAlign w:val="center"/>
            <w:hideMark/>
          </w:tcPr>
          <w:p w14:paraId="64596AD4"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Activities</w:t>
            </w:r>
          </w:p>
        </w:tc>
        <w:tc>
          <w:tcPr>
            <w:tcW w:w="2693" w:type="dxa"/>
            <w:tcBorders>
              <w:top w:val="nil"/>
              <w:left w:val="single" w:sz="8" w:space="0" w:color="auto"/>
              <w:bottom w:val="single" w:sz="8" w:space="0" w:color="auto"/>
              <w:right w:val="single" w:sz="8" w:space="0" w:color="auto"/>
            </w:tcBorders>
            <w:shd w:val="clear" w:color="auto" w:fill="auto"/>
            <w:vAlign w:val="center"/>
            <w:hideMark/>
          </w:tcPr>
          <w:p w14:paraId="55642340"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Assessments</w:t>
            </w:r>
          </w:p>
        </w:tc>
      </w:tr>
      <w:tr w:rsidR="00BD56DE" w14:paraId="2A60E948" w14:textId="77777777" w:rsidTr="00E13665">
        <w:trPr>
          <w:trHeight w:val="51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60E64453"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w:t>
            </w:r>
          </w:p>
        </w:tc>
        <w:tc>
          <w:tcPr>
            <w:tcW w:w="1278" w:type="dxa"/>
            <w:tcBorders>
              <w:top w:val="nil"/>
              <w:left w:val="nil"/>
              <w:bottom w:val="single" w:sz="8" w:space="0" w:color="auto"/>
              <w:right w:val="single" w:sz="8" w:space="0" w:color="auto"/>
            </w:tcBorders>
            <w:shd w:val="clear" w:color="auto" w:fill="auto"/>
            <w:vAlign w:val="center"/>
            <w:hideMark/>
          </w:tcPr>
          <w:p w14:paraId="7CD7FE70"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01/10/2024</w:t>
            </w:r>
          </w:p>
        </w:tc>
        <w:tc>
          <w:tcPr>
            <w:tcW w:w="2105" w:type="dxa"/>
            <w:tcBorders>
              <w:top w:val="nil"/>
              <w:left w:val="nil"/>
              <w:bottom w:val="single" w:sz="8" w:space="0" w:color="auto"/>
              <w:right w:val="single" w:sz="8" w:space="0" w:color="auto"/>
            </w:tcBorders>
            <w:shd w:val="clear" w:color="auto" w:fill="auto"/>
            <w:vAlign w:val="center"/>
            <w:hideMark/>
          </w:tcPr>
          <w:p w14:paraId="05490A2C"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Principles of Environmental Policy</w:t>
            </w:r>
          </w:p>
        </w:tc>
        <w:tc>
          <w:tcPr>
            <w:tcW w:w="1984" w:type="dxa"/>
            <w:tcBorders>
              <w:top w:val="nil"/>
              <w:left w:val="nil"/>
              <w:bottom w:val="single" w:sz="8" w:space="0" w:color="auto"/>
              <w:right w:val="single" w:sz="8" w:space="0" w:color="auto"/>
            </w:tcBorders>
            <w:shd w:val="clear" w:color="auto" w:fill="auto"/>
            <w:vAlign w:val="center"/>
            <w:hideMark/>
          </w:tcPr>
          <w:p w14:paraId="5E17FAA5" w14:textId="5DBDAEFD"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58F782C7" w14:textId="50EF12A0" w:rsidR="00BD56DE" w:rsidRDefault="00BD56DE" w:rsidP="00BD56DE">
            <w:pPr>
              <w:jc w:val="center"/>
              <w:rPr>
                <w:rFonts w:ascii="Calibri" w:hAnsi="Calibri" w:cs="Calibri"/>
                <w:b/>
                <w:bCs/>
                <w:color w:val="000000"/>
                <w:sz w:val="16"/>
                <w:szCs w:val="16"/>
              </w:rPr>
            </w:pPr>
          </w:p>
        </w:tc>
      </w:tr>
      <w:tr w:rsidR="00BD56DE" w14:paraId="6356A80D" w14:textId="77777777" w:rsidTr="00BD56DE">
        <w:trPr>
          <w:trHeight w:val="60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62E23297"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2</w:t>
            </w:r>
          </w:p>
        </w:tc>
        <w:tc>
          <w:tcPr>
            <w:tcW w:w="1278" w:type="dxa"/>
            <w:tcBorders>
              <w:top w:val="nil"/>
              <w:left w:val="nil"/>
              <w:bottom w:val="single" w:sz="8" w:space="0" w:color="auto"/>
              <w:right w:val="single" w:sz="8" w:space="0" w:color="auto"/>
            </w:tcBorders>
            <w:shd w:val="clear" w:color="auto" w:fill="auto"/>
            <w:vAlign w:val="center"/>
            <w:hideMark/>
          </w:tcPr>
          <w:p w14:paraId="1ABBB6FB"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08/10/2024</w:t>
            </w:r>
          </w:p>
        </w:tc>
        <w:tc>
          <w:tcPr>
            <w:tcW w:w="2105" w:type="dxa"/>
            <w:tcBorders>
              <w:top w:val="nil"/>
              <w:left w:val="nil"/>
              <w:bottom w:val="single" w:sz="8" w:space="0" w:color="auto"/>
              <w:right w:val="single" w:sz="8" w:space="0" w:color="auto"/>
            </w:tcBorders>
            <w:shd w:val="clear" w:color="auto" w:fill="auto"/>
            <w:vAlign w:val="center"/>
            <w:hideMark/>
          </w:tcPr>
          <w:p w14:paraId="2E6772C8"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Reviewing environmental assessment articles</w:t>
            </w:r>
          </w:p>
        </w:tc>
        <w:tc>
          <w:tcPr>
            <w:tcW w:w="1984" w:type="dxa"/>
            <w:tcBorders>
              <w:top w:val="nil"/>
              <w:left w:val="nil"/>
              <w:bottom w:val="single" w:sz="8" w:space="0" w:color="auto"/>
              <w:right w:val="single" w:sz="8" w:space="0" w:color="auto"/>
            </w:tcBorders>
            <w:shd w:val="clear" w:color="auto" w:fill="auto"/>
            <w:vAlign w:val="center"/>
            <w:hideMark/>
          </w:tcPr>
          <w:p w14:paraId="51AB33F4" w14:textId="77777777" w:rsidR="00BD56DE" w:rsidRDefault="00BD56DE" w:rsidP="00BD56DE">
            <w:pPr>
              <w:jc w:val="center"/>
              <w:rPr>
                <w:rFonts w:ascii="Calibri" w:hAnsi="Calibri" w:cs="Calibri"/>
                <w:b/>
                <w:bCs/>
                <w:color w:val="000000"/>
                <w:sz w:val="16"/>
                <w:szCs w:val="16"/>
              </w:rPr>
            </w:pPr>
            <w:r>
              <w:rPr>
                <w:rFonts w:ascii="Calibri" w:hAnsi="Calibri" w:cs="Calibri"/>
                <w:b/>
                <w:bCs/>
                <w:color w:val="000000"/>
                <w:sz w:val="16"/>
                <w:szCs w:val="16"/>
              </w:rPr>
              <w:t>Selecting EIA article before Week 2 lecture</w:t>
            </w:r>
          </w:p>
        </w:tc>
        <w:tc>
          <w:tcPr>
            <w:tcW w:w="2693" w:type="dxa"/>
            <w:tcBorders>
              <w:top w:val="nil"/>
              <w:left w:val="nil"/>
              <w:bottom w:val="single" w:sz="8" w:space="0" w:color="auto"/>
              <w:right w:val="single" w:sz="8" w:space="0" w:color="auto"/>
            </w:tcBorders>
            <w:shd w:val="clear" w:color="auto" w:fill="auto"/>
            <w:vAlign w:val="center"/>
            <w:hideMark/>
          </w:tcPr>
          <w:p w14:paraId="2FF4F48E" w14:textId="7EAA617B" w:rsidR="00BD56DE" w:rsidRDefault="00BD56DE" w:rsidP="00BD56DE">
            <w:pPr>
              <w:jc w:val="center"/>
              <w:rPr>
                <w:rFonts w:ascii="Calibri" w:hAnsi="Calibri" w:cs="Calibri"/>
                <w:b/>
                <w:bCs/>
                <w:color w:val="000000"/>
                <w:sz w:val="16"/>
                <w:szCs w:val="16"/>
              </w:rPr>
            </w:pPr>
          </w:p>
        </w:tc>
      </w:tr>
      <w:tr w:rsidR="00BD56DE" w14:paraId="558FA358" w14:textId="77777777" w:rsidTr="00E13665">
        <w:trPr>
          <w:trHeight w:val="454"/>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0E79EAF8"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3</w:t>
            </w:r>
          </w:p>
        </w:tc>
        <w:tc>
          <w:tcPr>
            <w:tcW w:w="1278" w:type="dxa"/>
            <w:tcBorders>
              <w:top w:val="nil"/>
              <w:left w:val="nil"/>
              <w:bottom w:val="single" w:sz="8" w:space="0" w:color="auto"/>
              <w:right w:val="single" w:sz="8" w:space="0" w:color="auto"/>
            </w:tcBorders>
            <w:shd w:val="clear" w:color="auto" w:fill="auto"/>
            <w:vAlign w:val="center"/>
            <w:hideMark/>
          </w:tcPr>
          <w:p w14:paraId="7637E350"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15/10/2024</w:t>
            </w:r>
          </w:p>
        </w:tc>
        <w:tc>
          <w:tcPr>
            <w:tcW w:w="2105" w:type="dxa"/>
            <w:tcBorders>
              <w:top w:val="nil"/>
              <w:left w:val="nil"/>
              <w:bottom w:val="single" w:sz="8" w:space="0" w:color="auto"/>
              <w:right w:val="single" w:sz="8" w:space="0" w:color="auto"/>
            </w:tcBorders>
            <w:shd w:val="clear" w:color="auto" w:fill="auto"/>
            <w:vAlign w:val="center"/>
            <w:hideMark/>
          </w:tcPr>
          <w:p w14:paraId="59186F3E" w14:textId="5334C10D"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Fund</w:t>
            </w:r>
            <w:r w:rsidR="009E3740">
              <w:rPr>
                <w:rFonts w:ascii="Calibri" w:hAnsi="Calibri" w:cs="Calibri"/>
                <w:color w:val="000000"/>
                <w:sz w:val="16"/>
                <w:szCs w:val="16"/>
              </w:rPr>
              <w:t>a</w:t>
            </w:r>
            <w:r>
              <w:rPr>
                <w:rFonts w:ascii="Calibri" w:hAnsi="Calibri" w:cs="Calibri"/>
                <w:color w:val="000000"/>
                <w:sz w:val="16"/>
                <w:szCs w:val="16"/>
              </w:rPr>
              <w:t>m</w:t>
            </w:r>
            <w:r w:rsidR="009E3740">
              <w:rPr>
                <w:rFonts w:ascii="Calibri" w:hAnsi="Calibri" w:cs="Calibri"/>
                <w:color w:val="000000"/>
                <w:sz w:val="16"/>
                <w:szCs w:val="16"/>
              </w:rPr>
              <w:t>e</w:t>
            </w:r>
            <w:r>
              <w:rPr>
                <w:rFonts w:ascii="Calibri" w:hAnsi="Calibri" w:cs="Calibri"/>
                <w:color w:val="000000"/>
                <w:sz w:val="16"/>
                <w:szCs w:val="16"/>
              </w:rPr>
              <w:t>nts of EIA</w:t>
            </w:r>
          </w:p>
        </w:tc>
        <w:tc>
          <w:tcPr>
            <w:tcW w:w="1984" w:type="dxa"/>
            <w:tcBorders>
              <w:top w:val="nil"/>
              <w:left w:val="nil"/>
              <w:bottom w:val="single" w:sz="8" w:space="0" w:color="auto"/>
              <w:right w:val="single" w:sz="8" w:space="0" w:color="auto"/>
            </w:tcBorders>
            <w:shd w:val="clear" w:color="auto" w:fill="auto"/>
            <w:vAlign w:val="center"/>
            <w:hideMark/>
          </w:tcPr>
          <w:p w14:paraId="19708F0B" w14:textId="696AB852"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0E2C5398" w14:textId="3E2E1FBE" w:rsidR="00BD56DE" w:rsidRDefault="00BD56DE" w:rsidP="00BD56DE">
            <w:pPr>
              <w:jc w:val="center"/>
              <w:rPr>
                <w:rFonts w:ascii="Calibri" w:hAnsi="Calibri" w:cs="Calibri"/>
                <w:b/>
                <w:bCs/>
                <w:color w:val="000000"/>
                <w:sz w:val="16"/>
                <w:szCs w:val="16"/>
              </w:rPr>
            </w:pPr>
          </w:p>
        </w:tc>
      </w:tr>
      <w:tr w:rsidR="00BD56DE" w14:paraId="15B88824" w14:textId="77777777" w:rsidTr="00BD56DE">
        <w:trPr>
          <w:trHeight w:val="30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027A387F"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4</w:t>
            </w:r>
          </w:p>
        </w:tc>
        <w:tc>
          <w:tcPr>
            <w:tcW w:w="1278" w:type="dxa"/>
            <w:tcBorders>
              <w:top w:val="nil"/>
              <w:left w:val="nil"/>
              <w:bottom w:val="single" w:sz="8" w:space="0" w:color="auto"/>
              <w:right w:val="single" w:sz="8" w:space="0" w:color="auto"/>
            </w:tcBorders>
            <w:shd w:val="clear" w:color="auto" w:fill="auto"/>
            <w:vAlign w:val="center"/>
            <w:hideMark/>
          </w:tcPr>
          <w:p w14:paraId="25D6053A"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22/10/2024</w:t>
            </w:r>
          </w:p>
        </w:tc>
        <w:tc>
          <w:tcPr>
            <w:tcW w:w="6782" w:type="dxa"/>
            <w:gridSpan w:val="3"/>
            <w:tcBorders>
              <w:top w:val="single" w:sz="8" w:space="0" w:color="auto"/>
              <w:left w:val="nil"/>
              <w:bottom w:val="single" w:sz="8" w:space="0" w:color="auto"/>
              <w:right w:val="single" w:sz="8" w:space="0" w:color="000000"/>
            </w:tcBorders>
            <w:shd w:val="clear" w:color="000000" w:fill="C6E0B4"/>
            <w:vAlign w:val="center"/>
            <w:hideMark/>
          </w:tcPr>
          <w:p w14:paraId="1E93588B"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Fieldwork Week</w:t>
            </w:r>
          </w:p>
        </w:tc>
      </w:tr>
      <w:tr w:rsidR="00BD56DE" w14:paraId="0304A867" w14:textId="77777777" w:rsidTr="00431068">
        <w:trPr>
          <w:trHeight w:val="34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634B9708"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5</w:t>
            </w:r>
          </w:p>
        </w:tc>
        <w:tc>
          <w:tcPr>
            <w:tcW w:w="1278" w:type="dxa"/>
            <w:tcBorders>
              <w:top w:val="nil"/>
              <w:left w:val="nil"/>
              <w:bottom w:val="single" w:sz="8" w:space="0" w:color="auto"/>
              <w:right w:val="single" w:sz="8" w:space="0" w:color="auto"/>
            </w:tcBorders>
            <w:shd w:val="clear" w:color="auto" w:fill="auto"/>
            <w:vAlign w:val="center"/>
            <w:hideMark/>
          </w:tcPr>
          <w:p w14:paraId="65EDF275"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29/10/2024</w:t>
            </w:r>
          </w:p>
        </w:tc>
        <w:tc>
          <w:tcPr>
            <w:tcW w:w="2105" w:type="dxa"/>
            <w:tcBorders>
              <w:top w:val="nil"/>
              <w:left w:val="nil"/>
              <w:bottom w:val="single" w:sz="8" w:space="0" w:color="auto"/>
              <w:right w:val="single" w:sz="8" w:space="0" w:color="auto"/>
            </w:tcBorders>
            <w:shd w:val="clear" w:color="auto" w:fill="auto"/>
            <w:vAlign w:val="center"/>
            <w:hideMark/>
          </w:tcPr>
          <w:p w14:paraId="747B6990"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Future strategies of sustainable policies</w:t>
            </w:r>
          </w:p>
        </w:tc>
        <w:tc>
          <w:tcPr>
            <w:tcW w:w="1984" w:type="dxa"/>
            <w:tcBorders>
              <w:top w:val="nil"/>
              <w:left w:val="nil"/>
              <w:bottom w:val="single" w:sz="8" w:space="0" w:color="auto"/>
              <w:right w:val="single" w:sz="8" w:space="0" w:color="auto"/>
            </w:tcBorders>
            <w:shd w:val="clear" w:color="auto" w:fill="auto"/>
            <w:vAlign w:val="center"/>
            <w:hideMark/>
          </w:tcPr>
          <w:p w14:paraId="3D8DAB34" w14:textId="0A84A2D4"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7EEDC753" w14:textId="1D675A96" w:rsidR="00BD56DE" w:rsidRDefault="00BD56DE" w:rsidP="00BD56DE">
            <w:pPr>
              <w:jc w:val="center"/>
              <w:rPr>
                <w:rFonts w:ascii="Calibri" w:hAnsi="Calibri" w:cs="Calibri"/>
                <w:b/>
                <w:bCs/>
                <w:color w:val="000000"/>
                <w:sz w:val="16"/>
                <w:szCs w:val="16"/>
              </w:rPr>
            </w:pPr>
          </w:p>
        </w:tc>
      </w:tr>
      <w:tr w:rsidR="00BD56DE" w14:paraId="0B99111F" w14:textId="77777777" w:rsidTr="00431068">
        <w:trPr>
          <w:trHeight w:val="34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64BD2499"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6</w:t>
            </w:r>
          </w:p>
        </w:tc>
        <w:tc>
          <w:tcPr>
            <w:tcW w:w="1278" w:type="dxa"/>
            <w:tcBorders>
              <w:top w:val="nil"/>
              <w:left w:val="nil"/>
              <w:bottom w:val="single" w:sz="8" w:space="0" w:color="auto"/>
              <w:right w:val="single" w:sz="8" w:space="0" w:color="auto"/>
            </w:tcBorders>
            <w:shd w:val="clear" w:color="auto" w:fill="auto"/>
            <w:vAlign w:val="center"/>
            <w:hideMark/>
          </w:tcPr>
          <w:p w14:paraId="4731EFBB"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05/11/2024</w:t>
            </w:r>
          </w:p>
        </w:tc>
        <w:tc>
          <w:tcPr>
            <w:tcW w:w="2105" w:type="dxa"/>
            <w:tcBorders>
              <w:top w:val="nil"/>
              <w:left w:val="nil"/>
              <w:bottom w:val="single" w:sz="8" w:space="0" w:color="auto"/>
              <w:right w:val="single" w:sz="8" w:space="0" w:color="auto"/>
            </w:tcBorders>
            <w:shd w:val="clear" w:color="auto" w:fill="auto"/>
            <w:vAlign w:val="center"/>
            <w:hideMark/>
          </w:tcPr>
          <w:p w14:paraId="61C6A3DC"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Introduction to planning</w:t>
            </w:r>
          </w:p>
        </w:tc>
        <w:tc>
          <w:tcPr>
            <w:tcW w:w="1984" w:type="dxa"/>
            <w:tcBorders>
              <w:top w:val="nil"/>
              <w:left w:val="nil"/>
              <w:bottom w:val="single" w:sz="8" w:space="0" w:color="auto"/>
              <w:right w:val="single" w:sz="8" w:space="0" w:color="auto"/>
            </w:tcBorders>
            <w:shd w:val="clear" w:color="auto" w:fill="auto"/>
            <w:vAlign w:val="center"/>
            <w:hideMark/>
          </w:tcPr>
          <w:p w14:paraId="1C892157" w14:textId="210AEF7B"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53D0C818" w14:textId="3B9203FF" w:rsidR="00BD56DE" w:rsidRDefault="00BD56DE" w:rsidP="00BD56DE">
            <w:pPr>
              <w:jc w:val="center"/>
              <w:rPr>
                <w:rFonts w:ascii="Calibri" w:hAnsi="Calibri" w:cs="Calibri"/>
                <w:b/>
                <w:bCs/>
                <w:color w:val="000000"/>
                <w:sz w:val="16"/>
                <w:szCs w:val="16"/>
              </w:rPr>
            </w:pPr>
          </w:p>
        </w:tc>
      </w:tr>
      <w:tr w:rsidR="00BD56DE" w14:paraId="5F6F3CBF" w14:textId="77777777" w:rsidTr="00431068">
        <w:trPr>
          <w:trHeight w:val="34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0A3281EB"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7</w:t>
            </w:r>
          </w:p>
        </w:tc>
        <w:tc>
          <w:tcPr>
            <w:tcW w:w="1278" w:type="dxa"/>
            <w:tcBorders>
              <w:top w:val="nil"/>
              <w:left w:val="nil"/>
              <w:bottom w:val="single" w:sz="8" w:space="0" w:color="auto"/>
              <w:right w:val="single" w:sz="8" w:space="0" w:color="auto"/>
            </w:tcBorders>
            <w:shd w:val="clear" w:color="auto" w:fill="auto"/>
            <w:vAlign w:val="center"/>
            <w:hideMark/>
          </w:tcPr>
          <w:p w14:paraId="4EAEDBED"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12/11/2024</w:t>
            </w:r>
          </w:p>
        </w:tc>
        <w:tc>
          <w:tcPr>
            <w:tcW w:w="2105" w:type="dxa"/>
            <w:tcBorders>
              <w:top w:val="nil"/>
              <w:left w:val="nil"/>
              <w:bottom w:val="single" w:sz="8" w:space="0" w:color="auto"/>
              <w:right w:val="single" w:sz="8" w:space="0" w:color="auto"/>
            </w:tcBorders>
            <w:shd w:val="clear" w:color="auto" w:fill="auto"/>
            <w:vAlign w:val="center"/>
            <w:hideMark/>
          </w:tcPr>
          <w:p w14:paraId="2537FED9"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Examples of practice</w:t>
            </w:r>
          </w:p>
        </w:tc>
        <w:tc>
          <w:tcPr>
            <w:tcW w:w="1984" w:type="dxa"/>
            <w:tcBorders>
              <w:top w:val="nil"/>
              <w:left w:val="nil"/>
              <w:bottom w:val="single" w:sz="8" w:space="0" w:color="auto"/>
              <w:right w:val="single" w:sz="8" w:space="0" w:color="auto"/>
            </w:tcBorders>
            <w:shd w:val="clear" w:color="auto" w:fill="auto"/>
            <w:vAlign w:val="center"/>
            <w:hideMark/>
          </w:tcPr>
          <w:p w14:paraId="703885F3" w14:textId="6BB01DF5"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4377A12E" w14:textId="5E7A356A" w:rsidR="00BD56DE" w:rsidRDefault="00BD56DE" w:rsidP="00BD56DE">
            <w:pPr>
              <w:jc w:val="center"/>
              <w:rPr>
                <w:rFonts w:ascii="Calibri" w:hAnsi="Calibri" w:cs="Calibri"/>
                <w:b/>
                <w:bCs/>
                <w:color w:val="000000"/>
                <w:sz w:val="16"/>
                <w:szCs w:val="16"/>
              </w:rPr>
            </w:pPr>
          </w:p>
        </w:tc>
      </w:tr>
      <w:tr w:rsidR="00BD56DE" w14:paraId="5BA24B5B" w14:textId="77777777" w:rsidTr="00431068">
        <w:trPr>
          <w:trHeight w:val="34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497A5FD3"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8</w:t>
            </w:r>
          </w:p>
        </w:tc>
        <w:tc>
          <w:tcPr>
            <w:tcW w:w="1278" w:type="dxa"/>
            <w:tcBorders>
              <w:top w:val="nil"/>
              <w:left w:val="nil"/>
              <w:bottom w:val="single" w:sz="8" w:space="0" w:color="auto"/>
              <w:right w:val="single" w:sz="8" w:space="0" w:color="auto"/>
            </w:tcBorders>
            <w:shd w:val="clear" w:color="auto" w:fill="auto"/>
            <w:vAlign w:val="center"/>
            <w:hideMark/>
          </w:tcPr>
          <w:p w14:paraId="76BB05D4"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19/11/2024</w:t>
            </w:r>
          </w:p>
        </w:tc>
        <w:tc>
          <w:tcPr>
            <w:tcW w:w="2105" w:type="dxa"/>
            <w:tcBorders>
              <w:top w:val="nil"/>
              <w:left w:val="nil"/>
              <w:bottom w:val="single" w:sz="8" w:space="0" w:color="auto"/>
              <w:right w:val="single" w:sz="8" w:space="0" w:color="auto"/>
            </w:tcBorders>
            <w:shd w:val="clear" w:color="auto" w:fill="auto"/>
            <w:vAlign w:val="center"/>
            <w:hideMark/>
          </w:tcPr>
          <w:p w14:paraId="7FDB9098"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Examples of marine environment</w:t>
            </w:r>
          </w:p>
        </w:tc>
        <w:tc>
          <w:tcPr>
            <w:tcW w:w="1984" w:type="dxa"/>
            <w:tcBorders>
              <w:top w:val="nil"/>
              <w:left w:val="nil"/>
              <w:bottom w:val="single" w:sz="8" w:space="0" w:color="auto"/>
              <w:right w:val="single" w:sz="8" w:space="0" w:color="auto"/>
            </w:tcBorders>
            <w:shd w:val="clear" w:color="auto" w:fill="auto"/>
            <w:vAlign w:val="center"/>
            <w:hideMark/>
          </w:tcPr>
          <w:p w14:paraId="25471DB8" w14:textId="116015A0"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344BD11E" w14:textId="2E2A671B" w:rsidR="00BD56DE" w:rsidRDefault="00BD56DE" w:rsidP="00BD56DE">
            <w:pPr>
              <w:jc w:val="center"/>
              <w:rPr>
                <w:rFonts w:ascii="Calibri" w:hAnsi="Calibri" w:cs="Calibri"/>
                <w:b/>
                <w:bCs/>
                <w:color w:val="000000"/>
                <w:sz w:val="16"/>
                <w:szCs w:val="16"/>
              </w:rPr>
            </w:pPr>
          </w:p>
        </w:tc>
      </w:tr>
      <w:tr w:rsidR="00BD56DE" w14:paraId="5D9AB35C" w14:textId="77777777" w:rsidTr="00431068">
        <w:trPr>
          <w:trHeight w:val="34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7C31CBA1"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9</w:t>
            </w:r>
          </w:p>
        </w:tc>
        <w:tc>
          <w:tcPr>
            <w:tcW w:w="1278" w:type="dxa"/>
            <w:tcBorders>
              <w:top w:val="nil"/>
              <w:left w:val="nil"/>
              <w:bottom w:val="single" w:sz="8" w:space="0" w:color="auto"/>
              <w:right w:val="single" w:sz="8" w:space="0" w:color="auto"/>
            </w:tcBorders>
            <w:shd w:val="clear" w:color="auto" w:fill="auto"/>
            <w:vAlign w:val="center"/>
            <w:hideMark/>
          </w:tcPr>
          <w:p w14:paraId="1D5DDD12"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26/11/2024</w:t>
            </w:r>
          </w:p>
        </w:tc>
        <w:tc>
          <w:tcPr>
            <w:tcW w:w="2105" w:type="dxa"/>
            <w:tcBorders>
              <w:top w:val="nil"/>
              <w:left w:val="nil"/>
              <w:bottom w:val="single" w:sz="8" w:space="0" w:color="auto"/>
              <w:right w:val="single" w:sz="8" w:space="0" w:color="auto"/>
            </w:tcBorders>
            <w:shd w:val="clear" w:color="auto" w:fill="auto"/>
            <w:vAlign w:val="center"/>
            <w:hideMark/>
          </w:tcPr>
          <w:p w14:paraId="34F6BF80"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Future planning strategies</w:t>
            </w:r>
          </w:p>
        </w:tc>
        <w:tc>
          <w:tcPr>
            <w:tcW w:w="1984" w:type="dxa"/>
            <w:tcBorders>
              <w:top w:val="nil"/>
              <w:left w:val="nil"/>
              <w:bottom w:val="single" w:sz="8" w:space="0" w:color="auto"/>
              <w:right w:val="single" w:sz="8" w:space="0" w:color="auto"/>
            </w:tcBorders>
            <w:shd w:val="clear" w:color="auto" w:fill="auto"/>
            <w:vAlign w:val="center"/>
            <w:hideMark/>
          </w:tcPr>
          <w:p w14:paraId="791D61AC" w14:textId="2BC23154"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7738EAF5" w14:textId="53EB3809" w:rsidR="00BD56DE" w:rsidRDefault="00BD56DE" w:rsidP="00BD56DE">
            <w:pPr>
              <w:jc w:val="center"/>
              <w:rPr>
                <w:rFonts w:ascii="Calibri" w:hAnsi="Calibri" w:cs="Calibri"/>
                <w:b/>
                <w:bCs/>
                <w:color w:val="000000"/>
                <w:sz w:val="16"/>
                <w:szCs w:val="16"/>
              </w:rPr>
            </w:pPr>
          </w:p>
        </w:tc>
      </w:tr>
      <w:tr w:rsidR="00BD56DE" w14:paraId="4306E548" w14:textId="77777777" w:rsidTr="00431068">
        <w:trPr>
          <w:trHeight w:val="34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12DFC217"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10</w:t>
            </w:r>
          </w:p>
        </w:tc>
        <w:tc>
          <w:tcPr>
            <w:tcW w:w="1278" w:type="dxa"/>
            <w:tcBorders>
              <w:top w:val="nil"/>
              <w:left w:val="nil"/>
              <w:bottom w:val="single" w:sz="8" w:space="0" w:color="auto"/>
              <w:right w:val="single" w:sz="8" w:space="0" w:color="auto"/>
            </w:tcBorders>
            <w:shd w:val="clear" w:color="auto" w:fill="auto"/>
            <w:vAlign w:val="center"/>
            <w:hideMark/>
          </w:tcPr>
          <w:p w14:paraId="2D25B4E3"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03/12/2024</w:t>
            </w:r>
          </w:p>
        </w:tc>
        <w:tc>
          <w:tcPr>
            <w:tcW w:w="2105" w:type="dxa"/>
            <w:tcBorders>
              <w:top w:val="nil"/>
              <w:left w:val="nil"/>
              <w:bottom w:val="single" w:sz="8" w:space="0" w:color="auto"/>
              <w:right w:val="single" w:sz="8" w:space="0" w:color="auto"/>
            </w:tcBorders>
            <w:shd w:val="clear" w:color="auto" w:fill="auto"/>
            <w:vAlign w:val="center"/>
            <w:hideMark/>
          </w:tcPr>
          <w:p w14:paraId="1A993BB6"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Coordination of environmental planning and policy</w:t>
            </w:r>
          </w:p>
        </w:tc>
        <w:tc>
          <w:tcPr>
            <w:tcW w:w="1984" w:type="dxa"/>
            <w:tcBorders>
              <w:top w:val="nil"/>
              <w:left w:val="nil"/>
              <w:bottom w:val="single" w:sz="8" w:space="0" w:color="auto"/>
              <w:right w:val="single" w:sz="8" w:space="0" w:color="auto"/>
            </w:tcBorders>
            <w:shd w:val="clear" w:color="auto" w:fill="auto"/>
            <w:vAlign w:val="center"/>
            <w:hideMark/>
          </w:tcPr>
          <w:p w14:paraId="03948764" w14:textId="01D186EB"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741ACBBC" w14:textId="5E318A16" w:rsidR="00BD56DE" w:rsidRDefault="00BD56DE" w:rsidP="00BD56DE">
            <w:pPr>
              <w:jc w:val="center"/>
              <w:rPr>
                <w:rFonts w:ascii="Calibri" w:hAnsi="Calibri" w:cs="Calibri"/>
                <w:b/>
                <w:bCs/>
                <w:color w:val="000000"/>
                <w:sz w:val="16"/>
                <w:szCs w:val="16"/>
              </w:rPr>
            </w:pPr>
          </w:p>
        </w:tc>
      </w:tr>
      <w:tr w:rsidR="00BD56DE" w14:paraId="4F365B55" w14:textId="77777777" w:rsidTr="00431068">
        <w:trPr>
          <w:trHeight w:val="34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7A96C9E7"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11</w:t>
            </w:r>
          </w:p>
        </w:tc>
        <w:tc>
          <w:tcPr>
            <w:tcW w:w="1278" w:type="dxa"/>
            <w:tcBorders>
              <w:top w:val="nil"/>
              <w:left w:val="nil"/>
              <w:bottom w:val="single" w:sz="8" w:space="0" w:color="auto"/>
              <w:right w:val="single" w:sz="8" w:space="0" w:color="auto"/>
            </w:tcBorders>
            <w:shd w:val="clear" w:color="auto" w:fill="auto"/>
            <w:vAlign w:val="center"/>
            <w:hideMark/>
          </w:tcPr>
          <w:p w14:paraId="05CC9F74"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10/12/2024</w:t>
            </w:r>
          </w:p>
        </w:tc>
        <w:tc>
          <w:tcPr>
            <w:tcW w:w="2105" w:type="dxa"/>
            <w:tcBorders>
              <w:top w:val="nil"/>
              <w:left w:val="nil"/>
              <w:bottom w:val="single" w:sz="8" w:space="0" w:color="auto"/>
              <w:right w:val="single" w:sz="8" w:space="0" w:color="auto"/>
            </w:tcBorders>
            <w:shd w:val="clear" w:color="auto" w:fill="auto"/>
            <w:vAlign w:val="center"/>
            <w:hideMark/>
          </w:tcPr>
          <w:p w14:paraId="160DD46C" w14:textId="73AF99C4"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Assignment clinic and policy communication</w:t>
            </w:r>
          </w:p>
        </w:tc>
        <w:tc>
          <w:tcPr>
            <w:tcW w:w="1984" w:type="dxa"/>
            <w:tcBorders>
              <w:top w:val="nil"/>
              <w:left w:val="nil"/>
              <w:bottom w:val="single" w:sz="8" w:space="0" w:color="auto"/>
              <w:right w:val="single" w:sz="8" w:space="0" w:color="auto"/>
            </w:tcBorders>
            <w:shd w:val="clear" w:color="auto" w:fill="auto"/>
            <w:vAlign w:val="center"/>
            <w:hideMark/>
          </w:tcPr>
          <w:p w14:paraId="2B9AFE50" w14:textId="2D8B47FC"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741B1D0C" w14:textId="53555ECB" w:rsidR="00BD56DE" w:rsidRDefault="00BD56DE" w:rsidP="00BD56DE">
            <w:pPr>
              <w:jc w:val="center"/>
              <w:rPr>
                <w:rFonts w:ascii="Calibri" w:hAnsi="Calibri" w:cs="Calibri"/>
                <w:b/>
                <w:bCs/>
                <w:color w:val="000000"/>
                <w:sz w:val="16"/>
                <w:szCs w:val="16"/>
              </w:rPr>
            </w:pPr>
          </w:p>
        </w:tc>
      </w:tr>
      <w:tr w:rsidR="00BD56DE" w14:paraId="2083A07E" w14:textId="77777777" w:rsidTr="00431068">
        <w:trPr>
          <w:trHeight w:val="113"/>
        </w:trPr>
        <w:tc>
          <w:tcPr>
            <w:tcW w:w="1012" w:type="dxa"/>
            <w:vMerge w:val="restart"/>
            <w:tcBorders>
              <w:top w:val="nil"/>
              <w:left w:val="single" w:sz="8" w:space="0" w:color="auto"/>
              <w:bottom w:val="single" w:sz="8" w:space="0" w:color="000000"/>
              <w:right w:val="single" w:sz="8" w:space="0" w:color="auto"/>
            </w:tcBorders>
            <w:shd w:val="clear" w:color="auto" w:fill="auto"/>
            <w:vAlign w:val="center"/>
            <w:hideMark/>
          </w:tcPr>
          <w:p w14:paraId="735A9D06" w14:textId="0D228032" w:rsidR="00BD56DE" w:rsidRDefault="00BD56DE" w:rsidP="00BD56DE">
            <w:pPr>
              <w:jc w:val="center"/>
              <w:rPr>
                <w:rFonts w:ascii="Calibri" w:hAnsi="Calibri" w:cs="Calibri"/>
                <w:color w:val="000000"/>
                <w:sz w:val="22"/>
                <w:szCs w:val="22"/>
              </w:rPr>
            </w:pPr>
          </w:p>
        </w:tc>
        <w:tc>
          <w:tcPr>
            <w:tcW w:w="1278" w:type="dxa"/>
            <w:tcBorders>
              <w:top w:val="nil"/>
              <w:left w:val="nil"/>
              <w:bottom w:val="single" w:sz="8" w:space="0" w:color="auto"/>
              <w:right w:val="single" w:sz="8" w:space="0" w:color="auto"/>
            </w:tcBorders>
            <w:shd w:val="clear" w:color="auto" w:fill="auto"/>
            <w:vAlign w:val="center"/>
            <w:hideMark/>
          </w:tcPr>
          <w:p w14:paraId="7646E484"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17/12/2024</w:t>
            </w:r>
          </w:p>
        </w:tc>
        <w:tc>
          <w:tcPr>
            <w:tcW w:w="6782" w:type="dxa"/>
            <w:gridSpan w:val="3"/>
            <w:vMerge w:val="restart"/>
            <w:tcBorders>
              <w:top w:val="nil"/>
              <w:left w:val="single" w:sz="8" w:space="0" w:color="auto"/>
              <w:bottom w:val="single" w:sz="8" w:space="0" w:color="000000"/>
              <w:right w:val="single" w:sz="8" w:space="0" w:color="000000"/>
            </w:tcBorders>
            <w:shd w:val="clear" w:color="000000" w:fill="D0CECE"/>
            <w:vAlign w:val="center"/>
            <w:hideMark/>
          </w:tcPr>
          <w:p w14:paraId="18B9872E" w14:textId="77777777" w:rsidR="00BD56DE" w:rsidRDefault="00BD56DE" w:rsidP="00BD56DE">
            <w:pPr>
              <w:jc w:val="center"/>
              <w:rPr>
                <w:rFonts w:ascii="Calibri" w:hAnsi="Calibri" w:cs="Calibri"/>
                <w:b/>
                <w:bCs/>
                <w:color w:val="000000"/>
                <w:sz w:val="22"/>
                <w:szCs w:val="22"/>
              </w:rPr>
            </w:pPr>
            <w:r>
              <w:rPr>
                <w:rFonts w:ascii="Calibri" w:hAnsi="Calibri" w:cs="Calibri"/>
                <w:b/>
                <w:bCs/>
                <w:color w:val="000000"/>
                <w:sz w:val="22"/>
                <w:szCs w:val="22"/>
              </w:rPr>
              <w:t>CHRISTMAS BREAK</w:t>
            </w:r>
          </w:p>
        </w:tc>
      </w:tr>
      <w:tr w:rsidR="00BD56DE" w14:paraId="31D96F79" w14:textId="77777777" w:rsidTr="00431068">
        <w:trPr>
          <w:trHeight w:val="227"/>
        </w:trPr>
        <w:tc>
          <w:tcPr>
            <w:tcW w:w="1012" w:type="dxa"/>
            <w:vMerge/>
            <w:tcBorders>
              <w:top w:val="nil"/>
              <w:left w:val="single" w:sz="8" w:space="0" w:color="auto"/>
              <w:bottom w:val="single" w:sz="8" w:space="0" w:color="000000"/>
              <w:right w:val="single" w:sz="8" w:space="0" w:color="auto"/>
            </w:tcBorders>
            <w:vAlign w:val="center"/>
            <w:hideMark/>
          </w:tcPr>
          <w:p w14:paraId="74B0BEC3" w14:textId="77777777" w:rsidR="00BD56DE" w:rsidRDefault="00BD56DE" w:rsidP="00BD56DE">
            <w:pPr>
              <w:jc w:val="center"/>
              <w:rPr>
                <w:rFonts w:ascii="Calibri" w:hAnsi="Calibri" w:cs="Calibri"/>
                <w:color w:val="000000"/>
                <w:sz w:val="22"/>
                <w:szCs w:val="22"/>
              </w:rPr>
            </w:pPr>
          </w:p>
        </w:tc>
        <w:tc>
          <w:tcPr>
            <w:tcW w:w="1278" w:type="dxa"/>
            <w:tcBorders>
              <w:top w:val="nil"/>
              <w:left w:val="nil"/>
              <w:bottom w:val="single" w:sz="8" w:space="0" w:color="auto"/>
              <w:right w:val="single" w:sz="8" w:space="0" w:color="auto"/>
            </w:tcBorders>
            <w:shd w:val="clear" w:color="auto" w:fill="auto"/>
            <w:vAlign w:val="center"/>
            <w:hideMark/>
          </w:tcPr>
          <w:p w14:paraId="3B933980"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24/12/2024</w:t>
            </w:r>
          </w:p>
        </w:tc>
        <w:tc>
          <w:tcPr>
            <w:tcW w:w="6782" w:type="dxa"/>
            <w:gridSpan w:val="3"/>
            <w:vMerge/>
            <w:tcBorders>
              <w:top w:val="nil"/>
              <w:left w:val="nil"/>
              <w:bottom w:val="single" w:sz="8" w:space="0" w:color="auto"/>
              <w:right w:val="single" w:sz="8" w:space="0" w:color="auto"/>
            </w:tcBorders>
            <w:vAlign w:val="center"/>
            <w:hideMark/>
          </w:tcPr>
          <w:p w14:paraId="1A11A451" w14:textId="77777777" w:rsidR="00BD56DE" w:rsidRDefault="00BD56DE" w:rsidP="00BD56DE">
            <w:pPr>
              <w:jc w:val="center"/>
              <w:rPr>
                <w:rFonts w:ascii="Calibri" w:hAnsi="Calibri" w:cs="Calibri"/>
                <w:b/>
                <w:bCs/>
                <w:color w:val="000000"/>
                <w:sz w:val="22"/>
                <w:szCs w:val="22"/>
              </w:rPr>
            </w:pPr>
          </w:p>
        </w:tc>
      </w:tr>
      <w:tr w:rsidR="00BD56DE" w14:paraId="59909789" w14:textId="77777777" w:rsidTr="00431068">
        <w:trPr>
          <w:trHeight w:val="227"/>
        </w:trPr>
        <w:tc>
          <w:tcPr>
            <w:tcW w:w="1012" w:type="dxa"/>
            <w:vMerge/>
            <w:tcBorders>
              <w:top w:val="nil"/>
              <w:left w:val="single" w:sz="8" w:space="0" w:color="auto"/>
              <w:bottom w:val="single" w:sz="8" w:space="0" w:color="000000"/>
              <w:right w:val="single" w:sz="8" w:space="0" w:color="auto"/>
            </w:tcBorders>
            <w:vAlign w:val="center"/>
            <w:hideMark/>
          </w:tcPr>
          <w:p w14:paraId="7D9649B3" w14:textId="77777777" w:rsidR="00BD56DE" w:rsidRDefault="00BD56DE" w:rsidP="00BD56DE">
            <w:pPr>
              <w:jc w:val="center"/>
              <w:rPr>
                <w:rFonts w:ascii="Calibri" w:hAnsi="Calibri" w:cs="Calibri"/>
                <w:color w:val="000000"/>
                <w:sz w:val="22"/>
                <w:szCs w:val="22"/>
              </w:rPr>
            </w:pPr>
          </w:p>
        </w:tc>
        <w:tc>
          <w:tcPr>
            <w:tcW w:w="1278" w:type="dxa"/>
            <w:tcBorders>
              <w:top w:val="nil"/>
              <w:left w:val="nil"/>
              <w:bottom w:val="single" w:sz="8" w:space="0" w:color="auto"/>
              <w:right w:val="single" w:sz="8" w:space="0" w:color="auto"/>
            </w:tcBorders>
            <w:shd w:val="clear" w:color="auto" w:fill="auto"/>
            <w:vAlign w:val="center"/>
            <w:hideMark/>
          </w:tcPr>
          <w:p w14:paraId="09964294"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31/12/2024</w:t>
            </w:r>
          </w:p>
        </w:tc>
        <w:tc>
          <w:tcPr>
            <w:tcW w:w="6782" w:type="dxa"/>
            <w:gridSpan w:val="3"/>
            <w:vMerge/>
            <w:tcBorders>
              <w:top w:val="nil"/>
              <w:left w:val="nil"/>
              <w:bottom w:val="single" w:sz="8" w:space="0" w:color="auto"/>
              <w:right w:val="single" w:sz="8" w:space="0" w:color="auto"/>
            </w:tcBorders>
            <w:vAlign w:val="center"/>
            <w:hideMark/>
          </w:tcPr>
          <w:p w14:paraId="6484E6A1" w14:textId="77777777" w:rsidR="00BD56DE" w:rsidRDefault="00BD56DE" w:rsidP="00BD56DE">
            <w:pPr>
              <w:jc w:val="center"/>
              <w:rPr>
                <w:rFonts w:ascii="Calibri" w:hAnsi="Calibri" w:cs="Calibri"/>
                <w:b/>
                <w:bCs/>
                <w:color w:val="000000"/>
                <w:sz w:val="22"/>
                <w:szCs w:val="22"/>
              </w:rPr>
            </w:pPr>
          </w:p>
        </w:tc>
      </w:tr>
      <w:tr w:rsidR="00BD56DE" w14:paraId="36D2B78C" w14:textId="77777777" w:rsidTr="00BD56DE">
        <w:trPr>
          <w:trHeight w:val="60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1B1255F0"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lastRenderedPageBreak/>
              <w:t>12</w:t>
            </w:r>
          </w:p>
        </w:tc>
        <w:tc>
          <w:tcPr>
            <w:tcW w:w="1278" w:type="dxa"/>
            <w:tcBorders>
              <w:top w:val="nil"/>
              <w:left w:val="nil"/>
              <w:bottom w:val="single" w:sz="8" w:space="0" w:color="auto"/>
              <w:right w:val="single" w:sz="8" w:space="0" w:color="auto"/>
            </w:tcBorders>
            <w:shd w:val="clear" w:color="auto" w:fill="auto"/>
            <w:vAlign w:val="center"/>
            <w:hideMark/>
          </w:tcPr>
          <w:p w14:paraId="297792A2"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07/01/2025</w:t>
            </w:r>
          </w:p>
        </w:tc>
        <w:tc>
          <w:tcPr>
            <w:tcW w:w="2105" w:type="dxa"/>
            <w:tcBorders>
              <w:top w:val="nil"/>
              <w:left w:val="nil"/>
              <w:bottom w:val="single" w:sz="8" w:space="0" w:color="auto"/>
              <w:right w:val="single" w:sz="8" w:space="0" w:color="auto"/>
            </w:tcBorders>
            <w:shd w:val="clear" w:color="auto" w:fill="auto"/>
            <w:vAlign w:val="center"/>
            <w:hideMark/>
          </w:tcPr>
          <w:p w14:paraId="6B411E66"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Sustainable urban planning</w:t>
            </w:r>
          </w:p>
        </w:tc>
        <w:tc>
          <w:tcPr>
            <w:tcW w:w="1984" w:type="dxa"/>
            <w:tcBorders>
              <w:top w:val="nil"/>
              <w:left w:val="nil"/>
              <w:bottom w:val="single" w:sz="8" w:space="0" w:color="auto"/>
              <w:right w:val="single" w:sz="8" w:space="0" w:color="auto"/>
            </w:tcBorders>
            <w:shd w:val="clear" w:color="auto" w:fill="auto"/>
            <w:vAlign w:val="center"/>
            <w:hideMark/>
          </w:tcPr>
          <w:p w14:paraId="3C382F2F" w14:textId="7F9CA799" w:rsidR="00BD56DE" w:rsidRDefault="00BD56DE" w:rsidP="00BD56DE">
            <w:pPr>
              <w:jc w:val="center"/>
              <w:rPr>
                <w:rFonts w:ascii="Calibri" w:hAnsi="Calibri" w:cs="Calibri"/>
                <w:b/>
                <w:bCs/>
                <w:color w:val="000000"/>
                <w:sz w:val="16"/>
                <w:szCs w:val="16"/>
              </w:rPr>
            </w:pPr>
          </w:p>
        </w:tc>
        <w:tc>
          <w:tcPr>
            <w:tcW w:w="2693" w:type="dxa"/>
            <w:tcBorders>
              <w:top w:val="nil"/>
              <w:left w:val="nil"/>
              <w:bottom w:val="single" w:sz="8" w:space="0" w:color="auto"/>
              <w:right w:val="single" w:sz="8" w:space="0" w:color="auto"/>
            </w:tcBorders>
            <w:shd w:val="clear" w:color="auto" w:fill="auto"/>
            <w:vAlign w:val="center"/>
            <w:hideMark/>
          </w:tcPr>
          <w:p w14:paraId="5276E8ED" w14:textId="77777777" w:rsidR="00BD56DE" w:rsidRDefault="00BD56DE" w:rsidP="00BD56DE">
            <w:pPr>
              <w:jc w:val="center"/>
              <w:rPr>
                <w:rFonts w:ascii="Calibri" w:hAnsi="Calibri" w:cs="Calibri"/>
                <w:b/>
                <w:bCs/>
                <w:color w:val="000000"/>
                <w:sz w:val="16"/>
                <w:szCs w:val="16"/>
              </w:rPr>
            </w:pPr>
            <w:r>
              <w:rPr>
                <w:rFonts w:ascii="Calibri" w:hAnsi="Calibri" w:cs="Calibri"/>
                <w:b/>
                <w:bCs/>
                <w:color w:val="000000"/>
                <w:sz w:val="16"/>
                <w:szCs w:val="16"/>
              </w:rPr>
              <w:t>Wed 8th January</w:t>
            </w:r>
            <w:r>
              <w:rPr>
                <w:rFonts w:ascii="Calibri" w:hAnsi="Calibri" w:cs="Calibri"/>
                <w:b/>
                <w:bCs/>
                <w:color w:val="000000"/>
                <w:sz w:val="16"/>
                <w:szCs w:val="16"/>
              </w:rPr>
              <w:br/>
              <w:t xml:space="preserve">CW1 submission </w:t>
            </w:r>
            <w:r>
              <w:rPr>
                <w:rFonts w:ascii="Calibri" w:hAnsi="Calibri" w:cs="Calibri"/>
                <w:b/>
                <w:bCs/>
                <w:color w:val="000000"/>
                <w:sz w:val="16"/>
                <w:szCs w:val="16"/>
              </w:rPr>
              <w:br/>
              <w:t>(EIA critique report)</w:t>
            </w:r>
          </w:p>
        </w:tc>
      </w:tr>
      <w:tr w:rsidR="00BD56DE" w14:paraId="1EF4A10F" w14:textId="77777777" w:rsidTr="00BD56DE">
        <w:trPr>
          <w:trHeight w:val="60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4CD83B78"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13</w:t>
            </w:r>
          </w:p>
        </w:tc>
        <w:tc>
          <w:tcPr>
            <w:tcW w:w="1278" w:type="dxa"/>
            <w:tcBorders>
              <w:top w:val="nil"/>
              <w:left w:val="nil"/>
              <w:bottom w:val="single" w:sz="8" w:space="0" w:color="auto"/>
              <w:right w:val="single" w:sz="8" w:space="0" w:color="auto"/>
            </w:tcBorders>
            <w:shd w:val="clear" w:color="auto" w:fill="auto"/>
            <w:vAlign w:val="center"/>
            <w:hideMark/>
          </w:tcPr>
          <w:p w14:paraId="1E6E3A9F"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14/01/2025</w:t>
            </w:r>
          </w:p>
        </w:tc>
        <w:tc>
          <w:tcPr>
            <w:tcW w:w="2105" w:type="dxa"/>
            <w:tcBorders>
              <w:top w:val="nil"/>
              <w:left w:val="nil"/>
              <w:bottom w:val="nil"/>
              <w:right w:val="single" w:sz="8" w:space="0" w:color="auto"/>
            </w:tcBorders>
            <w:shd w:val="clear" w:color="auto" w:fill="auto"/>
            <w:vAlign w:val="center"/>
            <w:hideMark/>
          </w:tcPr>
          <w:p w14:paraId="05CB98F1"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Conference preparation</w:t>
            </w:r>
          </w:p>
        </w:tc>
        <w:tc>
          <w:tcPr>
            <w:tcW w:w="1984" w:type="dxa"/>
            <w:tcBorders>
              <w:top w:val="nil"/>
              <w:left w:val="nil"/>
              <w:bottom w:val="nil"/>
              <w:right w:val="single" w:sz="8" w:space="0" w:color="auto"/>
            </w:tcBorders>
            <w:shd w:val="clear" w:color="auto" w:fill="auto"/>
            <w:vAlign w:val="center"/>
            <w:hideMark/>
          </w:tcPr>
          <w:p w14:paraId="6EB70B59" w14:textId="37D68395" w:rsidR="00BD56DE" w:rsidRDefault="00BD56DE" w:rsidP="00BD56DE">
            <w:pPr>
              <w:jc w:val="center"/>
              <w:rPr>
                <w:rFonts w:ascii="Calibri" w:hAnsi="Calibri" w:cs="Calibri"/>
                <w:b/>
                <w:bCs/>
                <w:color w:val="000000"/>
                <w:sz w:val="22"/>
                <w:szCs w:val="22"/>
              </w:rPr>
            </w:pPr>
          </w:p>
        </w:tc>
        <w:tc>
          <w:tcPr>
            <w:tcW w:w="2693" w:type="dxa"/>
            <w:tcBorders>
              <w:top w:val="nil"/>
              <w:left w:val="nil"/>
              <w:bottom w:val="nil"/>
              <w:right w:val="single" w:sz="8" w:space="0" w:color="auto"/>
            </w:tcBorders>
            <w:shd w:val="clear" w:color="auto" w:fill="auto"/>
            <w:vAlign w:val="center"/>
            <w:hideMark/>
          </w:tcPr>
          <w:p w14:paraId="7F3B3F34" w14:textId="3B82AD4B" w:rsidR="00BD56DE" w:rsidRDefault="00BD56DE" w:rsidP="00BD56DE">
            <w:pPr>
              <w:jc w:val="center"/>
              <w:rPr>
                <w:rFonts w:ascii="Calibri" w:hAnsi="Calibri" w:cs="Calibri"/>
                <w:b/>
                <w:bCs/>
                <w:color w:val="000000"/>
                <w:sz w:val="16"/>
                <w:szCs w:val="16"/>
              </w:rPr>
            </w:pPr>
          </w:p>
        </w:tc>
      </w:tr>
      <w:tr w:rsidR="00BD56DE" w14:paraId="31EF309F" w14:textId="77777777" w:rsidTr="00BD56DE">
        <w:trPr>
          <w:trHeight w:val="600"/>
        </w:trPr>
        <w:tc>
          <w:tcPr>
            <w:tcW w:w="1012" w:type="dxa"/>
            <w:tcBorders>
              <w:top w:val="nil"/>
              <w:left w:val="single" w:sz="8" w:space="0" w:color="auto"/>
              <w:bottom w:val="single" w:sz="8" w:space="0" w:color="auto"/>
              <w:right w:val="single" w:sz="8" w:space="0" w:color="auto"/>
            </w:tcBorders>
            <w:shd w:val="clear" w:color="auto" w:fill="auto"/>
            <w:vAlign w:val="center"/>
            <w:hideMark/>
          </w:tcPr>
          <w:p w14:paraId="29D376F8"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14</w:t>
            </w:r>
          </w:p>
        </w:tc>
        <w:tc>
          <w:tcPr>
            <w:tcW w:w="1278" w:type="dxa"/>
            <w:tcBorders>
              <w:top w:val="nil"/>
              <w:left w:val="nil"/>
              <w:bottom w:val="single" w:sz="8" w:space="0" w:color="auto"/>
              <w:right w:val="nil"/>
            </w:tcBorders>
            <w:shd w:val="clear" w:color="auto" w:fill="auto"/>
            <w:vAlign w:val="center"/>
            <w:hideMark/>
          </w:tcPr>
          <w:p w14:paraId="3087DC9D" w14:textId="77777777" w:rsidR="00BD56DE" w:rsidRDefault="00BD56DE" w:rsidP="00BD56DE">
            <w:pPr>
              <w:jc w:val="center"/>
              <w:rPr>
                <w:rFonts w:ascii="Calibri" w:hAnsi="Calibri" w:cs="Calibri"/>
                <w:color w:val="000000"/>
                <w:sz w:val="22"/>
                <w:szCs w:val="22"/>
              </w:rPr>
            </w:pPr>
            <w:r>
              <w:rPr>
                <w:rFonts w:ascii="Calibri" w:hAnsi="Calibri" w:cs="Calibri"/>
                <w:color w:val="000000"/>
                <w:sz w:val="22"/>
                <w:szCs w:val="22"/>
              </w:rPr>
              <w:t>21/01/2025</w:t>
            </w:r>
          </w:p>
        </w:tc>
        <w:tc>
          <w:tcPr>
            <w:tcW w:w="2105"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72748AD" w14:textId="77777777" w:rsidR="00BD56DE" w:rsidRDefault="00BD56DE" w:rsidP="00BD56DE">
            <w:pPr>
              <w:jc w:val="center"/>
              <w:rPr>
                <w:rFonts w:ascii="Calibri" w:hAnsi="Calibri" w:cs="Calibri"/>
                <w:color w:val="000000"/>
                <w:sz w:val="16"/>
                <w:szCs w:val="16"/>
              </w:rPr>
            </w:pPr>
            <w:r>
              <w:rPr>
                <w:rFonts w:ascii="Calibri" w:hAnsi="Calibri" w:cs="Calibri"/>
                <w:color w:val="000000"/>
                <w:sz w:val="16"/>
                <w:szCs w:val="16"/>
              </w:rPr>
              <w:t>Conference presentation</w:t>
            </w:r>
          </w:p>
        </w:tc>
        <w:tc>
          <w:tcPr>
            <w:tcW w:w="1984" w:type="dxa"/>
            <w:tcBorders>
              <w:top w:val="single" w:sz="8" w:space="0" w:color="auto"/>
              <w:left w:val="nil"/>
              <w:bottom w:val="single" w:sz="8" w:space="0" w:color="auto"/>
              <w:right w:val="single" w:sz="8" w:space="0" w:color="auto"/>
            </w:tcBorders>
            <w:shd w:val="clear" w:color="auto" w:fill="auto"/>
            <w:vAlign w:val="center"/>
            <w:hideMark/>
          </w:tcPr>
          <w:p w14:paraId="691C0649" w14:textId="1F3ED8A3" w:rsidR="00BD56DE" w:rsidRDefault="00BD56DE" w:rsidP="00BD56DE">
            <w:pPr>
              <w:jc w:val="center"/>
              <w:rPr>
                <w:rFonts w:ascii="Calibri" w:hAnsi="Calibri" w:cs="Calibri"/>
                <w:b/>
                <w:bCs/>
                <w:color w:val="000000"/>
                <w:sz w:val="22"/>
                <w:szCs w:val="22"/>
              </w:rPr>
            </w:pPr>
          </w:p>
        </w:tc>
        <w:tc>
          <w:tcPr>
            <w:tcW w:w="2693" w:type="dxa"/>
            <w:tcBorders>
              <w:top w:val="single" w:sz="8" w:space="0" w:color="auto"/>
              <w:left w:val="nil"/>
              <w:bottom w:val="single" w:sz="8" w:space="0" w:color="auto"/>
              <w:right w:val="single" w:sz="8" w:space="0" w:color="auto"/>
            </w:tcBorders>
            <w:shd w:val="clear" w:color="auto" w:fill="auto"/>
            <w:vAlign w:val="center"/>
            <w:hideMark/>
          </w:tcPr>
          <w:p w14:paraId="732A1EDE" w14:textId="77777777" w:rsidR="00BD56DE" w:rsidRDefault="00BD56DE" w:rsidP="00BD56DE">
            <w:pPr>
              <w:jc w:val="center"/>
              <w:rPr>
                <w:rFonts w:ascii="Calibri" w:hAnsi="Calibri" w:cs="Calibri"/>
                <w:b/>
                <w:bCs/>
                <w:color w:val="000000"/>
                <w:sz w:val="16"/>
                <w:szCs w:val="16"/>
              </w:rPr>
            </w:pPr>
            <w:r>
              <w:rPr>
                <w:rFonts w:ascii="Calibri" w:hAnsi="Calibri" w:cs="Calibri"/>
                <w:b/>
                <w:bCs/>
                <w:color w:val="000000"/>
                <w:sz w:val="16"/>
                <w:szCs w:val="16"/>
              </w:rPr>
              <w:t>Tuesday 21st January</w:t>
            </w:r>
            <w:r>
              <w:rPr>
                <w:rFonts w:ascii="Calibri" w:hAnsi="Calibri" w:cs="Calibri"/>
                <w:b/>
                <w:bCs/>
                <w:color w:val="000000"/>
                <w:sz w:val="16"/>
                <w:szCs w:val="16"/>
              </w:rPr>
              <w:br/>
              <w:t>CW2 presentation</w:t>
            </w:r>
            <w:r>
              <w:rPr>
                <w:rFonts w:ascii="Calibri" w:hAnsi="Calibri" w:cs="Calibri"/>
                <w:b/>
                <w:bCs/>
                <w:color w:val="000000"/>
                <w:sz w:val="16"/>
                <w:szCs w:val="16"/>
              </w:rPr>
              <w:br/>
              <w:t>(EIA Conference presentation)</w:t>
            </w:r>
          </w:p>
        </w:tc>
      </w:tr>
    </w:tbl>
    <w:p w14:paraId="72992805" w14:textId="77777777" w:rsidR="007A724E" w:rsidRDefault="007A724E" w:rsidP="005213B4"/>
    <w:p w14:paraId="25A10E76" w14:textId="77777777" w:rsidR="00FA5D30" w:rsidRDefault="00FA5D30" w:rsidP="005213B4"/>
    <w:p w14:paraId="02E895DA" w14:textId="77777777" w:rsidR="00FA5D30" w:rsidRDefault="00FA5D30" w:rsidP="00D16612">
      <w:pPr>
        <w:pStyle w:val="Heading3"/>
      </w:pPr>
      <w:r>
        <w:t xml:space="preserve">BIBLIOGRAPHY </w:t>
      </w:r>
    </w:p>
    <w:p w14:paraId="5FA4352B" w14:textId="388E8E2F" w:rsidR="00FA5D30" w:rsidRDefault="00FA5D30" w:rsidP="00D16612">
      <w:pPr>
        <w:pStyle w:val="Heading4"/>
      </w:pPr>
      <w:r>
        <w:t xml:space="preserve">Essential </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0"/>
        <w:gridCol w:w="4900"/>
      </w:tblGrid>
      <w:tr w:rsidR="00A722C0" w:rsidRPr="00A722C0" w14:paraId="31ED806D" w14:textId="77777777" w:rsidTr="00A722C0">
        <w:trPr>
          <w:trHeight w:val="580"/>
        </w:trPr>
        <w:tc>
          <w:tcPr>
            <w:tcW w:w="3600" w:type="dxa"/>
            <w:shd w:val="clear" w:color="auto" w:fill="auto"/>
            <w:vAlign w:val="center"/>
            <w:hideMark/>
          </w:tcPr>
          <w:p w14:paraId="734D4001"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proofErr w:type="spellStart"/>
            <w:r w:rsidRPr="00A722C0">
              <w:rPr>
                <w:rFonts w:ascii="Calibri" w:eastAsia="Times New Roman" w:hAnsi="Calibri" w:cs="Calibri"/>
                <w:color w:val="000000"/>
                <w:kern w:val="0"/>
                <w:sz w:val="22"/>
                <w:szCs w:val="22"/>
                <w14:ligatures w14:val="none"/>
              </w:rPr>
              <w:t>Dibie</w:t>
            </w:r>
            <w:proofErr w:type="spellEnd"/>
            <w:r w:rsidRPr="00A722C0">
              <w:rPr>
                <w:rFonts w:ascii="Calibri" w:eastAsia="Times New Roman" w:hAnsi="Calibri" w:cs="Calibri"/>
                <w:color w:val="000000"/>
                <w:kern w:val="0"/>
                <w:sz w:val="22"/>
                <w:szCs w:val="22"/>
                <w14:ligatures w14:val="none"/>
              </w:rPr>
              <w:t>, R.A. (2014)</w:t>
            </w:r>
          </w:p>
        </w:tc>
        <w:tc>
          <w:tcPr>
            <w:tcW w:w="4900" w:type="dxa"/>
            <w:shd w:val="clear" w:color="auto" w:fill="auto"/>
            <w:vAlign w:val="center"/>
            <w:hideMark/>
          </w:tcPr>
          <w:p w14:paraId="759D630A"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Comparative perspectives on environmental policies and issues. Sage, London.</w:t>
            </w:r>
          </w:p>
        </w:tc>
      </w:tr>
      <w:tr w:rsidR="00A722C0" w:rsidRPr="00A722C0" w14:paraId="637841C6" w14:textId="77777777" w:rsidTr="00A722C0">
        <w:trPr>
          <w:trHeight w:val="290"/>
        </w:trPr>
        <w:tc>
          <w:tcPr>
            <w:tcW w:w="3600" w:type="dxa"/>
            <w:shd w:val="clear" w:color="auto" w:fill="auto"/>
            <w:vAlign w:val="center"/>
            <w:hideMark/>
          </w:tcPr>
          <w:p w14:paraId="7F64B0EF"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Elden, S. (2011)</w:t>
            </w:r>
          </w:p>
        </w:tc>
        <w:tc>
          <w:tcPr>
            <w:tcW w:w="4900" w:type="dxa"/>
            <w:shd w:val="clear" w:color="auto" w:fill="auto"/>
            <w:vAlign w:val="center"/>
            <w:hideMark/>
          </w:tcPr>
          <w:p w14:paraId="54E4AAC6"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 and planning (5 volumes) Sage: London</w:t>
            </w:r>
          </w:p>
        </w:tc>
      </w:tr>
      <w:tr w:rsidR="00A722C0" w:rsidRPr="00A722C0" w14:paraId="1B1E7A3B" w14:textId="77777777" w:rsidTr="00A722C0">
        <w:trPr>
          <w:trHeight w:val="580"/>
        </w:trPr>
        <w:tc>
          <w:tcPr>
            <w:tcW w:w="3600" w:type="dxa"/>
            <w:shd w:val="clear" w:color="auto" w:fill="auto"/>
            <w:vAlign w:val="center"/>
            <w:hideMark/>
          </w:tcPr>
          <w:p w14:paraId="17802C96"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George, C. &amp; Kirkpatrick (2007)</w:t>
            </w:r>
          </w:p>
        </w:tc>
        <w:tc>
          <w:tcPr>
            <w:tcW w:w="4900" w:type="dxa"/>
            <w:shd w:val="clear" w:color="auto" w:fill="auto"/>
            <w:vAlign w:val="center"/>
            <w:hideMark/>
          </w:tcPr>
          <w:p w14:paraId="2B3B404C"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Impact assessment and sustainable development Elgar: Cheltenham</w:t>
            </w:r>
          </w:p>
        </w:tc>
      </w:tr>
      <w:tr w:rsidR="00A722C0" w:rsidRPr="00A722C0" w14:paraId="6BBF0E46" w14:textId="77777777" w:rsidTr="00A722C0">
        <w:trPr>
          <w:trHeight w:val="870"/>
        </w:trPr>
        <w:tc>
          <w:tcPr>
            <w:tcW w:w="3600" w:type="dxa"/>
            <w:shd w:val="clear" w:color="auto" w:fill="auto"/>
            <w:vAlign w:val="center"/>
            <w:hideMark/>
          </w:tcPr>
          <w:p w14:paraId="7B43DC02"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 xml:space="preserve">Giampietro, M., Aspinall, R.J., Ramos-Martin, J. &amp; </w:t>
            </w:r>
            <w:proofErr w:type="spellStart"/>
            <w:r w:rsidRPr="00A722C0">
              <w:rPr>
                <w:rFonts w:ascii="Calibri" w:eastAsia="Times New Roman" w:hAnsi="Calibri" w:cs="Calibri"/>
                <w:color w:val="000000"/>
                <w:kern w:val="0"/>
                <w:sz w:val="22"/>
                <w:szCs w:val="22"/>
                <w14:ligatures w14:val="none"/>
              </w:rPr>
              <w:t>Bukkens</w:t>
            </w:r>
            <w:proofErr w:type="spellEnd"/>
            <w:r w:rsidRPr="00A722C0">
              <w:rPr>
                <w:rFonts w:ascii="Calibri" w:eastAsia="Times New Roman" w:hAnsi="Calibri" w:cs="Calibri"/>
                <w:color w:val="000000"/>
                <w:kern w:val="0"/>
                <w:sz w:val="22"/>
                <w:szCs w:val="22"/>
                <w14:ligatures w14:val="none"/>
              </w:rPr>
              <w:t>, S. (2014)</w:t>
            </w:r>
          </w:p>
        </w:tc>
        <w:tc>
          <w:tcPr>
            <w:tcW w:w="4900" w:type="dxa"/>
            <w:shd w:val="clear" w:color="auto" w:fill="auto"/>
            <w:vAlign w:val="center"/>
            <w:hideMark/>
          </w:tcPr>
          <w:p w14:paraId="755C29DE"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Resource accounting for sustainability Assessment. Routledge, London.</w:t>
            </w:r>
          </w:p>
        </w:tc>
      </w:tr>
      <w:tr w:rsidR="00A722C0" w:rsidRPr="00A722C0" w14:paraId="30DF5C01" w14:textId="77777777" w:rsidTr="00A722C0">
        <w:trPr>
          <w:trHeight w:val="580"/>
        </w:trPr>
        <w:tc>
          <w:tcPr>
            <w:tcW w:w="3600" w:type="dxa"/>
            <w:shd w:val="clear" w:color="auto" w:fill="auto"/>
            <w:vAlign w:val="center"/>
            <w:hideMark/>
          </w:tcPr>
          <w:p w14:paraId="1B939189"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 xml:space="preserve">Glasson, J., </w:t>
            </w:r>
            <w:proofErr w:type="spellStart"/>
            <w:r w:rsidRPr="00A722C0">
              <w:rPr>
                <w:rFonts w:ascii="Calibri" w:eastAsia="Times New Roman" w:hAnsi="Calibri" w:cs="Calibri"/>
                <w:color w:val="000000"/>
                <w:kern w:val="0"/>
                <w:sz w:val="22"/>
                <w:szCs w:val="22"/>
                <w14:ligatures w14:val="none"/>
              </w:rPr>
              <w:t>Therivèl</w:t>
            </w:r>
            <w:proofErr w:type="spellEnd"/>
            <w:r w:rsidRPr="00A722C0">
              <w:rPr>
                <w:rFonts w:ascii="Calibri" w:eastAsia="Times New Roman" w:hAnsi="Calibri" w:cs="Calibri"/>
                <w:color w:val="000000"/>
                <w:kern w:val="0"/>
                <w:sz w:val="22"/>
                <w:szCs w:val="22"/>
                <w14:ligatures w14:val="none"/>
              </w:rPr>
              <w:t>, R., (2013)</w:t>
            </w:r>
          </w:p>
        </w:tc>
        <w:tc>
          <w:tcPr>
            <w:tcW w:w="4900" w:type="dxa"/>
            <w:shd w:val="clear" w:color="auto" w:fill="auto"/>
            <w:vAlign w:val="center"/>
            <w:hideMark/>
          </w:tcPr>
          <w:p w14:paraId="07430339"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Introduction to Environmental Impact Assessment. Routledge.</w:t>
            </w:r>
          </w:p>
        </w:tc>
      </w:tr>
      <w:tr w:rsidR="00A722C0" w:rsidRPr="00A722C0" w14:paraId="5AF41FF8" w14:textId="77777777" w:rsidTr="00A722C0">
        <w:trPr>
          <w:trHeight w:val="290"/>
        </w:trPr>
        <w:tc>
          <w:tcPr>
            <w:tcW w:w="3600" w:type="dxa"/>
            <w:shd w:val="clear" w:color="auto" w:fill="auto"/>
            <w:vAlign w:val="center"/>
            <w:hideMark/>
          </w:tcPr>
          <w:p w14:paraId="03D951FB"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Chadwick, A. (2012)</w:t>
            </w:r>
          </w:p>
        </w:tc>
        <w:tc>
          <w:tcPr>
            <w:tcW w:w="4900" w:type="dxa"/>
            <w:shd w:val="clear" w:color="auto" w:fill="auto"/>
            <w:vAlign w:val="center"/>
            <w:hideMark/>
          </w:tcPr>
          <w:p w14:paraId="432AC5D4"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Assessment (2nd Edition). UCL Press, London.</w:t>
            </w:r>
          </w:p>
        </w:tc>
      </w:tr>
      <w:tr w:rsidR="00A722C0" w:rsidRPr="00A722C0" w14:paraId="5CA3D7E4" w14:textId="77777777" w:rsidTr="00A722C0">
        <w:trPr>
          <w:trHeight w:val="580"/>
        </w:trPr>
        <w:tc>
          <w:tcPr>
            <w:tcW w:w="3600" w:type="dxa"/>
            <w:shd w:val="clear" w:color="auto" w:fill="auto"/>
            <w:vAlign w:val="center"/>
            <w:hideMark/>
          </w:tcPr>
          <w:p w14:paraId="627B51A5"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Hawke, N. (2002)</w:t>
            </w:r>
          </w:p>
        </w:tc>
        <w:tc>
          <w:tcPr>
            <w:tcW w:w="4900" w:type="dxa"/>
            <w:shd w:val="clear" w:color="auto" w:fill="auto"/>
            <w:vAlign w:val="center"/>
            <w:hideMark/>
          </w:tcPr>
          <w:p w14:paraId="2FF81E01"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Environmental Policy: Implementation and enforcement Aldershot, Ashgate</w:t>
            </w:r>
          </w:p>
        </w:tc>
      </w:tr>
      <w:tr w:rsidR="00A722C0" w:rsidRPr="00A722C0" w14:paraId="682583E3" w14:textId="77777777" w:rsidTr="00A722C0">
        <w:trPr>
          <w:trHeight w:val="580"/>
        </w:trPr>
        <w:tc>
          <w:tcPr>
            <w:tcW w:w="3600" w:type="dxa"/>
            <w:shd w:val="clear" w:color="auto" w:fill="auto"/>
            <w:vAlign w:val="center"/>
            <w:hideMark/>
          </w:tcPr>
          <w:p w14:paraId="149E2344"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proofErr w:type="spellStart"/>
            <w:r w:rsidRPr="00A722C0">
              <w:rPr>
                <w:rFonts w:ascii="Calibri" w:eastAsia="Times New Roman" w:hAnsi="Calibri" w:cs="Calibri"/>
                <w:color w:val="000000"/>
                <w:kern w:val="0"/>
                <w:sz w:val="22"/>
                <w:szCs w:val="22"/>
                <w14:ligatures w14:val="none"/>
              </w:rPr>
              <w:t>Kalantzakos</w:t>
            </w:r>
            <w:proofErr w:type="spellEnd"/>
            <w:r w:rsidRPr="00A722C0">
              <w:rPr>
                <w:rFonts w:ascii="Calibri" w:eastAsia="Times New Roman" w:hAnsi="Calibri" w:cs="Calibri"/>
                <w:color w:val="000000"/>
                <w:kern w:val="0"/>
                <w:sz w:val="22"/>
                <w:szCs w:val="22"/>
                <w14:ligatures w14:val="none"/>
              </w:rPr>
              <w:t>, S. (2017)</w:t>
            </w:r>
          </w:p>
        </w:tc>
        <w:tc>
          <w:tcPr>
            <w:tcW w:w="4900" w:type="dxa"/>
            <w:shd w:val="clear" w:color="auto" w:fill="auto"/>
            <w:vAlign w:val="center"/>
            <w:hideMark/>
          </w:tcPr>
          <w:p w14:paraId="11BBAE97"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The EU, US and China Tackling climate change. Routledge: London.</w:t>
            </w:r>
          </w:p>
        </w:tc>
      </w:tr>
      <w:tr w:rsidR="00A722C0" w:rsidRPr="00A722C0" w14:paraId="176765D4" w14:textId="77777777" w:rsidTr="00A722C0">
        <w:trPr>
          <w:trHeight w:val="580"/>
        </w:trPr>
        <w:tc>
          <w:tcPr>
            <w:tcW w:w="3600" w:type="dxa"/>
            <w:shd w:val="clear" w:color="auto" w:fill="auto"/>
            <w:vAlign w:val="center"/>
            <w:hideMark/>
          </w:tcPr>
          <w:p w14:paraId="02417BAD"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Sartorius, C. &amp; Zundel, S. (2005)</w:t>
            </w:r>
          </w:p>
        </w:tc>
        <w:tc>
          <w:tcPr>
            <w:tcW w:w="4900" w:type="dxa"/>
            <w:shd w:val="clear" w:color="auto" w:fill="auto"/>
            <w:vAlign w:val="center"/>
            <w:hideMark/>
          </w:tcPr>
          <w:p w14:paraId="25325804"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Time strategies, innovation and environmental policy Elgar: Cheltenham</w:t>
            </w:r>
          </w:p>
        </w:tc>
      </w:tr>
      <w:tr w:rsidR="00A722C0" w:rsidRPr="00A722C0" w14:paraId="578409C5" w14:textId="77777777" w:rsidTr="00A722C0">
        <w:trPr>
          <w:trHeight w:val="580"/>
        </w:trPr>
        <w:tc>
          <w:tcPr>
            <w:tcW w:w="3600" w:type="dxa"/>
            <w:shd w:val="clear" w:color="auto" w:fill="auto"/>
            <w:vAlign w:val="center"/>
            <w:hideMark/>
          </w:tcPr>
          <w:p w14:paraId="74BA2E5C"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Schelly, C. &amp; Banerjee, A. (2018)</w:t>
            </w:r>
          </w:p>
        </w:tc>
        <w:tc>
          <w:tcPr>
            <w:tcW w:w="4900" w:type="dxa"/>
            <w:shd w:val="clear" w:color="auto" w:fill="auto"/>
            <w:vAlign w:val="center"/>
            <w:hideMark/>
          </w:tcPr>
          <w:p w14:paraId="2591700B"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Environmental policy and pursuit of sustainability. Routledge, London</w:t>
            </w:r>
          </w:p>
        </w:tc>
      </w:tr>
      <w:tr w:rsidR="00A722C0" w:rsidRPr="00A722C0" w14:paraId="3B1433DA" w14:textId="77777777" w:rsidTr="00A722C0">
        <w:trPr>
          <w:trHeight w:val="580"/>
        </w:trPr>
        <w:tc>
          <w:tcPr>
            <w:tcW w:w="3600" w:type="dxa"/>
            <w:shd w:val="clear" w:color="auto" w:fill="auto"/>
            <w:vAlign w:val="center"/>
            <w:hideMark/>
          </w:tcPr>
          <w:p w14:paraId="7F77B81C"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proofErr w:type="spellStart"/>
            <w:r w:rsidRPr="00A722C0">
              <w:rPr>
                <w:rFonts w:ascii="Calibri" w:eastAsia="Times New Roman" w:hAnsi="Calibri" w:cs="Calibri"/>
                <w:color w:val="000000"/>
                <w:kern w:val="0"/>
                <w:sz w:val="22"/>
                <w:szCs w:val="22"/>
                <w14:ligatures w14:val="none"/>
              </w:rPr>
              <w:t>Tromans</w:t>
            </w:r>
            <w:proofErr w:type="spellEnd"/>
            <w:r w:rsidRPr="00A722C0">
              <w:rPr>
                <w:rFonts w:ascii="Calibri" w:eastAsia="Times New Roman" w:hAnsi="Calibri" w:cs="Calibri"/>
                <w:color w:val="000000"/>
                <w:kern w:val="0"/>
                <w:sz w:val="22"/>
                <w:szCs w:val="22"/>
                <w14:ligatures w14:val="none"/>
              </w:rPr>
              <w:t>, S. (2012)</w:t>
            </w:r>
          </w:p>
        </w:tc>
        <w:tc>
          <w:tcPr>
            <w:tcW w:w="4900" w:type="dxa"/>
            <w:shd w:val="clear" w:color="auto" w:fill="auto"/>
            <w:vAlign w:val="center"/>
            <w:hideMark/>
          </w:tcPr>
          <w:p w14:paraId="2EDEF971" w14:textId="77777777" w:rsidR="00A722C0" w:rsidRPr="00A722C0" w:rsidRDefault="00A722C0" w:rsidP="00A722C0">
            <w:pPr>
              <w:spacing w:after="0" w:line="240" w:lineRule="auto"/>
              <w:jc w:val="center"/>
              <w:rPr>
                <w:rFonts w:ascii="Calibri" w:eastAsia="Times New Roman" w:hAnsi="Calibri" w:cs="Calibri"/>
                <w:color w:val="000000"/>
                <w:kern w:val="0"/>
                <w:sz w:val="22"/>
                <w:szCs w:val="22"/>
                <w14:ligatures w14:val="none"/>
              </w:rPr>
            </w:pPr>
            <w:r w:rsidRPr="00A722C0">
              <w:rPr>
                <w:rFonts w:ascii="Calibri" w:eastAsia="Times New Roman" w:hAnsi="Calibri" w:cs="Calibri"/>
                <w:color w:val="000000"/>
                <w:kern w:val="0"/>
                <w:sz w:val="22"/>
                <w:szCs w:val="22"/>
                <w14:ligatures w14:val="none"/>
              </w:rPr>
              <w:t>Environmental Impact Assessment. Bloomsbury: West Sussex</w:t>
            </w:r>
          </w:p>
        </w:tc>
      </w:tr>
    </w:tbl>
    <w:p w14:paraId="38BACEB5" w14:textId="77777777" w:rsidR="00A722C0" w:rsidRDefault="00A722C0" w:rsidP="00FA5D30">
      <w:pPr>
        <w:rPr>
          <w:sz w:val="23"/>
          <w:szCs w:val="23"/>
        </w:rPr>
      </w:pPr>
    </w:p>
    <w:p w14:paraId="05899AD7" w14:textId="41CCB3C5" w:rsidR="00A722C0" w:rsidRDefault="00A722C0" w:rsidP="00D16612">
      <w:pPr>
        <w:pStyle w:val="Heading4"/>
      </w:pPr>
      <w:r>
        <w:t>Recommended</w:t>
      </w:r>
    </w:p>
    <w:tbl>
      <w:tblPr>
        <w:tblW w:w="8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0"/>
        <w:gridCol w:w="6040"/>
      </w:tblGrid>
      <w:tr w:rsidR="002D15AF" w:rsidRPr="002D15AF" w14:paraId="57B5DFD9" w14:textId="77777777" w:rsidTr="002D15AF">
        <w:trPr>
          <w:trHeight w:val="290"/>
        </w:trPr>
        <w:tc>
          <w:tcPr>
            <w:tcW w:w="2780" w:type="dxa"/>
            <w:shd w:val="clear" w:color="auto" w:fill="auto"/>
            <w:vAlign w:val="center"/>
            <w:hideMark/>
          </w:tcPr>
          <w:p w14:paraId="20AA762C"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CIRIA (1996)</w:t>
            </w:r>
          </w:p>
        </w:tc>
        <w:tc>
          <w:tcPr>
            <w:tcW w:w="6040" w:type="dxa"/>
            <w:shd w:val="clear" w:color="auto" w:fill="auto"/>
            <w:vAlign w:val="center"/>
            <w:hideMark/>
          </w:tcPr>
          <w:p w14:paraId="46842CC2"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Environmental Assessment: Good Practice (Special Publication 126). CIRIA.</w:t>
            </w:r>
          </w:p>
        </w:tc>
      </w:tr>
      <w:tr w:rsidR="002D15AF" w:rsidRPr="002D15AF" w14:paraId="7C4DA644" w14:textId="77777777" w:rsidTr="002D15AF">
        <w:trPr>
          <w:trHeight w:val="580"/>
        </w:trPr>
        <w:tc>
          <w:tcPr>
            <w:tcW w:w="2780" w:type="dxa"/>
            <w:shd w:val="clear" w:color="auto" w:fill="auto"/>
            <w:vAlign w:val="center"/>
            <w:hideMark/>
          </w:tcPr>
          <w:p w14:paraId="77596BB5"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 xml:space="preserve">Glasson, J., </w:t>
            </w:r>
            <w:proofErr w:type="spellStart"/>
            <w:r w:rsidRPr="002D15AF">
              <w:rPr>
                <w:rFonts w:ascii="Calibri" w:eastAsia="Times New Roman" w:hAnsi="Calibri" w:cs="Calibri"/>
                <w:color w:val="000000"/>
                <w:kern w:val="0"/>
                <w:sz w:val="22"/>
                <w:szCs w:val="22"/>
                <w14:ligatures w14:val="none"/>
              </w:rPr>
              <w:t>Therivèl</w:t>
            </w:r>
            <w:proofErr w:type="spellEnd"/>
            <w:r w:rsidRPr="002D15AF">
              <w:rPr>
                <w:rFonts w:ascii="Calibri" w:eastAsia="Times New Roman" w:hAnsi="Calibri" w:cs="Calibri"/>
                <w:color w:val="000000"/>
                <w:kern w:val="0"/>
                <w:sz w:val="22"/>
                <w:szCs w:val="22"/>
                <w14:ligatures w14:val="none"/>
              </w:rPr>
              <w:t xml:space="preserve">, R., </w:t>
            </w:r>
            <w:proofErr w:type="spellStart"/>
            <w:r w:rsidRPr="002D15AF">
              <w:rPr>
                <w:rFonts w:ascii="Calibri" w:eastAsia="Times New Roman" w:hAnsi="Calibri" w:cs="Calibri"/>
                <w:color w:val="000000"/>
                <w:kern w:val="0"/>
                <w:sz w:val="22"/>
                <w:szCs w:val="22"/>
                <w14:ligatures w14:val="none"/>
              </w:rPr>
              <w:t>Chadmi</w:t>
            </w:r>
            <w:proofErr w:type="spellEnd"/>
            <w:r w:rsidRPr="002D15AF">
              <w:rPr>
                <w:rFonts w:ascii="Calibri" w:eastAsia="Times New Roman" w:hAnsi="Calibri" w:cs="Calibri"/>
                <w:color w:val="000000"/>
                <w:kern w:val="0"/>
                <w:sz w:val="22"/>
                <w:szCs w:val="22"/>
                <w14:ligatures w14:val="none"/>
              </w:rPr>
              <w:t>, P. (2005)</w:t>
            </w:r>
          </w:p>
        </w:tc>
        <w:tc>
          <w:tcPr>
            <w:tcW w:w="6040" w:type="dxa"/>
            <w:shd w:val="clear" w:color="auto" w:fill="auto"/>
            <w:vAlign w:val="center"/>
            <w:hideMark/>
          </w:tcPr>
          <w:p w14:paraId="3C8603D4"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SEA: a sourcebook and reference guide to international experience James &amp; James, Earthscan</w:t>
            </w:r>
          </w:p>
        </w:tc>
      </w:tr>
      <w:tr w:rsidR="002D15AF" w:rsidRPr="002D15AF" w14:paraId="734A7671" w14:textId="77777777" w:rsidTr="002D15AF">
        <w:trPr>
          <w:trHeight w:val="290"/>
        </w:trPr>
        <w:tc>
          <w:tcPr>
            <w:tcW w:w="2780" w:type="dxa"/>
            <w:shd w:val="clear" w:color="auto" w:fill="auto"/>
            <w:vAlign w:val="center"/>
            <w:hideMark/>
          </w:tcPr>
          <w:p w14:paraId="49F07F21"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Goudie, A. (2013)</w:t>
            </w:r>
          </w:p>
        </w:tc>
        <w:tc>
          <w:tcPr>
            <w:tcW w:w="6040" w:type="dxa"/>
            <w:shd w:val="clear" w:color="auto" w:fill="auto"/>
            <w:vAlign w:val="center"/>
            <w:hideMark/>
          </w:tcPr>
          <w:p w14:paraId="2A49FBB7"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The Human Impact on the Natural Environment. Blackwell, Oxford</w:t>
            </w:r>
          </w:p>
        </w:tc>
      </w:tr>
      <w:tr w:rsidR="002D15AF" w:rsidRPr="002D15AF" w14:paraId="7E5B291C" w14:textId="77777777" w:rsidTr="002D15AF">
        <w:trPr>
          <w:trHeight w:val="290"/>
        </w:trPr>
        <w:tc>
          <w:tcPr>
            <w:tcW w:w="2780" w:type="dxa"/>
            <w:shd w:val="clear" w:color="auto" w:fill="auto"/>
            <w:vAlign w:val="center"/>
            <w:hideMark/>
          </w:tcPr>
          <w:p w14:paraId="0AAEBA86"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Hanf, K. &amp; Jansen, A. (1998)</w:t>
            </w:r>
          </w:p>
        </w:tc>
        <w:tc>
          <w:tcPr>
            <w:tcW w:w="6040" w:type="dxa"/>
            <w:shd w:val="clear" w:color="auto" w:fill="auto"/>
            <w:vAlign w:val="center"/>
            <w:hideMark/>
          </w:tcPr>
          <w:p w14:paraId="6C3668B0"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Governance and environment in western Europe Longman, Harlow</w:t>
            </w:r>
          </w:p>
        </w:tc>
      </w:tr>
      <w:tr w:rsidR="002D15AF" w:rsidRPr="002D15AF" w14:paraId="75E016CF" w14:textId="77777777" w:rsidTr="002D15AF">
        <w:trPr>
          <w:trHeight w:val="290"/>
        </w:trPr>
        <w:tc>
          <w:tcPr>
            <w:tcW w:w="2780" w:type="dxa"/>
            <w:shd w:val="clear" w:color="auto" w:fill="auto"/>
            <w:vAlign w:val="center"/>
            <w:hideMark/>
          </w:tcPr>
          <w:p w14:paraId="0A451D1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lastRenderedPageBreak/>
              <w:t>Hawken, P. (2007)</w:t>
            </w:r>
          </w:p>
        </w:tc>
        <w:tc>
          <w:tcPr>
            <w:tcW w:w="6040" w:type="dxa"/>
            <w:shd w:val="clear" w:color="auto" w:fill="auto"/>
            <w:vAlign w:val="center"/>
            <w:hideMark/>
          </w:tcPr>
          <w:p w14:paraId="187905CC"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Natural capitalism : the next industrial revolution Earthscan, London</w:t>
            </w:r>
          </w:p>
        </w:tc>
      </w:tr>
      <w:tr w:rsidR="002D15AF" w:rsidRPr="002D15AF" w14:paraId="64BCAD02" w14:textId="77777777" w:rsidTr="002D15AF">
        <w:trPr>
          <w:trHeight w:val="290"/>
        </w:trPr>
        <w:tc>
          <w:tcPr>
            <w:tcW w:w="2780" w:type="dxa"/>
            <w:shd w:val="clear" w:color="auto" w:fill="auto"/>
            <w:vAlign w:val="center"/>
            <w:hideMark/>
          </w:tcPr>
          <w:p w14:paraId="30D7E9C7"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Holder, J. (2007)</w:t>
            </w:r>
          </w:p>
        </w:tc>
        <w:tc>
          <w:tcPr>
            <w:tcW w:w="6040" w:type="dxa"/>
            <w:shd w:val="clear" w:color="auto" w:fill="auto"/>
            <w:vAlign w:val="center"/>
            <w:hideMark/>
          </w:tcPr>
          <w:p w14:paraId="66304464"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Environmental Assessment law, policy and custom UCL: London</w:t>
            </w:r>
          </w:p>
        </w:tc>
      </w:tr>
      <w:tr w:rsidR="002D15AF" w:rsidRPr="002D15AF" w14:paraId="7CDC34B9" w14:textId="77777777" w:rsidTr="002D15AF">
        <w:trPr>
          <w:trHeight w:val="290"/>
        </w:trPr>
        <w:tc>
          <w:tcPr>
            <w:tcW w:w="2780" w:type="dxa"/>
            <w:shd w:val="clear" w:color="auto" w:fill="auto"/>
            <w:vAlign w:val="center"/>
            <w:hideMark/>
          </w:tcPr>
          <w:p w14:paraId="35460928"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Jones, P.J.S. (2014)</w:t>
            </w:r>
          </w:p>
        </w:tc>
        <w:tc>
          <w:tcPr>
            <w:tcW w:w="6040" w:type="dxa"/>
            <w:shd w:val="clear" w:color="auto" w:fill="auto"/>
            <w:vAlign w:val="center"/>
            <w:hideMark/>
          </w:tcPr>
          <w:p w14:paraId="5ADA1ECB"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Governing Marine Protected Areas. Routledge, London</w:t>
            </w:r>
          </w:p>
        </w:tc>
      </w:tr>
      <w:tr w:rsidR="002D15AF" w:rsidRPr="002D15AF" w14:paraId="4F877E44" w14:textId="77777777" w:rsidTr="002D15AF">
        <w:trPr>
          <w:trHeight w:val="290"/>
        </w:trPr>
        <w:tc>
          <w:tcPr>
            <w:tcW w:w="2780" w:type="dxa"/>
            <w:shd w:val="clear" w:color="auto" w:fill="auto"/>
            <w:vAlign w:val="center"/>
            <w:hideMark/>
          </w:tcPr>
          <w:p w14:paraId="26DF9B6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Jordan, A. (2005)</w:t>
            </w:r>
          </w:p>
        </w:tc>
        <w:tc>
          <w:tcPr>
            <w:tcW w:w="6040" w:type="dxa"/>
            <w:shd w:val="clear" w:color="auto" w:fill="auto"/>
            <w:vAlign w:val="center"/>
            <w:hideMark/>
          </w:tcPr>
          <w:p w14:paraId="6B58FA4E"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European Union: Power and Policy Making. Routledge, London</w:t>
            </w:r>
          </w:p>
        </w:tc>
      </w:tr>
      <w:tr w:rsidR="002D15AF" w:rsidRPr="002D15AF" w14:paraId="721B9084" w14:textId="77777777" w:rsidTr="002D15AF">
        <w:trPr>
          <w:trHeight w:val="580"/>
        </w:trPr>
        <w:tc>
          <w:tcPr>
            <w:tcW w:w="2780" w:type="dxa"/>
            <w:shd w:val="clear" w:color="auto" w:fill="auto"/>
            <w:vAlign w:val="center"/>
            <w:hideMark/>
          </w:tcPr>
          <w:p w14:paraId="1C03E154"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 xml:space="preserve">Morris, P., and </w:t>
            </w:r>
            <w:proofErr w:type="spellStart"/>
            <w:r w:rsidRPr="002D15AF">
              <w:rPr>
                <w:rFonts w:ascii="Calibri" w:eastAsia="Times New Roman" w:hAnsi="Calibri" w:cs="Calibri"/>
                <w:color w:val="000000"/>
                <w:kern w:val="0"/>
                <w:sz w:val="22"/>
                <w:szCs w:val="22"/>
                <w14:ligatures w14:val="none"/>
              </w:rPr>
              <w:t>Therivèl</w:t>
            </w:r>
            <w:proofErr w:type="spellEnd"/>
            <w:r w:rsidRPr="002D15AF">
              <w:rPr>
                <w:rFonts w:ascii="Calibri" w:eastAsia="Times New Roman" w:hAnsi="Calibri" w:cs="Calibri"/>
                <w:color w:val="000000"/>
                <w:kern w:val="0"/>
                <w:sz w:val="22"/>
                <w:szCs w:val="22"/>
                <w14:ligatures w14:val="none"/>
              </w:rPr>
              <w:t>, R. (2009)</w:t>
            </w:r>
          </w:p>
        </w:tc>
        <w:tc>
          <w:tcPr>
            <w:tcW w:w="6040" w:type="dxa"/>
            <w:shd w:val="clear" w:color="auto" w:fill="auto"/>
            <w:vAlign w:val="center"/>
            <w:hideMark/>
          </w:tcPr>
          <w:p w14:paraId="5BE8193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Methods of Environmental Impact Assessment. UCL Press, London.</w:t>
            </w:r>
          </w:p>
        </w:tc>
      </w:tr>
      <w:tr w:rsidR="002D15AF" w:rsidRPr="002D15AF" w14:paraId="7CFEA4BA" w14:textId="77777777" w:rsidTr="002D15AF">
        <w:trPr>
          <w:trHeight w:val="290"/>
        </w:trPr>
        <w:tc>
          <w:tcPr>
            <w:tcW w:w="2780" w:type="dxa"/>
            <w:shd w:val="clear" w:color="auto" w:fill="auto"/>
            <w:vAlign w:val="center"/>
            <w:hideMark/>
          </w:tcPr>
          <w:p w14:paraId="268413BD"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proofErr w:type="spellStart"/>
            <w:r w:rsidRPr="002D15AF">
              <w:rPr>
                <w:rFonts w:ascii="Calibri" w:eastAsia="Times New Roman" w:hAnsi="Calibri" w:cs="Calibri"/>
                <w:color w:val="000000"/>
                <w:kern w:val="0"/>
                <w:sz w:val="22"/>
                <w:szCs w:val="22"/>
                <w14:ligatures w14:val="none"/>
              </w:rPr>
              <w:t>Nagtzaam</w:t>
            </w:r>
            <w:proofErr w:type="spellEnd"/>
            <w:r w:rsidRPr="002D15AF">
              <w:rPr>
                <w:rFonts w:ascii="Calibri" w:eastAsia="Times New Roman" w:hAnsi="Calibri" w:cs="Calibri"/>
                <w:color w:val="000000"/>
                <w:kern w:val="0"/>
                <w:sz w:val="22"/>
                <w:szCs w:val="22"/>
                <w14:ligatures w14:val="none"/>
              </w:rPr>
              <w:t>, G. (2017)</w:t>
            </w:r>
          </w:p>
        </w:tc>
        <w:tc>
          <w:tcPr>
            <w:tcW w:w="6040" w:type="dxa"/>
            <w:shd w:val="clear" w:color="auto" w:fill="auto"/>
            <w:vAlign w:val="center"/>
            <w:hideMark/>
          </w:tcPr>
          <w:p w14:paraId="33F5EFD6"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From environmental action to ecoterrorism. Edgar: Cheltenham.</w:t>
            </w:r>
          </w:p>
        </w:tc>
      </w:tr>
      <w:tr w:rsidR="002D15AF" w:rsidRPr="002D15AF" w14:paraId="6B05266D" w14:textId="77777777" w:rsidTr="002D15AF">
        <w:trPr>
          <w:trHeight w:val="580"/>
        </w:trPr>
        <w:tc>
          <w:tcPr>
            <w:tcW w:w="2780" w:type="dxa"/>
            <w:shd w:val="clear" w:color="auto" w:fill="auto"/>
            <w:vAlign w:val="center"/>
            <w:hideMark/>
          </w:tcPr>
          <w:p w14:paraId="5002786B"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Rhodes, R.A.W. (1997)</w:t>
            </w:r>
          </w:p>
        </w:tc>
        <w:tc>
          <w:tcPr>
            <w:tcW w:w="6040" w:type="dxa"/>
            <w:shd w:val="clear" w:color="auto" w:fill="auto"/>
            <w:vAlign w:val="center"/>
            <w:hideMark/>
          </w:tcPr>
          <w:p w14:paraId="09D27CA9"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Understanding governance: Policy networks, governance, reflexivity and accountability OU: Buckingham</w:t>
            </w:r>
          </w:p>
        </w:tc>
      </w:tr>
      <w:tr w:rsidR="002D15AF" w:rsidRPr="002D15AF" w14:paraId="42A276C0" w14:textId="77777777" w:rsidTr="002D15AF">
        <w:trPr>
          <w:trHeight w:val="580"/>
        </w:trPr>
        <w:tc>
          <w:tcPr>
            <w:tcW w:w="2780" w:type="dxa"/>
            <w:shd w:val="clear" w:color="auto" w:fill="auto"/>
            <w:vAlign w:val="center"/>
            <w:hideMark/>
          </w:tcPr>
          <w:p w14:paraId="3FA004EE"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proofErr w:type="spellStart"/>
            <w:r w:rsidRPr="002D15AF">
              <w:rPr>
                <w:rFonts w:ascii="Calibri" w:eastAsia="Times New Roman" w:hAnsi="Calibri" w:cs="Calibri"/>
                <w:color w:val="000000"/>
                <w:kern w:val="0"/>
                <w:sz w:val="22"/>
                <w:szCs w:val="22"/>
                <w14:ligatures w14:val="none"/>
              </w:rPr>
              <w:t>Therivel</w:t>
            </w:r>
            <w:proofErr w:type="spellEnd"/>
            <w:r w:rsidRPr="002D15AF">
              <w:rPr>
                <w:rFonts w:ascii="Calibri" w:eastAsia="Times New Roman" w:hAnsi="Calibri" w:cs="Calibri"/>
                <w:color w:val="000000"/>
                <w:kern w:val="0"/>
                <w:sz w:val="22"/>
                <w:szCs w:val="22"/>
                <w14:ligatures w14:val="none"/>
              </w:rPr>
              <w:t>, R. (2004)</w:t>
            </w:r>
          </w:p>
        </w:tc>
        <w:tc>
          <w:tcPr>
            <w:tcW w:w="6040" w:type="dxa"/>
            <w:shd w:val="clear" w:color="auto" w:fill="auto"/>
            <w:vAlign w:val="center"/>
            <w:hideMark/>
          </w:tcPr>
          <w:p w14:paraId="78E9F680"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SEA in action James &amp; James, Earthscan. Introduction to EIA Spon Press, London</w:t>
            </w:r>
          </w:p>
        </w:tc>
      </w:tr>
      <w:tr w:rsidR="002D15AF" w:rsidRPr="002D15AF" w14:paraId="1FD7A3A4" w14:textId="77777777" w:rsidTr="002D15AF">
        <w:trPr>
          <w:trHeight w:val="290"/>
        </w:trPr>
        <w:tc>
          <w:tcPr>
            <w:tcW w:w="2780" w:type="dxa"/>
            <w:shd w:val="clear" w:color="auto" w:fill="auto"/>
            <w:vAlign w:val="center"/>
            <w:hideMark/>
          </w:tcPr>
          <w:p w14:paraId="6DB26D1A"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proofErr w:type="spellStart"/>
            <w:r w:rsidRPr="002D15AF">
              <w:rPr>
                <w:rFonts w:ascii="Calibri" w:eastAsia="Times New Roman" w:hAnsi="Calibri" w:cs="Calibri"/>
                <w:color w:val="000000"/>
                <w:kern w:val="0"/>
                <w:sz w:val="22"/>
                <w:szCs w:val="22"/>
                <w14:ligatures w14:val="none"/>
              </w:rPr>
              <w:t>Vadrot</w:t>
            </w:r>
            <w:proofErr w:type="spellEnd"/>
            <w:r w:rsidRPr="002D15AF">
              <w:rPr>
                <w:rFonts w:ascii="Calibri" w:eastAsia="Times New Roman" w:hAnsi="Calibri" w:cs="Calibri"/>
                <w:color w:val="000000"/>
                <w:kern w:val="0"/>
                <w:sz w:val="22"/>
                <w:szCs w:val="22"/>
                <w14:ligatures w14:val="none"/>
              </w:rPr>
              <w:t>, A.B.M. (2014)</w:t>
            </w:r>
          </w:p>
        </w:tc>
        <w:tc>
          <w:tcPr>
            <w:tcW w:w="6040" w:type="dxa"/>
            <w:shd w:val="clear" w:color="auto" w:fill="auto"/>
            <w:vAlign w:val="center"/>
            <w:hideMark/>
          </w:tcPr>
          <w:p w14:paraId="711077FA"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The politics of knowledge and global diversity. Routledge, London</w:t>
            </w:r>
          </w:p>
        </w:tc>
      </w:tr>
      <w:tr w:rsidR="002D15AF" w:rsidRPr="002D15AF" w14:paraId="7074A8AD" w14:textId="77777777" w:rsidTr="002D15AF">
        <w:trPr>
          <w:trHeight w:val="580"/>
        </w:trPr>
        <w:tc>
          <w:tcPr>
            <w:tcW w:w="2780" w:type="dxa"/>
            <w:shd w:val="clear" w:color="auto" w:fill="auto"/>
            <w:vAlign w:val="center"/>
            <w:hideMark/>
          </w:tcPr>
          <w:p w14:paraId="2EAD7AC2"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Wurzel, R.K.W. (2006)</w:t>
            </w:r>
          </w:p>
        </w:tc>
        <w:tc>
          <w:tcPr>
            <w:tcW w:w="6040" w:type="dxa"/>
            <w:shd w:val="clear" w:color="auto" w:fill="auto"/>
            <w:vAlign w:val="center"/>
            <w:hideMark/>
          </w:tcPr>
          <w:p w14:paraId="504B3673" w14:textId="77777777" w:rsidR="002D15AF" w:rsidRPr="002D15AF" w:rsidRDefault="002D15AF" w:rsidP="002D15AF">
            <w:pPr>
              <w:spacing w:after="0" w:line="240" w:lineRule="auto"/>
              <w:jc w:val="center"/>
              <w:rPr>
                <w:rFonts w:ascii="Calibri" w:eastAsia="Times New Roman" w:hAnsi="Calibri" w:cs="Calibri"/>
                <w:color w:val="000000"/>
                <w:kern w:val="0"/>
                <w:sz w:val="22"/>
                <w:szCs w:val="22"/>
                <w14:ligatures w14:val="none"/>
              </w:rPr>
            </w:pPr>
            <w:r w:rsidRPr="002D15AF">
              <w:rPr>
                <w:rFonts w:ascii="Calibri" w:eastAsia="Times New Roman" w:hAnsi="Calibri" w:cs="Calibri"/>
                <w:color w:val="000000"/>
                <w:kern w:val="0"/>
                <w:sz w:val="22"/>
                <w:szCs w:val="22"/>
                <w14:ligatures w14:val="none"/>
              </w:rPr>
              <w:t>Environmental Policy in the EU: Actors, Institutions and Processes James &amp; James, Earthscan, London</w:t>
            </w:r>
          </w:p>
        </w:tc>
      </w:tr>
    </w:tbl>
    <w:p w14:paraId="175B5969" w14:textId="77777777" w:rsidR="00A722C0" w:rsidRDefault="00A722C0" w:rsidP="00FA5D30">
      <w:pPr>
        <w:rPr>
          <w:sz w:val="23"/>
          <w:szCs w:val="23"/>
        </w:rPr>
      </w:pPr>
    </w:p>
    <w:p w14:paraId="174681E9" w14:textId="77777777" w:rsidR="00D16612" w:rsidRPr="00D16612" w:rsidRDefault="00D16612" w:rsidP="00D16612">
      <w:pPr>
        <w:pStyle w:val="Heading4"/>
      </w:pPr>
      <w:r w:rsidRPr="00D16612">
        <w:t xml:space="preserve">Journals </w:t>
      </w:r>
    </w:p>
    <w:p w14:paraId="06F27F9F" w14:textId="77777777" w:rsidR="00D16612" w:rsidRPr="00D16612" w:rsidRDefault="00D16612" w:rsidP="00D16612">
      <w:pPr>
        <w:rPr>
          <w:sz w:val="23"/>
          <w:szCs w:val="23"/>
        </w:rPr>
      </w:pPr>
      <w:r w:rsidRPr="00D16612">
        <w:rPr>
          <w:sz w:val="23"/>
          <w:szCs w:val="23"/>
        </w:rPr>
        <w:t xml:space="preserve">Environmental Scientist </w:t>
      </w:r>
    </w:p>
    <w:p w14:paraId="20169E2D" w14:textId="77777777" w:rsidR="00D16612" w:rsidRPr="00D16612" w:rsidRDefault="00D16612" w:rsidP="00D16612">
      <w:pPr>
        <w:rPr>
          <w:sz w:val="23"/>
          <w:szCs w:val="23"/>
        </w:rPr>
      </w:pPr>
      <w:r w:rsidRPr="00D16612">
        <w:rPr>
          <w:sz w:val="23"/>
          <w:szCs w:val="23"/>
        </w:rPr>
        <w:t xml:space="preserve">Journal of Coastal Research </w:t>
      </w:r>
    </w:p>
    <w:p w14:paraId="1EBEECA8" w14:textId="77777777" w:rsidR="00D16612" w:rsidRPr="00D16612" w:rsidRDefault="00D16612" w:rsidP="00D16612">
      <w:pPr>
        <w:rPr>
          <w:sz w:val="23"/>
          <w:szCs w:val="23"/>
        </w:rPr>
      </w:pPr>
      <w:r w:rsidRPr="00D16612">
        <w:rPr>
          <w:sz w:val="23"/>
          <w:szCs w:val="23"/>
        </w:rPr>
        <w:t xml:space="preserve">Journal of Environmental Assessment </w:t>
      </w:r>
    </w:p>
    <w:p w14:paraId="1D89A760" w14:textId="77777777" w:rsidR="00D16612" w:rsidRPr="00D16612" w:rsidRDefault="00D16612" w:rsidP="00D16612">
      <w:pPr>
        <w:rPr>
          <w:sz w:val="23"/>
          <w:szCs w:val="23"/>
        </w:rPr>
      </w:pPr>
      <w:r w:rsidRPr="00D16612">
        <w:rPr>
          <w:sz w:val="23"/>
          <w:szCs w:val="23"/>
        </w:rPr>
        <w:t xml:space="preserve">Journal of Environmental Economics and Management </w:t>
      </w:r>
    </w:p>
    <w:p w14:paraId="44E6C625" w14:textId="77777777" w:rsidR="00D16612" w:rsidRPr="00D16612" w:rsidRDefault="00D16612" w:rsidP="00D16612">
      <w:pPr>
        <w:rPr>
          <w:sz w:val="23"/>
          <w:szCs w:val="23"/>
        </w:rPr>
      </w:pPr>
      <w:r w:rsidRPr="00D16612">
        <w:rPr>
          <w:sz w:val="23"/>
          <w:szCs w:val="23"/>
        </w:rPr>
        <w:t xml:space="preserve">Journal of Environmental Management </w:t>
      </w:r>
    </w:p>
    <w:p w14:paraId="644C6317" w14:textId="77777777" w:rsidR="00D16612" w:rsidRPr="00D16612" w:rsidRDefault="00D16612" w:rsidP="00D16612">
      <w:pPr>
        <w:rPr>
          <w:sz w:val="23"/>
          <w:szCs w:val="23"/>
        </w:rPr>
      </w:pPr>
      <w:r w:rsidRPr="00D16612">
        <w:rPr>
          <w:sz w:val="23"/>
          <w:szCs w:val="23"/>
        </w:rPr>
        <w:t xml:space="preserve">Planning Practice and Research Policy and Management Science Direct (on-line) </w:t>
      </w:r>
    </w:p>
    <w:p w14:paraId="44DB9B58" w14:textId="6182478A" w:rsidR="002D15AF" w:rsidRDefault="00D16612" w:rsidP="00D16612">
      <w:pPr>
        <w:rPr>
          <w:sz w:val="23"/>
          <w:szCs w:val="23"/>
        </w:rPr>
      </w:pPr>
      <w:r w:rsidRPr="00D16612">
        <w:rPr>
          <w:sz w:val="23"/>
          <w:szCs w:val="23"/>
        </w:rPr>
        <w:t>Tourism Management Town and Country Planning.</w:t>
      </w:r>
    </w:p>
    <w:sectPr w:rsidR="002D15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168E1C" w14:textId="77777777" w:rsidR="00FD1774" w:rsidRDefault="00FD1774" w:rsidP="00D16612">
      <w:pPr>
        <w:spacing w:after="0" w:line="240" w:lineRule="auto"/>
      </w:pPr>
      <w:r>
        <w:separator/>
      </w:r>
    </w:p>
  </w:endnote>
  <w:endnote w:type="continuationSeparator" w:id="0">
    <w:p w14:paraId="4FE2F229" w14:textId="77777777" w:rsidR="00FD1774" w:rsidRDefault="00FD1774" w:rsidP="00D16612">
      <w:pPr>
        <w:spacing w:after="0" w:line="240" w:lineRule="auto"/>
      </w:pPr>
      <w:r>
        <w:continuationSeparator/>
      </w:r>
    </w:p>
  </w:endnote>
  <w:endnote w:type="continuationNotice" w:id="1">
    <w:p w14:paraId="1732BF3F" w14:textId="77777777" w:rsidR="00FD1774" w:rsidRDefault="00FD17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Franklin Gothic Book">
    <w:altName w:val="Franklin Gothic"/>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8841605"/>
      <w:docPartObj>
        <w:docPartGallery w:val="Page Numbers (Bottom of Page)"/>
        <w:docPartUnique/>
      </w:docPartObj>
    </w:sdtPr>
    <w:sdtEndPr>
      <w:rPr>
        <w:noProof/>
      </w:rPr>
    </w:sdtEndPr>
    <w:sdtContent>
      <w:p w14:paraId="61B8BA38" w14:textId="08EA2AEC" w:rsidR="00D16612" w:rsidRDefault="00D166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8C95B1" w14:textId="77777777" w:rsidR="00D16612" w:rsidRDefault="00D16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DA9467" w14:textId="77777777" w:rsidR="00FD1774" w:rsidRDefault="00FD1774" w:rsidP="00D16612">
      <w:pPr>
        <w:spacing w:after="0" w:line="240" w:lineRule="auto"/>
      </w:pPr>
      <w:r>
        <w:separator/>
      </w:r>
    </w:p>
  </w:footnote>
  <w:footnote w:type="continuationSeparator" w:id="0">
    <w:p w14:paraId="6F53A6D1" w14:textId="77777777" w:rsidR="00FD1774" w:rsidRDefault="00FD1774" w:rsidP="00D16612">
      <w:pPr>
        <w:spacing w:after="0" w:line="240" w:lineRule="auto"/>
      </w:pPr>
      <w:r>
        <w:continuationSeparator/>
      </w:r>
    </w:p>
  </w:footnote>
  <w:footnote w:type="continuationNotice" w:id="1">
    <w:p w14:paraId="0F5FA8AC" w14:textId="77777777" w:rsidR="00FD1774" w:rsidRDefault="00FD177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DB1697"/>
    <w:multiLevelType w:val="hybridMultilevel"/>
    <w:tmpl w:val="C9928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392B1A"/>
    <w:multiLevelType w:val="hybridMultilevel"/>
    <w:tmpl w:val="84BE0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070565">
    <w:abstractNumId w:val="1"/>
  </w:num>
  <w:num w:numId="2" w16cid:durableId="1464498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3B4"/>
    <w:rsid w:val="000F3E6D"/>
    <w:rsid w:val="00166A69"/>
    <w:rsid w:val="00214EA9"/>
    <w:rsid w:val="002861BA"/>
    <w:rsid w:val="002A7AC8"/>
    <w:rsid w:val="002C10C6"/>
    <w:rsid w:val="002C6E3C"/>
    <w:rsid w:val="002D15AF"/>
    <w:rsid w:val="00380CC2"/>
    <w:rsid w:val="003B08E5"/>
    <w:rsid w:val="003D4381"/>
    <w:rsid w:val="00431068"/>
    <w:rsid w:val="004A6A65"/>
    <w:rsid w:val="00501BE8"/>
    <w:rsid w:val="005213B4"/>
    <w:rsid w:val="005D1A3B"/>
    <w:rsid w:val="00721D0D"/>
    <w:rsid w:val="007A724E"/>
    <w:rsid w:val="00846F46"/>
    <w:rsid w:val="00955DA3"/>
    <w:rsid w:val="009963BF"/>
    <w:rsid w:val="009E3740"/>
    <w:rsid w:val="00A375C9"/>
    <w:rsid w:val="00A4426B"/>
    <w:rsid w:val="00A722C0"/>
    <w:rsid w:val="00B0699E"/>
    <w:rsid w:val="00BD56DE"/>
    <w:rsid w:val="00C40641"/>
    <w:rsid w:val="00D16612"/>
    <w:rsid w:val="00D16ADD"/>
    <w:rsid w:val="00DC28D0"/>
    <w:rsid w:val="00DC2B31"/>
    <w:rsid w:val="00E041EE"/>
    <w:rsid w:val="00E13665"/>
    <w:rsid w:val="00E462DB"/>
    <w:rsid w:val="00E86D54"/>
    <w:rsid w:val="00EF1C88"/>
    <w:rsid w:val="00FA5D30"/>
    <w:rsid w:val="00FC3438"/>
    <w:rsid w:val="00FD17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15449"/>
  <w15:chartTrackingRefBased/>
  <w15:docId w15:val="{17CC1224-50A0-4650-9E08-FF39001D4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3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13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13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213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213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3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3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3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3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3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13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13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213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213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3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3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3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3B4"/>
    <w:rPr>
      <w:rFonts w:eastAsiaTheme="majorEastAsia" w:cstheme="majorBidi"/>
      <w:color w:val="272727" w:themeColor="text1" w:themeTint="D8"/>
    </w:rPr>
  </w:style>
  <w:style w:type="paragraph" w:styleId="Title">
    <w:name w:val="Title"/>
    <w:basedOn w:val="Normal"/>
    <w:next w:val="Normal"/>
    <w:link w:val="TitleChar"/>
    <w:uiPriority w:val="10"/>
    <w:qFormat/>
    <w:rsid w:val="005213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3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3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3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3B4"/>
    <w:pPr>
      <w:spacing w:before="160"/>
      <w:jc w:val="center"/>
    </w:pPr>
    <w:rPr>
      <w:i/>
      <w:iCs/>
      <w:color w:val="404040" w:themeColor="text1" w:themeTint="BF"/>
    </w:rPr>
  </w:style>
  <w:style w:type="character" w:customStyle="1" w:styleId="QuoteChar">
    <w:name w:val="Quote Char"/>
    <w:basedOn w:val="DefaultParagraphFont"/>
    <w:link w:val="Quote"/>
    <w:uiPriority w:val="29"/>
    <w:rsid w:val="005213B4"/>
    <w:rPr>
      <w:i/>
      <w:iCs/>
      <w:color w:val="404040" w:themeColor="text1" w:themeTint="BF"/>
    </w:rPr>
  </w:style>
  <w:style w:type="paragraph" w:styleId="ListParagraph">
    <w:name w:val="List Paragraph"/>
    <w:basedOn w:val="Normal"/>
    <w:uiPriority w:val="34"/>
    <w:qFormat/>
    <w:rsid w:val="005213B4"/>
    <w:pPr>
      <w:ind w:left="720"/>
      <w:contextualSpacing/>
    </w:pPr>
  </w:style>
  <w:style w:type="character" w:styleId="IntenseEmphasis">
    <w:name w:val="Intense Emphasis"/>
    <w:basedOn w:val="DefaultParagraphFont"/>
    <w:uiPriority w:val="21"/>
    <w:qFormat/>
    <w:rsid w:val="005213B4"/>
    <w:rPr>
      <w:i/>
      <w:iCs/>
      <w:color w:val="0F4761" w:themeColor="accent1" w:themeShade="BF"/>
    </w:rPr>
  </w:style>
  <w:style w:type="paragraph" w:styleId="IntenseQuote">
    <w:name w:val="Intense Quote"/>
    <w:basedOn w:val="Normal"/>
    <w:next w:val="Normal"/>
    <w:link w:val="IntenseQuoteChar"/>
    <w:uiPriority w:val="30"/>
    <w:qFormat/>
    <w:rsid w:val="005213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3B4"/>
    <w:rPr>
      <w:i/>
      <w:iCs/>
      <w:color w:val="0F4761" w:themeColor="accent1" w:themeShade="BF"/>
    </w:rPr>
  </w:style>
  <w:style w:type="character" w:styleId="IntenseReference">
    <w:name w:val="Intense Reference"/>
    <w:basedOn w:val="DefaultParagraphFont"/>
    <w:uiPriority w:val="32"/>
    <w:qFormat/>
    <w:rsid w:val="005213B4"/>
    <w:rPr>
      <w:b/>
      <w:bCs/>
      <w:smallCaps/>
      <w:color w:val="0F4761" w:themeColor="accent1" w:themeShade="BF"/>
      <w:spacing w:val="5"/>
    </w:rPr>
  </w:style>
  <w:style w:type="paragraph" w:customStyle="1" w:styleId="Default">
    <w:name w:val="Default"/>
    <w:rsid w:val="005213B4"/>
    <w:pPr>
      <w:autoSpaceDE w:val="0"/>
      <w:autoSpaceDN w:val="0"/>
      <w:adjustRightInd w:val="0"/>
      <w:spacing w:after="0" w:line="240" w:lineRule="auto"/>
    </w:pPr>
    <w:rPr>
      <w:rFonts w:ascii="Franklin Gothic Book" w:hAnsi="Franklin Gothic Book" w:cs="Franklin Gothic Book"/>
      <w:color w:val="000000"/>
      <w:kern w:val="0"/>
    </w:rPr>
  </w:style>
  <w:style w:type="table" w:styleId="TableGrid">
    <w:name w:val="Table Grid"/>
    <w:basedOn w:val="TableNormal"/>
    <w:uiPriority w:val="39"/>
    <w:rsid w:val="002A7A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16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612"/>
  </w:style>
  <w:style w:type="paragraph" w:styleId="Footer">
    <w:name w:val="footer"/>
    <w:basedOn w:val="Normal"/>
    <w:link w:val="FooterChar"/>
    <w:uiPriority w:val="99"/>
    <w:unhideWhenUsed/>
    <w:rsid w:val="00D16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6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07093">
      <w:bodyDiv w:val="1"/>
      <w:marLeft w:val="0"/>
      <w:marRight w:val="0"/>
      <w:marTop w:val="0"/>
      <w:marBottom w:val="0"/>
      <w:divBdr>
        <w:top w:val="none" w:sz="0" w:space="0" w:color="auto"/>
        <w:left w:val="none" w:sz="0" w:space="0" w:color="auto"/>
        <w:bottom w:val="none" w:sz="0" w:space="0" w:color="auto"/>
        <w:right w:val="none" w:sz="0" w:space="0" w:color="auto"/>
      </w:divBdr>
    </w:div>
    <w:div w:id="1524704337">
      <w:bodyDiv w:val="1"/>
      <w:marLeft w:val="0"/>
      <w:marRight w:val="0"/>
      <w:marTop w:val="0"/>
      <w:marBottom w:val="0"/>
      <w:divBdr>
        <w:top w:val="none" w:sz="0" w:space="0" w:color="auto"/>
        <w:left w:val="none" w:sz="0" w:space="0" w:color="auto"/>
        <w:bottom w:val="none" w:sz="0" w:space="0" w:color="auto"/>
        <w:right w:val="none" w:sz="0" w:space="0" w:color="auto"/>
      </w:divBdr>
    </w:div>
    <w:div w:id="1722827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1094</Words>
  <Characters>6240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Alisdair Cunningham</dc:creator>
  <cp:keywords/>
  <dc:description/>
  <cp:lastModifiedBy>Alisdair Cunningham</cp:lastModifiedBy>
  <cp:revision>32</cp:revision>
  <dcterms:created xsi:type="dcterms:W3CDTF">2024-09-27T13:32:00Z</dcterms:created>
  <dcterms:modified xsi:type="dcterms:W3CDTF">2024-09-27T16:09:00Z</dcterms:modified>
</cp:coreProperties>
</file>