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4B99330" w14:textId="77777777" w:rsidR="001905EF" w:rsidRDefault="001905EF" w:rsidP="00626FEA">
      <w:pPr>
        <w:tabs>
          <w:tab w:val="left" w:leader="dot" w:pos="8505"/>
        </w:tabs>
        <w:rPr>
          <w:rFonts w:ascii="Arial" w:hAnsi="Arial" w:cs="Arial"/>
          <w:b/>
          <w:sz w:val="22"/>
        </w:rPr>
      </w:pPr>
    </w:p>
    <w:p w14:paraId="0E260C03" w14:textId="12867481" w:rsidR="001905EF" w:rsidRDefault="001905EF" w:rsidP="00626FEA">
      <w:pPr>
        <w:tabs>
          <w:tab w:val="left" w:leader="dot" w:pos="8505"/>
        </w:tabs>
        <w:rPr>
          <w:rFonts w:ascii="Arial" w:hAnsi="Arial" w:cs="Arial"/>
          <w:b/>
          <w:sz w:val="22"/>
        </w:rPr>
      </w:pPr>
      <w:r>
        <w:rPr>
          <w:rFonts w:ascii="Arial" w:hAnsi="Arial" w:cs="Arial"/>
          <w:b/>
          <w:noProof/>
          <w:sz w:val="22"/>
        </w:rPr>
        <w:drawing>
          <wp:inline distT="0" distB="0" distL="0" distR="0" wp14:anchorId="4B3039FA" wp14:editId="1D5BE049">
            <wp:extent cx="1968500" cy="876300"/>
            <wp:effectExtent l="0" t="0" r="0" b="0"/>
            <wp:docPr id="1182507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507991" name="Picture 1182507991"/>
                    <pic:cNvPicPr/>
                  </pic:nvPicPr>
                  <pic:blipFill>
                    <a:blip r:embed="rId6"/>
                    <a:stretch>
                      <a:fillRect/>
                    </a:stretch>
                  </pic:blipFill>
                  <pic:spPr>
                    <a:xfrm>
                      <a:off x="0" y="0"/>
                      <a:ext cx="1968500" cy="876300"/>
                    </a:xfrm>
                    <a:prstGeom prst="rect">
                      <a:avLst/>
                    </a:prstGeom>
                  </pic:spPr>
                </pic:pic>
              </a:graphicData>
            </a:graphic>
          </wp:inline>
        </w:drawing>
      </w:r>
    </w:p>
    <w:p w14:paraId="0BA18B52" w14:textId="77777777" w:rsidR="001905EF" w:rsidRDefault="001905EF" w:rsidP="00626FEA">
      <w:pPr>
        <w:tabs>
          <w:tab w:val="left" w:leader="dot" w:pos="8505"/>
        </w:tabs>
        <w:rPr>
          <w:rFonts w:ascii="Arial" w:hAnsi="Arial" w:cs="Arial"/>
          <w:b/>
          <w:sz w:val="22"/>
        </w:rPr>
      </w:pPr>
    </w:p>
    <w:p w14:paraId="46448ACF" w14:textId="77777777" w:rsidR="001905EF" w:rsidRDefault="001905EF" w:rsidP="00626FEA">
      <w:pPr>
        <w:tabs>
          <w:tab w:val="left" w:leader="dot" w:pos="8505"/>
        </w:tabs>
        <w:rPr>
          <w:rFonts w:ascii="Arial" w:hAnsi="Arial" w:cs="Arial"/>
          <w:b/>
          <w:sz w:val="22"/>
        </w:rPr>
      </w:pPr>
    </w:p>
    <w:p w14:paraId="3B5CF0B1" w14:textId="77777777" w:rsidR="001905EF" w:rsidRDefault="001905EF" w:rsidP="00626FEA">
      <w:pPr>
        <w:tabs>
          <w:tab w:val="left" w:leader="dot" w:pos="8505"/>
        </w:tabs>
        <w:rPr>
          <w:rFonts w:ascii="Arial" w:hAnsi="Arial" w:cs="Arial"/>
          <w:b/>
          <w:sz w:val="22"/>
        </w:rPr>
      </w:pPr>
    </w:p>
    <w:p w14:paraId="0E0E73F3" w14:textId="77777777" w:rsidR="001905EF" w:rsidRDefault="001905EF" w:rsidP="00626FEA">
      <w:pPr>
        <w:tabs>
          <w:tab w:val="left" w:leader="dot" w:pos="8505"/>
        </w:tabs>
        <w:rPr>
          <w:rFonts w:ascii="Arial" w:hAnsi="Arial" w:cs="Arial"/>
          <w:b/>
          <w:szCs w:val="24"/>
        </w:rPr>
      </w:pPr>
      <w:r>
        <w:rPr>
          <w:rFonts w:ascii="Arial" w:hAnsi="Arial" w:cs="Arial"/>
          <w:b/>
          <w:sz w:val="22"/>
        </w:rPr>
        <w:t xml:space="preserve">            </w:t>
      </w:r>
      <w:r>
        <w:rPr>
          <w:rFonts w:ascii="Arial" w:hAnsi="Arial" w:cs="Arial"/>
          <w:b/>
          <w:szCs w:val="24"/>
        </w:rPr>
        <w:t xml:space="preserve">                            </w:t>
      </w:r>
    </w:p>
    <w:p w14:paraId="46F078E6" w14:textId="77777777" w:rsidR="001905EF" w:rsidRDefault="001905EF" w:rsidP="00626FEA">
      <w:pPr>
        <w:tabs>
          <w:tab w:val="left" w:leader="dot" w:pos="8505"/>
        </w:tabs>
        <w:rPr>
          <w:rFonts w:ascii="Arial" w:hAnsi="Arial" w:cs="Arial"/>
          <w:b/>
          <w:szCs w:val="24"/>
        </w:rPr>
      </w:pPr>
    </w:p>
    <w:p w14:paraId="1644CF3B" w14:textId="32EB3346" w:rsidR="001905EF" w:rsidRDefault="001905EF" w:rsidP="00626FEA">
      <w:pPr>
        <w:tabs>
          <w:tab w:val="left" w:leader="dot" w:pos="8505"/>
        </w:tabs>
        <w:rPr>
          <w:rFonts w:ascii="Arial" w:hAnsi="Arial" w:cs="Arial"/>
          <w:b/>
          <w:szCs w:val="24"/>
        </w:rPr>
      </w:pPr>
      <w:r>
        <w:rPr>
          <w:rFonts w:ascii="Arial" w:hAnsi="Arial" w:cs="Arial"/>
          <w:b/>
          <w:szCs w:val="24"/>
        </w:rPr>
        <w:t xml:space="preserve">                                        BA (HONS) Leadership and Management</w:t>
      </w:r>
    </w:p>
    <w:p w14:paraId="11CC4320" w14:textId="77777777" w:rsidR="001905EF" w:rsidRDefault="001905EF" w:rsidP="00626FEA">
      <w:pPr>
        <w:tabs>
          <w:tab w:val="left" w:leader="dot" w:pos="8505"/>
        </w:tabs>
        <w:rPr>
          <w:rFonts w:ascii="Arial" w:hAnsi="Arial" w:cs="Arial"/>
          <w:b/>
          <w:szCs w:val="24"/>
        </w:rPr>
      </w:pPr>
    </w:p>
    <w:p w14:paraId="4BC1A4C4" w14:textId="77777777" w:rsidR="001905EF" w:rsidRDefault="001905EF" w:rsidP="00626FEA">
      <w:pPr>
        <w:tabs>
          <w:tab w:val="left" w:leader="dot" w:pos="8505"/>
        </w:tabs>
        <w:rPr>
          <w:rFonts w:ascii="Arial" w:hAnsi="Arial" w:cs="Arial"/>
          <w:b/>
          <w:szCs w:val="24"/>
        </w:rPr>
      </w:pPr>
    </w:p>
    <w:p w14:paraId="0AE4D194" w14:textId="77777777" w:rsidR="001905EF" w:rsidRDefault="001905EF" w:rsidP="00626FEA">
      <w:pPr>
        <w:tabs>
          <w:tab w:val="left" w:leader="dot" w:pos="8505"/>
        </w:tabs>
        <w:rPr>
          <w:rFonts w:ascii="Arial" w:hAnsi="Arial" w:cs="Arial"/>
          <w:b/>
          <w:szCs w:val="24"/>
        </w:rPr>
      </w:pPr>
    </w:p>
    <w:p w14:paraId="0D9EA366" w14:textId="3D536969" w:rsidR="001905EF" w:rsidRPr="001905EF" w:rsidRDefault="001905EF" w:rsidP="00626FEA">
      <w:pPr>
        <w:tabs>
          <w:tab w:val="left" w:leader="dot" w:pos="8505"/>
        </w:tabs>
        <w:rPr>
          <w:rFonts w:ascii="Arial" w:hAnsi="Arial" w:cs="Arial"/>
          <w:b/>
          <w:szCs w:val="24"/>
        </w:rPr>
      </w:pPr>
      <w:r>
        <w:rPr>
          <w:rFonts w:ascii="Arial" w:hAnsi="Arial" w:cs="Arial"/>
          <w:b/>
          <w:szCs w:val="24"/>
        </w:rPr>
        <w:t xml:space="preserve">                                             Strategic Management for Business</w:t>
      </w:r>
    </w:p>
    <w:p w14:paraId="61DEFCB5" w14:textId="2BB2734C" w:rsidR="001905EF" w:rsidRDefault="001905EF" w:rsidP="00626FEA">
      <w:pPr>
        <w:tabs>
          <w:tab w:val="left" w:leader="dot" w:pos="8505"/>
        </w:tabs>
        <w:rPr>
          <w:rFonts w:ascii="Arial" w:hAnsi="Arial" w:cs="Arial"/>
          <w:b/>
          <w:sz w:val="22"/>
        </w:rPr>
      </w:pPr>
      <w:r>
        <w:rPr>
          <w:rFonts w:ascii="Arial" w:hAnsi="Arial" w:cs="Arial"/>
          <w:b/>
          <w:sz w:val="22"/>
        </w:rPr>
        <w:t xml:space="preserve">                                                              (LCLLM6001_LON)</w:t>
      </w:r>
    </w:p>
    <w:p w14:paraId="653A58D1" w14:textId="2122B477" w:rsidR="001905EF" w:rsidRDefault="001905EF" w:rsidP="00626FEA">
      <w:pPr>
        <w:tabs>
          <w:tab w:val="left" w:leader="dot" w:pos="8505"/>
        </w:tabs>
        <w:rPr>
          <w:rFonts w:ascii="Arial" w:hAnsi="Arial" w:cs="Arial"/>
          <w:b/>
          <w:sz w:val="22"/>
        </w:rPr>
      </w:pPr>
      <w:r>
        <w:rPr>
          <w:rFonts w:ascii="Arial" w:hAnsi="Arial" w:cs="Arial"/>
          <w:b/>
          <w:sz w:val="22"/>
        </w:rPr>
        <w:t xml:space="preserve">                                                               </w:t>
      </w:r>
    </w:p>
    <w:p w14:paraId="4304F256" w14:textId="77777777" w:rsidR="001905EF" w:rsidRDefault="001905EF" w:rsidP="00626FEA">
      <w:pPr>
        <w:tabs>
          <w:tab w:val="left" w:leader="dot" w:pos="8505"/>
        </w:tabs>
        <w:rPr>
          <w:rFonts w:ascii="Arial" w:hAnsi="Arial" w:cs="Arial"/>
          <w:b/>
          <w:sz w:val="22"/>
        </w:rPr>
      </w:pPr>
    </w:p>
    <w:p w14:paraId="163AC260" w14:textId="77777777" w:rsidR="001905EF" w:rsidRDefault="001905EF" w:rsidP="00626FEA">
      <w:pPr>
        <w:tabs>
          <w:tab w:val="left" w:leader="dot" w:pos="8505"/>
        </w:tabs>
        <w:rPr>
          <w:rFonts w:ascii="Arial" w:hAnsi="Arial" w:cs="Arial"/>
          <w:b/>
          <w:sz w:val="22"/>
        </w:rPr>
      </w:pPr>
    </w:p>
    <w:p w14:paraId="102F34BA" w14:textId="77777777" w:rsidR="001905EF" w:rsidRDefault="001905EF" w:rsidP="00626FEA">
      <w:pPr>
        <w:tabs>
          <w:tab w:val="left" w:leader="dot" w:pos="8505"/>
        </w:tabs>
        <w:rPr>
          <w:rFonts w:ascii="Arial" w:hAnsi="Arial" w:cs="Arial"/>
          <w:b/>
          <w:sz w:val="22"/>
        </w:rPr>
      </w:pPr>
    </w:p>
    <w:p w14:paraId="5B5C3EA6" w14:textId="77777777" w:rsidR="001905EF" w:rsidRDefault="001905EF" w:rsidP="00626FEA">
      <w:pPr>
        <w:tabs>
          <w:tab w:val="left" w:leader="dot" w:pos="8505"/>
        </w:tabs>
        <w:rPr>
          <w:rFonts w:ascii="Arial" w:hAnsi="Arial" w:cs="Arial"/>
          <w:b/>
          <w:sz w:val="22"/>
        </w:rPr>
      </w:pPr>
    </w:p>
    <w:p w14:paraId="2902D833" w14:textId="77777777" w:rsidR="001905EF" w:rsidRDefault="001905EF" w:rsidP="00626FEA">
      <w:pPr>
        <w:tabs>
          <w:tab w:val="left" w:leader="dot" w:pos="8505"/>
        </w:tabs>
        <w:rPr>
          <w:rFonts w:ascii="Arial" w:hAnsi="Arial" w:cs="Arial"/>
          <w:b/>
          <w:sz w:val="22"/>
        </w:rPr>
      </w:pPr>
    </w:p>
    <w:p w14:paraId="706A4C06" w14:textId="77777777" w:rsidR="001905EF" w:rsidRPr="001905EF" w:rsidRDefault="001905EF" w:rsidP="00626FEA">
      <w:pPr>
        <w:tabs>
          <w:tab w:val="left" w:leader="dot" w:pos="8505"/>
        </w:tabs>
        <w:rPr>
          <w:rFonts w:ascii="Arial" w:hAnsi="Arial" w:cs="Arial"/>
          <w:b/>
          <w:i/>
          <w:iCs/>
          <w:sz w:val="22"/>
        </w:rPr>
      </w:pPr>
    </w:p>
    <w:p w14:paraId="5F57D02D" w14:textId="380BCDC4" w:rsidR="001905EF" w:rsidRDefault="002D488F" w:rsidP="00626FEA">
      <w:pPr>
        <w:tabs>
          <w:tab w:val="left" w:leader="dot" w:pos="8505"/>
        </w:tabs>
        <w:rPr>
          <w:rFonts w:ascii="Arial" w:hAnsi="Arial" w:cs="Arial"/>
          <w:b/>
          <w:sz w:val="22"/>
        </w:rPr>
      </w:pPr>
      <w:r>
        <w:rPr>
          <w:rFonts w:ascii="Arial" w:hAnsi="Arial" w:cs="Arial"/>
          <w:b/>
          <w:i/>
          <w:iCs/>
          <w:sz w:val="22"/>
        </w:rPr>
        <w:t xml:space="preserve">    </w:t>
      </w:r>
      <w:r w:rsidR="001905EF" w:rsidRPr="001905EF">
        <w:rPr>
          <w:rFonts w:ascii="Arial" w:hAnsi="Arial" w:cs="Arial"/>
          <w:b/>
          <w:i/>
          <w:iCs/>
          <w:sz w:val="22"/>
        </w:rPr>
        <w:t>Lecturer Name</w:t>
      </w:r>
      <w:r w:rsidR="001905EF">
        <w:rPr>
          <w:rFonts w:ascii="Arial" w:hAnsi="Arial" w:cs="Arial"/>
          <w:b/>
          <w:i/>
          <w:iCs/>
          <w:sz w:val="22"/>
        </w:rPr>
        <w:t>: Dr Faizu Edu                                                    Student Name: Janice Garcia</w:t>
      </w:r>
    </w:p>
    <w:p w14:paraId="3BC2D9E9" w14:textId="01F8B42E" w:rsidR="001905EF" w:rsidRDefault="001905EF" w:rsidP="00626FEA">
      <w:pPr>
        <w:tabs>
          <w:tab w:val="left" w:leader="dot" w:pos="8505"/>
        </w:tabs>
        <w:rPr>
          <w:rFonts w:ascii="Arial" w:hAnsi="Arial" w:cs="Arial"/>
          <w:b/>
          <w:sz w:val="22"/>
        </w:rPr>
      </w:pPr>
      <w:r w:rsidRPr="002D488F">
        <w:rPr>
          <w:rFonts w:ascii="Arial" w:hAnsi="Arial" w:cs="Arial"/>
          <w:b/>
          <w:i/>
          <w:iCs/>
          <w:sz w:val="22"/>
        </w:rPr>
        <w:t xml:space="preserve">     </w:t>
      </w:r>
      <w:r w:rsidR="002D488F" w:rsidRPr="002D488F">
        <w:rPr>
          <w:rFonts w:ascii="Arial" w:hAnsi="Arial" w:cs="Arial"/>
          <w:b/>
          <w:i/>
          <w:iCs/>
          <w:sz w:val="22"/>
        </w:rPr>
        <w:t>Session Term:</w:t>
      </w:r>
      <w:r w:rsidRPr="002D488F">
        <w:rPr>
          <w:rFonts w:ascii="Arial" w:hAnsi="Arial" w:cs="Arial"/>
          <w:b/>
          <w:i/>
          <w:iCs/>
          <w:sz w:val="22"/>
        </w:rPr>
        <w:t xml:space="preserve">   </w:t>
      </w:r>
      <w:r w:rsidR="002D488F" w:rsidRPr="002D488F">
        <w:rPr>
          <w:rFonts w:ascii="Arial" w:hAnsi="Arial" w:cs="Arial"/>
          <w:b/>
          <w:i/>
          <w:iCs/>
          <w:sz w:val="22"/>
        </w:rPr>
        <w:t>June 2026</w:t>
      </w:r>
      <w:r w:rsidRPr="002D488F">
        <w:rPr>
          <w:rFonts w:ascii="Arial" w:hAnsi="Arial" w:cs="Arial"/>
          <w:b/>
          <w:i/>
          <w:iCs/>
          <w:sz w:val="22"/>
        </w:rPr>
        <w:t xml:space="preserve">                                                               </w:t>
      </w:r>
      <w:r w:rsidRPr="001905EF">
        <w:rPr>
          <w:rFonts w:ascii="Arial" w:hAnsi="Arial" w:cs="Arial"/>
          <w:b/>
          <w:i/>
          <w:iCs/>
          <w:sz w:val="22"/>
        </w:rPr>
        <w:t>Student Number</w:t>
      </w:r>
      <w:r>
        <w:rPr>
          <w:rFonts w:ascii="Arial" w:hAnsi="Arial" w:cs="Arial"/>
          <w:b/>
          <w:sz w:val="22"/>
        </w:rPr>
        <w:t>: 23349</w:t>
      </w:r>
      <w:r w:rsidR="00E35823">
        <w:rPr>
          <w:rFonts w:ascii="Arial" w:hAnsi="Arial" w:cs="Arial"/>
          <w:b/>
          <w:sz w:val="22"/>
        </w:rPr>
        <w:t>50</w:t>
      </w:r>
    </w:p>
    <w:p w14:paraId="3E0B2F82" w14:textId="77777777" w:rsidR="001905EF" w:rsidRDefault="001905EF" w:rsidP="00626FEA">
      <w:pPr>
        <w:tabs>
          <w:tab w:val="left" w:leader="dot" w:pos="8505"/>
        </w:tabs>
        <w:rPr>
          <w:rFonts w:ascii="Arial" w:hAnsi="Arial" w:cs="Arial"/>
          <w:b/>
          <w:sz w:val="22"/>
        </w:rPr>
      </w:pPr>
    </w:p>
    <w:p w14:paraId="48972C00" w14:textId="77777777" w:rsidR="001905EF" w:rsidRDefault="001905EF" w:rsidP="00626FEA">
      <w:pPr>
        <w:tabs>
          <w:tab w:val="left" w:leader="dot" w:pos="8505"/>
        </w:tabs>
        <w:rPr>
          <w:rFonts w:ascii="Arial" w:hAnsi="Arial" w:cs="Arial"/>
          <w:b/>
          <w:sz w:val="22"/>
        </w:rPr>
      </w:pPr>
    </w:p>
    <w:p w14:paraId="4361201E" w14:textId="77777777" w:rsidR="001905EF" w:rsidRDefault="001905EF" w:rsidP="00626FEA">
      <w:pPr>
        <w:tabs>
          <w:tab w:val="left" w:leader="dot" w:pos="8505"/>
        </w:tabs>
        <w:rPr>
          <w:rFonts w:ascii="Arial" w:hAnsi="Arial" w:cs="Arial"/>
          <w:b/>
          <w:sz w:val="22"/>
        </w:rPr>
      </w:pPr>
    </w:p>
    <w:p w14:paraId="7DC1AF57" w14:textId="77777777" w:rsidR="001905EF" w:rsidRDefault="001905EF" w:rsidP="00626FEA">
      <w:pPr>
        <w:tabs>
          <w:tab w:val="left" w:leader="dot" w:pos="8505"/>
        </w:tabs>
        <w:rPr>
          <w:rFonts w:ascii="Arial" w:hAnsi="Arial" w:cs="Arial"/>
          <w:b/>
          <w:sz w:val="22"/>
        </w:rPr>
      </w:pPr>
    </w:p>
    <w:p w14:paraId="1BF7BF20" w14:textId="77777777" w:rsidR="001905EF" w:rsidRDefault="001905EF" w:rsidP="00626FEA">
      <w:pPr>
        <w:tabs>
          <w:tab w:val="left" w:leader="dot" w:pos="8505"/>
        </w:tabs>
        <w:rPr>
          <w:rFonts w:ascii="Arial" w:hAnsi="Arial" w:cs="Arial"/>
          <w:b/>
          <w:sz w:val="22"/>
        </w:rPr>
      </w:pPr>
    </w:p>
    <w:p w14:paraId="68DEE4D4" w14:textId="77777777" w:rsidR="001905EF" w:rsidRDefault="001905EF" w:rsidP="00626FEA">
      <w:pPr>
        <w:tabs>
          <w:tab w:val="left" w:leader="dot" w:pos="8505"/>
        </w:tabs>
        <w:rPr>
          <w:rFonts w:ascii="Arial" w:hAnsi="Arial" w:cs="Arial"/>
          <w:b/>
          <w:sz w:val="22"/>
        </w:rPr>
      </w:pPr>
    </w:p>
    <w:p w14:paraId="1FACB960" w14:textId="77777777" w:rsidR="001905EF" w:rsidRDefault="001905EF" w:rsidP="00626FEA">
      <w:pPr>
        <w:tabs>
          <w:tab w:val="left" w:leader="dot" w:pos="8505"/>
        </w:tabs>
        <w:rPr>
          <w:rFonts w:ascii="Arial" w:hAnsi="Arial" w:cs="Arial"/>
          <w:b/>
          <w:sz w:val="22"/>
        </w:rPr>
      </w:pPr>
    </w:p>
    <w:p w14:paraId="62E6332F" w14:textId="77777777" w:rsidR="001905EF" w:rsidRDefault="001905EF" w:rsidP="00626FEA">
      <w:pPr>
        <w:tabs>
          <w:tab w:val="left" w:leader="dot" w:pos="8505"/>
        </w:tabs>
        <w:rPr>
          <w:rFonts w:ascii="Arial" w:hAnsi="Arial" w:cs="Arial"/>
          <w:b/>
          <w:sz w:val="22"/>
        </w:rPr>
      </w:pPr>
    </w:p>
    <w:p w14:paraId="1160EB3D" w14:textId="77777777" w:rsidR="001905EF" w:rsidRDefault="001905EF" w:rsidP="00626FEA">
      <w:pPr>
        <w:tabs>
          <w:tab w:val="left" w:leader="dot" w:pos="8505"/>
        </w:tabs>
        <w:rPr>
          <w:rFonts w:ascii="Arial" w:hAnsi="Arial" w:cs="Arial"/>
          <w:b/>
          <w:sz w:val="22"/>
        </w:rPr>
      </w:pPr>
    </w:p>
    <w:p w14:paraId="363A0C89" w14:textId="77777777" w:rsidR="001905EF" w:rsidRDefault="001905EF" w:rsidP="00626FEA">
      <w:pPr>
        <w:tabs>
          <w:tab w:val="left" w:leader="dot" w:pos="8505"/>
        </w:tabs>
        <w:rPr>
          <w:rFonts w:ascii="Arial" w:hAnsi="Arial" w:cs="Arial"/>
          <w:b/>
          <w:sz w:val="22"/>
        </w:rPr>
      </w:pPr>
    </w:p>
    <w:p w14:paraId="4D05BC40" w14:textId="77777777" w:rsidR="001905EF" w:rsidRDefault="001905EF" w:rsidP="00626FEA">
      <w:pPr>
        <w:tabs>
          <w:tab w:val="left" w:leader="dot" w:pos="8505"/>
        </w:tabs>
        <w:rPr>
          <w:rFonts w:ascii="Arial" w:hAnsi="Arial" w:cs="Arial"/>
          <w:b/>
          <w:sz w:val="22"/>
        </w:rPr>
      </w:pPr>
    </w:p>
    <w:p w14:paraId="3ECE7E19" w14:textId="77777777" w:rsidR="001905EF" w:rsidRDefault="001905EF" w:rsidP="00626FEA">
      <w:pPr>
        <w:tabs>
          <w:tab w:val="left" w:leader="dot" w:pos="8505"/>
        </w:tabs>
        <w:rPr>
          <w:rFonts w:ascii="Arial" w:hAnsi="Arial" w:cs="Arial"/>
          <w:b/>
          <w:sz w:val="22"/>
        </w:rPr>
      </w:pPr>
    </w:p>
    <w:p w14:paraId="2CE58A49" w14:textId="77777777" w:rsidR="001905EF" w:rsidRDefault="001905EF" w:rsidP="00626FEA">
      <w:pPr>
        <w:tabs>
          <w:tab w:val="left" w:leader="dot" w:pos="8505"/>
        </w:tabs>
        <w:rPr>
          <w:rFonts w:ascii="Arial" w:hAnsi="Arial" w:cs="Arial"/>
          <w:b/>
          <w:sz w:val="22"/>
        </w:rPr>
      </w:pPr>
    </w:p>
    <w:p w14:paraId="266667A6" w14:textId="77777777" w:rsidR="001905EF" w:rsidRDefault="001905EF" w:rsidP="00626FEA">
      <w:pPr>
        <w:tabs>
          <w:tab w:val="left" w:leader="dot" w:pos="8505"/>
        </w:tabs>
        <w:rPr>
          <w:rFonts w:ascii="Arial" w:hAnsi="Arial" w:cs="Arial"/>
          <w:b/>
          <w:sz w:val="22"/>
        </w:rPr>
      </w:pPr>
    </w:p>
    <w:p w14:paraId="29539F72" w14:textId="77777777" w:rsidR="001905EF" w:rsidRDefault="001905EF" w:rsidP="00626FEA">
      <w:pPr>
        <w:tabs>
          <w:tab w:val="left" w:leader="dot" w:pos="8505"/>
        </w:tabs>
        <w:rPr>
          <w:rFonts w:ascii="Arial" w:hAnsi="Arial" w:cs="Arial"/>
          <w:b/>
          <w:sz w:val="22"/>
        </w:rPr>
      </w:pPr>
    </w:p>
    <w:p w14:paraId="32EEE227" w14:textId="77777777" w:rsidR="001905EF" w:rsidRDefault="001905EF" w:rsidP="00626FEA">
      <w:pPr>
        <w:tabs>
          <w:tab w:val="left" w:leader="dot" w:pos="8505"/>
        </w:tabs>
        <w:rPr>
          <w:rFonts w:ascii="Arial" w:hAnsi="Arial" w:cs="Arial"/>
          <w:b/>
          <w:sz w:val="22"/>
        </w:rPr>
      </w:pPr>
    </w:p>
    <w:p w14:paraId="74DA4920" w14:textId="1F33FD6A" w:rsidR="00626FEA" w:rsidRPr="00626FEA" w:rsidRDefault="00626FEA" w:rsidP="00626FEA">
      <w:pPr>
        <w:tabs>
          <w:tab w:val="left" w:leader="dot" w:pos="8505"/>
        </w:tabs>
        <w:rPr>
          <w:rFonts w:ascii="Arial" w:hAnsi="Arial" w:cs="Arial"/>
          <w:b/>
          <w:sz w:val="22"/>
        </w:rPr>
      </w:pPr>
      <w:r w:rsidRPr="00626FEA">
        <w:rPr>
          <w:rFonts w:ascii="Arial" w:hAnsi="Arial" w:cs="Arial"/>
          <w:b/>
          <w:sz w:val="22"/>
        </w:rPr>
        <w:t>TABLE OF CONTENTS</w:t>
      </w:r>
    </w:p>
    <w:p w14:paraId="75344DD4" w14:textId="77777777" w:rsidR="00626FEA" w:rsidRPr="00626FEA" w:rsidRDefault="00626FEA" w:rsidP="00626FEA">
      <w:pPr>
        <w:tabs>
          <w:tab w:val="left" w:leader="dot" w:pos="8505"/>
        </w:tabs>
        <w:rPr>
          <w:rFonts w:ascii="Arial" w:hAnsi="Arial" w:cs="Arial"/>
          <w:b/>
          <w:i/>
          <w:sz w:val="22"/>
        </w:rPr>
      </w:pPr>
      <w:r w:rsidRPr="00626FEA">
        <w:rPr>
          <w:rFonts w:ascii="Arial" w:hAnsi="Arial" w:cs="Arial"/>
          <w:b/>
          <w:i/>
          <w:sz w:val="22"/>
        </w:rPr>
        <w:t xml:space="preserve">Executive Summary </w:t>
      </w:r>
      <w:r w:rsidRPr="00626FEA">
        <w:rPr>
          <w:rFonts w:ascii="Arial" w:hAnsi="Arial" w:cs="Arial"/>
          <w:b/>
          <w:i/>
          <w:sz w:val="22"/>
        </w:rPr>
        <w:tab/>
        <w:t>1</w:t>
      </w:r>
    </w:p>
    <w:p w14:paraId="729AABEF" w14:textId="77777777" w:rsidR="00626FEA" w:rsidRPr="00626FEA" w:rsidRDefault="00626FEA" w:rsidP="00626FEA">
      <w:pPr>
        <w:tabs>
          <w:tab w:val="left" w:leader="dot" w:pos="8505"/>
        </w:tabs>
        <w:rPr>
          <w:rFonts w:ascii="Arial" w:hAnsi="Arial" w:cs="Arial"/>
          <w:b/>
          <w:i/>
          <w:sz w:val="22"/>
        </w:rPr>
      </w:pPr>
      <w:r w:rsidRPr="00626FEA">
        <w:rPr>
          <w:rFonts w:ascii="Arial" w:hAnsi="Arial" w:cs="Arial"/>
          <w:b/>
          <w:i/>
          <w:sz w:val="22"/>
        </w:rPr>
        <w:t xml:space="preserve">Introduction to Vodafone </w:t>
      </w:r>
      <w:r w:rsidRPr="00626FEA">
        <w:rPr>
          <w:rFonts w:ascii="Arial" w:hAnsi="Arial" w:cs="Arial"/>
          <w:b/>
          <w:i/>
          <w:sz w:val="22"/>
        </w:rPr>
        <w:tab/>
      </w:r>
      <w:r>
        <w:rPr>
          <w:rFonts w:ascii="Arial" w:hAnsi="Arial" w:cs="Arial"/>
          <w:b/>
          <w:i/>
          <w:sz w:val="22"/>
        </w:rPr>
        <w:t>2</w:t>
      </w:r>
    </w:p>
    <w:p w14:paraId="32C2DBA6" w14:textId="77777777" w:rsidR="00626FEA" w:rsidRPr="00626FEA" w:rsidRDefault="00626FEA" w:rsidP="00626FEA">
      <w:pPr>
        <w:tabs>
          <w:tab w:val="left" w:leader="dot" w:pos="8505"/>
        </w:tabs>
        <w:rPr>
          <w:rFonts w:ascii="Arial" w:hAnsi="Arial" w:cs="Arial"/>
          <w:b/>
          <w:i/>
          <w:sz w:val="22"/>
        </w:rPr>
      </w:pPr>
      <w:r w:rsidRPr="00626FEA">
        <w:rPr>
          <w:rFonts w:ascii="Arial" w:hAnsi="Arial" w:cs="Arial"/>
          <w:b/>
          <w:i/>
          <w:sz w:val="22"/>
        </w:rPr>
        <w:t xml:space="preserve">Evaluation of Current Market Situation </w:t>
      </w:r>
      <w:r w:rsidRPr="00626FEA">
        <w:rPr>
          <w:rFonts w:ascii="Arial" w:hAnsi="Arial" w:cs="Arial"/>
          <w:b/>
          <w:i/>
          <w:sz w:val="22"/>
        </w:rPr>
        <w:tab/>
      </w:r>
      <w:r>
        <w:rPr>
          <w:rFonts w:ascii="Arial" w:hAnsi="Arial" w:cs="Arial"/>
          <w:b/>
          <w:i/>
          <w:sz w:val="22"/>
        </w:rPr>
        <w:t>3</w:t>
      </w:r>
    </w:p>
    <w:p w14:paraId="78713177" w14:textId="77777777" w:rsidR="00626FEA" w:rsidRPr="00626FEA" w:rsidRDefault="00626FEA" w:rsidP="00626FEA">
      <w:pPr>
        <w:tabs>
          <w:tab w:val="left" w:leader="dot" w:pos="8505"/>
        </w:tabs>
        <w:rPr>
          <w:rFonts w:ascii="Arial" w:hAnsi="Arial" w:cs="Arial"/>
          <w:b/>
          <w:i/>
          <w:sz w:val="22"/>
        </w:rPr>
      </w:pPr>
      <w:r w:rsidRPr="00626FEA">
        <w:rPr>
          <w:rFonts w:ascii="Arial" w:hAnsi="Arial" w:cs="Arial"/>
          <w:b/>
          <w:i/>
          <w:sz w:val="22"/>
        </w:rPr>
        <w:t xml:space="preserve">Strategic Growth Options and Proposed Strategy </w:t>
      </w:r>
      <w:r w:rsidRPr="00626FEA">
        <w:rPr>
          <w:rFonts w:ascii="Arial" w:hAnsi="Arial" w:cs="Arial"/>
          <w:b/>
          <w:i/>
          <w:sz w:val="22"/>
        </w:rPr>
        <w:tab/>
      </w:r>
      <w:r>
        <w:rPr>
          <w:rFonts w:ascii="Arial" w:hAnsi="Arial" w:cs="Arial"/>
          <w:b/>
          <w:i/>
          <w:sz w:val="22"/>
        </w:rPr>
        <w:t>4</w:t>
      </w:r>
    </w:p>
    <w:p w14:paraId="29838AFB" w14:textId="77777777" w:rsidR="00626FEA" w:rsidRPr="00626FEA" w:rsidRDefault="00626FEA" w:rsidP="00626FEA">
      <w:pPr>
        <w:tabs>
          <w:tab w:val="left" w:leader="dot" w:pos="8505"/>
        </w:tabs>
        <w:rPr>
          <w:rFonts w:ascii="Arial" w:hAnsi="Arial" w:cs="Arial"/>
          <w:b/>
          <w:i/>
          <w:sz w:val="22"/>
        </w:rPr>
      </w:pPr>
      <w:r w:rsidRPr="00626FEA">
        <w:rPr>
          <w:rFonts w:ascii="Arial" w:hAnsi="Arial" w:cs="Arial"/>
          <w:b/>
          <w:i/>
          <w:sz w:val="22"/>
        </w:rPr>
        <w:t xml:space="preserve">Strategy Evaluation </w:t>
      </w:r>
      <w:r w:rsidRPr="00626FEA">
        <w:rPr>
          <w:rFonts w:ascii="Arial" w:hAnsi="Arial" w:cs="Arial"/>
          <w:b/>
          <w:i/>
          <w:sz w:val="22"/>
        </w:rPr>
        <w:tab/>
      </w:r>
      <w:r>
        <w:rPr>
          <w:rFonts w:ascii="Arial" w:hAnsi="Arial" w:cs="Arial"/>
          <w:b/>
          <w:i/>
          <w:sz w:val="22"/>
        </w:rPr>
        <w:t>5</w:t>
      </w:r>
    </w:p>
    <w:p w14:paraId="3677967A" w14:textId="77777777" w:rsidR="00626FEA" w:rsidRPr="00626FEA" w:rsidRDefault="00626FEA" w:rsidP="00626FEA">
      <w:pPr>
        <w:tabs>
          <w:tab w:val="left" w:leader="dot" w:pos="8505"/>
        </w:tabs>
        <w:rPr>
          <w:rFonts w:ascii="Arial" w:hAnsi="Arial" w:cs="Arial"/>
          <w:b/>
          <w:i/>
          <w:sz w:val="22"/>
        </w:rPr>
      </w:pPr>
      <w:r w:rsidRPr="00626FEA">
        <w:rPr>
          <w:rFonts w:ascii="Arial" w:hAnsi="Arial" w:cs="Arial"/>
          <w:b/>
          <w:i/>
          <w:sz w:val="22"/>
        </w:rPr>
        <w:t xml:space="preserve">Stakeholder Analysis </w:t>
      </w:r>
      <w:r w:rsidRPr="00626FEA">
        <w:rPr>
          <w:rFonts w:ascii="Arial" w:hAnsi="Arial" w:cs="Arial"/>
          <w:b/>
          <w:i/>
          <w:sz w:val="22"/>
        </w:rPr>
        <w:tab/>
      </w:r>
      <w:r>
        <w:rPr>
          <w:rFonts w:ascii="Arial" w:hAnsi="Arial" w:cs="Arial"/>
          <w:b/>
          <w:i/>
          <w:sz w:val="22"/>
        </w:rPr>
        <w:t>6</w:t>
      </w:r>
    </w:p>
    <w:p w14:paraId="24D49140" w14:textId="77777777" w:rsidR="00626FEA" w:rsidRPr="00626FEA" w:rsidRDefault="00626FEA" w:rsidP="00626FEA">
      <w:pPr>
        <w:tabs>
          <w:tab w:val="left" w:leader="dot" w:pos="8505"/>
        </w:tabs>
        <w:rPr>
          <w:rFonts w:ascii="Arial" w:hAnsi="Arial" w:cs="Arial"/>
          <w:b/>
          <w:i/>
          <w:sz w:val="22"/>
        </w:rPr>
      </w:pPr>
      <w:r w:rsidRPr="00626FEA">
        <w:rPr>
          <w:rFonts w:ascii="Arial" w:hAnsi="Arial" w:cs="Arial"/>
          <w:b/>
          <w:i/>
          <w:sz w:val="22"/>
        </w:rPr>
        <w:t xml:space="preserve">Implementation and Monitoring </w:t>
      </w:r>
      <w:r w:rsidRPr="00626FEA">
        <w:rPr>
          <w:rFonts w:ascii="Arial" w:hAnsi="Arial" w:cs="Arial"/>
          <w:b/>
          <w:i/>
          <w:sz w:val="22"/>
        </w:rPr>
        <w:tab/>
      </w:r>
      <w:r>
        <w:rPr>
          <w:rFonts w:ascii="Arial" w:hAnsi="Arial" w:cs="Arial"/>
          <w:b/>
          <w:i/>
          <w:sz w:val="22"/>
        </w:rPr>
        <w:t>7</w:t>
      </w:r>
    </w:p>
    <w:p w14:paraId="09D5104E" w14:textId="77777777" w:rsidR="00626FEA" w:rsidRPr="00626FEA" w:rsidRDefault="00626FEA" w:rsidP="00626FEA">
      <w:pPr>
        <w:tabs>
          <w:tab w:val="left" w:leader="dot" w:pos="8505"/>
        </w:tabs>
        <w:rPr>
          <w:rFonts w:ascii="Arial" w:hAnsi="Arial" w:cs="Arial"/>
          <w:b/>
          <w:i/>
          <w:sz w:val="22"/>
        </w:rPr>
      </w:pPr>
      <w:r w:rsidRPr="00626FEA">
        <w:rPr>
          <w:rFonts w:ascii="Arial" w:hAnsi="Arial" w:cs="Arial"/>
          <w:b/>
          <w:i/>
          <w:sz w:val="22"/>
        </w:rPr>
        <w:t xml:space="preserve">Conclusion </w:t>
      </w:r>
      <w:r w:rsidRPr="00626FEA">
        <w:rPr>
          <w:rFonts w:ascii="Arial" w:hAnsi="Arial" w:cs="Arial"/>
          <w:b/>
          <w:i/>
          <w:sz w:val="22"/>
        </w:rPr>
        <w:tab/>
      </w:r>
      <w:r>
        <w:rPr>
          <w:rFonts w:ascii="Arial" w:hAnsi="Arial" w:cs="Arial"/>
          <w:b/>
          <w:i/>
          <w:sz w:val="22"/>
        </w:rPr>
        <w:t>8</w:t>
      </w:r>
    </w:p>
    <w:p w14:paraId="4DDF41D3" w14:textId="77777777" w:rsidR="00626FEA" w:rsidRPr="00626FEA" w:rsidRDefault="00626FEA" w:rsidP="00626FEA">
      <w:pPr>
        <w:tabs>
          <w:tab w:val="left" w:leader="dot" w:pos="8505"/>
        </w:tabs>
        <w:rPr>
          <w:rFonts w:ascii="Arial" w:hAnsi="Arial" w:cs="Arial"/>
          <w:b/>
          <w:i/>
          <w:sz w:val="22"/>
        </w:rPr>
      </w:pPr>
      <w:r w:rsidRPr="00626FEA">
        <w:rPr>
          <w:rFonts w:ascii="Arial" w:hAnsi="Arial" w:cs="Arial"/>
          <w:b/>
          <w:i/>
          <w:sz w:val="22"/>
        </w:rPr>
        <w:t xml:space="preserve">Sources and References </w:t>
      </w:r>
      <w:r w:rsidRPr="00626FEA">
        <w:rPr>
          <w:rFonts w:ascii="Arial" w:hAnsi="Arial" w:cs="Arial"/>
          <w:b/>
          <w:i/>
          <w:sz w:val="22"/>
        </w:rPr>
        <w:tab/>
      </w:r>
      <w:r>
        <w:rPr>
          <w:rFonts w:ascii="Arial" w:hAnsi="Arial" w:cs="Arial"/>
          <w:b/>
          <w:i/>
          <w:sz w:val="22"/>
        </w:rPr>
        <w:t>9</w:t>
      </w:r>
    </w:p>
    <w:p w14:paraId="08ED0C0E" w14:textId="77777777" w:rsidR="00626FEA" w:rsidRDefault="00626FEA" w:rsidP="00CE2DCD">
      <w:pPr>
        <w:jc w:val="both"/>
        <w:rPr>
          <w:rFonts w:ascii="Arial" w:hAnsi="Arial" w:cs="Arial"/>
          <w:b/>
          <w:sz w:val="22"/>
        </w:rPr>
      </w:pPr>
    </w:p>
    <w:p w14:paraId="08F424BE" w14:textId="77777777" w:rsidR="00626FEA" w:rsidRDefault="00626FEA" w:rsidP="00CE2DCD">
      <w:pPr>
        <w:jc w:val="both"/>
        <w:rPr>
          <w:rFonts w:ascii="Arial" w:hAnsi="Arial" w:cs="Arial"/>
          <w:b/>
          <w:sz w:val="22"/>
        </w:rPr>
      </w:pPr>
    </w:p>
    <w:p w14:paraId="19325495" w14:textId="77777777" w:rsidR="00626FEA" w:rsidRDefault="00626FEA" w:rsidP="00CE2DCD">
      <w:pPr>
        <w:jc w:val="both"/>
        <w:rPr>
          <w:rFonts w:ascii="Arial" w:hAnsi="Arial" w:cs="Arial"/>
          <w:b/>
          <w:sz w:val="22"/>
        </w:rPr>
      </w:pPr>
    </w:p>
    <w:p w14:paraId="3AE39D83" w14:textId="77777777" w:rsidR="00626FEA" w:rsidRDefault="00626FEA" w:rsidP="00CE2DCD">
      <w:pPr>
        <w:jc w:val="both"/>
        <w:rPr>
          <w:rFonts w:ascii="Arial" w:hAnsi="Arial" w:cs="Arial"/>
          <w:b/>
          <w:sz w:val="22"/>
        </w:rPr>
      </w:pPr>
    </w:p>
    <w:p w14:paraId="491E8C12" w14:textId="77777777" w:rsidR="00626FEA" w:rsidRDefault="00626FEA" w:rsidP="00CE2DCD">
      <w:pPr>
        <w:jc w:val="both"/>
        <w:rPr>
          <w:rFonts w:ascii="Arial" w:hAnsi="Arial" w:cs="Arial"/>
          <w:b/>
          <w:sz w:val="22"/>
        </w:rPr>
      </w:pPr>
    </w:p>
    <w:p w14:paraId="33F07471" w14:textId="77777777" w:rsidR="00626FEA" w:rsidRDefault="00626FEA" w:rsidP="00CE2DCD">
      <w:pPr>
        <w:jc w:val="both"/>
        <w:rPr>
          <w:rFonts w:ascii="Arial" w:hAnsi="Arial" w:cs="Arial"/>
          <w:b/>
          <w:sz w:val="22"/>
        </w:rPr>
      </w:pPr>
    </w:p>
    <w:p w14:paraId="2AAFEE17" w14:textId="77777777" w:rsidR="00626FEA" w:rsidRDefault="00626FEA" w:rsidP="00CE2DCD">
      <w:pPr>
        <w:jc w:val="both"/>
        <w:rPr>
          <w:rFonts w:ascii="Arial" w:hAnsi="Arial" w:cs="Arial"/>
          <w:b/>
          <w:sz w:val="22"/>
        </w:rPr>
      </w:pPr>
    </w:p>
    <w:p w14:paraId="3A4DB66E" w14:textId="77777777" w:rsidR="00626FEA" w:rsidRDefault="00626FEA" w:rsidP="00CE2DCD">
      <w:pPr>
        <w:jc w:val="both"/>
        <w:rPr>
          <w:rFonts w:ascii="Arial" w:hAnsi="Arial" w:cs="Arial"/>
          <w:b/>
          <w:sz w:val="22"/>
        </w:rPr>
      </w:pPr>
    </w:p>
    <w:p w14:paraId="525C7E24" w14:textId="77777777" w:rsidR="00626FEA" w:rsidRDefault="00626FEA" w:rsidP="00CE2DCD">
      <w:pPr>
        <w:jc w:val="both"/>
        <w:rPr>
          <w:rFonts w:ascii="Arial" w:hAnsi="Arial" w:cs="Arial"/>
          <w:b/>
          <w:sz w:val="22"/>
        </w:rPr>
      </w:pPr>
    </w:p>
    <w:p w14:paraId="415FFF4C" w14:textId="77777777" w:rsidR="00626FEA" w:rsidRDefault="00626FEA" w:rsidP="00CE2DCD">
      <w:pPr>
        <w:jc w:val="both"/>
        <w:rPr>
          <w:rFonts w:ascii="Arial" w:hAnsi="Arial" w:cs="Arial"/>
          <w:b/>
          <w:sz w:val="22"/>
        </w:rPr>
      </w:pPr>
    </w:p>
    <w:p w14:paraId="1AD1E6BF" w14:textId="77777777" w:rsidR="00626FEA" w:rsidRDefault="00626FEA" w:rsidP="00CE2DCD">
      <w:pPr>
        <w:jc w:val="both"/>
        <w:rPr>
          <w:rFonts w:ascii="Arial" w:hAnsi="Arial" w:cs="Arial"/>
          <w:b/>
          <w:sz w:val="22"/>
        </w:rPr>
      </w:pPr>
    </w:p>
    <w:p w14:paraId="018DE297" w14:textId="77777777" w:rsidR="00626FEA" w:rsidRDefault="00626FEA" w:rsidP="00CE2DCD">
      <w:pPr>
        <w:jc w:val="both"/>
        <w:rPr>
          <w:rFonts w:ascii="Arial" w:hAnsi="Arial" w:cs="Arial"/>
          <w:b/>
          <w:sz w:val="22"/>
        </w:rPr>
      </w:pPr>
    </w:p>
    <w:p w14:paraId="3B3A6CFC" w14:textId="77777777" w:rsidR="00626FEA" w:rsidRDefault="00626FEA" w:rsidP="00CE2DCD">
      <w:pPr>
        <w:jc w:val="both"/>
        <w:rPr>
          <w:rFonts w:ascii="Arial" w:hAnsi="Arial" w:cs="Arial"/>
          <w:b/>
          <w:sz w:val="22"/>
        </w:rPr>
      </w:pPr>
    </w:p>
    <w:p w14:paraId="4B73C6E1" w14:textId="77777777" w:rsidR="00626FEA" w:rsidRDefault="00626FEA" w:rsidP="00CE2DCD">
      <w:pPr>
        <w:jc w:val="both"/>
        <w:rPr>
          <w:rFonts w:ascii="Arial" w:hAnsi="Arial" w:cs="Arial"/>
          <w:b/>
          <w:sz w:val="22"/>
        </w:rPr>
      </w:pPr>
    </w:p>
    <w:p w14:paraId="33A1880C" w14:textId="77777777" w:rsidR="00626FEA" w:rsidRDefault="00626FEA" w:rsidP="00CE2DCD">
      <w:pPr>
        <w:jc w:val="both"/>
        <w:rPr>
          <w:rFonts w:ascii="Arial" w:hAnsi="Arial" w:cs="Arial"/>
          <w:b/>
          <w:sz w:val="22"/>
        </w:rPr>
      </w:pPr>
    </w:p>
    <w:p w14:paraId="56ECF3D3" w14:textId="77777777" w:rsidR="00626FEA" w:rsidRDefault="00626FEA" w:rsidP="00CE2DCD">
      <w:pPr>
        <w:jc w:val="both"/>
        <w:rPr>
          <w:rFonts w:ascii="Arial" w:hAnsi="Arial" w:cs="Arial"/>
          <w:b/>
          <w:sz w:val="22"/>
        </w:rPr>
      </w:pPr>
    </w:p>
    <w:p w14:paraId="393706D0" w14:textId="77777777" w:rsidR="002D488F" w:rsidRDefault="002D488F" w:rsidP="00CE2DCD">
      <w:pPr>
        <w:jc w:val="both"/>
        <w:rPr>
          <w:rFonts w:ascii="Arial" w:hAnsi="Arial" w:cs="Arial"/>
          <w:b/>
          <w:sz w:val="22"/>
        </w:rPr>
      </w:pPr>
    </w:p>
    <w:p w14:paraId="0751B56A" w14:textId="77777777" w:rsidR="002D488F" w:rsidRDefault="002D488F" w:rsidP="00CE2DCD">
      <w:pPr>
        <w:jc w:val="both"/>
        <w:rPr>
          <w:rFonts w:ascii="Arial" w:hAnsi="Arial" w:cs="Arial"/>
          <w:b/>
          <w:sz w:val="22"/>
        </w:rPr>
      </w:pPr>
    </w:p>
    <w:p w14:paraId="4FC86FBA" w14:textId="77777777" w:rsidR="002D488F" w:rsidRDefault="002D488F" w:rsidP="00CE2DCD">
      <w:pPr>
        <w:jc w:val="both"/>
        <w:rPr>
          <w:rFonts w:ascii="Arial" w:hAnsi="Arial" w:cs="Arial"/>
          <w:b/>
          <w:sz w:val="22"/>
        </w:rPr>
      </w:pPr>
    </w:p>
    <w:p w14:paraId="798A52D7" w14:textId="64A95901" w:rsidR="00561E7D" w:rsidRPr="008B6E32" w:rsidRDefault="008B6E32" w:rsidP="00F67EA5">
      <w:pPr>
        <w:spacing w:line="360" w:lineRule="auto"/>
        <w:jc w:val="both"/>
        <w:rPr>
          <w:rFonts w:ascii="Arial" w:hAnsi="Arial" w:cs="Arial"/>
          <w:b/>
          <w:sz w:val="22"/>
        </w:rPr>
      </w:pPr>
      <w:r w:rsidRPr="008B6E32">
        <w:rPr>
          <w:rFonts w:ascii="Arial" w:hAnsi="Arial" w:cs="Arial"/>
          <w:b/>
          <w:sz w:val="22"/>
        </w:rPr>
        <w:lastRenderedPageBreak/>
        <w:t>VODAFONE STRATEGIC GROWTH ANALYSIS</w:t>
      </w:r>
    </w:p>
    <w:p w14:paraId="4A98F053" w14:textId="77777777" w:rsidR="00561E7D" w:rsidRPr="00CE2DCD" w:rsidRDefault="008B6E32" w:rsidP="00F67EA5">
      <w:pPr>
        <w:spacing w:line="360" w:lineRule="auto"/>
        <w:jc w:val="both"/>
        <w:rPr>
          <w:rFonts w:ascii="Arial" w:hAnsi="Arial" w:cs="Arial"/>
          <w:sz w:val="22"/>
        </w:rPr>
      </w:pPr>
      <w:r w:rsidRPr="008B6E32">
        <w:rPr>
          <w:rFonts w:ascii="Arial" w:hAnsi="Arial" w:cs="Arial"/>
          <w:b/>
          <w:sz w:val="22"/>
        </w:rPr>
        <w:t>EXECUTIVE SUMMARY</w:t>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t>1</w:t>
      </w:r>
    </w:p>
    <w:p w14:paraId="6848817B" w14:textId="7D1D2FB0" w:rsidR="00561E7D" w:rsidRPr="00CE2DCD" w:rsidRDefault="008B6E32" w:rsidP="00F67EA5">
      <w:pPr>
        <w:spacing w:line="360" w:lineRule="auto"/>
        <w:jc w:val="both"/>
        <w:rPr>
          <w:rFonts w:ascii="Arial" w:hAnsi="Arial" w:cs="Arial"/>
          <w:sz w:val="22"/>
        </w:rPr>
      </w:pPr>
      <w:r w:rsidRPr="00CE2DCD">
        <w:rPr>
          <w:rFonts w:ascii="Arial" w:hAnsi="Arial" w:cs="Arial"/>
          <w:sz w:val="22"/>
        </w:rPr>
        <w:t xml:space="preserve">This report evaluates Vodafone’s growth opportunities following its merger with Three UK. The combination has created VodafoneThree, the largest mobile network operator in the United Kingdom, with a joint customer base of approximately 27 million subscribers. The report assesses Vodafone’s strategic position through SWOT analysis, the Ansoff Matrix, Porter’s Generic Strategies and the SAFe framework. The central finding is that market leadership and scale alone will not guarantee sustainable growth in a mature and highly competitive telecommunications </w:t>
      </w:r>
      <w:r w:rsidR="001E37BD" w:rsidRPr="00CE2DCD">
        <w:rPr>
          <w:rFonts w:ascii="Arial" w:hAnsi="Arial" w:cs="Arial"/>
          <w:sz w:val="22"/>
        </w:rPr>
        <w:t>industry.</w:t>
      </w:r>
      <w:r w:rsidR="001E37BD">
        <w:rPr>
          <w:rFonts w:ascii="Arial" w:hAnsi="Arial" w:cs="Arial"/>
          <w:sz w:val="22"/>
        </w:rPr>
        <w:t xml:space="preserve"> (Porter,2008)</w:t>
      </w:r>
      <w:r w:rsidRPr="00CE2DCD">
        <w:rPr>
          <w:rFonts w:ascii="Arial" w:hAnsi="Arial" w:cs="Arial"/>
          <w:sz w:val="22"/>
        </w:rPr>
        <w:t xml:space="preserve"> A strategy based mainly on lower prices could weaken profitability and reduce the value created by the merger.</w:t>
      </w:r>
      <w:r w:rsidRPr="00CE2DCD">
        <w:rPr>
          <w:rFonts w:ascii="Arial" w:hAnsi="Arial" w:cs="Arial"/>
          <w:sz w:val="22"/>
        </w:rPr>
        <w:br/>
      </w:r>
      <w:r w:rsidRPr="00CE2DCD">
        <w:rPr>
          <w:rFonts w:ascii="Arial" w:hAnsi="Arial" w:cs="Arial"/>
          <w:sz w:val="22"/>
        </w:rPr>
        <w:br/>
        <w:t>The report therefore recommends Product Development supported by Differentiation. Vodafone should use merger synergies and its planned £11 billion investment in a standalone 5G network to improve network quality while developing higher-value digital services. These include artificial intelligence, Internet of Things solutions, cloud computing, cybersecurity, enterprise connectivity and advanced 5G capabilities. The strategy is intended to increase customer value, reduce churn, create recurring enterprise revenue and strengthen Vodafone’s competitive position without entering a destructive price war. The report also considers stakeholders, implementation priorities, key performance indicators and risks so that the recommended strategy can be translated into practical action.</w:t>
      </w:r>
      <w:r w:rsidR="00F25270">
        <w:rPr>
          <w:rFonts w:ascii="Arial" w:hAnsi="Arial" w:cs="Arial"/>
          <w:sz w:val="22"/>
        </w:rPr>
        <w:t>( Vodafone,2024c)</w:t>
      </w:r>
    </w:p>
    <w:p w14:paraId="409C4A03" w14:textId="77777777" w:rsidR="00561E7D" w:rsidRPr="008B6E32" w:rsidRDefault="008B6E32" w:rsidP="00F67EA5">
      <w:pPr>
        <w:spacing w:line="360" w:lineRule="auto"/>
        <w:jc w:val="both"/>
        <w:rPr>
          <w:rFonts w:ascii="Arial" w:hAnsi="Arial" w:cs="Arial"/>
          <w:b/>
          <w:sz w:val="22"/>
        </w:rPr>
      </w:pPr>
      <w:r w:rsidRPr="008B6E32">
        <w:rPr>
          <w:rFonts w:ascii="Arial" w:hAnsi="Arial" w:cs="Arial"/>
          <w:b/>
          <w:sz w:val="22"/>
        </w:rPr>
        <w:t>1. INTRODUCTION TO VODAFONE</w:t>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t>2</w:t>
      </w:r>
    </w:p>
    <w:p w14:paraId="46D0385F" w14:textId="65091336" w:rsidR="00561E7D" w:rsidRPr="00CE2DCD" w:rsidRDefault="008B6E32" w:rsidP="00F67EA5">
      <w:pPr>
        <w:spacing w:line="360" w:lineRule="auto"/>
        <w:jc w:val="both"/>
        <w:rPr>
          <w:rFonts w:ascii="Arial" w:hAnsi="Arial" w:cs="Arial"/>
          <w:sz w:val="22"/>
        </w:rPr>
      </w:pPr>
      <w:r w:rsidRPr="00CE2DCD">
        <w:rPr>
          <w:rFonts w:ascii="Arial" w:hAnsi="Arial" w:cs="Arial"/>
          <w:sz w:val="22"/>
        </w:rPr>
        <w:t>Telecommunications companies have become essential pillars of the digital economy because businesses, governments and consumers increasingly depend on reliable connectivity. Vodafone Group Plc operates across Europe and Africa and provides mobile and fixed-line communication services to a large international customer base. Its strategic direction is shaped by a mission centred on connecting people for a better future and a vision focused on becoming a best-in-class technology company that crea</w:t>
      </w:r>
      <w:r w:rsidR="00CE2DCD" w:rsidRPr="00CE2DCD">
        <w:rPr>
          <w:rFonts w:ascii="Arial" w:hAnsi="Arial" w:cs="Arial"/>
          <w:sz w:val="22"/>
        </w:rPr>
        <w:t>tes value for customers, society</w:t>
      </w:r>
      <w:r w:rsidR="00CE2DCD">
        <w:rPr>
          <w:rFonts w:ascii="Arial" w:hAnsi="Arial" w:cs="Arial"/>
          <w:sz w:val="22"/>
        </w:rPr>
        <w:t xml:space="preserve"> </w:t>
      </w:r>
      <w:r w:rsidR="00CE2DCD" w:rsidRPr="00CE2DCD">
        <w:rPr>
          <w:rFonts w:ascii="Arial" w:hAnsi="Arial" w:cs="Arial"/>
          <w:sz w:val="22"/>
        </w:rPr>
        <w:t>and</w:t>
      </w:r>
      <w:r w:rsidR="00CE2DCD">
        <w:rPr>
          <w:rFonts w:ascii="Arial" w:hAnsi="Arial" w:cs="Arial"/>
          <w:sz w:val="22"/>
        </w:rPr>
        <w:t xml:space="preserve"> </w:t>
      </w:r>
      <w:r w:rsidRPr="00CE2DCD">
        <w:rPr>
          <w:rFonts w:ascii="Arial" w:hAnsi="Arial" w:cs="Arial"/>
          <w:sz w:val="22"/>
        </w:rPr>
        <w:t>shareholders.</w:t>
      </w:r>
      <w:r w:rsidR="00F25270">
        <w:rPr>
          <w:rFonts w:ascii="Arial" w:hAnsi="Arial" w:cs="Arial"/>
          <w:sz w:val="22"/>
        </w:rPr>
        <w:t xml:space="preserve"> (Vodafone,2024a)</w:t>
      </w:r>
      <w:r w:rsidRPr="00CE2DCD">
        <w:rPr>
          <w:rFonts w:ascii="Arial" w:hAnsi="Arial" w:cs="Arial"/>
          <w:sz w:val="22"/>
        </w:rPr>
        <w:br/>
      </w:r>
      <w:r w:rsidRPr="00CE2DCD">
        <w:rPr>
          <w:rFonts w:ascii="Arial" w:hAnsi="Arial" w:cs="Arial"/>
          <w:sz w:val="22"/>
        </w:rPr>
        <w:br/>
        <w:t>Vodafone’s mission connects communication access with economic and social inclusion. The company’s purpose is therefore broader than simply selling mobile services. Reliable connectivity can support employment, education, commerce and participation in the digital economy. The company has also linked its wider sustainability ambitions to network operations and renewable energy, particularly across its European networks. This supports the idea that a better future depends not only on connectivity but also on how efficiently and sustainably digital infrastructure is delivered.</w:t>
      </w:r>
      <w:r w:rsidR="00F25270">
        <w:rPr>
          <w:rFonts w:ascii="Arial" w:hAnsi="Arial" w:cs="Arial"/>
          <w:sz w:val="22"/>
        </w:rPr>
        <w:t xml:space="preserve"> (Vodafone,2024a)</w:t>
      </w:r>
      <w:r w:rsidRPr="00CE2DCD">
        <w:rPr>
          <w:rFonts w:ascii="Arial" w:hAnsi="Arial" w:cs="Arial"/>
          <w:sz w:val="22"/>
        </w:rPr>
        <w:br/>
      </w:r>
      <w:r w:rsidRPr="00CE2DCD">
        <w:rPr>
          <w:rFonts w:ascii="Arial" w:hAnsi="Arial" w:cs="Arial"/>
          <w:sz w:val="22"/>
        </w:rPr>
        <w:br/>
        <w:t xml:space="preserve">The company’s vision reflects a longer-term transformation from a traditional telecommunications company, or TelCo, toward a technology-oriented organisation, or TechCo. The emphasis on artificial intelligence, automation, 5G and enterprise technology indicates that Vodafone seeks to move beyond basic connectivity. Vodafone Business is particularly important because enterprise customers can generate higher-value and recurring revenue through services such as cloud, cybersecurity, IoT and advanced </w:t>
      </w:r>
      <w:r w:rsidR="00F25270" w:rsidRPr="00CE2DCD">
        <w:rPr>
          <w:rFonts w:ascii="Arial" w:hAnsi="Arial" w:cs="Arial"/>
          <w:sz w:val="22"/>
        </w:rPr>
        <w:t>connectivity.</w:t>
      </w:r>
      <w:r w:rsidR="00F25270">
        <w:rPr>
          <w:rFonts w:ascii="Arial" w:hAnsi="Arial" w:cs="Arial"/>
          <w:sz w:val="22"/>
        </w:rPr>
        <w:t xml:space="preserve"> (Vodafone,2024b)</w:t>
      </w:r>
      <w:r w:rsidRPr="00CE2DCD">
        <w:rPr>
          <w:rFonts w:ascii="Arial" w:hAnsi="Arial" w:cs="Arial"/>
          <w:sz w:val="22"/>
        </w:rPr>
        <w:br/>
      </w:r>
      <w:r w:rsidRPr="00CE2DCD">
        <w:rPr>
          <w:rFonts w:ascii="Arial" w:hAnsi="Arial" w:cs="Arial"/>
          <w:sz w:val="22"/>
        </w:rPr>
        <w:br/>
        <w:t xml:space="preserve">Following the merger with Three UK, this strategic direction becomes more significant. The enlarged company has greater scale, a larger customer base and stronger infrastructure capabilities, but it also faces </w:t>
      </w:r>
      <w:r w:rsidRPr="00CE2DCD">
        <w:rPr>
          <w:rFonts w:ascii="Arial" w:hAnsi="Arial" w:cs="Arial"/>
          <w:sz w:val="22"/>
        </w:rPr>
        <w:lastRenderedPageBreak/>
        <w:t xml:space="preserve">integration costs, regulatory scrutiny and intense competition. Vodafone therefore needs to use its increased resources to create differentiated value rather than relying only on its larger market </w:t>
      </w:r>
      <w:r w:rsidR="00EF68E7" w:rsidRPr="00CE2DCD">
        <w:rPr>
          <w:rFonts w:ascii="Arial" w:hAnsi="Arial" w:cs="Arial"/>
          <w:sz w:val="22"/>
        </w:rPr>
        <w:t>share.</w:t>
      </w:r>
      <w:r w:rsidR="00EF68E7">
        <w:rPr>
          <w:rFonts w:ascii="Arial" w:hAnsi="Arial" w:cs="Arial"/>
          <w:sz w:val="22"/>
        </w:rPr>
        <w:t xml:space="preserve"> (</w:t>
      </w:r>
      <w:r w:rsidR="00F25270">
        <w:rPr>
          <w:rFonts w:ascii="Arial" w:hAnsi="Arial" w:cs="Arial"/>
          <w:sz w:val="22"/>
        </w:rPr>
        <w:t>CMA,2024)</w:t>
      </w:r>
    </w:p>
    <w:p w14:paraId="3D0F61D7" w14:textId="77777777" w:rsidR="00561E7D" w:rsidRPr="008B6E32" w:rsidRDefault="008B6E32" w:rsidP="00F67EA5">
      <w:pPr>
        <w:spacing w:line="360" w:lineRule="auto"/>
        <w:jc w:val="both"/>
        <w:rPr>
          <w:rFonts w:ascii="Arial" w:hAnsi="Arial" w:cs="Arial"/>
          <w:b/>
          <w:sz w:val="22"/>
        </w:rPr>
      </w:pPr>
      <w:r w:rsidRPr="008B6E32">
        <w:rPr>
          <w:rFonts w:ascii="Arial" w:hAnsi="Arial" w:cs="Arial"/>
          <w:b/>
          <w:sz w:val="22"/>
        </w:rPr>
        <w:t>2. EVALUATION OF CURRENT MARKET SITUATION</w:t>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t>3</w:t>
      </w:r>
    </w:p>
    <w:p w14:paraId="122939F8" w14:textId="31213D94" w:rsidR="00561E7D" w:rsidRPr="00CE2DCD" w:rsidRDefault="008B6E32" w:rsidP="00F67EA5">
      <w:pPr>
        <w:spacing w:line="360" w:lineRule="auto"/>
        <w:jc w:val="both"/>
        <w:rPr>
          <w:rFonts w:ascii="Arial" w:hAnsi="Arial" w:cs="Arial"/>
          <w:sz w:val="22"/>
        </w:rPr>
      </w:pPr>
      <w:r w:rsidRPr="00CE2DCD">
        <w:rPr>
          <w:rFonts w:ascii="Arial" w:hAnsi="Arial" w:cs="Arial"/>
          <w:sz w:val="22"/>
        </w:rPr>
        <w:t xml:space="preserve">The merger with Three UK has placed VodafoneThree in a stronger position within the UK telecommunications market. Its strengths include a recognised international brand, extensive operating experience, a broad customer base and economies of scale. The combined customer base of around 27 million subscribers gives VodafoneThree greater purchasing power and a wider platform for cross-selling services. The company also has significant technological capabilities in 5G, cloud-enabled solutions, cybersecurity, artificial intelligence and </w:t>
      </w:r>
      <w:r w:rsidR="00EF68E7" w:rsidRPr="00CE2DCD">
        <w:rPr>
          <w:rFonts w:ascii="Arial" w:hAnsi="Arial" w:cs="Arial"/>
          <w:sz w:val="22"/>
        </w:rPr>
        <w:t>IoT.</w:t>
      </w:r>
      <w:r w:rsidR="00EF68E7">
        <w:rPr>
          <w:rFonts w:ascii="Arial" w:hAnsi="Arial" w:cs="Arial"/>
          <w:sz w:val="22"/>
        </w:rPr>
        <w:t xml:space="preserve"> (</w:t>
      </w:r>
      <w:r w:rsidR="00F25270">
        <w:rPr>
          <w:rFonts w:ascii="Arial" w:hAnsi="Arial" w:cs="Arial"/>
          <w:sz w:val="22"/>
        </w:rPr>
        <w:t>Porter,2008)</w:t>
      </w:r>
      <w:r w:rsidRPr="00CE2DCD">
        <w:rPr>
          <w:rFonts w:ascii="Arial" w:hAnsi="Arial" w:cs="Arial"/>
          <w:sz w:val="22"/>
        </w:rPr>
        <w:br/>
      </w:r>
      <w:r w:rsidRPr="00CE2DCD">
        <w:rPr>
          <w:rFonts w:ascii="Arial" w:hAnsi="Arial" w:cs="Arial"/>
          <w:sz w:val="22"/>
        </w:rPr>
        <w:br/>
        <w:t>A major strength is the planned £11 billion investment in a standalone 5G network. This investment can improve mobile broadband and support emerging applications such as connected homes, autonomous systems, enterprise connectivity and data-intensive digital services. The enlarged network can therefore become a platform for product development rather than simply an infrastructure upgrade.</w:t>
      </w:r>
      <w:r w:rsidRPr="00CE2DCD">
        <w:rPr>
          <w:rFonts w:ascii="Arial" w:hAnsi="Arial" w:cs="Arial"/>
          <w:sz w:val="22"/>
        </w:rPr>
        <w:br/>
      </w:r>
      <w:r w:rsidRPr="00CE2DCD">
        <w:rPr>
          <w:rFonts w:ascii="Arial" w:hAnsi="Arial" w:cs="Arial"/>
          <w:sz w:val="22"/>
        </w:rPr>
        <w:br/>
        <w:t>However, the merger creates weaknesses and operational challenges. Integrating two large organisations requires substantial financial, technological and managerial resources. Networks, legacy systems, employees and operational processes must be coordinated. During integration, temporary inefficiencies could occur and customers may experience disruption if migration is not carefully controlled. Vodafone also operates in a price-sensitive market where customers can change providers relatively easily. This limits the company’s ability to increase prices without delivering clear additional value.</w:t>
      </w:r>
      <w:r w:rsidRPr="00CE2DCD">
        <w:rPr>
          <w:rFonts w:ascii="Arial" w:hAnsi="Arial" w:cs="Arial"/>
          <w:sz w:val="22"/>
        </w:rPr>
        <w:br/>
      </w:r>
      <w:r w:rsidRPr="00CE2DCD">
        <w:rPr>
          <w:rFonts w:ascii="Arial" w:hAnsi="Arial" w:cs="Arial"/>
          <w:sz w:val="22"/>
        </w:rPr>
        <w:br/>
        <w:t>The UK market also creates several opportunities. Merger synergies can reduce overlapping costs and release resources for investment. The 5G programme can support new services involving smart devices, connected vehicles, home automation and enterprise applications. Artificial intelligence can improve customer service, network optimisation, predictive maintenance, cybersecurity and analytics. IoT can support new products for consumers and businesses, while cloud, cybersecurity, digital financial services and enterprise connectivity provide further opportunities for recurring revenue.</w:t>
      </w:r>
      <w:r w:rsidR="007F27D9">
        <w:rPr>
          <w:rFonts w:ascii="Arial" w:hAnsi="Arial" w:cs="Arial"/>
          <w:sz w:val="22"/>
        </w:rPr>
        <w:t xml:space="preserve"> (Microsoft,2023)</w:t>
      </w:r>
      <w:r w:rsidRPr="00CE2DCD">
        <w:rPr>
          <w:rFonts w:ascii="Arial" w:hAnsi="Arial" w:cs="Arial"/>
          <w:sz w:val="22"/>
        </w:rPr>
        <w:br/>
      </w:r>
      <w:r w:rsidRPr="00CE2DCD">
        <w:rPr>
          <w:rFonts w:ascii="Arial" w:hAnsi="Arial" w:cs="Arial"/>
          <w:sz w:val="22"/>
        </w:rPr>
        <w:br/>
        <w:t xml:space="preserve">The main threats are strong competition, regulation, technological disruption, economic pressure and cybersecurity risks. BT/EE, Virgin Media O2 and Sky compete for customers through network quality, product innovation and pricing. Regulators must also consider competition, consumer protection, spectrum allocation, network performance and data privacy. Rapid technological change means Vodafone must continually invest in infrastructure and capabilities. Inflation or recession could reduce customer spending while increasing operating costs. Network failures or cyberattacks could also damage trust and create significant financial and reputational </w:t>
      </w:r>
      <w:r w:rsidR="00AA783B" w:rsidRPr="00CE2DCD">
        <w:rPr>
          <w:rFonts w:ascii="Arial" w:hAnsi="Arial" w:cs="Arial"/>
          <w:sz w:val="22"/>
        </w:rPr>
        <w:t>consequences.</w:t>
      </w:r>
      <w:r w:rsidR="00AA783B">
        <w:rPr>
          <w:rFonts w:ascii="Arial" w:hAnsi="Arial" w:cs="Arial"/>
          <w:sz w:val="22"/>
        </w:rPr>
        <w:t xml:space="preserve"> (</w:t>
      </w:r>
      <w:r w:rsidR="007F27D9">
        <w:rPr>
          <w:rFonts w:ascii="Arial" w:hAnsi="Arial" w:cs="Arial"/>
          <w:sz w:val="22"/>
        </w:rPr>
        <w:t>CMA</w:t>
      </w:r>
      <w:r w:rsidR="00AA783B">
        <w:rPr>
          <w:rFonts w:ascii="Arial" w:hAnsi="Arial" w:cs="Arial"/>
          <w:sz w:val="22"/>
        </w:rPr>
        <w:t>,2023)</w:t>
      </w:r>
      <w:r w:rsidRPr="00CE2DCD">
        <w:rPr>
          <w:rFonts w:ascii="Arial" w:hAnsi="Arial" w:cs="Arial"/>
          <w:sz w:val="22"/>
        </w:rPr>
        <w:br/>
      </w:r>
      <w:r w:rsidRPr="00CE2DCD">
        <w:rPr>
          <w:rFonts w:ascii="Arial" w:hAnsi="Arial" w:cs="Arial"/>
          <w:sz w:val="22"/>
        </w:rPr>
        <w:br/>
        <w:t>Overall, Vodafone’s position is strong but not risk-free. The company has resources and capabilities that can support growth, but these advantages must be converted into customer value through disciplined investment, careful integration and a clear competitive strategy.</w:t>
      </w:r>
    </w:p>
    <w:p w14:paraId="52A18FCC" w14:textId="3BA33D6B" w:rsidR="00561E7D" w:rsidRPr="00CE2DCD" w:rsidRDefault="008B6E32" w:rsidP="00F67EA5">
      <w:pPr>
        <w:spacing w:line="360" w:lineRule="auto"/>
        <w:jc w:val="both"/>
        <w:rPr>
          <w:rFonts w:ascii="Arial" w:hAnsi="Arial" w:cs="Arial"/>
          <w:sz w:val="22"/>
        </w:rPr>
      </w:pPr>
      <w:r w:rsidRPr="00CE2DCD">
        <w:rPr>
          <w:rFonts w:ascii="Arial" w:hAnsi="Arial" w:cs="Arial"/>
          <w:sz w:val="22"/>
        </w:rPr>
        <w:t xml:space="preserve">The SWOT analysis also highlights the importance of customer experience. Because switching costs can be relatively low in mobile telecommunications, customers can respond quickly when a competitor offers a better price or service. Network quality therefore becomes an important component of differentiation. If </w:t>
      </w:r>
      <w:r w:rsidRPr="00CE2DCD">
        <w:rPr>
          <w:rFonts w:ascii="Arial" w:hAnsi="Arial" w:cs="Arial"/>
          <w:sz w:val="22"/>
        </w:rPr>
        <w:lastRenderedPageBreak/>
        <w:t xml:space="preserve">Vodafone can make the benefits of 5G visible through faster speeds, reliability, coverage and specialised services, customers have stronger reasons to remain with the </w:t>
      </w:r>
      <w:r w:rsidR="007F27D9" w:rsidRPr="00CE2DCD">
        <w:rPr>
          <w:rFonts w:ascii="Arial" w:hAnsi="Arial" w:cs="Arial"/>
          <w:sz w:val="22"/>
        </w:rPr>
        <w:t>company.</w:t>
      </w:r>
      <w:r w:rsidR="007F27D9">
        <w:rPr>
          <w:rFonts w:ascii="Arial" w:hAnsi="Arial" w:cs="Arial"/>
          <w:sz w:val="22"/>
        </w:rPr>
        <w:t xml:space="preserve"> (CMA,2024: IEA,2023)</w:t>
      </w:r>
      <w:r w:rsidRPr="00CE2DCD">
        <w:rPr>
          <w:rFonts w:ascii="Arial" w:hAnsi="Arial" w:cs="Arial"/>
          <w:sz w:val="22"/>
        </w:rPr>
        <w:br/>
      </w:r>
      <w:r w:rsidRPr="00CE2DCD">
        <w:rPr>
          <w:rFonts w:ascii="Arial" w:hAnsi="Arial" w:cs="Arial"/>
          <w:sz w:val="22"/>
        </w:rPr>
        <w:br/>
        <w:t>The opportunities associated with AI and IoT are especially relevant because they can be embedded into both consumer and enterprise propositions. AI can support customer-facing automation as well as internal network optimisation, while IoT can connect devices and operational assets. Cloud and cybersecurity services can further extend Vodafone’s relationship with business customers. These opportunities are more strategically attractive when combined with connectivity because Vodafone can potentially offer an integrated proposition rather than competing as a stand-alone software provider.</w:t>
      </w:r>
      <w:r w:rsidRPr="00CE2DCD">
        <w:rPr>
          <w:rFonts w:ascii="Arial" w:hAnsi="Arial" w:cs="Arial"/>
          <w:sz w:val="22"/>
        </w:rPr>
        <w:br/>
      </w:r>
      <w:r w:rsidRPr="00CE2DCD">
        <w:rPr>
          <w:rFonts w:ascii="Arial" w:hAnsi="Arial" w:cs="Arial"/>
          <w:sz w:val="22"/>
        </w:rPr>
        <w:br/>
        <w:t xml:space="preserve">At the same time, regulation cannot be treated as a secondary issue. The larger VodafoneThree business may attract greater scrutiny because of its market position. The company must demonstrate that network investment and improved coverage create benefits for consumers and the wider UK digital economy. Maintaining service quality and meeting regulatory requirements will therefore be essential to protecting the value of the </w:t>
      </w:r>
      <w:r w:rsidR="00C4430E" w:rsidRPr="00CE2DCD">
        <w:rPr>
          <w:rFonts w:ascii="Arial" w:hAnsi="Arial" w:cs="Arial"/>
          <w:sz w:val="22"/>
        </w:rPr>
        <w:t>merger.</w:t>
      </w:r>
      <w:r w:rsidR="00C4430E">
        <w:rPr>
          <w:rFonts w:ascii="Arial" w:hAnsi="Arial" w:cs="Arial"/>
          <w:sz w:val="22"/>
        </w:rPr>
        <w:t xml:space="preserve"> (</w:t>
      </w:r>
      <w:r w:rsidR="000673F9">
        <w:rPr>
          <w:rFonts w:ascii="Arial" w:hAnsi="Arial" w:cs="Arial"/>
          <w:sz w:val="22"/>
        </w:rPr>
        <w:t>Vodafone,2024a)</w:t>
      </w:r>
    </w:p>
    <w:p w14:paraId="1B166180" w14:textId="77777777" w:rsidR="00561E7D" w:rsidRPr="008B6E32" w:rsidRDefault="008B6E32" w:rsidP="00CE2DCD">
      <w:pPr>
        <w:jc w:val="both"/>
        <w:rPr>
          <w:rFonts w:ascii="Arial" w:hAnsi="Arial" w:cs="Arial"/>
          <w:b/>
          <w:sz w:val="22"/>
        </w:rPr>
      </w:pPr>
      <w:r w:rsidRPr="008B6E32">
        <w:rPr>
          <w:rFonts w:ascii="Arial" w:hAnsi="Arial" w:cs="Arial"/>
          <w:b/>
          <w:sz w:val="22"/>
        </w:rPr>
        <w:t>3. STRATEGIC GROWTH OPTIONS AND PROPOSED STRATEGY</w:t>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t>4</w:t>
      </w:r>
    </w:p>
    <w:p w14:paraId="44A71D8D" w14:textId="33505438" w:rsidR="00561E7D" w:rsidRPr="00CE2DCD" w:rsidRDefault="008B6E32" w:rsidP="00F67EA5">
      <w:pPr>
        <w:spacing w:line="360" w:lineRule="auto"/>
        <w:jc w:val="both"/>
        <w:rPr>
          <w:rFonts w:ascii="Arial" w:hAnsi="Arial" w:cs="Arial"/>
          <w:sz w:val="22"/>
        </w:rPr>
      </w:pPr>
      <w:r w:rsidRPr="00CE2DCD">
        <w:rPr>
          <w:rFonts w:ascii="Arial" w:hAnsi="Arial" w:cs="Arial"/>
          <w:sz w:val="22"/>
        </w:rPr>
        <w:t>The merger gives Vodafone greater scale, network assets, spectrum and customers. It also creates opportunities to consolidate infrastructure, reduce duplicated activities and negotiate more effectively with suppliers. However, the telecommunications industry is mature and capital intensive. Market leadership does not automatically create long-term prosperity, particularly if competitors respond aggressively or if the enlarged company becomes focused only on defending market share.</w:t>
      </w:r>
      <w:r w:rsidRPr="00CE2DCD">
        <w:rPr>
          <w:rFonts w:ascii="Arial" w:hAnsi="Arial" w:cs="Arial"/>
          <w:sz w:val="22"/>
        </w:rPr>
        <w:br/>
      </w:r>
      <w:r w:rsidRPr="00CE2DCD">
        <w:rPr>
          <w:rFonts w:ascii="Arial" w:hAnsi="Arial" w:cs="Arial"/>
          <w:sz w:val="22"/>
        </w:rPr>
        <w:br/>
        <w:t>In the short term, Vodafone can generate economies of scale by removing overlapping infrastructure and organisational functions. Consolidating cell sites and reducing duplicated overheads can produce significant savings. The source material identifies potential annual savings of approximately £700 million through consolidation. These savings should not simply be returned to customers through lower prices. They can instead help fund the network and digital investments required for long-term differentiation.</w:t>
      </w:r>
      <w:r w:rsidRPr="00CE2DCD">
        <w:rPr>
          <w:rFonts w:ascii="Arial" w:hAnsi="Arial" w:cs="Arial"/>
          <w:sz w:val="22"/>
        </w:rPr>
        <w:br/>
      </w:r>
      <w:r w:rsidRPr="00CE2DCD">
        <w:rPr>
          <w:rFonts w:ascii="Arial" w:hAnsi="Arial" w:cs="Arial"/>
          <w:sz w:val="22"/>
        </w:rPr>
        <w:br/>
        <w:t xml:space="preserve">The Ansoff Matrix provides four possible growth directions. Market Penetration would involve selling more products to existing customers, such as cross-selling Three’s Fixed Wireless Access home broadband to Vodafone mobile subscribers. This option can increase revenue without requiring major customer acquisition </w:t>
      </w:r>
      <w:r w:rsidR="00C4430E" w:rsidRPr="00CE2DCD">
        <w:rPr>
          <w:rFonts w:ascii="Arial" w:hAnsi="Arial" w:cs="Arial"/>
          <w:sz w:val="22"/>
        </w:rPr>
        <w:t>expenditure.</w:t>
      </w:r>
      <w:r w:rsidR="00C4430E">
        <w:rPr>
          <w:rFonts w:ascii="Arial" w:hAnsi="Arial" w:cs="Arial"/>
          <w:sz w:val="22"/>
        </w:rPr>
        <w:t xml:space="preserve"> (Ansoff,1957)</w:t>
      </w:r>
      <w:r w:rsidRPr="00CE2DCD">
        <w:rPr>
          <w:rFonts w:ascii="Arial" w:hAnsi="Arial" w:cs="Arial"/>
          <w:sz w:val="22"/>
        </w:rPr>
        <w:br/>
      </w:r>
      <w:r w:rsidRPr="00CE2DCD">
        <w:rPr>
          <w:rFonts w:ascii="Arial" w:hAnsi="Arial" w:cs="Arial"/>
          <w:sz w:val="22"/>
        </w:rPr>
        <w:br/>
        <w:t>Product Development involves creating new services for the existing customer base. Vodafone can use its planned 5G investment to introduce higher-value services such as network slicing, low-latency connectivity, AI-enabled business tools and other digital solutions. Because Vodafone already has a large customer base, Product Development offers an attractive balance between growth potential and implementation risk.</w:t>
      </w:r>
      <w:r w:rsidRPr="00CE2DCD">
        <w:rPr>
          <w:rFonts w:ascii="Arial" w:hAnsi="Arial" w:cs="Arial"/>
          <w:sz w:val="22"/>
        </w:rPr>
        <w:br/>
      </w:r>
      <w:r w:rsidRPr="00CE2DCD">
        <w:rPr>
          <w:rFonts w:ascii="Arial" w:hAnsi="Arial" w:cs="Arial"/>
          <w:sz w:val="22"/>
        </w:rPr>
        <w:br/>
        <w:t>Market Development could involve reaching customers in areas with limited current coverage, including underserved rural business users. Although the remaining market is relatively small, improved coverage can strengthen Vodafone’s proposition and create additional opportunities.</w:t>
      </w:r>
      <w:r w:rsidR="00C4430E">
        <w:rPr>
          <w:rFonts w:ascii="Arial" w:hAnsi="Arial" w:cs="Arial"/>
          <w:sz w:val="22"/>
        </w:rPr>
        <w:t xml:space="preserve"> (GSMA,2023).</w:t>
      </w:r>
      <w:r w:rsidRPr="00CE2DCD">
        <w:rPr>
          <w:rFonts w:ascii="Arial" w:hAnsi="Arial" w:cs="Arial"/>
          <w:sz w:val="22"/>
        </w:rPr>
        <w:br/>
      </w:r>
      <w:r w:rsidRPr="00CE2DCD">
        <w:rPr>
          <w:rFonts w:ascii="Arial" w:hAnsi="Arial" w:cs="Arial"/>
          <w:sz w:val="22"/>
        </w:rPr>
        <w:br/>
        <w:t xml:space="preserve">Diversification would involve entering new markets with new products, such as becoming a broader B2B technology provider through sovereign cloud or specialised cybersecurity. This could produce valuable </w:t>
      </w:r>
      <w:r w:rsidRPr="00CE2DCD">
        <w:rPr>
          <w:rFonts w:ascii="Arial" w:hAnsi="Arial" w:cs="Arial"/>
          <w:sz w:val="22"/>
        </w:rPr>
        <w:lastRenderedPageBreak/>
        <w:t>revenue but would require additional capabilities and therefore carries greater risk.</w:t>
      </w:r>
      <w:r w:rsidRPr="00CE2DCD">
        <w:rPr>
          <w:rFonts w:ascii="Arial" w:hAnsi="Arial" w:cs="Arial"/>
          <w:sz w:val="22"/>
        </w:rPr>
        <w:br/>
      </w:r>
      <w:r w:rsidRPr="00CE2DCD">
        <w:rPr>
          <w:rFonts w:ascii="Arial" w:hAnsi="Arial" w:cs="Arial"/>
          <w:sz w:val="22"/>
        </w:rPr>
        <w:br/>
        <w:t>Porter’s Generic Strategies then help determine how Vodafone should compete. Cost Leadership would use merger savings to reduce prices and compete for volume. However, telecom operators already face aggressive price competition, and lower prices can quickly be copied. Differentiation is therefore more attractive. Vodafone can use its network investment to offer better quality, speed, reliability and advanced digital services.</w:t>
      </w:r>
      <w:r w:rsidR="00C4430E">
        <w:rPr>
          <w:rFonts w:ascii="Arial" w:hAnsi="Arial" w:cs="Arial"/>
          <w:sz w:val="22"/>
        </w:rPr>
        <w:t xml:space="preserve"> (Porter,1985)</w:t>
      </w:r>
      <w:r w:rsidRPr="00CE2DCD">
        <w:rPr>
          <w:rFonts w:ascii="Arial" w:hAnsi="Arial" w:cs="Arial"/>
          <w:sz w:val="22"/>
        </w:rPr>
        <w:br/>
      </w:r>
      <w:r w:rsidRPr="00CE2DCD">
        <w:rPr>
          <w:rFonts w:ascii="Arial" w:hAnsi="Arial" w:cs="Arial"/>
          <w:sz w:val="22"/>
        </w:rPr>
        <w:br/>
        <w:t>The recommended strategy is consequently Product Development supported by Differentiation. Vodafone should reinvest merger savings into its standalone 5G network and use the improved infrastructure to develop services that customers perceive as valuable. This can create recurring enterprise revenue, improve loyalty, reduce dependence on basic mobile subscriptions and monetise the large network investment. Higher-margin digital services are more appropriate than a strategy focused on lower prices because they provide greater potential to protect profitability while strengthening the company’s technology position.</w:t>
      </w:r>
    </w:p>
    <w:p w14:paraId="5A2590F3" w14:textId="226EC272" w:rsidR="00561E7D" w:rsidRPr="00CE2DCD" w:rsidRDefault="008B6E32" w:rsidP="00F67EA5">
      <w:pPr>
        <w:spacing w:line="360" w:lineRule="auto"/>
        <w:jc w:val="both"/>
        <w:rPr>
          <w:rFonts w:ascii="Arial" w:hAnsi="Arial" w:cs="Arial"/>
          <w:sz w:val="22"/>
        </w:rPr>
      </w:pPr>
      <w:r w:rsidRPr="00CE2DCD">
        <w:rPr>
          <w:rFonts w:ascii="Arial" w:hAnsi="Arial" w:cs="Arial"/>
          <w:sz w:val="22"/>
        </w:rPr>
        <w:t xml:space="preserve">The four Ansoff options differ in their balance of risk and reward. Market Penetration is relatively familiar because it uses existing products and customers, making it useful during the early integration period. Cross-selling broadband can increase the value of existing relationships while helping Vodafone capture immediate merger benefits. Nevertheless, market penetration alone does not fully exploit the technological potential of the combined </w:t>
      </w:r>
      <w:r w:rsidR="00C4430E" w:rsidRPr="00CE2DCD">
        <w:rPr>
          <w:rFonts w:ascii="Arial" w:hAnsi="Arial" w:cs="Arial"/>
          <w:sz w:val="22"/>
        </w:rPr>
        <w:t>company.</w:t>
      </w:r>
      <w:r w:rsidR="00C4430E">
        <w:rPr>
          <w:rFonts w:ascii="Arial" w:hAnsi="Arial" w:cs="Arial"/>
          <w:sz w:val="22"/>
        </w:rPr>
        <w:t xml:space="preserve"> (Ansoff,1957)</w:t>
      </w:r>
      <w:r w:rsidRPr="00CE2DCD">
        <w:rPr>
          <w:rFonts w:ascii="Arial" w:hAnsi="Arial" w:cs="Arial"/>
          <w:sz w:val="22"/>
        </w:rPr>
        <w:br/>
      </w:r>
      <w:r w:rsidRPr="00CE2DCD">
        <w:rPr>
          <w:rFonts w:ascii="Arial" w:hAnsi="Arial" w:cs="Arial"/>
          <w:sz w:val="22"/>
        </w:rPr>
        <w:br/>
        <w:t>Product Development offers a stronger strategic fit because Vodafone can use existing customers and infrastructure while introducing new value propositions. Network slicing, AI utilities and other business services can be designed around specific customer needs and use cases. This approach also supports the transition toward the TechCo vision described earlier. Market Development has some potential through improved coverage, particularly for rural business customers, but its addressable market is smaller. Diversification can create attractive new revenue streams but involves greater uncertainty because it requires Vodafone to compete in areas where its existing telecom capabilities may provide less protection.</w:t>
      </w:r>
      <w:r w:rsidRPr="00CE2DCD">
        <w:rPr>
          <w:rFonts w:ascii="Arial" w:hAnsi="Arial" w:cs="Arial"/>
          <w:sz w:val="22"/>
        </w:rPr>
        <w:br/>
      </w:r>
      <w:r w:rsidRPr="00CE2DCD">
        <w:rPr>
          <w:rFonts w:ascii="Arial" w:hAnsi="Arial" w:cs="Arial"/>
          <w:sz w:val="22"/>
        </w:rPr>
        <w:br/>
        <w:t>The recommendation therefore combines the relatively manageable risk of serving existing customers with the opportunity to create new sources of value. Differentiation should not mean adding technology for its own sake. Vodafone needs to translate technical capabilities into outcomes customers understand, such as better performance, more reliable connectivity, secure business operations and lower complexity. The success of the strategy will depend on whether customers are willing to pay for those outcomes.</w:t>
      </w:r>
      <w:r w:rsidR="00C4430E">
        <w:rPr>
          <w:rFonts w:ascii="Arial" w:hAnsi="Arial" w:cs="Arial"/>
          <w:sz w:val="22"/>
        </w:rPr>
        <w:t>(Porter,1985)</w:t>
      </w:r>
    </w:p>
    <w:p w14:paraId="6E36953D" w14:textId="77777777" w:rsidR="00561E7D" w:rsidRPr="008B6E32" w:rsidRDefault="008B6E32" w:rsidP="00F67EA5">
      <w:pPr>
        <w:spacing w:line="360" w:lineRule="auto"/>
        <w:jc w:val="both"/>
        <w:rPr>
          <w:rFonts w:ascii="Arial" w:hAnsi="Arial" w:cs="Arial"/>
          <w:b/>
          <w:sz w:val="22"/>
        </w:rPr>
      </w:pPr>
      <w:r w:rsidRPr="008B6E32">
        <w:rPr>
          <w:rFonts w:ascii="Arial" w:hAnsi="Arial" w:cs="Arial"/>
          <w:b/>
          <w:sz w:val="22"/>
        </w:rPr>
        <w:t>4. STRATEGY EVALUATION</w:t>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t>5</w:t>
      </w:r>
    </w:p>
    <w:p w14:paraId="3F0832A1" w14:textId="72F672C9" w:rsidR="00561E7D" w:rsidRPr="00CE2DCD" w:rsidRDefault="008B6E32" w:rsidP="00F67EA5">
      <w:pPr>
        <w:spacing w:line="360" w:lineRule="auto"/>
        <w:jc w:val="both"/>
        <w:rPr>
          <w:rFonts w:ascii="Arial" w:hAnsi="Arial" w:cs="Arial"/>
          <w:sz w:val="22"/>
        </w:rPr>
      </w:pPr>
      <w:r w:rsidRPr="00CE2DCD">
        <w:rPr>
          <w:rFonts w:ascii="Arial" w:hAnsi="Arial" w:cs="Arial"/>
          <w:sz w:val="22"/>
        </w:rPr>
        <w:t xml:space="preserve">The proposed Product Development and Differentiation strategy is assessed through Suitability, Feasibility and Acceptability. The strategy is suitable because it directly responds to Vodafone’s post-merger position and the opportunities created by scale, technology and the larger customer base. Vodafone can use its approximately 27 million customers, established brand and capabilities in AI, IoT, cloud and security to introduce services that respond to growing digital demand. Merger synergies can also provide financial support for the planned £11 billion 5G investment. This approach reduces reliance on price competition with EE and Virgin Media O2 and helps protect the business from </w:t>
      </w:r>
      <w:r w:rsidR="00C4430E" w:rsidRPr="00CE2DCD">
        <w:rPr>
          <w:rFonts w:ascii="Arial" w:hAnsi="Arial" w:cs="Arial"/>
          <w:sz w:val="22"/>
        </w:rPr>
        <w:t>commoditization.</w:t>
      </w:r>
      <w:r w:rsidR="00C4430E">
        <w:rPr>
          <w:rFonts w:ascii="Arial" w:hAnsi="Arial" w:cs="Arial"/>
          <w:sz w:val="22"/>
        </w:rPr>
        <w:t xml:space="preserve"> (Vodafone,2024a p.42).</w:t>
      </w:r>
      <w:r w:rsidRPr="00CE2DCD">
        <w:rPr>
          <w:rFonts w:ascii="Arial" w:hAnsi="Arial" w:cs="Arial"/>
          <w:sz w:val="22"/>
        </w:rPr>
        <w:br/>
      </w:r>
      <w:r w:rsidRPr="00CE2DCD">
        <w:rPr>
          <w:rFonts w:ascii="Arial" w:hAnsi="Arial" w:cs="Arial"/>
          <w:sz w:val="22"/>
        </w:rPr>
        <w:br/>
        <w:t xml:space="preserve">The strategy is feasible because Vodafone already possesses substantial financial, technological and human resources. The £11 billion investment provides a clear infrastructure foundation, while existing spectrum, networks and digital capabilities reduce the need to build every capability from the beginning. The combined workforce also brings engineering, enterprise and digital expertise. Nevertheless, feasibility is affected by integration complexity, capital expenditure and uncertainty regarding customer adoption. Legacy systems from the two organisations must be integrated carefully, and the company must ensure that new digital products deliver sufficient returns. These risks are manageable because the strategy builds on Vodafone’s existing capabilities rather than requiring an entirely unfamiliar business </w:t>
      </w:r>
      <w:r w:rsidR="00C4430E" w:rsidRPr="00CE2DCD">
        <w:rPr>
          <w:rFonts w:ascii="Arial" w:hAnsi="Arial" w:cs="Arial"/>
          <w:sz w:val="22"/>
        </w:rPr>
        <w:t>model.</w:t>
      </w:r>
      <w:r w:rsidR="00C4430E">
        <w:rPr>
          <w:rFonts w:ascii="Arial" w:hAnsi="Arial" w:cs="Arial"/>
          <w:sz w:val="22"/>
        </w:rPr>
        <w:t xml:space="preserve"> (GSMA,2023)</w:t>
      </w:r>
      <w:r w:rsidRPr="00CE2DCD">
        <w:rPr>
          <w:rFonts w:ascii="Arial" w:hAnsi="Arial" w:cs="Arial"/>
          <w:sz w:val="22"/>
        </w:rPr>
        <w:br/>
      </w:r>
      <w:r w:rsidRPr="00CE2DCD">
        <w:rPr>
          <w:rFonts w:ascii="Arial" w:hAnsi="Arial" w:cs="Arial"/>
          <w:sz w:val="22"/>
        </w:rPr>
        <w:br/>
        <w:t>Acceptability is also generally positive. Shareholders are likely to support a strategy that seeks stronger profitability, higher-value services and a return on the 5G investment. Consumers and enterprise customers should benefit from better coverage, higher network quality and advanced digital services. Employees could gain opportunities to develop skills in AI, IoT, cybersecurity and other technology areas. However, restructuring following the merger may create anxiety and potential job reductions. Government and regulators may welcome improvements to digital infrastructure but will continue to monitor the company’s dominant market position. Vodafone therefore needs transparent stakeholder engagement and careful management of regulatory expectations.</w:t>
      </w:r>
      <w:r w:rsidRPr="00CE2DCD">
        <w:rPr>
          <w:rFonts w:ascii="Arial" w:hAnsi="Arial" w:cs="Arial"/>
          <w:sz w:val="22"/>
        </w:rPr>
        <w:br/>
      </w:r>
      <w:r w:rsidRPr="00CE2DCD">
        <w:rPr>
          <w:rFonts w:ascii="Arial" w:hAnsi="Arial" w:cs="Arial"/>
          <w:sz w:val="22"/>
        </w:rPr>
        <w:br/>
        <w:t xml:space="preserve">The SAFe assessment indicates that the recommended strategy is strategically aligned, financially and operationally realistic, and broadly acceptable to major stakeholders. Its success will depend on disciplined implementation, customer adoption, </w:t>
      </w:r>
      <w:r w:rsidR="00CE2DCD" w:rsidRPr="00CE2DCD">
        <w:rPr>
          <w:rFonts w:ascii="Arial" w:hAnsi="Arial" w:cs="Arial"/>
          <w:sz w:val="22"/>
        </w:rPr>
        <w:t>and workforce</w:t>
      </w:r>
      <w:r w:rsidRPr="00CE2DCD">
        <w:rPr>
          <w:rFonts w:ascii="Arial" w:hAnsi="Arial" w:cs="Arial"/>
          <w:sz w:val="22"/>
        </w:rPr>
        <w:t xml:space="preserve"> development and continued monitoring of market and regulatory </w:t>
      </w:r>
      <w:r w:rsidR="00CB4110" w:rsidRPr="00CE2DCD">
        <w:rPr>
          <w:rFonts w:ascii="Arial" w:hAnsi="Arial" w:cs="Arial"/>
          <w:sz w:val="22"/>
        </w:rPr>
        <w:t>conditions.</w:t>
      </w:r>
      <w:r w:rsidR="00CB4110">
        <w:rPr>
          <w:rFonts w:ascii="Arial" w:hAnsi="Arial" w:cs="Arial"/>
          <w:sz w:val="22"/>
        </w:rPr>
        <w:t xml:space="preserve"> (Johnson et al.,2017).</w:t>
      </w:r>
    </w:p>
    <w:p w14:paraId="388B32DD" w14:textId="4046B0B9" w:rsidR="00561E7D" w:rsidRPr="00CE2DCD" w:rsidRDefault="008B6E32" w:rsidP="00F67EA5">
      <w:pPr>
        <w:spacing w:line="360" w:lineRule="auto"/>
        <w:jc w:val="both"/>
        <w:rPr>
          <w:rFonts w:ascii="Arial" w:hAnsi="Arial" w:cs="Arial"/>
          <w:sz w:val="22"/>
        </w:rPr>
      </w:pPr>
      <w:r w:rsidRPr="00CE2DCD">
        <w:rPr>
          <w:rFonts w:ascii="Arial" w:hAnsi="Arial" w:cs="Arial"/>
          <w:sz w:val="22"/>
        </w:rPr>
        <w:t xml:space="preserve">Suitability is also supported by the external environment. Digitisation is increasing the demand for connectivity and technology services, while businesses increasingly require secure and reliable digital infrastructure. Vodafone can use its position as a network operator to connect these requirements to services such as cloud, IoT and cybersecurity. This gives the company an opportunity to move up the value chain without abandoning its core connectivity </w:t>
      </w:r>
      <w:r w:rsidR="00CB4110" w:rsidRPr="00CE2DCD">
        <w:rPr>
          <w:rFonts w:ascii="Arial" w:hAnsi="Arial" w:cs="Arial"/>
          <w:sz w:val="22"/>
        </w:rPr>
        <w:t>capabilities.</w:t>
      </w:r>
      <w:r w:rsidR="00CB4110">
        <w:rPr>
          <w:rFonts w:ascii="Arial" w:hAnsi="Arial" w:cs="Arial"/>
          <w:sz w:val="22"/>
        </w:rPr>
        <w:t xml:space="preserve"> (Porter,2008).</w:t>
      </w:r>
      <w:r w:rsidRPr="00CE2DCD">
        <w:rPr>
          <w:rFonts w:ascii="Arial" w:hAnsi="Arial" w:cs="Arial"/>
          <w:sz w:val="22"/>
        </w:rPr>
        <w:br/>
      </w:r>
      <w:r w:rsidRPr="00CE2DCD">
        <w:rPr>
          <w:rFonts w:ascii="Arial" w:hAnsi="Arial" w:cs="Arial"/>
          <w:sz w:val="22"/>
        </w:rPr>
        <w:br/>
        <w:t>Feasibility should be considered beyond financial resources. Successful execution requires systems integration, product management, technical skills, data capabilities and organisational coordination. The merger may create overlapping roles and processes, so leadership must protect critical skills while redesigning inefficient structures. Retraining is particularly important because the recommended strategy depends on capabilities in digital technologies. If employees understand the new strategic direction and receive appropriate development opportunities, the organisation can reduce resistance and improve implementation capacity.</w:t>
      </w:r>
      <w:r w:rsidRPr="00CE2DCD">
        <w:rPr>
          <w:rFonts w:ascii="Arial" w:hAnsi="Arial" w:cs="Arial"/>
          <w:sz w:val="22"/>
        </w:rPr>
        <w:br/>
      </w:r>
      <w:r w:rsidRPr="00CE2DCD">
        <w:rPr>
          <w:rFonts w:ascii="Arial" w:hAnsi="Arial" w:cs="Arial"/>
          <w:sz w:val="22"/>
        </w:rPr>
        <w:br/>
        <w:t xml:space="preserve">Acceptability requires Vodafone to balance financial objectives with customer, employee and regulatory expectations. Investors may value stronger recurring revenue, but they will also expect disciplined capital allocation. Customers may welcome better networks but could resist additional charges if benefits are unclear. Employees may support new technology opportunities while remaining concerned about restructuring. Regulators may support infrastructure improvements while demanding safeguards against anti-competitive behaviour. Effective communication is therefore part of strategy execution rather than a separate public-relations </w:t>
      </w:r>
      <w:r w:rsidR="00CB4110" w:rsidRPr="00CE2DCD">
        <w:rPr>
          <w:rFonts w:ascii="Arial" w:hAnsi="Arial" w:cs="Arial"/>
          <w:sz w:val="22"/>
        </w:rPr>
        <w:t>activity.</w:t>
      </w:r>
      <w:r w:rsidR="00CB4110">
        <w:rPr>
          <w:rFonts w:ascii="Arial" w:hAnsi="Arial" w:cs="Arial"/>
          <w:sz w:val="22"/>
        </w:rPr>
        <w:t xml:space="preserve"> (Vodafone,2024a).</w:t>
      </w:r>
    </w:p>
    <w:p w14:paraId="4F2B2319" w14:textId="77777777" w:rsidR="00561E7D" w:rsidRPr="008B6E32" w:rsidRDefault="008B6E32" w:rsidP="00F67EA5">
      <w:pPr>
        <w:spacing w:line="360" w:lineRule="auto"/>
        <w:jc w:val="both"/>
        <w:rPr>
          <w:rFonts w:ascii="Arial" w:hAnsi="Arial" w:cs="Arial"/>
          <w:b/>
          <w:sz w:val="22"/>
        </w:rPr>
      </w:pPr>
      <w:r w:rsidRPr="008B6E32">
        <w:rPr>
          <w:rFonts w:ascii="Arial" w:hAnsi="Arial" w:cs="Arial"/>
          <w:b/>
          <w:sz w:val="22"/>
        </w:rPr>
        <w:t>5. STAKEHOLDER ANALYSIS</w:t>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t>6</w:t>
      </w:r>
    </w:p>
    <w:p w14:paraId="44EE559E" w14:textId="77777777" w:rsidR="00CE2DCD" w:rsidRDefault="008B6E32" w:rsidP="00F67EA5">
      <w:pPr>
        <w:spacing w:line="360" w:lineRule="auto"/>
        <w:jc w:val="both"/>
        <w:rPr>
          <w:rFonts w:ascii="Arial" w:hAnsi="Arial" w:cs="Arial"/>
          <w:sz w:val="22"/>
        </w:rPr>
      </w:pPr>
      <w:r w:rsidRPr="00CE2DCD">
        <w:rPr>
          <w:rFonts w:ascii="Arial" w:hAnsi="Arial" w:cs="Arial"/>
          <w:sz w:val="22"/>
        </w:rPr>
        <w:t>Stakeholder Theory suggests that Vodafone’s long-term value depends on managing the interests of groups that can influence the strategy or are affected by its outcomes. Mendelow’s Matrix provides a practical way to prioritise stakeholder engagement according to power and interest.</w:t>
      </w:r>
    </w:p>
    <w:p w14:paraId="06575895" w14:textId="77777777" w:rsidR="00CE2DCD" w:rsidRDefault="00CE2DCD" w:rsidP="00F67EA5">
      <w:pPr>
        <w:spacing w:line="360" w:lineRule="auto"/>
        <w:jc w:val="both"/>
        <w:rPr>
          <w:rFonts w:ascii="Arial" w:hAnsi="Arial" w:cs="Arial"/>
          <w:sz w:val="22"/>
        </w:rPr>
      </w:pPr>
    </w:p>
    <w:tbl>
      <w:tblPr>
        <w:tblStyle w:val="TableGrid"/>
        <w:tblW w:w="0" w:type="auto"/>
        <w:tblInd w:w="584" w:type="dxa"/>
        <w:tblLook w:val="04A0" w:firstRow="1" w:lastRow="0" w:firstColumn="1" w:lastColumn="0" w:noHBand="0" w:noVBand="1"/>
      </w:tblPr>
      <w:tblGrid>
        <w:gridCol w:w="4675"/>
        <w:gridCol w:w="4675"/>
      </w:tblGrid>
      <w:tr w:rsidR="00CE2DCD" w:rsidRPr="00F629E2" w14:paraId="4770FA9F" w14:textId="77777777" w:rsidTr="006E4482">
        <w:tc>
          <w:tcPr>
            <w:tcW w:w="9350" w:type="dxa"/>
            <w:gridSpan w:val="2"/>
          </w:tcPr>
          <w:p w14:paraId="5FEDF8DC" w14:textId="77777777" w:rsidR="00CE2DCD" w:rsidRPr="00F629E2" w:rsidRDefault="00CE2DCD" w:rsidP="006E4482">
            <w:pPr>
              <w:pStyle w:val="ListParagraph"/>
              <w:spacing w:line="259" w:lineRule="auto"/>
              <w:jc w:val="center"/>
              <w:rPr>
                <w:rFonts w:ascii="Arial" w:hAnsi="Arial" w:cs="Arial"/>
                <w:b/>
              </w:rPr>
            </w:pPr>
            <w:r w:rsidRPr="00F629E2">
              <w:rPr>
                <w:rFonts w:ascii="Arial" w:hAnsi="Arial" w:cs="Arial"/>
                <w:b/>
              </w:rPr>
              <w:t>MENDELOW’S MATRIX</w:t>
            </w:r>
          </w:p>
        </w:tc>
      </w:tr>
      <w:tr w:rsidR="00CE2DCD" w:rsidRPr="00F629E2" w14:paraId="735EFFCF" w14:textId="77777777" w:rsidTr="006E4482">
        <w:tc>
          <w:tcPr>
            <w:tcW w:w="4675" w:type="dxa"/>
          </w:tcPr>
          <w:p w14:paraId="544B726A" w14:textId="77777777" w:rsidR="00CE2DCD" w:rsidRPr="00F629E2" w:rsidRDefault="00CE2DCD" w:rsidP="006E4482">
            <w:pPr>
              <w:pStyle w:val="ListParagraph"/>
              <w:jc w:val="center"/>
              <w:rPr>
                <w:rFonts w:ascii="Arial" w:hAnsi="Arial" w:cs="Arial"/>
                <w:b/>
              </w:rPr>
            </w:pPr>
            <w:r w:rsidRPr="00F629E2">
              <w:rPr>
                <w:rFonts w:ascii="Arial" w:hAnsi="Arial" w:cs="Arial"/>
                <w:b/>
              </w:rPr>
              <w:t>MINIMAL EFFORT</w:t>
            </w:r>
          </w:p>
          <w:p w14:paraId="6D711F60" w14:textId="77777777" w:rsidR="00CE2DCD" w:rsidRPr="00F629E2" w:rsidRDefault="00CE2DCD" w:rsidP="006E4482">
            <w:pPr>
              <w:pStyle w:val="ListParagraph"/>
              <w:jc w:val="center"/>
              <w:rPr>
                <w:rFonts w:ascii="Arial" w:hAnsi="Arial" w:cs="Arial"/>
                <w:b/>
              </w:rPr>
            </w:pPr>
            <w:r w:rsidRPr="00F629E2">
              <w:rPr>
                <w:rFonts w:ascii="Arial" w:hAnsi="Arial" w:cs="Arial"/>
                <w:b/>
              </w:rPr>
              <w:t>(Low Power/Low Interest)</w:t>
            </w:r>
          </w:p>
          <w:p w14:paraId="27CDA208" w14:textId="77777777" w:rsidR="00CE2DCD" w:rsidRPr="00F629E2" w:rsidRDefault="00CE2DCD" w:rsidP="00CE2DCD">
            <w:pPr>
              <w:pStyle w:val="ListParagraph"/>
              <w:numPr>
                <w:ilvl w:val="0"/>
                <w:numId w:val="10"/>
              </w:numPr>
              <w:spacing w:after="160" w:line="259" w:lineRule="auto"/>
              <w:jc w:val="center"/>
              <w:rPr>
                <w:rFonts w:ascii="Arial" w:hAnsi="Arial" w:cs="Arial"/>
                <w:b/>
              </w:rPr>
            </w:pPr>
            <w:r w:rsidRPr="00F629E2">
              <w:rPr>
                <w:rFonts w:ascii="Arial" w:hAnsi="Arial" w:cs="Arial"/>
                <w:b/>
              </w:rPr>
              <w:t>Local Communities</w:t>
            </w:r>
          </w:p>
        </w:tc>
        <w:tc>
          <w:tcPr>
            <w:tcW w:w="4675" w:type="dxa"/>
          </w:tcPr>
          <w:p w14:paraId="16CDE600" w14:textId="77777777" w:rsidR="00CE2DCD" w:rsidRPr="00F629E2" w:rsidRDefault="00CE2DCD" w:rsidP="006E4482">
            <w:pPr>
              <w:pStyle w:val="ListParagraph"/>
              <w:jc w:val="center"/>
              <w:rPr>
                <w:rFonts w:ascii="Arial" w:hAnsi="Arial" w:cs="Arial"/>
                <w:b/>
              </w:rPr>
            </w:pPr>
            <w:r w:rsidRPr="00F629E2">
              <w:rPr>
                <w:rFonts w:ascii="Arial" w:hAnsi="Arial" w:cs="Arial"/>
                <w:b/>
              </w:rPr>
              <w:t>KEEP INFORMED</w:t>
            </w:r>
          </w:p>
          <w:p w14:paraId="73FD4059" w14:textId="77777777" w:rsidR="00CE2DCD" w:rsidRPr="00F629E2" w:rsidRDefault="00CE2DCD" w:rsidP="006E4482">
            <w:pPr>
              <w:pStyle w:val="ListParagraph"/>
              <w:jc w:val="center"/>
              <w:rPr>
                <w:rFonts w:ascii="Arial" w:hAnsi="Arial" w:cs="Arial"/>
                <w:b/>
              </w:rPr>
            </w:pPr>
            <w:r w:rsidRPr="00F629E2">
              <w:rPr>
                <w:rFonts w:ascii="Arial" w:hAnsi="Arial" w:cs="Arial"/>
                <w:b/>
              </w:rPr>
              <w:t>(Low Power/High Interest)</w:t>
            </w:r>
          </w:p>
          <w:p w14:paraId="559A98EE" w14:textId="77777777" w:rsidR="00CE2DCD" w:rsidRPr="00F629E2" w:rsidRDefault="00CE2DCD" w:rsidP="00CE2DCD">
            <w:pPr>
              <w:pStyle w:val="ListParagraph"/>
              <w:numPr>
                <w:ilvl w:val="0"/>
                <w:numId w:val="10"/>
              </w:numPr>
              <w:spacing w:after="160" w:line="259" w:lineRule="auto"/>
              <w:jc w:val="center"/>
              <w:rPr>
                <w:rFonts w:ascii="Arial" w:hAnsi="Arial" w:cs="Arial"/>
                <w:b/>
              </w:rPr>
            </w:pPr>
            <w:r w:rsidRPr="00F629E2">
              <w:rPr>
                <w:rFonts w:ascii="Arial" w:hAnsi="Arial" w:cs="Arial"/>
                <w:b/>
              </w:rPr>
              <w:t>General Employees</w:t>
            </w:r>
          </w:p>
          <w:p w14:paraId="26E9D361" w14:textId="77777777" w:rsidR="00CE2DCD" w:rsidRPr="00F629E2" w:rsidRDefault="00CE2DCD" w:rsidP="00CE2DCD">
            <w:pPr>
              <w:pStyle w:val="ListParagraph"/>
              <w:numPr>
                <w:ilvl w:val="0"/>
                <w:numId w:val="10"/>
              </w:numPr>
              <w:spacing w:after="160" w:line="259" w:lineRule="auto"/>
              <w:jc w:val="center"/>
              <w:rPr>
                <w:rFonts w:ascii="Arial" w:hAnsi="Arial" w:cs="Arial"/>
                <w:b/>
              </w:rPr>
            </w:pPr>
            <w:r w:rsidRPr="00F629E2">
              <w:rPr>
                <w:rFonts w:ascii="Arial" w:hAnsi="Arial" w:cs="Arial"/>
                <w:b/>
              </w:rPr>
              <w:t>Mid-Tier Suppliers</w:t>
            </w:r>
          </w:p>
        </w:tc>
      </w:tr>
      <w:tr w:rsidR="00CE2DCD" w:rsidRPr="00F629E2" w14:paraId="4AF48CDE" w14:textId="77777777" w:rsidTr="006E4482">
        <w:tc>
          <w:tcPr>
            <w:tcW w:w="4675" w:type="dxa"/>
          </w:tcPr>
          <w:p w14:paraId="1E88A4A8" w14:textId="77777777" w:rsidR="00CE2DCD" w:rsidRPr="00F629E2" w:rsidRDefault="00CE2DCD" w:rsidP="006E4482">
            <w:pPr>
              <w:pStyle w:val="ListParagraph"/>
              <w:jc w:val="center"/>
              <w:rPr>
                <w:rFonts w:ascii="Arial" w:hAnsi="Arial" w:cs="Arial"/>
                <w:b/>
              </w:rPr>
            </w:pPr>
            <w:r w:rsidRPr="00F629E2">
              <w:rPr>
                <w:rFonts w:ascii="Arial" w:hAnsi="Arial" w:cs="Arial"/>
                <w:b/>
              </w:rPr>
              <w:t>KEEP SATISFIED</w:t>
            </w:r>
          </w:p>
          <w:p w14:paraId="7B218FA1" w14:textId="77777777" w:rsidR="00CE2DCD" w:rsidRPr="00F629E2" w:rsidRDefault="00CE2DCD" w:rsidP="006E4482">
            <w:pPr>
              <w:pStyle w:val="ListParagraph"/>
              <w:jc w:val="center"/>
              <w:rPr>
                <w:rFonts w:ascii="Arial" w:hAnsi="Arial" w:cs="Arial"/>
                <w:b/>
              </w:rPr>
            </w:pPr>
            <w:r w:rsidRPr="00F629E2">
              <w:rPr>
                <w:rFonts w:ascii="Arial" w:hAnsi="Arial" w:cs="Arial"/>
                <w:b/>
              </w:rPr>
              <w:t>(High Power/Low Interest)</w:t>
            </w:r>
          </w:p>
          <w:p w14:paraId="51900215" w14:textId="77777777" w:rsidR="00CE2DCD" w:rsidRPr="00F629E2" w:rsidRDefault="00CE2DCD" w:rsidP="00CE2DCD">
            <w:pPr>
              <w:pStyle w:val="ListParagraph"/>
              <w:numPr>
                <w:ilvl w:val="0"/>
                <w:numId w:val="11"/>
              </w:numPr>
              <w:spacing w:after="160" w:line="259" w:lineRule="auto"/>
              <w:jc w:val="center"/>
              <w:rPr>
                <w:rFonts w:ascii="Arial" w:hAnsi="Arial" w:cs="Arial"/>
                <w:b/>
              </w:rPr>
            </w:pPr>
            <w:r w:rsidRPr="00F629E2">
              <w:rPr>
                <w:rFonts w:ascii="Arial" w:hAnsi="Arial" w:cs="Arial"/>
                <w:b/>
              </w:rPr>
              <w:t>Global Hardware Vendors</w:t>
            </w:r>
          </w:p>
          <w:p w14:paraId="1CACBD5E" w14:textId="77777777" w:rsidR="00CE2DCD" w:rsidRPr="00F629E2" w:rsidRDefault="00CE2DCD" w:rsidP="006E4482">
            <w:pPr>
              <w:pStyle w:val="ListParagraph"/>
              <w:spacing w:after="160" w:line="259" w:lineRule="auto"/>
              <w:jc w:val="center"/>
              <w:rPr>
                <w:rFonts w:ascii="Arial" w:hAnsi="Arial" w:cs="Arial"/>
                <w:b/>
              </w:rPr>
            </w:pPr>
          </w:p>
        </w:tc>
        <w:tc>
          <w:tcPr>
            <w:tcW w:w="4675" w:type="dxa"/>
          </w:tcPr>
          <w:p w14:paraId="29E97B8B" w14:textId="77777777" w:rsidR="00CE2DCD" w:rsidRPr="00F629E2" w:rsidRDefault="00CE2DCD" w:rsidP="006E4482">
            <w:pPr>
              <w:pStyle w:val="ListParagraph"/>
              <w:jc w:val="center"/>
              <w:rPr>
                <w:rFonts w:ascii="Arial" w:hAnsi="Arial" w:cs="Arial"/>
                <w:b/>
              </w:rPr>
            </w:pPr>
            <w:r w:rsidRPr="00F629E2">
              <w:rPr>
                <w:rFonts w:ascii="Arial" w:hAnsi="Arial" w:cs="Arial"/>
                <w:b/>
              </w:rPr>
              <w:t>KEY PLAYERS</w:t>
            </w:r>
          </w:p>
          <w:p w14:paraId="7D354667" w14:textId="77777777" w:rsidR="00CE2DCD" w:rsidRPr="00F629E2" w:rsidRDefault="00CE2DCD" w:rsidP="006E4482">
            <w:pPr>
              <w:pStyle w:val="ListParagraph"/>
              <w:jc w:val="center"/>
              <w:rPr>
                <w:rFonts w:ascii="Arial" w:hAnsi="Arial" w:cs="Arial"/>
                <w:b/>
              </w:rPr>
            </w:pPr>
            <w:r w:rsidRPr="00F629E2">
              <w:rPr>
                <w:rFonts w:ascii="Arial" w:hAnsi="Arial" w:cs="Arial"/>
                <w:b/>
              </w:rPr>
              <w:t>(High Power/High Interest)</w:t>
            </w:r>
          </w:p>
          <w:p w14:paraId="7FDAE57C" w14:textId="77777777" w:rsidR="00CE2DCD" w:rsidRPr="00F629E2" w:rsidRDefault="00CE2DCD" w:rsidP="00CE2DCD">
            <w:pPr>
              <w:pStyle w:val="ListParagraph"/>
              <w:numPr>
                <w:ilvl w:val="0"/>
                <w:numId w:val="12"/>
              </w:numPr>
              <w:spacing w:after="160" w:line="259" w:lineRule="auto"/>
              <w:jc w:val="center"/>
              <w:rPr>
                <w:rFonts w:ascii="Arial" w:hAnsi="Arial" w:cs="Arial"/>
                <w:b/>
              </w:rPr>
            </w:pPr>
            <w:r w:rsidRPr="00F629E2">
              <w:rPr>
                <w:rFonts w:ascii="Arial" w:hAnsi="Arial" w:cs="Arial"/>
                <w:b/>
              </w:rPr>
              <w:t>Shareholder and Investors</w:t>
            </w:r>
          </w:p>
          <w:p w14:paraId="0BA2C0DC" w14:textId="77777777" w:rsidR="00CE2DCD" w:rsidRPr="00F629E2" w:rsidRDefault="00CE2DCD" w:rsidP="00CE2DCD">
            <w:pPr>
              <w:pStyle w:val="ListParagraph"/>
              <w:numPr>
                <w:ilvl w:val="0"/>
                <w:numId w:val="12"/>
              </w:numPr>
              <w:spacing w:after="160" w:line="259" w:lineRule="auto"/>
              <w:jc w:val="center"/>
              <w:rPr>
                <w:rFonts w:ascii="Arial" w:hAnsi="Arial" w:cs="Arial"/>
                <w:b/>
              </w:rPr>
            </w:pPr>
            <w:r w:rsidRPr="00F629E2">
              <w:rPr>
                <w:rFonts w:ascii="Arial" w:hAnsi="Arial" w:cs="Arial"/>
                <w:b/>
              </w:rPr>
              <w:t>Government and Regulators</w:t>
            </w:r>
          </w:p>
          <w:p w14:paraId="7DCD604E" w14:textId="77777777" w:rsidR="00CE2DCD" w:rsidRPr="00F629E2" w:rsidRDefault="00CE2DCD" w:rsidP="00CE2DCD">
            <w:pPr>
              <w:pStyle w:val="ListParagraph"/>
              <w:numPr>
                <w:ilvl w:val="0"/>
                <w:numId w:val="12"/>
              </w:numPr>
              <w:spacing w:after="160" w:line="259" w:lineRule="auto"/>
              <w:jc w:val="center"/>
              <w:rPr>
                <w:rFonts w:ascii="Arial" w:hAnsi="Arial" w:cs="Arial"/>
                <w:b/>
              </w:rPr>
            </w:pPr>
            <w:r w:rsidRPr="00F629E2">
              <w:rPr>
                <w:rFonts w:ascii="Arial" w:hAnsi="Arial" w:cs="Arial"/>
                <w:b/>
              </w:rPr>
              <w:t>Retail and Enterprise Customers</w:t>
            </w:r>
          </w:p>
        </w:tc>
      </w:tr>
    </w:tbl>
    <w:p w14:paraId="22CCF625" w14:textId="2F5B1768" w:rsidR="00561E7D" w:rsidRPr="00CE2DCD" w:rsidRDefault="008B6E32" w:rsidP="002D488F">
      <w:pPr>
        <w:spacing w:line="360" w:lineRule="auto"/>
        <w:jc w:val="both"/>
        <w:rPr>
          <w:rFonts w:ascii="Arial" w:hAnsi="Arial" w:cs="Arial"/>
          <w:sz w:val="22"/>
        </w:rPr>
      </w:pPr>
      <w:r w:rsidRPr="00CE2DCD">
        <w:rPr>
          <w:rFonts w:ascii="Arial" w:hAnsi="Arial" w:cs="Arial"/>
          <w:sz w:val="22"/>
        </w:rPr>
        <w:br/>
        <w:t xml:space="preserve">Shareholders and investors, government and regulators, and retail and enterprise customers are Key Players because they have high power and high interest. Investors are focused on returns and will expect Vodafone to demonstrate that the 5G investment and merger synergies can produce sustainable financial benefits. Regulators have significant authority over competition, spectrum, consumer protection and network obligations, particularly because VodafoneThree has become the largest UK mobile operator. Customers have high power because they can switch providers and directly affect revenue and market share. Vodafone therefore needs to demonstrate improvements in coverage, reliability, quality and enterprise </w:t>
      </w:r>
      <w:r w:rsidR="00CB4110" w:rsidRPr="00CE2DCD">
        <w:rPr>
          <w:rFonts w:ascii="Arial" w:hAnsi="Arial" w:cs="Arial"/>
          <w:sz w:val="22"/>
        </w:rPr>
        <w:t>services.</w:t>
      </w:r>
      <w:r w:rsidR="00CB4110">
        <w:rPr>
          <w:rFonts w:ascii="Arial" w:hAnsi="Arial" w:cs="Arial"/>
          <w:sz w:val="22"/>
        </w:rPr>
        <w:t xml:space="preserve"> (Freeman,1984).</w:t>
      </w:r>
      <w:r w:rsidRPr="00CE2DCD">
        <w:rPr>
          <w:rFonts w:ascii="Arial" w:hAnsi="Arial" w:cs="Arial"/>
          <w:sz w:val="22"/>
        </w:rPr>
        <w:br/>
      </w:r>
      <w:r w:rsidRPr="00CE2DCD">
        <w:rPr>
          <w:rFonts w:ascii="Arial" w:hAnsi="Arial" w:cs="Arial"/>
          <w:sz w:val="22"/>
        </w:rPr>
        <w:br/>
        <w:t>Global hardware vendors are classified as Keep Satisfied stakeholders because they have high power but comparatively lower interest in Vodafone’s wider corporate strategy. The pace of 5G deployment depends on the availability and reliability of infrastructure equipment. Vodafone should therefore use its larger purchasing scale to establish stable supplier relationships and contracts.</w:t>
      </w:r>
      <w:r w:rsidRPr="00CE2DCD">
        <w:rPr>
          <w:rFonts w:ascii="Arial" w:hAnsi="Arial" w:cs="Arial"/>
          <w:sz w:val="22"/>
        </w:rPr>
        <w:br/>
      </w:r>
      <w:r w:rsidRPr="00CE2DCD">
        <w:rPr>
          <w:rFonts w:ascii="Arial" w:hAnsi="Arial" w:cs="Arial"/>
          <w:sz w:val="22"/>
        </w:rPr>
        <w:br/>
        <w:t>General employees and mid-tier suppliers should be Kept Informed. Employees are strongly affected by restructuring and need clear communication, retraining and career support. Mid-tier suppliers also need information about changes in operational requirements so that they can align their activities with the new organisation.</w:t>
      </w:r>
      <w:r w:rsidRPr="00CE2DCD">
        <w:rPr>
          <w:rFonts w:ascii="Arial" w:hAnsi="Arial" w:cs="Arial"/>
          <w:sz w:val="22"/>
        </w:rPr>
        <w:br/>
      </w:r>
      <w:r w:rsidRPr="00CE2DCD">
        <w:rPr>
          <w:rFonts w:ascii="Arial" w:hAnsi="Arial" w:cs="Arial"/>
          <w:sz w:val="22"/>
        </w:rPr>
        <w:br/>
        <w:t>Local communities fall into the Minimal Effort category because they have lower power and lower direct interest in the overall strategy. Nevertheless, Vodafone should continue to address concerns relating to network availability, cell-site development and local environmental effects. The stakeholder map helps Vodafone allocate management attention efficiently while reducing resistance and protecting implementation outcomes.</w:t>
      </w:r>
      <w:r w:rsidR="00CB4110">
        <w:rPr>
          <w:rFonts w:ascii="Arial" w:hAnsi="Arial" w:cs="Arial"/>
          <w:sz w:val="22"/>
        </w:rPr>
        <w:t>(Vodafone,2024b).</w:t>
      </w:r>
    </w:p>
    <w:p w14:paraId="45AEA142" w14:textId="77777777" w:rsidR="001B50A5" w:rsidRDefault="001B50A5" w:rsidP="00CE2DCD">
      <w:pPr>
        <w:jc w:val="both"/>
        <w:rPr>
          <w:rFonts w:ascii="Arial" w:hAnsi="Arial" w:cs="Arial"/>
          <w:b/>
          <w:sz w:val="22"/>
        </w:rPr>
      </w:pPr>
    </w:p>
    <w:p w14:paraId="1756147E" w14:textId="77777777" w:rsidR="001B50A5" w:rsidRDefault="001B50A5" w:rsidP="00CE2DCD">
      <w:pPr>
        <w:jc w:val="both"/>
        <w:rPr>
          <w:rFonts w:ascii="Arial" w:hAnsi="Arial" w:cs="Arial"/>
          <w:b/>
          <w:sz w:val="22"/>
        </w:rPr>
      </w:pPr>
    </w:p>
    <w:p w14:paraId="73D5DD96" w14:textId="77777777" w:rsidR="001B50A5" w:rsidRDefault="001B50A5" w:rsidP="00CE2DCD">
      <w:pPr>
        <w:jc w:val="both"/>
        <w:rPr>
          <w:rFonts w:ascii="Arial" w:hAnsi="Arial" w:cs="Arial"/>
          <w:b/>
          <w:sz w:val="22"/>
        </w:rPr>
      </w:pPr>
    </w:p>
    <w:p w14:paraId="75FDCC9D" w14:textId="77777777" w:rsidR="001B50A5" w:rsidRDefault="001B50A5" w:rsidP="00CE2DCD">
      <w:pPr>
        <w:jc w:val="both"/>
        <w:rPr>
          <w:rFonts w:ascii="Arial" w:hAnsi="Arial" w:cs="Arial"/>
          <w:b/>
          <w:sz w:val="22"/>
        </w:rPr>
      </w:pPr>
    </w:p>
    <w:p w14:paraId="1A82B5B4" w14:textId="77777777" w:rsidR="001B50A5" w:rsidRDefault="001B50A5" w:rsidP="00CE2DCD">
      <w:pPr>
        <w:jc w:val="both"/>
        <w:rPr>
          <w:rFonts w:ascii="Arial" w:hAnsi="Arial" w:cs="Arial"/>
          <w:b/>
          <w:sz w:val="22"/>
        </w:rPr>
      </w:pPr>
    </w:p>
    <w:p w14:paraId="2C0BA696" w14:textId="249F9E25" w:rsidR="00561E7D" w:rsidRPr="008B6E32" w:rsidRDefault="008B6E32" w:rsidP="00CE2DCD">
      <w:pPr>
        <w:jc w:val="both"/>
        <w:rPr>
          <w:rFonts w:ascii="Arial" w:hAnsi="Arial" w:cs="Arial"/>
          <w:b/>
          <w:sz w:val="22"/>
        </w:rPr>
      </w:pPr>
      <w:r w:rsidRPr="008B6E32">
        <w:rPr>
          <w:rFonts w:ascii="Arial" w:hAnsi="Arial" w:cs="Arial"/>
          <w:b/>
          <w:sz w:val="22"/>
        </w:rPr>
        <w:t>6. IMPLEMENTATION AND MONITORING</w:t>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t>7</w:t>
      </w:r>
    </w:p>
    <w:p w14:paraId="5602845C" w14:textId="77777777" w:rsidR="00CE2DCD" w:rsidRDefault="008B6E32" w:rsidP="00F67EA5">
      <w:pPr>
        <w:spacing w:line="360" w:lineRule="auto"/>
        <w:jc w:val="both"/>
        <w:rPr>
          <w:rFonts w:ascii="Arial" w:hAnsi="Arial" w:cs="Arial"/>
          <w:sz w:val="22"/>
        </w:rPr>
      </w:pPr>
      <w:r w:rsidRPr="00CE2DCD">
        <w:rPr>
          <w:rFonts w:ascii="Arial" w:hAnsi="Arial" w:cs="Arial"/>
          <w:sz w:val="22"/>
        </w:rPr>
        <w:t>A three-year implementation roadmap provides a practical link between the strategic recommendation and corporate execution.</w:t>
      </w:r>
    </w:p>
    <w:tbl>
      <w:tblPr>
        <w:tblStyle w:val="TableGrid"/>
        <w:tblW w:w="0" w:type="auto"/>
        <w:tblInd w:w="1555" w:type="dxa"/>
        <w:tblLook w:val="04A0" w:firstRow="1" w:lastRow="0" w:firstColumn="1" w:lastColumn="0" w:noHBand="0" w:noVBand="1"/>
      </w:tblPr>
      <w:tblGrid>
        <w:gridCol w:w="7938"/>
      </w:tblGrid>
      <w:tr w:rsidR="00CE2DCD" w14:paraId="48244E59" w14:textId="77777777" w:rsidTr="006E4482">
        <w:tc>
          <w:tcPr>
            <w:tcW w:w="7938" w:type="dxa"/>
          </w:tcPr>
          <w:p w14:paraId="399C9C48" w14:textId="77777777" w:rsidR="00CE2DCD" w:rsidRPr="008D4D74" w:rsidRDefault="00CE2DCD" w:rsidP="006E4482">
            <w:pPr>
              <w:pStyle w:val="ListParagraph"/>
              <w:ind w:left="0"/>
              <w:jc w:val="center"/>
              <w:rPr>
                <w:rFonts w:ascii="Arial" w:hAnsi="Arial" w:cs="Arial"/>
                <w:b/>
              </w:rPr>
            </w:pPr>
            <w:r w:rsidRPr="008D4D74">
              <w:rPr>
                <w:rFonts w:ascii="Arial" w:hAnsi="Arial" w:cs="Arial"/>
                <w:b/>
              </w:rPr>
              <w:t>VODAFONETHREE 3-YEAR ROADMAP</w:t>
            </w:r>
          </w:p>
        </w:tc>
      </w:tr>
      <w:tr w:rsidR="00CE2DCD" w14:paraId="17EDE33B" w14:textId="77777777" w:rsidTr="006E4482">
        <w:tc>
          <w:tcPr>
            <w:tcW w:w="7938" w:type="dxa"/>
          </w:tcPr>
          <w:p w14:paraId="33DE7E28" w14:textId="77777777" w:rsidR="00CE2DCD" w:rsidRPr="00D43FA1" w:rsidRDefault="00CE2DCD" w:rsidP="006E4482">
            <w:pPr>
              <w:pStyle w:val="NoSpacing"/>
              <w:rPr>
                <w:rFonts w:ascii="Arial" w:hAnsi="Arial" w:cs="Arial"/>
                <w:b/>
              </w:rPr>
            </w:pPr>
            <w:r w:rsidRPr="00D43FA1">
              <w:rPr>
                <w:rFonts w:ascii="Arial" w:hAnsi="Arial" w:cs="Arial"/>
                <w:b/>
              </w:rPr>
              <w:t>PHASE 1: YEAR 1 (INTEGRATE &amp; SECURE)</w:t>
            </w:r>
          </w:p>
          <w:p w14:paraId="799A857E" w14:textId="77777777" w:rsidR="00CE2DCD" w:rsidRPr="00D43FA1" w:rsidRDefault="00CE2DCD" w:rsidP="00CE2DCD">
            <w:pPr>
              <w:pStyle w:val="NoSpacing"/>
              <w:numPr>
                <w:ilvl w:val="0"/>
                <w:numId w:val="13"/>
              </w:numPr>
              <w:rPr>
                <w:rFonts w:ascii="Arial" w:hAnsi="Arial" w:cs="Arial"/>
              </w:rPr>
            </w:pPr>
            <w:r w:rsidRPr="00D43FA1">
              <w:rPr>
                <w:rFonts w:ascii="Arial" w:hAnsi="Arial" w:cs="Arial"/>
              </w:rPr>
              <w:t>Consolidate 15,000+ cell sites &amp; extract £700M cost savings.</w:t>
            </w:r>
          </w:p>
          <w:p w14:paraId="38001F1F" w14:textId="77777777" w:rsidR="00CE2DCD" w:rsidRPr="00D43FA1" w:rsidRDefault="00CE2DCD" w:rsidP="00CE2DCD">
            <w:pPr>
              <w:pStyle w:val="NoSpacing"/>
              <w:numPr>
                <w:ilvl w:val="0"/>
                <w:numId w:val="13"/>
              </w:numPr>
              <w:rPr>
                <w:rFonts w:ascii="Arial" w:hAnsi="Arial" w:cs="Arial"/>
              </w:rPr>
            </w:pPr>
            <w:r w:rsidRPr="00D43FA1">
              <w:rPr>
                <w:rFonts w:ascii="Arial" w:hAnsi="Arial" w:cs="Arial"/>
              </w:rPr>
              <w:t>Cross-sell Three's FWA broadband to legacy Vodafone mobile.</w:t>
            </w:r>
          </w:p>
          <w:p w14:paraId="77B6B4C3" w14:textId="77777777" w:rsidR="00CE2DCD" w:rsidRPr="00D43FA1" w:rsidRDefault="00CE2DCD" w:rsidP="006E4482">
            <w:pPr>
              <w:pStyle w:val="NoSpacing"/>
              <w:rPr>
                <w:rFonts w:ascii="Arial" w:hAnsi="Arial" w:cs="Arial"/>
                <w:b/>
              </w:rPr>
            </w:pPr>
            <w:r w:rsidRPr="00D43FA1">
              <w:rPr>
                <w:rFonts w:ascii="Arial" w:hAnsi="Arial" w:cs="Arial"/>
                <w:b/>
              </w:rPr>
              <w:t>PHASE 2: YEAR 2 (INNOVATE &amp; DIFFERENTIATE)</w:t>
            </w:r>
          </w:p>
          <w:p w14:paraId="37418823" w14:textId="77777777" w:rsidR="00CE2DCD" w:rsidRPr="00D43FA1" w:rsidRDefault="00CE2DCD" w:rsidP="00CE2DCD">
            <w:pPr>
              <w:pStyle w:val="NoSpacing"/>
              <w:numPr>
                <w:ilvl w:val="0"/>
                <w:numId w:val="14"/>
              </w:numPr>
              <w:rPr>
                <w:rFonts w:ascii="Arial" w:hAnsi="Arial" w:cs="Arial"/>
              </w:rPr>
            </w:pPr>
            <w:r w:rsidRPr="00D43FA1">
              <w:rPr>
                <w:rFonts w:ascii="Arial" w:hAnsi="Arial" w:cs="Arial"/>
              </w:rPr>
              <w:t>Launch commercial 5G Standalone (5G SA) network slicing cores.</w:t>
            </w:r>
          </w:p>
          <w:p w14:paraId="681084BF" w14:textId="77777777" w:rsidR="00CE2DCD" w:rsidRPr="00D43FA1" w:rsidRDefault="00CE2DCD" w:rsidP="00CE2DCD">
            <w:pPr>
              <w:pStyle w:val="NoSpacing"/>
              <w:numPr>
                <w:ilvl w:val="0"/>
                <w:numId w:val="14"/>
              </w:numPr>
              <w:rPr>
                <w:rFonts w:ascii="Arial" w:hAnsi="Arial" w:cs="Arial"/>
              </w:rPr>
            </w:pPr>
            <w:r w:rsidRPr="00D43FA1">
              <w:rPr>
                <w:rFonts w:ascii="Arial" w:hAnsi="Arial" w:cs="Arial"/>
              </w:rPr>
              <w:t>Retrain internal staff for advanced IoT &amp; cloud engineering.</w:t>
            </w:r>
          </w:p>
          <w:p w14:paraId="5CC19204" w14:textId="77777777" w:rsidR="00CE2DCD" w:rsidRPr="00D43FA1" w:rsidRDefault="00CE2DCD" w:rsidP="006E4482">
            <w:pPr>
              <w:pStyle w:val="NoSpacing"/>
              <w:rPr>
                <w:rFonts w:ascii="Arial" w:hAnsi="Arial" w:cs="Arial"/>
                <w:b/>
              </w:rPr>
            </w:pPr>
            <w:r w:rsidRPr="00D43FA1">
              <w:rPr>
                <w:rFonts w:ascii="Arial" w:hAnsi="Arial" w:cs="Arial"/>
                <w:b/>
              </w:rPr>
              <w:t>PHASE 3: YEAR 3 (SCALED MONETIZATION)</w:t>
            </w:r>
          </w:p>
          <w:p w14:paraId="090B7C3F" w14:textId="77777777" w:rsidR="00CE2DCD" w:rsidRPr="00D43FA1" w:rsidRDefault="00CE2DCD" w:rsidP="00CE2DCD">
            <w:pPr>
              <w:pStyle w:val="NoSpacing"/>
              <w:numPr>
                <w:ilvl w:val="0"/>
                <w:numId w:val="15"/>
              </w:numPr>
              <w:rPr>
                <w:rFonts w:ascii="Arial" w:hAnsi="Arial" w:cs="Arial"/>
              </w:rPr>
            </w:pPr>
            <w:r w:rsidRPr="00D43FA1">
              <w:rPr>
                <w:rFonts w:ascii="Arial" w:hAnsi="Arial" w:cs="Arial"/>
              </w:rPr>
              <w:t>Expand 5G SA to 99% population to capture rural enterprises.</w:t>
            </w:r>
          </w:p>
          <w:p w14:paraId="18AA39BB" w14:textId="77777777" w:rsidR="00CE2DCD" w:rsidRPr="00D43FA1" w:rsidRDefault="00CE2DCD" w:rsidP="00CE2DCD">
            <w:pPr>
              <w:pStyle w:val="NoSpacing"/>
              <w:numPr>
                <w:ilvl w:val="0"/>
                <w:numId w:val="15"/>
              </w:numPr>
              <w:rPr>
                <w:rFonts w:ascii="Arial" w:hAnsi="Arial" w:cs="Arial"/>
              </w:rPr>
            </w:pPr>
            <w:r w:rsidRPr="00D43FA1">
              <w:rPr>
                <w:rFonts w:ascii="Arial" w:hAnsi="Arial" w:cs="Arial"/>
              </w:rPr>
              <w:t>Establish predictable, recurring B2B tech contract revenue.</w:t>
            </w:r>
          </w:p>
          <w:p w14:paraId="5575814A" w14:textId="77777777" w:rsidR="00CE2DCD" w:rsidRPr="00D43FA1" w:rsidRDefault="00CE2DCD" w:rsidP="006E4482">
            <w:pPr>
              <w:pStyle w:val="ListParagraph"/>
              <w:ind w:left="0"/>
              <w:jc w:val="both"/>
              <w:rPr>
                <w:rFonts w:ascii="Arial" w:hAnsi="Arial" w:cs="Arial"/>
              </w:rPr>
            </w:pPr>
          </w:p>
        </w:tc>
      </w:tr>
    </w:tbl>
    <w:p w14:paraId="1C32FEC4" w14:textId="77777777" w:rsidR="00CE2DCD" w:rsidRDefault="00CE2DCD" w:rsidP="00CE2DCD">
      <w:pPr>
        <w:jc w:val="both"/>
        <w:rPr>
          <w:rFonts w:ascii="Arial" w:hAnsi="Arial" w:cs="Arial"/>
          <w:sz w:val="22"/>
        </w:rPr>
      </w:pPr>
    </w:p>
    <w:p w14:paraId="6B645EBF" w14:textId="06478A0A" w:rsidR="00561E7D" w:rsidRPr="00CE2DCD" w:rsidRDefault="008B6E32" w:rsidP="00F67EA5">
      <w:pPr>
        <w:spacing w:line="360" w:lineRule="auto"/>
        <w:jc w:val="both"/>
        <w:rPr>
          <w:rFonts w:ascii="Arial" w:hAnsi="Arial" w:cs="Arial"/>
          <w:sz w:val="22"/>
        </w:rPr>
      </w:pPr>
      <w:r w:rsidRPr="00CE2DCD">
        <w:rPr>
          <w:rFonts w:ascii="Arial" w:hAnsi="Arial" w:cs="Arial"/>
          <w:sz w:val="22"/>
        </w:rPr>
        <w:t xml:space="preserve">The first year should focus on integration and securing the benefits of the merger. Vodafone should consolidate overlapping network infrastructure, target the identified £700 million annual cost savings and protect customer retention during migration. Commercial teams should also cross-sell Three’s Fixed Wireless Access broadband to Vodafone’s existing mobile subscribers. The Chief Technology Officer should lead network consolidation while the Chief Commercial Officer should manage cross-selling. Key measures include cost savings achieved and customer </w:t>
      </w:r>
      <w:r w:rsidR="00327722" w:rsidRPr="00CE2DCD">
        <w:rPr>
          <w:rFonts w:ascii="Arial" w:hAnsi="Arial" w:cs="Arial"/>
          <w:sz w:val="22"/>
        </w:rPr>
        <w:t>retention.</w:t>
      </w:r>
      <w:r w:rsidR="00327722">
        <w:rPr>
          <w:rFonts w:ascii="Arial" w:hAnsi="Arial" w:cs="Arial"/>
          <w:sz w:val="22"/>
        </w:rPr>
        <w:t xml:space="preserve"> (</w:t>
      </w:r>
      <w:r w:rsidR="00CB4110">
        <w:rPr>
          <w:rFonts w:ascii="Arial" w:hAnsi="Arial" w:cs="Arial"/>
          <w:sz w:val="22"/>
        </w:rPr>
        <w:t>Vodafone</w:t>
      </w:r>
      <w:r w:rsidR="00327722">
        <w:rPr>
          <w:rFonts w:ascii="Arial" w:hAnsi="Arial" w:cs="Arial"/>
          <w:sz w:val="22"/>
        </w:rPr>
        <w:t>,2024a).</w:t>
      </w:r>
      <w:r w:rsidRPr="00CE2DCD">
        <w:rPr>
          <w:rFonts w:ascii="Arial" w:hAnsi="Arial" w:cs="Arial"/>
          <w:sz w:val="22"/>
        </w:rPr>
        <w:br/>
      </w:r>
      <w:r w:rsidRPr="00CE2DCD">
        <w:rPr>
          <w:rFonts w:ascii="Arial" w:hAnsi="Arial" w:cs="Arial"/>
          <w:sz w:val="22"/>
        </w:rPr>
        <w:br/>
        <w:t>The second year should move from integration to innovation and differentiation. Vodafone should launch its commercial standalone 5G architecture and introduce premium digital services. These can include low-latency data tiers for mobile gaming and network slicing capabilities for corporate events and media applications. Human resources should support intensive retraining so that employees can move into areas such as AI, IoT and cybersecurity. Revenue from digital services, staff transition rates and Net Promoter Score should be monitored.</w:t>
      </w:r>
      <w:r w:rsidRPr="00CE2DCD">
        <w:rPr>
          <w:rFonts w:ascii="Arial" w:hAnsi="Arial" w:cs="Arial"/>
          <w:sz w:val="22"/>
        </w:rPr>
        <w:br/>
      </w:r>
      <w:r w:rsidRPr="00CE2DCD">
        <w:rPr>
          <w:rFonts w:ascii="Arial" w:hAnsi="Arial" w:cs="Arial"/>
          <w:sz w:val="22"/>
        </w:rPr>
        <w:br/>
        <w:t xml:space="preserve">The third year should focus on scaled monetisation and market leadership. Vodafone should extend 5G Standalone coverage toward the stated 99% population target and use the expanded network to reach underserved rural business sectors. The enterprise division should offer integrated technology packages involving secure edge cloud computing, AI analytics and IoT logistics solutions. Enterprise ARPU, 5G Standalone population coverage and total UK market share should be monitored as key </w:t>
      </w:r>
      <w:r w:rsidR="00327722" w:rsidRPr="00CE2DCD">
        <w:rPr>
          <w:rFonts w:ascii="Arial" w:hAnsi="Arial" w:cs="Arial"/>
          <w:sz w:val="22"/>
        </w:rPr>
        <w:t>indicators.</w:t>
      </w:r>
      <w:r w:rsidR="00327722">
        <w:rPr>
          <w:rFonts w:ascii="Arial" w:hAnsi="Arial" w:cs="Arial"/>
          <w:sz w:val="22"/>
        </w:rPr>
        <w:t xml:space="preserve"> (CMA,2024).</w:t>
      </w:r>
      <w:r w:rsidRPr="00CE2DCD">
        <w:rPr>
          <w:rFonts w:ascii="Arial" w:hAnsi="Arial" w:cs="Arial"/>
          <w:sz w:val="22"/>
        </w:rPr>
        <w:br/>
      </w:r>
      <w:r w:rsidRPr="00CE2DCD">
        <w:rPr>
          <w:rFonts w:ascii="Arial" w:hAnsi="Arial" w:cs="Arial"/>
          <w:sz w:val="22"/>
        </w:rPr>
        <w:br/>
        <w:t>Implementation also requires active risk management. The most immediate technical risk is the complexity of merging two large network environments. Poor integration could create software conflicts, downtime, dropped calls and customer dissatisfaction. A phased regional migration approach can reduce this risk. Network changes should be performed during lower-traffic periods, while automated fallback systems can redirect traffic to established 4G infrastructure if integration problems occur.</w:t>
      </w:r>
      <w:r w:rsidRPr="00CE2DCD">
        <w:rPr>
          <w:rFonts w:ascii="Arial" w:hAnsi="Arial" w:cs="Arial"/>
          <w:sz w:val="22"/>
        </w:rPr>
        <w:br/>
      </w:r>
      <w:r w:rsidRPr="00CE2DCD">
        <w:rPr>
          <w:rFonts w:ascii="Arial" w:hAnsi="Arial" w:cs="Arial"/>
          <w:sz w:val="22"/>
        </w:rPr>
        <w:br/>
        <w:t>The implementation plan should be treated as a monitoring cycle rather than a fixed schedule. Management should compare KPI performance with targets, investigate deviations and adjust investments when evidence indicates that products or customer segments are not developing as expected. This approach allows Vodafone to protect the benefits of the merger while maintaining strategic flexibility.</w:t>
      </w:r>
    </w:p>
    <w:p w14:paraId="0493B269" w14:textId="6E950F56" w:rsidR="00561E7D" w:rsidRPr="00CE2DCD" w:rsidRDefault="008B6E32" w:rsidP="00F67EA5">
      <w:pPr>
        <w:spacing w:line="360" w:lineRule="auto"/>
        <w:jc w:val="both"/>
        <w:rPr>
          <w:rFonts w:ascii="Arial" w:hAnsi="Arial" w:cs="Arial"/>
          <w:sz w:val="22"/>
        </w:rPr>
      </w:pPr>
      <w:r w:rsidRPr="00CE2DCD">
        <w:rPr>
          <w:rFonts w:ascii="Arial" w:hAnsi="Arial" w:cs="Arial"/>
          <w:sz w:val="22"/>
        </w:rPr>
        <w:t>The sequencing of the roadmap is strategically important. Year 1 prioritises stability because Vodafone cannot credibly market advanced services if the underlying integration creates customer disruption. Capturing cost synergies also creates financial room for later investment. Year 2 introduces differentiated products once the organisation has established a stronger operational base. Year 3 then focuses on scaling services and converting infrastructure investment into recurring revenue.</w:t>
      </w:r>
      <w:r w:rsidRPr="00CE2DCD">
        <w:rPr>
          <w:rFonts w:ascii="Arial" w:hAnsi="Arial" w:cs="Arial"/>
          <w:sz w:val="22"/>
        </w:rPr>
        <w:br/>
      </w:r>
      <w:r w:rsidRPr="00CE2DCD">
        <w:rPr>
          <w:rFonts w:ascii="Arial" w:hAnsi="Arial" w:cs="Arial"/>
          <w:sz w:val="22"/>
        </w:rPr>
        <w:br/>
        <w:t xml:space="preserve">The KPIs should be interpreted </w:t>
      </w:r>
      <w:r w:rsidR="00F67EA5" w:rsidRPr="00CE2DCD">
        <w:rPr>
          <w:rFonts w:ascii="Arial" w:hAnsi="Arial" w:cs="Arial"/>
          <w:sz w:val="22"/>
        </w:rPr>
        <w:t>together.</w:t>
      </w:r>
      <w:r w:rsidRPr="00CE2DCD">
        <w:rPr>
          <w:rFonts w:ascii="Arial" w:hAnsi="Arial" w:cs="Arial"/>
          <w:sz w:val="22"/>
        </w:rPr>
        <w:t xml:space="preserve"> Cost savings without customer retention could indicate that integration is damaging the customer base. Digital-service revenue without a positive Net Promoter Score could indicate that products are being sold without creating sufficient value. Similarly, network coverage targets should be assessed alongside enterprise revenue to determine whether infrastructure expansion is producing commercial benefits. A balanced scorecard approach would therefore provide a stronger view of performance than any single </w:t>
      </w:r>
      <w:r w:rsidR="00327722" w:rsidRPr="00CE2DCD">
        <w:rPr>
          <w:rFonts w:ascii="Arial" w:hAnsi="Arial" w:cs="Arial"/>
          <w:sz w:val="22"/>
        </w:rPr>
        <w:t>measure.</w:t>
      </w:r>
      <w:r w:rsidR="00327722">
        <w:rPr>
          <w:rFonts w:ascii="Arial" w:hAnsi="Arial" w:cs="Arial"/>
          <w:sz w:val="22"/>
        </w:rPr>
        <w:t xml:space="preserve"> (</w:t>
      </w:r>
      <w:r w:rsidR="00CB4110">
        <w:rPr>
          <w:rFonts w:ascii="Arial" w:hAnsi="Arial" w:cs="Arial"/>
          <w:sz w:val="22"/>
        </w:rPr>
        <w:t>Kaplan and Norton,1996).</w:t>
      </w:r>
      <w:r w:rsidRPr="00CE2DCD">
        <w:rPr>
          <w:rFonts w:ascii="Arial" w:hAnsi="Arial" w:cs="Arial"/>
          <w:sz w:val="22"/>
        </w:rPr>
        <w:br/>
      </w:r>
      <w:r w:rsidRPr="00CE2DCD">
        <w:rPr>
          <w:rFonts w:ascii="Arial" w:hAnsi="Arial" w:cs="Arial"/>
          <w:sz w:val="22"/>
        </w:rPr>
        <w:br/>
        <w:t>Other risks should also be monitored. Competitors may respond with price reductions or accelerated technology investment. Customer adoption of new services may be slower than expected, and enterprise sales cycles may take longer than planned. Regulatory requirements may alter the pace or cost of network integration. Management should maintain contingency plans and use pilot launches where appropriate so that investment decisions can be informed by customer evidence.</w:t>
      </w:r>
      <w:r w:rsidR="00327722">
        <w:rPr>
          <w:rFonts w:ascii="Arial" w:hAnsi="Arial" w:cs="Arial"/>
          <w:sz w:val="22"/>
        </w:rPr>
        <w:t xml:space="preserve"> (CMA,2024).</w:t>
      </w:r>
    </w:p>
    <w:p w14:paraId="313024B6" w14:textId="77777777" w:rsidR="00561E7D" w:rsidRPr="008B6E32" w:rsidRDefault="008B6E32" w:rsidP="00CE2DCD">
      <w:pPr>
        <w:jc w:val="both"/>
        <w:rPr>
          <w:rFonts w:ascii="Arial" w:hAnsi="Arial" w:cs="Arial"/>
          <w:b/>
          <w:sz w:val="22"/>
        </w:rPr>
      </w:pPr>
      <w:r w:rsidRPr="008B6E32">
        <w:rPr>
          <w:rFonts w:ascii="Arial" w:hAnsi="Arial" w:cs="Arial"/>
          <w:b/>
          <w:sz w:val="22"/>
        </w:rPr>
        <w:t>7. CONCLUSION</w:t>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r>
      <w:r w:rsidR="00626FEA">
        <w:rPr>
          <w:rFonts w:ascii="Arial" w:hAnsi="Arial" w:cs="Arial"/>
          <w:b/>
          <w:sz w:val="22"/>
        </w:rPr>
        <w:tab/>
        <w:t>8</w:t>
      </w:r>
    </w:p>
    <w:p w14:paraId="1EFD274C" w14:textId="0B42699B" w:rsidR="00561E7D" w:rsidRPr="00CE2DCD" w:rsidRDefault="008B6E32" w:rsidP="00F67EA5">
      <w:pPr>
        <w:spacing w:line="360" w:lineRule="auto"/>
        <w:jc w:val="both"/>
        <w:rPr>
          <w:rFonts w:ascii="Arial" w:hAnsi="Arial" w:cs="Arial"/>
          <w:sz w:val="22"/>
        </w:rPr>
      </w:pPr>
      <w:r w:rsidRPr="00CE2DCD">
        <w:rPr>
          <w:rFonts w:ascii="Arial" w:hAnsi="Arial" w:cs="Arial"/>
          <w:sz w:val="22"/>
        </w:rPr>
        <w:t>The merger with Three UK has transformed Vodafone’s position in the UK telecommunications market by creating VodafoneThree, a business with approximately 27 million customers and greater network scale. However, market leadership is not sufficient to secure sustainable success in a mature and highly competitive industry. Vodafone must convert its enlarged resources into customer value while managing integration, regulation, investment and competitive pressures.</w:t>
      </w:r>
      <w:r w:rsidRPr="00CE2DCD">
        <w:rPr>
          <w:rFonts w:ascii="Arial" w:hAnsi="Arial" w:cs="Arial"/>
          <w:sz w:val="22"/>
        </w:rPr>
        <w:br/>
      </w:r>
      <w:r w:rsidRPr="00CE2DCD">
        <w:rPr>
          <w:rFonts w:ascii="Arial" w:hAnsi="Arial" w:cs="Arial"/>
          <w:sz w:val="22"/>
        </w:rPr>
        <w:br/>
        <w:t>The analysis identifies Product Development as the most suitable Ansoff growth strategy and Differentiation as the most sustainable competitive approach. Rather than using merger savings primarily to reduce prices, Vodafone should reinvest them alongside the planned £11 billion 5G programme. Improved network quality can provide the foundation for AI, IoT, cloud, cybersecurity, enterprise connectivity and other high-value services.</w:t>
      </w:r>
      <w:r w:rsidR="00327722">
        <w:rPr>
          <w:rFonts w:ascii="Arial" w:hAnsi="Arial" w:cs="Arial"/>
          <w:sz w:val="22"/>
        </w:rPr>
        <w:t>(Vodafone,2024).</w:t>
      </w:r>
      <w:r w:rsidRPr="00CE2DCD">
        <w:rPr>
          <w:rFonts w:ascii="Arial" w:hAnsi="Arial" w:cs="Arial"/>
          <w:sz w:val="22"/>
        </w:rPr>
        <w:br/>
      </w:r>
      <w:r w:rsidRPr="00CE2DCD">
        <w:rPr>
          <w:rFonts w:ascii="Arial" w:hAnsi="Arial" w:cs="Arial"/>
          <w:sz w:val="22"/>
        </w:rPr>
        <w:br/>
        <w:t>The SAFe assessment supports the recommendation because the strategy is suitable for Vodafone’s capabilities and market position, feasible given its financial and technological resources, and broadly acceptable to stakeholders. Success will nevertheless depend on employee engagement, customer adoption, regulatory cooperation and effective post-merger integration.</w:t>
      </w:r>
      <w:r w:rsidRPr="00CE2DCD">
        <w:rPr>
          <w:rFonts w:ascii="Arial" w:hAnsi="Arial" w:cs="Arial"/>
          <w:sz w:val="22"/>
        </w:rPr>
        <w:br/>
      </w:r>
      <w:r w:rsidRPr="00CE2DCD">
        <w:rPr>
          <w:rFonts w:ascii="Arial" w:hAnsi="Arial" w:cs="Arial"/>
          <w:sz w:val="22"/>
        </w:rPr>
        <w:br/>
        <w:t>The three-year implementation roadmap provides a structured route from integration to innovation and then scaled monetisation. Clear KPIs, stakeholder management and risk mitigation are necessary to ensure that the strategy remains commercially and operationally viable. Overall, a Product Development strategy supported by Differentiation offers Vodafone a stronger path toward sustainable growth than aggressive price competition. By improving connectivity and building a wider portfolio of digital services, Vodafone can strengthen competitive advantage while progressing toward its broader ambition of becoming a technology-led organisation.</w:t>
      </w:r>
    </w:p>
    <w:p w14:paraId="70D94587" w14:textId="337A291A" w:rsidR="00561E7D" w:rsidRPr="00CE2DCD" w:rsidRDefault="008B6E32" w:rsidP="00F67EA5">
      <w:pPr>
        <w:spacing w:line="360" w:lineRule="auto"/>
        <w:jc w:val="both"/>
        <w:rPr>
          <w:rFonts w:ascii="Arial" w:hAnsi="Arial" w:cs="Arial"/>
          <w:sz w:val="22"/>
        </w:rPr>
      </w:pPr>
      <w:r w:rsidRPr="00CE2DCD">
        <w:rPr>
          <w:rFonts w:ascii="Arial" w:hAnsi="Arial" w:cs="Arial"/>
          <w:sz w:val="22"/>
        </w:rPr>
        <w:t xml:space="preserve">The central lesson from the analysis is that Vodafone should not confuse scale with sustainable advantage. The merger creates assets, customers and cost opportunities, but those resources become strategically valuable only when Vodafone uses them to deliver something customers value and competitors cannot easily reproduce. Product Development provides the </w:t>
      </w:r>
      <w:r w:rsidR="00327722" w:rsidRPr="00CE2DCD">
        <w:rPr>
          <w:rFonts w:ascii="Arial" w:hAnsi="Arial" w:cs="Arial"/>
          <w:sz w:val="22"/>
        </w:rPr>
        <w:t>mechanism.</w:t>
      </w:r>
      <w:r w:rsidR="00327722">
        <w:rPr>
          <w:rFonts w:ascii="Arial" w:hAnsi="Arial" w:cs="Arial"/>
          <w:sz w:val="22"/>
        </w:rPr>
        <w:t xml:space="preserve"> (Omdia,2023)</w:t>
      </w:r>
      <w:r w:rsidRPr="00CE2DCD">
        <w:rPr>
          <w:rFonts w:ascii="Arial" w:hAnsi="Arial" w:cs="Arial"/>
          <w:sz w:val="22"/>
        </w:rPr>
        <w:br/>
      </w:r>
      <w:r w:rsidRPr="00CE2DCD">
        <w:rPr>
          <w:rFonts w:ascii="Arial" w:hAnsi="Arial" w:cs="Arial"/>
          <w:sz w:val="22"/>
        </w:rPr>
        <w:br/>
        <w:t xml:space="preserve">The recommended approach also creates a connection between Vodafone’s mission and its commercial objectives. Better connectivity can support inclusion and economic activity, while advanced digital services can create new revenue opportunities. If the company successfully integrates Three UK, captures synergies, develops employees and commercialises its 5G infrastructure, the merger can become a foundation for transformation rather than merely </w:t>
      </w:r>
      <w:r w:rsidRPr="00D82EAD">
        <w:rPr>
          <w:rFonts w:ascii="Arial" w:hAnsi="Arial" w:cs="Arial"/>
          <w:i/>
          <w:iCs/>
          <w:sz w:val="22"/>
        </w:rPr>
        <w:t>creating</w:t>
      </w:r>
      <w:r w:rsidRPr="00CE2DCD">
        <w:rPr>
          <w:rFonts w:ascii="Arial" w:hAnsi="Arial" w:cs="Arial"/>
          <w:sz w:val="22"/>
        </w:rPr>
        <w:t xml:space="preserve"> a larger existing </w:t>
      </w:r>
      <w:r w:rsidR="00327722" w:rsidRPr="00CE2DCD">
        <w:rPr>
          <w:rFonts w:ascii="Arial" w:hAnsi="Arial" w:cs="Arial"/>
          <w:sz w:val="22"/>
        </w:rPr>
        <w:t>business.</w:t>
      </w:r>
      <w:r w:rsidR="00327722">
        <w:rPr>
          <w:rFonts w:ascii="Arial" w:hAnsi="Arial" w:cs="Arial"/>
          <w:sz w:val="22"/>
        </w:rPr>
        <w:t xml:space="preserve"> (Vodafone,2024b).</w:t>
      </w:r>
    </w:p>
    <w:p w14:paraId="7879043A" w14:textId="588E1DBE" w:rsidR="00D82EAD" w:rsidRPr="00992222" w:rsidRDefault="00CE2DCD" w:rsidP="00992222">
      <w:pPr>
        <w:jc w:val="both"/>
        <w:rPr>
          <w:rFonts w:ascii="Arial" w:hAnsi="Arial" w:cs="Arial"/>
          <w:b/>
        </w:rPr>
      </w:pPr>
      <w:r w:rsidRPr="00626FEA">
        <w:rPr>
          <w:rFonts w:ascii="Arial" w:hAnsi="Arial" w:cs="Arial"/>
          <w:b/>
        </w:rPr>
        <w:t>SOURCES AND REFERENCES</w:t>
      </w:r>
      <w:r w:rsidR="00626FEA">
        <w:rPr>
          <w:rFonts w:ascii="Arial" w:hAnsi="Arial" w:cs="Arial"/>
          <w:b/>
        </w:rPr>
        <w:tab/>
      </w:r>
      <w:r w:rsidR="00626FEA">
        <w:rPr>
          <w:rFonts w:ascii="Arial" w:hAnsi="Arial" w:cs="Arial"/>
          <w:b/>
        </w:rPr>
        <w:tab/>
      </w:r>
      <w:r w:rsidR="00626FEA">
        <w:rPr>
          <w:rFonts w:ascii="Arial" w:hAnsi="Arial" w:cs="Arial"/>
          <w:b/>
        </w:rPr>
        <w:tab/>
      </w:r>
      <w:r w:rsidR="00626FEA">
        <w:rPr>
          <w:rFonts w:ascii="Arial" w:hAnsi="Arial" w:cs="Arial"/>
          <w:b/>
        </w:rPr>
        <w:tab/>
      </w:r>
      <w:r w:rsidR="00626FEA">
        <w:rPr>
          <w:rFonts w:ascii="Arial" w:hAnsi="Arial" w:cs="Arial"/>
          <w:b/>
        </w:rPr>
        <w:tab/>
      </w:r>
      <w:r w:rsidR="00626FEA">
        <w:rPr>
          <w:rFonts w:ascii="Arial" w:hAnsi="Arial" w:cs="Arial"/>
          <w:b/>
        </w:rPr>
        <w:tab/>
      </w:r>
      <w:r w:rsidR="00626FEA">
        <w:rPr>
          <w:rFonts w:ascii="Arial" w:hAnsi="Arial" w:cs="Arial"/>
          <w:b/>
        </w:rPr>
        <w:tab/>
      </w:r>
      <w:r w:rsidR="00626FEA">
        <w:rPr>
          <w:rFonts w:ascii="Arial" w:hAnsi="Arial" w:cs="Arial"/>
          <w:b/>
        </w:rPr>
        <w:tab/>
      </w:r>
      <w:r w:rsidR="00626FEA">
        <w:rPr>
          <w:rFonts w:ascii="Arial" w:hAnsi="Arial" w:cs="Arial"/>
          <w:b/>
        </w:rPr>
        <w:tab/>
      </w:r>
      <w:r w:rsidR="00626FEA">
        <w:rPr>
          <w:rFonts w:ascii="Arial" w:hAnsi="Arial" w:cs="Arial"/>
          <w:b/>
        </w:rPr>
        <w:tab/>
        <w:t>9</w:t>
      </w:r>
      <w:r w:rsidR="00D82EAD" w:rsidRPr="00992222">
        <w:rPr>
          <w:rFonts w:ascii="Arial" w:hAnsi="Arial" w:cs="Arial"/>
          <w:i/>
          <w:iCs/>
        </w:rPr>
        <w:t>.</w:t>
      </w:r>
    </w:p>
    <w:p w14:paraId="5F116E94" w14:textId="136897B8" w:rsidR="00CE2DCD" w:rsidRPr="00992222" w:rsidRDefault="00491E87" w:rsidP="00CE2DCD">
      <w:pPr>
        <w:jc w:val="both"/>
        <w:rPr>
          <w:rFonts w:ascii="Arial" w:hAnsi="Arial" w:cs="Arial"/>
          <w:sz w:val="22"/>
        </w:rPr>
      </w:pPr>
      <w:r w:rsidRPr="00992222">
        <w:rPr>
          <w:rFonts w:ascii="Arial" w:hAnsi="Arial" w:cs="Arial"/>
          <w:sz w:val="22"/>
        </w:rPr>
        <w:br w:type="textWrapping" w:clear="all"/>
      </w:r>
      <w:r w:rsidR="00992222" w:rsidRPr="00992222">
        <w:rPr>
          <w:rFonts w:ascii="Arial" w:hAnsi="Arial" w:cs="Arial"/>
          <w:color w:val="000000"/>
          <w:sz w:val="22"/>
        </w:rPr>
        <w:t xml:space="preserve">Ansoff, H.I. (1957) </w:t>
      </w:r>
      <w:r w:rsidR="00992222" w:rsidRPr="00C774D6">
        <w:rPr>
          <w:rFonts w:ascii="Arial" w:hAnsi="Arial" w:cs="Arial"/>
          <w:i/>
          <w:iCs/>
          <w:color w:val="000000"/>
          <w:sz w:val="22"/>
        </w:rPr>
        <w:t>‘Strategies for Diversification’</w:t>
      </w:r>
      <w:r w:rsidR="00992222" w:rsidRPr="00992222">
        <w:rPr>
          <w:rFonts w:ascii="Arial" w:hAnsi="Arial" w:cs="Arial"/>
          <w:color w:val="000000"/>
          <w:sz w:val="22"/>
        </w:rPr>
        <w:t>, Harvard Business Review, 35(5), pp. 113–124.</w:t>
      </w:r>
      <w:r w:rsidR="00992222" w:rsidRPr="00992222">
        <w:rPr>
          <w:rFonts w:ascii="Arial" w:hAnsi="Arial" w:cs="Arial"/>
          <w:color w:val="000000"/>
          <w:sz w:val="22"/>
        </w:rPr>
        <w:br/>
      </w:r>
      <w:r w:rsidR="00992222" w:rsidRPr="00992222">
        <w:rPr>
          <w:rFonts w:ascii="Arial" w:hAnsi="Arial" w:cs="Arial"/>
          <w:color w:val="000000"/>
          <w:sz w:val="22"/>
        </w:rPr>
        <w:br/>
        <w:t xml:space="preserve">CMA (2024) </w:t>
      </w:r>
      <w:r w:rsidR="00992222" w:rsidRPr="00C774D6">
        <w:rPr>
          <w:rFonts w:ascii="Arial" w:hAnsi="Arial" w:cs="Arial"/>
          <w:i/>
          <w:iCs/>
          <w:color w:val="000000"/>
          <w:sz w:val="22"/>
        </w:rPr>
        <w:t>Vodafone/Three Merger Inquiry</w:t>
      </w:r>
      <w:r w:rsidR="00992222" w:rsidRPr="00992222">
        <w:rPr>
          <w:rFonts w:ascii="Arial" w:hAnsi="Arial" w:cs="Arial"/>
          <w:color w:val="000000"/>
          <w:sz w:val="22"/>
        </w:rPr>
        <w:t>: Final Report. London: Competition and Markets Authority. Available at:</w:t>
      </w:r>
      <w:r w:rsidR="00992222" w:rsidRPr="00992222">
        <w:rPr>
          <w:rStyle w:val="apple-converted-space"/>
          <w:rFonts w:ascii="Arial" w:hAnsi="Arial" w:cs="Arial"/>
          <w:color w:val="000000"/>
          <w:sz w:val="22"/>
        </w:rPr>
        <w:t> </w:t>
      </w:r>
      <w:hyperlink r:id="rId7" w:history="1">
        <w:r w:rsidR="00992222" w:rsidRPr="00992222">
          <w:rPr>
            <w:rStyle w:val="Hyperlink"/>
            <w:rFonts w:ascii="Arial" w:hAnsi="Arial" w:cs="Arial"/>
            <w:sz w:val="22"/>
          </w:rPr>
          <w:t>https://www.gov.uk</w:t>
        </w:r>
      </w:hyperlink>
      <w:r w:rsidR="00992222" w:rsidRPr="00992222">
        <w:rPr>
          <w:rStyle w:val="apple-converted-space"/>
          <w:rFonts w:ascii="Arial" w:hAnsi="Arial" w:cs="Arial"/>
          <w:color w:val="000000"/>
          <w:sz w:val="22"/>
        </w:rPr>
        <w:t> </w:t>
      </w:r>
      <w:r w:rsidR="00992222" w:rsidRPr="00992222">
        <w:rPr>
          <w:rFonts w:ascii="Arial" w:hAnsi="Arial" w:cs="Arial"/>
          <w:color w:val="000000"/>
          <w:sz w:val="22"/>
        </w:rPr>
        <w:t>(Accessed: 10 August 2026).</w:t>
      </w:r>
      <w:r w:rsidR="00992222" w:rsidRPr="00992222">
        <w:rPr>
          <w:rFonts w:ascii="Arial" w:hAnsi="Arial" w:cs="Arial"/>
          <w:color w:val="000000"/>
          <w:sz w:val="22"/>
        </w:rPr>
        <w:br/>
      </w:r>
      <w:r w:rsidR="00992222" w:rsidRPr="00992222">
        <w:rPr>
          <w:rFonts w:ascii="Arial" w:hAnsi="Arial" w:cs="Arial"/>
          <w:color w:val="000000"/>
          <w:sz w:val="22"/>
        </w:rPr>
        <w:br/>
      </w:r>
      <w:proofErr w:type="spellStart"/>
      <w:r w:rsidR="00992222" w:rsidRPr="00992222">
        <w:rPr>
          <w:rFonts w:ascii="Arial" w:hAnsi="Arial" w:cs="Arial"/>
          <w:color w:val="000000"/>
          <w:sz w:val="22"/>
        </w:rPr>
        <w:t>Dell’Oro</w:t>
      </w:r>
      <w:proofErr w:type="spellEnd"/>
      <w:r w:rsidR="00992222" w:rsidRPr="00992222">
        <w:rPr>
          <w:rFonts w:ascii="Arial" w:hAnsi="Arial" w:cs="Arial"/>
          <w:color w:val="000000"/>
          <w:sz w:val="22"/>
        </w:rPr>
        <w:t xml:space="preserve"> Group (2023) </w:t>
      </w:r>
      <w:r w:rsidR="00992222" w:rsidRPr="00C774D6">
        <w:rPr>
          <w:rFonts w:ascii="Arial" w:hAnsi="Arial" w:cs="Arial"/>
          <w:i/>
          <w:iCs/>
          <w:color w:val="000000"/>
          <w:sz w:val="22"/>
        </w:rPr>
        <w:t>RAN 5-Year Forecast Report.</w:t>
      </w:r>
      <w:r w:rsidR="00992222" w:rsidRPr="00992222">
        <w:rPr>
          <w:rFonts w:ascii="Arial" w:hAnsi="Arial" w:cs="Arial"/>
          <w:color w:val="000000"/>
          <w:sz w:val="22"/>
        </w:rPr>
        <w:t xml:space="preserve"> Redwood City: </w:t>
      </w:r>
      <w:proofErr w:type="spellStart"/>
      <w:r w:rsidR="00992222" w:rsidRPr="00992222">
        <w:rPr>
          <w:rFonts w:ascii="Arial" w:hAnsi="Arial" w:cs="Arial"/>
          <w:color w:val="000000"/>
          <w:sz w:val="22"/>
        </w:rPr>
        <w:t>Dell’Oro</w:t>
      </w:r>
      <w:proofErr w:type="spellEnd"/>
      <w:r w:rsidR="00992222" w:rsidRPr="00992222">
        <w:rPr>
          <w:rFonts w:ascii="Arial" w:hAnsi="Arial" w:cs="Arial"/>
          <w:color w:val="000000"/>
          <w:sz w:val="22"/>
        </w:rPr>
        <w:t xml:space="preserve"> Group.</w:t>
      </w:r>
      <w:r w:rsidR="00992222" w:rsidRPr="00992222">
        <w:rPr>
          <w:rFonts w:ascii="Arial" w:hAnsi="Arial" w:cs="Arial"/>
          <w:color w:val="000000"/>
          <w:sz w:val="22"/>
        </w:rPr>
        <w:br/>
      </w:r>
      <w:r w:rsidR="00992222" w:rsidRPr="00992222">
        <w:rPr>
          <w:rFonts w:ascii="Arial" w:hAnsi="Arial" w:cs="Arial"/>
          <w:color w:val="000000"/>
          <w:sz w:val="22"/>
        </w:rPr>
        <w:br/>
        <w:t xml:space="preserve">European Commission (2023) </w:t>
      </w:r>
      <w:r w:rsidR="00992222" w:rsidRPr="00C774D6">
        <w:rPr>
          <w:rFonts w:ascii="Arial" w:hAnsi="Arial" w:cs="Arial"/>
          <w:i/>
          <w:iCs/>
          <w:color w:val="000000"/>
          <w:sz w:val="22"/>
        </w:rPr>
        <w:t xml:space="preserve">Digital Decade Policy </w:t>
      </w:r>
      <w:proofErr w:type="spellStart"/>
      <w:r w:rsidR="00992222" w:rsidRPr="00C774D6">
        <w:rPr>
          <w:rFonts w:ascii="Arial" w:hAnsi="Arial" w:cs="Arial"/>
          <w:i/>
          <w:iCs/>
          <w:color w:val="000000"/>
          <w:sz w:val="22"/>
        </w:rPr>
        <w:t>Programme</w:t>
      </w:r>
      <w:proofErr w:type="spellEnd"/>
      <w:r w:rsidR="00992222" w:rsidRPr="00C774D6">
        <w:rPr>
          <w:rFonts w:ascii="Arial" w:hAnsi="Arial" w:cs="Arial"/>
          <w:i/>
          <w:iCs/>
          <w:color w:val="000000"/>
          <w:sz w:val="22"/>
        </w:rPr>
        <w:t xml:space="preserve"> 2030</w:t>
      </w:r>
      <w:r w:rsidR="00992222" w:rsidRPr="00992222">
        <w:rPr>
          <w:rFonts w:ascii="Arial" w:hAnsi="Arial" w:cs="Arial"/>
          <w:color w:val="000000"/>
          <w:sz w:val="22"/>
        </w:rPr>
        <w:t>. Brussels: European Commission. Available at:</w:t>
      </w:r>
      <w:r w:rsidR="00992222" w:rsidRPr="00992222">
        <w:rPr>
          <w:rStyle w:val="apple-converted-space"/>
          <w:rFonts w:ascii="Arial" w:hAnsi="Arial" w:cs="Arial"/>
          <w:color w:val="000000"/>
          <w:sz w:val="22"/>
        </w:rPr>
        <w:t> </w:t>
      </w:r>
      <w:hyperlink r:id="rId8" w:history="1">
        <w:r w:rsidR="00992222" w:rsidRPr="00992222">
          <w:rPr>
            <w:rStyle w:val="Hyperlink"/>
            <w:rFonts w:ascii="Arial" w:hAnsi="Arial" w:cs="Arial"/>
            <w:sz w:val="22"/>
          </w:rPr>
          <w:t>https://digital-strategy.ec.europa.eu</w:t>
        </w:r>
      </w:hyperlink>
      <w:r w:rsidR="00992222" w:rsidRPr="00992222">
        <w:rPr>
          <w:rStyle w:val="apple-converted-space"/>
          <w:rFonts w:ascii="Arial" w:hAnsi="Arial" w:cs="Arial"/>
          <w:color w:val="000000"/>
          <w:sz w:val="22"/>
        </w:rPr>
        <w:t> </w:t>
      </w:r>
      <w:r w:rsidR="00992222" w:rsidRPr="00992222">
        <w:rPr>
          <w:rFonts w:ascii="Arial" w:hAnsi="Arial" w:cs="Arial"/>
          <w:color w:val="000000"/>
          <w:sz w:val="22"/>
        </w:rPr>
        <w:t>(Accessed: 10 August 2026).</w:t>
      </w:r>
      <w:r w:rsidR="00992222" w:rsidRPr="00992222">
        <w:rPr>
          <w:rFonts w:ascii="Arial" w:hAnsi="Arial" w:cs="Arial"/>
          <w:color w:val="000000"/>
          <w:sz w:val="22"/>
        </w:rPr>
        <w:br/>
      </w:r>
      <w:r w:rsidR="00992222" w:rsidRPr="00992222">
        <w:rPr>
          <w:rFonts w:ascii="Arial" w:hAnsi="Arial" w:cs="Arial"/>
          <w:color w:val="000000"/>
          <w:sz w:val="22"/>
        </w:rPr>
        <w:br/>
        <w:t xml:space="preserve">Freeman, R.E. (1984) </w:t>
      </w:r>
      <w:r w:rsidR="00992222" w:rsidRPr="00992222">
        <w:rPr>
          <w:rFonts w:ascii="Arial" w:hAnsi="Arial" w:cs="Arial"/>
          <w:i/>
          <w:iCs/>
          <w:color w:val="000000"/>
          <w:sz w:val="22"/>
        </w:rPr>
        <w:t>Strategic Management: A Stakeholder Approach. Boston: Pitman.</w:t>
      </w:r>
      <w:r w:rsidR="00992222" w:rsidRPr="00992222">
        <w:rPr>
          <w:rFonts w:ascii="Arial" w:hAnsi="Arial" w:cs="Arial"/>
          <w:i/>
          <w:iCs/>
          <w:color w:val="000000"/>
          <w:sz w:val="22"/>
        </w:rPr>
        <w:br/>
      </w:r>
      <w:r w:rsidR="00992222" w:rsidRPr="00992222">
        <w:rPr>
          <w:rFonts w:ascii="Arial" w:hAnsi="Arial" w:cs="Arial"/>
          <w:i/>
          <w:iCs/>
          <w:color w:val="000000"/>
          <w:sz w:val="22"/>
        </w:rPr>
        <w:br/>
      </w:r>
      <w:r w:rsidR="00992222" w:rsidRPr="00992222">
        <w:rPr>
          <w:rFonts w:ascii="Arial" w:hAnsi="Arial" w:cs="Arial"/>
          <w:color w:val="000000"/>
          <w:sz w:val="22"/>
        </w:rPr>
        <w:t xml:space="preserve">GSMA (2023) </w:t>
      </w:r>
      <w:r w:rsidR="00992222" w:rsidRPr="00992222">
        <w:rPr>
          <w:rFonts w:ascii="Arial" w:hAnsi="Arial" w:cs="Arial"/>
          <w:i/>
          <w:iCs/>
          <w:color w:val="000000"/>
          <w:sz w:val="22"/>
        </w:rPr>
        <w:t xml:space="preserve">The Mobile Economy Europe 2023. London: GSMA. Available </w:t>
      </w:r>
      <w:r w:rsidR="00992222" w:rsidRPr="00992222">
        <w:rPr>
          <w:rFonts w:ascii="Arial" w:hAnsi="Arial" w:cs="Arial"/>
          <w:color w:val="000000"/>
          <w:sz w:val="22"/>
        </w:rPr>
        <w:t>at:</w:t>
      </w:r>
      <w:r w:rsidR="00992222" w:rsidRPr="00992222">
        <w:rPr>
          <w:rStyle w:val="apple-converted-space"/>
          <w:rFonts w:ascii="Arial" w:hAnsi="Arial" w:cs="Arial"/>
          <w:color w:val="000000"/>
          <w:sz w:val="22"/>
        </w:rPr>
        <w:t> </w:t>
      </w:r>
      <w:hyperlink r:id="rId9" w:history="1">
        <w:r w:rsidR="00992222" w:rsidRPr="00992222">
          <w:rPr>
            <w:rStyle w:val="Hyperlink"/>
            <w:rFonts w:ascii="Arial" w:hAnsi="Arial" w:cs="Arial"/>
            <w:sz w:val="22"/>
          </w:rPr>
          <w:t>https://www.gsma.com</w:t>
        </w:r>
      </w:hyperlink>
      <w:r w:rsidR="00992222" w:rsidRPr="00992222">
        <w:rPr>
          <w:rStyle w:val="apple-converted-space"/>
          <w:rFonts w:ascii="Arial" w:hAnsi="Arial" w:cs="Arial"/>
          <w:color w:val="000000"/>
          <w:sz w:val="22"/>
        </w:rPr>
        <w:t> </w:t>
      </w:r>
      <w:r w:rsidR="00992222" w:rsidRPr="00992222">
        <w:rPr>
          <w:rFonts w:ascii="Arial" w:hAnsi="Arial" w:cs="Arial"/>
          <w:color w:val="000000"/>
          <w:sz w:val="22"/>
        </w:rPr>
        <w:t>(Accessed: 10 August 2026).</w:t>
      </w:r>
      <w:r w:rsidR="00992222" w:rsidRPr="00992222">
        <w:rPr>
          <w:rFonts w:ascii="Arial" w:hAnsi="Arial" w:cs="Arial"/>
          <w:color w:val="000000"/>
          <w:sz w:val="22"/>
        </w:rPr>
        <w:br/>
      </w:r>
      <w:r w:rsidR="00992222" w:rsidRPr="00992222">
        <w:rPr>
          <w:rFonts w:ascii="Arial" w:hAnsi="Arial" w:cs="Arial"/>
          <w:color w:val="000000"/>
          <w:sz w:val="22"/>
        </w:rPr>
        <w:br/>
        <w:t xml:space="preserve">IEA (2023) </w:t>
      </w:r>
      <w:r w:rsidR="00992222" w:rsidRPr="00C774D6">
        <w:rPr>
          <w:rFonts w:ascii="Arial" w:hAnsi="Arial" w:cs="Arial"/>
          <w:i/>
          <w:iCs/>
          <w:color w:val="000000"/>
          <w:sz w:val="22"/>
        </w:rPr>
        <w:t>World Energy Outlook 2023.</w:t>
      </w:r>
      <w:r w:rsidR="00992222" w:rsidRPr="00992222">
        <w:rPr>
          <w:rFonts w:ascii="Arial" w:hAnsi="Arial" w:cs="Arial"/>
          <w:color w:val="000000"/>
          <w:sz w:val="22"/>
        </w:rPr>
        <w:t xml:space="preserve"> Paris: International Energy Agency. Available at:</w:t>
      </w:r>
      <w:r w:rsidR="00992222" w:rsidRPr="00992222">
        <w:rPr>
          <w:rStyle w:val="apple-converted-space"/>
          <w:rFonts w:ascii="Arial" w:hAnsi="Arial" w:cs="Arial"/>
          <w:color w:val="000000"/>
          <w:sz w:val="22"/>
        </w:rPr>
        <w:t> </w:t>
      </w:r>
      <w:hyperlink r:id="rId10" w:history="1">
        <w:r w:rsidR="00992222" w:rsidRPr="00992222">
          <w:rPr>
            <w:rStyle w:val="Hyperlink"/>
            <w:rFonts w:ascii="Arial" w:hAnsi="Arial" w:cs="Arial"/>
            <w:sz w:val="22"/>
          </w:rPr>
          <w:t>https://www.iea.org</w:t>
        </w:r>
      </w:hyperlink>
      <w:r w:rsidR="00992222" w:rsidRPr="00992222">
        <w:rPr>
          <w:rStyle w:val="apple-converted-space"/>
          <w:rFonts w:ascii="Arial" w:hAnsi="Arial" w:cs="Arial"/>
          <w:color w:val="000000"/>
          <w:sz w:val="22"/>
        </w:rPr>
        <w:t> </w:t>
      </w:r>
      <w:r w:rsidR="00992222" w:rsidRPr="00992222">
        <w:rPr>
          <w:rFonts w:ascii="Arial" w:hAnsi="Arial" w:cs="Arial"/>
          <w:color w:val="000000"/>
          <w:sz w:val="22"/>
        </w:rPr>
        <w:t>(Accessed: 10 August 2026).</w:t>
      </w:r>
      <w:r w:rsidR="00992222" w:rsidRPr="00992222">
        <w:rPr>
          <w:rFonts w:ascii="Arial" w:hAnsi="Arial" w:cs="Arial"/>
          <w:color w:val="000000"/>
          <w:sz w:val="22"/>
        </w:rPr>
        <w:br/>
      </w:r>
      <w:r w:rsidR="00992222" w:rsidRPr="00992222">
        <w:rPr>
          <w:rFonts w:ascii="Arial" w:hAnsi="Arial" w:cs="Arial"/>
          <w:color w:val="000000"/>
          <w:sz w:val="22"/>
        </w:rPr>
        <w:br/>
        <w:t xml:space="preserve">Iliad (2023) </w:t>
      </w:r>
      <w:r w:rsidR="00992222" w:rsidRPr="00992222">
        <w:rPr>
          <w:rFonts w:ascii="Arial" w:hAnsi="Arial" w:cs="Arial"/>
          <w:i/>
          <w:iCs/>
          <w:color w:val="000000"/>
          <w:sz w:val="22"/>
        </w:rPr>
        <w:t>Annual Results Presentation 2023.</w:t>
      </w:r>
      <w:r w:rsidR="00992222" w:rsidRPr="00992222">
        <w:rPr>
          <w:rFonts w:ascii="Arial" w:hAnsi="Arial" w:cs="Arial"/>
          <w:color w:val="000000"/>
          <w:sz w:val="22"/>
        </w:rPr>
        <w:t xml:space="preserve"> Paris: Iliad Group.</w:t>
      </w:r>
      <w:r w:rsidR="00992222" w:rsidRPr="00992222">
        <w:rPr>
          <w:rFonts w:ascii="Arial" w:hAnsi="Arial" w:cs="Arial"/>
          <w:color w:val="000000"/>
          <w:sz w:val="22"/>
        </w:rPr>
        <w:br/>
      </w:r>
      <w:r w:rsidR="00992222" w:rsidRPr="00992222">
        <w:rPr>
          <w:rFonts w:ascii="Arial" w:hAnsi="Arial" w:cs="Arial"/>
          <w:color w:val="000000"/>
          <w:sz w:val="22"/>
        </w:rPr>
        <w:br/>
        <w:t xml:space="preserve">Johnson, G., Scholes, K. and Whittington, R. (2017) </w:t>
      </w:r>
      <w:r w:rsidR="00992222" w:rsidRPr="00992222">
        <w:rPr>
          <w:rFonts w:ascii="Arial" w:hAnsi="Arial" w:cs="Arial"/>
          <w:i/>
          <w:iCs/>
          <w:color w:val="000000"/>
          <w:sz w:val="22"/>
        </w:rPr>
        <w:t>Exploring Strategy.</w:t>
      </w:r>
      <w:r w:rsidR="00992222" w:rsidRPr="00992222">
        <w:rPr>
          <w:rFonts w:ascii="Arial" w:hAnsi="Arial" w:cs="Arial"/>
          <w:color w:val="000000"/>
          <w:sz w:val="22"/>
        </w:rPr>
        <w:t xml:space="preserve"> 11th </w:t>
      </w:r>
      <w:proofErr w:type="spellStart"/>
      <w:r w:rsidR="00992222" w:rsidRPr="00992222">
        <w:rPr>
          <w:rFonts w:ascii="Arial" w:hAnsi="Arial" w:cs="Arial"/>
          <w:color w:val="000000"/>
          <w:sz w:val="22"/>
        </w:rPr>
        <w:t>edn</w:t>
      </w:r>
      <w:proofErr w:type="spellEnd"/>
      <w:r w:rsidR="00992222" w:rsidRPr="00992222">
        <w:rPr>
          <w:rFonts w:ascii="Arial" w:hAnsi="Arial" w:cs="Arial"/>
          <w:color w:val="000000"/>
          <w:sz w:val="22"/>
        </w:rPr>
        <w:t>. Harlow: Pearson Education.</w:t>
      </w:r>
      <w:r w:rsidR="00992222" w:rsidRPr="00992222">
        <w:rPr>
          <w:rFonts w:ascii="Arial" w:hAnsi="Arial" w:cs="Arial"/>
          <w:color w:val="000000"/>
          <w:sz w:val="22"/>
        </w:rPr>
        <w:br/>
      </w:r>
      <w:r w:rsidR="00992222" w:rsidRPr="00992222">
        <w:rPr>
          <w:rFonts w:ascii="Arial" w:hAnsi="Arial" w:cs="Arial"/>
          <w:color w:val="000000"/>
          <w:sz w:val="22"/>
        </w:rPr>
        <w:br/>
        <w:t xml:space="preserve">Kaplan, R.S. and Norton, D.P. (1996) </w:t>
      </w:r>
      <w:r w:rsidR="00992222" w:rsidRPr="00992222">
        <w:rPr>
          <w:rFonts w:ascii="Arial" w:hAnsi="Arial" w:cs="Arial"/>
          <w:i/>
          <w:iCs/>
          <w:color w:val="000000"/>
          <w:sz w:val="22"/>
        </w:rPr>
        <w:t>The Balanced Scorecard: Translating Strategy into Action</w:t>
      </w:r>
      <w:r w:rsidR="00992222" w:rsidRPr="00992222">
        <w:rPr>
          <w:rFonts w:ascii="Arial" w:hAnsi="Arial" w:cs="Arial"/>
          <w:color w:val="000000"/>
          <w:sz w:val="22"/>
        </w:rPr>
        <w:t>. Boston: Harvard Business Review Press.</w:t>
      </w:r>
      <w:r w:rsidR="00992222" w:rsidRPr="00992222">
        <w:rPr>
          <w:rFonts w:ascii="Arial" w:hAnsi="Arial" w:cs="Arial"/>
          <w:color w:val="000000"/>
          <w:sz w:val="22"/>
        </w:rPr>
        <w:br/>
      </w:r>
      <w:r w:rsidR="00992222" w:rsidRPr="00992222">
        <w:rPr>
          <w:rFonts w:ascii="Arial" w:hAnsi="Arial" w:cs="Arial"/>
          <w:color w:val="000000"/>
          <w:sz w:val="22"/>
        </w:rPr>
        <w:br/>
        <w:t xml:space="preserve">Microsoft (2023) </w:t>
      </w:r>
      <w:r w:rsidR="00992222" w:rsidRPr="00992222">
        <w:rPr>
          <w:rFonts w:ascii="Arial" w:hAnsi="Arial" w:cs="Arial"/>
          <w:i/>
          <w:iCs/>
          <w:color w:val="000000"/>
          <w:sz w:val="22"/>
        </w:rPr>
        <w:t>Microsoft for Telecommunications.</w:t>
      </w:r>
      <w:r w:rsidR="00992222" w:rsidRPr="00992222">
        <w:rPr>
          <w:rFonts w:ascii="Arial" w:hAnsi="Arial" w:cs="Arial"/>
          <w:color w:val="000000"/>
          <w:sz w:val="22"/>
        </w:rPr>
        <w:t xml:space="preserve"> Redmond: Microsoft Corporation. Available at:</w:t>
      </w:r>
      <w:r w:rsidR="00992222" w:rsidRPr="00992222">
        <w:rPr>
          <w:rStyle w:val="apple-converted-space"/>
          <w:rFonts w:ascii="Arial" w:hAnsi="Arial" w:cs="Arial"/>
          <w:color w:val="000000"/>
          <w:sz w:val="22"/>
        </w:rPr>
        <w:t> </w:t>
      </w:r>
      <w:hyperlink r:id="rId11" w:history="1">
        <w:r w:rsidR="00992222" w:rsidRPr="00992222">
          <w:rPr>
            <w:rStyle w:val="Hyperlink"/>
            <w:rFonts w:ascii="Arial" w:hAnsi="Arial" w:cs="Arial"/>
            <w:sz w:val="22"/>
          </w:rPr>
          <w:t>https://www.microsoft.com</w:t>
        </w:r>
      </w:hyperlink>
      <w:r w:rsidR="00992222" w:rsidRPr="00992222">
        <w:rPr>
          <w:rStyle w:val="apple-converted-space"/>
          <w:rFonts w:ascii="Arial" w:hAnsi="Arial" w:cs="Arial"/>
          <w:color w:val="000000"/>
          <w:sz w:val="22"/>
        </w:rPr>
        <w:t> </w:t>
      </w:r>
      <w:r w:rsidR="00992222" w:rsidRPr="00992222">
        <w:rPr>
          <w:rFonts w:ascii="Arial" w:hAnsi="Arial" w:cs="Arial"/>
          <w:color w:val="000000"/>
          <w:sz w:val="22"/>
        </w:rPr>
        <w:t>(Accessed: 10 August 2026).</w:t>
      </w:r>
      <w:r w:rsidR="00992222" w:rsidRPr="00992222">
        <w:rPr>
          <w:rFonts w:ascii="Arial" w:hAnsi="Arial" w:cs="Arial"/>
          <w:color w:val="000000"/>
          <w:sz w:val="22"/>
        </w:rPr>
        <w:br/>
      </w:r>
      <w:r w:rsidR="00992222" w:rsidRPr="00992222">
        <w:rPr>
          <w:rFonts w:ascii="Arial" w:hAnsi="Arial" w:cs="Arial"/>
          <w:color w:val="000000"/>
          <w:sz w:val="22"/>
        </w:rPr>
        <w:br/>
        <w:t xml:space="preserve">Microsoft (2024) </w:t>
      </w:r>
      <w:r w:rsidR="00992222" w:rsidRPr="00992222">
        <w:rPr>
          <w:rFonts w:ascii="Arial" w:hAnsi="Arial" w:cs="Arial"/>
          <w:i/>
          <w:iCs/>
          <w:color w:val="000000"/>
          <w:sz w:val="22"/>
        </w:rPr>
        <w:t>Microsoft FY24 Q4 Earnings Release</w:t>
      </w:r>
      <w:r w:rsidR="00992222" w:rsidRPr="00992222">
        <w:rPr>
          <w:rFonts w:ascii="Arial" w:hAnsi="Arial" w:cs="Arial"/>
          <w:color w:val="000000"/>
          <w:sz w:val="22"/>
        </w:rPr>
        <w:t>. Redmond: Microsoft Corporation. Available at:</w:t>
      </w:r>
      <w:r w:rsidR="00992222" w:rsidRPr="00992222">
        <w:rPr>
          <w:rStyle w:val="apple-converted-space"/>
          <w:rFonts w:ascii="Arial" w:hAnsi="Arial" w:cs="Arial"/>
          <w:color w:val="000000"/>
          <w:sz w:val="22"/>
        </w:rPr>
        <w:t> </w:t>
      </w:r>
      <w:hyperlink r:id="rId12" w:history="1">
        <w:r w:rsidR="00992222" w:rsidRPr="00992222">
          <w:rPr>
            <w:rStyle w:val="Hyperlink"/>
            <w:rFonts w:ascii="Arial" w:hAnsi="Arial" w:cs="Arial"/>
            <w:sz w:val="22"/>
          </w:rPr>
          <w:t>https://www.microsoft.com</w:t>
        </w:r>
      </w:hyperlink>
      <w:r w:rsidR="00992222" w:rsidRPr="00992222">
        <w:rPr>
          <w:rStyle w:val="apple-converted-space"/>
          <w:rFonts w:ascii="Arial" w:hAnsi="Arial" w:cs="Arial"/>
          <w:color w:val="000000"/>
          <w:sz w:val="22"/>
        </w:rPr>
        <w:t> </w:t>
      </w:r>
      <w:r w:rsidR="00992222" w:rsidRPr="00992222">
        <w:rPr>
          <w:rFonts w:ascii="Arial" w:hAnsi="Arial" w:cs="Arial"/>
          <w:color w:val="000000"/>
          <w:sz w:val="22"/>
        </w:rPr>
        <w:t>(Accessed: 10 August 2026).</w:t>
      </w:r>
      <w:r w:rsidR="00992222" w:rsidRPr="00992222">
        <w:rPr>
          <w:rFonts w:ascii="Arial" w:hAnsi="Arial" w:cs="Arial"/>
          <w:color w:val="000000"/>
          <w:sz w:val="22"/>
        </w:rPr>
        <w:br/>
      </w:r>
      <w:r w:rsidR="00992222" w:rsidRPr="00992222">
        <w:rPr>
          <w:rFonts w:ascii="Arial" w:hAnsi="Arial" w:cs="Arial"/>
          <w:color w:val="000000"/>
          <w:sz w:val="22"/>
        </w:rPr>
        <w:br/>
        <w:t xml:space="preserve">Ofcom (2023) </w:t>
      </w:r>
      <w:r w:rsidR="00992222" w:rsidRPr="00992222">
        <w:rPr>
          <w:rFonts w:ascii="Arial" w:hAnsi="Arial" w:cs="Arial"/>
          <w:i/>
          <w:iCs/>
          <w:color w:val="000000"/>
          <w:sz w:val="22"/>
        </w:rPr>
        <w:t>Communications Market Report 2023</w:t>
      </w:r>
      <w:r w:rsidR="00992222" w:rsidRPr="00992222">
        <w:rPr>
          <w:rFonts w:ascii="Arial" w:hAnsi="Arial" w:cs="Arial"/>
          <w:color w:val="000000"/>
          <w:sz w:val="22"/>
        </w:rPr>
        <w:t>. London: Ofcom. Available at:</w:t>
      </w:r>
      <w:r w:rsidR="00992222" w:rsidRPr="00992222">
        <w:rPr>
          <w:rStyle w:val="apple-converted-space"/>
          <w:rFonts w:ascii="Arial" w:hAnsi="Arial" w:cs="Arial"/>
          <w:color w:val="000000"/>
          <w:sz w:val="22"/>
        </w:rPr>
        <w:t> </w:t>
      </w:r>
      <w:hyperlink r:id="rId13" w:history="1">
        <w:r w:rsidR="00992222" w:rsidRPr="00992222">
          <w:rPr>
            <w:rStyle w:val="Hyperlink"/>
            <w:rFonts w:ascii="Arial" w:hAnsi="Arial" w:cs="Arial"/>
            <w:sz w:val="22"/>
          </w:rPr>
          <w:t>https://www.ofcom.org.uk</w:t>
        </w:r>
      </w:hyperlink>
      <w:r w:rsidR="00992222" w:rsidRPr="00992222">
        <w:rPr>
          <w:rStyle w:val="apple-converted-space"/>
          <w:rFonts w:ascii="Arial" w:hAnsi="Arial" w:cs="Arial"/>
          <w:color w:val="000000"/>
          <w:sz w:val="22"/>
        </w:rPr>
        <w:t> </w:t>
      </w:r>
      <w:r w:rsidR="00992222" w:rsidRPr="00992222">
        <w:rPr>
          <w:rFonts w:ascii="Arial" w:hAnsi="Arial" w:cs="Arial"/>
          <w:color w:val="000000"/>
          <w:sz w:val="22"/>
        </w:rPr>
        <w:t>(Accessed: 10 August 2026).</w:t>
      </w:r>
      <w:r w:rsidR="00992222" w:rsidRPr="00992222">
        <w:rPr>
          <w:rFonts w:ascii="Arial" w:hAnsi="Arial" w:cs="Arial"/>
          <w:color w:val="000000"/>
          <w:sz w:val="22"/>
        </w:rPr>
        <w:br/>
      </w:r>
      <w:r w:rsidR="00992222" w:rsidRPr="00992222">
        <w:rPr>
          <w:rFonts w:ascii="Arial" w:hAnsi="Arial" w:cs="Arial"/>
          <w:color w:val="000000"/>
          <w:sz w:val="22"/>
        </w:rPr>
        <w:br/>
      </w:r>
      <w:proofErr w:type="spellStart"/>
      <w:r w:rsidR="00992222" w:rsidRPr="00992222">
        <w:rPr>
          <w:rFonts w:ascii="Arial" w:hAnsi="Arial" w:cs="Arial"/>
          <w:color w:val="000000"/>
          <w:sz w:val="22"/>
        </w:rPr>
        <w:t>Omdia</w:t>
      </w:r>
      <w:proofErr w:type="spellEnd"/>
      <w:r w:rsidR="00992222" w:rsidRPr="00992222">
        <w:rPr>
          <w:rFonts w:ascii="Arial" w:hAnsi="Arial" w:cs="Arial"/>
          <w:color w:val="000000"/>
          <w:sz w:val="22"/>
        </w:rPr>
        <w:t xml:space="preserve"> (2023) </w:t>
      </w:r>
      <w:r w:rsidR="00992222" w:rsidRPr="00992222">
        <w:rPr>
          <w:rFonts w:ascii="Arial" w:hAnsi="Arial" w:cs="Arial"/>
          <w:i/>
          <w:iCs/>
          <w:color w:val="000000"/>
          <w:sz w:val="22"/>
        </w:rPr>
        <w:t>European Telecoms Market</w:t>
      </w:r>
      <w:r w:rsidR="00992222" w:rsidRPr="00992222">
        <w:rPr>
          <w:rFonts w:ascii="Arial" w:hAnsi="Arial" w:cs="Arial"/>
          <w:color w:val="000000"/>
          <w:sz w:val="22"/>
        </w:rPr>
        <w:t xml:space="preserve"> Outlook 2023-2028. London: </w:t>
      </w:r>
      <w:proofErr w:type="spellStart"/>
      <w:r w:rsidR="00992222" w:rsidRPr="00992222">
        <w:rPr>
          <w:rFonts w:ascii="Arial" w:hAnsi="Arial" w:cs="Arial"/>
          <w:color w:val="000000"/>
          <w:sz w:val="22"/>
        </w:rPr>
        <w:t>Omdia</w:t>
      </w:r>
      <w:proofErr w:type="spellEnd"/>
      <w:r w:rsidR="00992222" w:rsidRPr="00992222">
        <w:rPr>
          <w:rFonts w:ascii="Arial" w:hAnsi="Arial" w:cs="Arial"/>
          <w:color w:val="000000"/>
          <w:sz w:val="22"/>
        </w:rPr>
        <w:t>.</w:t>
      </w:r>
      <w:r w:rsidR="00992222" w:rsidRPr="00992222">
        <w:rPr>
          <w:rFonts w:ascii="Arial" w:hAnsi="Arial" w:cs="Arial"/>
          <w:color w:val="000000"/>
          <w:sz w:val="22"/>
        </w:rPr>
        <w:br/>
      </w:r>
      <w:r w:rsidR="00992222" w:rsidRPr="00992222">
        <w:rPr>
          <w:rFonts w:ascii="Arial" w:hAnsi="Arial" w:cs="Arial"/>
          <w:color w:val="000000"/>
          <w:sz w:val="22"/>
        </w:rPr>
        <w:br/>
        <w:t xml:space="preserve">Porter, M.E. (1985) </w:t>
      </w:r>
      <w:r w:rsidR="00992222" w:rsidRPr="00992222">
        <w:rPr>
          <w:rFonts w:ascii="Arial" w:hAnsi="Arial" w:cs="Arial"/>
          <w:i/>
          <w:iCs/>
          <w:color w:val="000000"/>
          <w:sz w:val="22"/>
        </w:rPr>
        <w:t>Competitive Advantage: Creating and Sustaining Superior Performance.</w:t>
      </w:r>
      <w:r w:rsidR="00992222" w:rsidRPr="00992222">
        <w:rPr>
          <w:rFonts w:ascii="Arial" w:hAnsi="Arial" w:cs="Arial"/>
          <w:color w:val="000000"/>
          <w:sz w:val="22"/>
        </w:rPr>
        <w:t xml:space="preserve"> New York: Free Press.</w:t>
      </w:r>
      <w:r w:rsidR="00992222" w:rsidRPr="00992222">
        <w:rPr>
          <w:rFonts w:ascii="Arial" w:hAnsi="Arial" w:cs="Arial"/>
          <w:color w:val="000000"/>
          <w:sz w:val="22"/>
        </w:rPr>
        <w:br/>
      </w:r>
      <w:r w:rsidR="00992222" w:rsidRPr="00992222">
        <w:rPr>
          <w:rFonts w:ascii="Arial" w:hAnsi="Arial" w:cs="Arial"/>
          <w:color w:val="000000"/>
          <w:sz w:val="22"/>
        </w:rPr>
        <w:br/>
        <w:t>Porter, M.E. (2008) ‘</w:t>
      </w:r>
      <w:r w:rsidR="00992222" w:rsidRPr="00992222">
        <w:rPr>
          <w:rFonts w:ascii="Arial" w:hAnsi="Arial" w:cs="Arial"/>
          <w:i/>
          <w:iCs/>
          <w:color w:val="000000"/>
          <w:sz w:val="22"/>
        </w:rPr>
        <w:t>The Five Competitive Forces That Shape Strategy’</w:t>
      </w:r>
      <w:r w:rsidR="00992222" w:rsidRPr="00992222">
        <w:rPr>
          <w:rFonts w:ascii="Arial" w:hAnsi="Arial" w:cs="Arial"/>
          <w:color w:val="000000"/>
          <w:sz w:val="22"/>
        </w:rPr>
        <w:t>, Harvard Business Review, 86(1), pp. 78–93.</w:t>
      </w:r>
      <w:r w:rsidR="00992222" w:rsidRPr="00992222">
        <w:rPr>
          <w:rFonts w:ascii="Arial" w:hAnsi="Arial" w:cs="Arial"/>
          <w:color w:val="000000"/>
          <w:sz w:val="22"/>
        </w:rPr>
        <w:br/>
      </w:r>
      <w:r w:rsidR="00992222" w:rsidRPr="00992222">
        <w:rPr>
          <w:rFonts w:ascii="Arial" w:hAnsi="Arial" w:cs="Arial"/>
          <w:color w:val="000000"/>
          <w:sz w:val="22"/>
        </w:rPr>
        <w:br/>
        <w:t xml:space="preserve">SpaceX (2024) </w:t>
      </w:r>
      <w:r w:rsidR="00992222" w:rsidRPr="00C774D6">
        <w:rPr>
          <w:rFonts w:ascii="Arial" w:hAnsi="Arial" w:cs="Arial"/>
          <w:i/>
          <w:iCs/>
          <w:color w:val="000000"/>
          <w:sz w:val="22"/>
        </w:rPr>
        <w:t>Starlink Quarterly Update</w:t>
      </w:r>
      <w:r w:rsidR="00992222" w:rsidRPr="00992222">
        <w:rPr>
          <w:rFonts w:ascii="Arial" w:hAnsi="Arial" w:cs="Arial"/>
          <w:color w:val="000000"/>
          <w:sz w:val="22"/>
        </w:rPr>
        <w:t xml:space="preserve"> Q1 2024. Hawthorne: SpaceX.</w:t>
      </w:r>
      <w:r w:rsidR="00992222" w:rsidRPr="00992222">
        <w:rPr>
          <w:rFonts w:ascii="Arial" w:hAnsi="Arial" w:cs="Arial"/>
          <w:color w:val="000000"/>
          <w:sz w:val="22"/>
        </w:rPr>
        <w:br/>
      </w:r>
      <w:r w:rsidR="00992222" w:rsidRPr="00992222">
        <w:rPr>
          <w:rFonts w:ascii="Arial" w:hAnsi="Arial" w:cs="Arial"/>
          <w:color w:val="000000"/>
          <w:sz w:val="22"/>
        </w:rPr>
        <w:br/>
        <w:t xml:space="preserve">Vodafone (2024a) </w:t>
      </w:r>
      <w:r w:rsidR="00992222" w:rsidRPr="00C774D6">
        <w:rPr>
          <w:rFonts w:ascii="Arial" w:hAnsi="Arial" w:cs="Arial"/>
          <w:i/>
          <w:iCs/>
          <w:color w:val="000000"/>
          <w:sz w:val="22"/>
        </w:rPr>
        <w:t>Annual Report 2024</w:t>
      </w:r>
      <w:r w:rsidR="00992222" w:rsidRPr="00992222">
        <w:rPr>
          <w:rFonts w:ascii="Arial" w:hAnsi="Arial" w:cs="Arial"/>
          <w:color w:val="000000"/>
          <w:sz w:val="22"/>
        </w:rPr>
        <w:t>. Newbury: Vodafone Group Plc. Available at:</w:t>
      </w:r>
      <w:r w:rsidR="00992222" w:rsidRPr="00992222">
        <w:rPr>
          <w:rStyle w:val="apple-converted-space"/>
          <w:rFonts w:ascii="Arial" w:hAnsi="Arial" w:cs="Arial"/>
          <w:color w:val="000000"/>
          <w:sz w:val="22"/>
        </w:rPr>
        <w:t> </w:t>
      </w:r>
      <w:hyperlink r:id="rId14" w:history="1">
        <w:r w:rsidR="00992222" w:rsidRPr="00992222">
          <w:rPr>
            <w:rStyle w:val="Hyperlink"/>
            <w:rFonts w:ascii="Arial" w:hAnsi="Arial" w:cs="Arial"/>
            <w:sz w:val="22"/>
          </w:rPr>
          <w:t>https://www.vodafone.com</w:t>
        </w:r>
      </w:hyperlink>
      <w:r w:rsidR="00992222" w:rsidRPr="00992222">
        <w:rPr>
          <w:rStyle w:val="apple-converted-space"/>
          <w:rFonts w:ascii="Arial" w:hAnsi="Arial" w:cs="Arial"/>
          <w:color w:val="000000"/>
          <w:sz w:val="22"/>
        </w:rPr>
        <w:t> </w:t>
      </w:r>
      <w:r w:rsidR="00992222" w:rsidRPr="00992222">
        <w:rPr>
          <w:rFonts w:ascii="Arial" w:hAnsi="Arial" w:cs="Arial"/>
          <w:color w:val="000000"/>
          <w:sz w:val="22"/>
        </w:rPr>
        <w:t>(Accessed: 10 August 2026).</w:t>
      </w:r>
      <w:r w:rsidR="00992222" w:rsidRPr="00992222">
        <w:rPr>
          <w:rFonts w:ascii="Arial" w:hAnsi="Arial" w:cs="Arial"/>
          <w:color w:val="000000"/>
          <w:sz w:val="22"/>
        </w:rPr>
        <w:br/>
      </w:r>
      <w:r w:rsidR="00992222" w:rsidRPr="00992222">
        <w:rPr>
          <w:rFonts w:ascii="Arial" w:hAnsi="Arial" w:cs="Arial"/>
          <w:color w:val="000000"/>
          <w:sz w:val="22"/>
        </w:rPr>
        <w:br/>
        <w:t xml:space="preserve">Vodafone (2024b) </w:t>
      </w:r>
      <w:r w:rsidR="00992222" w:rsidRPr="00C774D6">
        <w:rPr>
          <w:rFonts w:ascii="Arial" w:hAnsi="Arial" w:cs="Arial"/>
          <w:i/>
          <w:iCs/>
          <w:color w:val="000000"/>
          <w:sz w:val="22"/>
        </w:rPr>
        <w:t xml:space="preserve">Who We Are. </w:t>
      </w:r>
      <w:r w:rsidR="00992222" w:rsidRPr="00992222">
        <w:rPr>
          <w:rFonts w:ascii="Arial" w:hAnsi="Arial" w:cs="Arial"/>
          <w:color w:val="000000"/>
          <w:sz w:val="22"/>
        </w:rPr>
        <w:t>Newbury: Vodafone Group Plc. Available at:</w:t>
      </w:r>
      <w:r w:rsidR="00992222" w:rsidRPr="00992222">
        <w:rPr>
          <w:rStyle w:val="apple-converted-space"/>
          <w:rFonts w:ascii="Arial" w:hAnsi="Arial" w:cs="Arial"/>
          <w:color w:val="000000"/>
          <w:sz w:val="22"/>
        </w:rPr>
        <w:t> </w:t>
      </w:r>
      <w:hyperlink r:id="rId15" w:history="1">
        <w:r w:rsidR="00992222" w:rsidRPr="00992222">
          <w:rPr>
            <w:rStyle w:val="Hyperlink"/>
            <w:rFonts w:ascii="Arial" w:hAnsi="Arial" w:cs="Arial"/>
            <w:sz w:val="22"/>
          </w:rPr>
          <w:t>https://www.vodafone.com</w:t>
        </w:r>
      </w:hyperlink>
      <w:r w:rsidR="00992222" w:rsidRPr="00992222">
        <w:rPr>
          <w:rStyle w:val="apple-converted-space"/>
          <w:rFonts w:ascii="Arial" w:hAnsi="Arial" w:cs="Arial"/>
          <w:color w:val="000000"/>
          <w:sz w:val="22"/>
        </w:rPr>
        <w:t> </w:t>
      </w:r>
      <w:r w:rsidR="00992222" w:rsidRPr="00992222">
        <w:rPr>
          <w:rFonts w:ascii="Arial" w:hAnsi="Arial" w:cs="Arial"/>
          <w:color w:val="000000"/>
          <w:sz w:val="22"/>
        </w:rPr>
        <w:t>(Accessed: 10 August 2026).</w:t>
      </w:r>
      <w:r w:rsidR="00992222" w:rsidRPr="00992222">
        <w:rPr>
          <w:rFonts w:ascii="Arial" w:hAnsi="Arial" w:cs="Arial"/>
          <w:color w:val="000000"/>
          <w:sz w:val="22"/>
        </w:rPr>
        <w:br/>
      </w:r>
      <w:r w:rsidR="00992222" w:rsidRPr="00992222">
        <w:rPr>
          <w:rFonts w:ascii="Arial" w:hAnsi="Arial" w:cs="Arial"/>
          <w:color w:val="000000"/>
          <w:sz w:val="22"/>
        </w:rPr>
        <w:br/>
        <w:t xml:space="preserve">Vodafone (2024c) </w:t>
      </w:r>
      <w:r w:rsidR="00992222" w:rsidRPr="00C774D6">
        <w:rPr>
          <w:rFonts w:ascii="Arial" w:hAnsi="Arial" w:cs="Arial"/>
          <w:i/>
          <w:iCs/>
          <w:color w:val="000000"/>
          <w:sz w:val="22"/>
        </w:rPr>
        <w:t>Sustainable Business Report 2024</w:t>
      </w:r>
      <w:r w:rsidR="00992222" w:rsidRPr="00992222">
        <w:rPr>
          <w:rFonts w:ascii="Arial" w:hAnsi="Arial" w:cs="Arial"/>
          <w:color w:val="000000"/>
          <w:sz w:val="22"/>
        </w:rPr>
        <w:t>. Newbury: Vodafone Group Plc. Available at:</w:t>
      </w:r>
      <w:r w:rsidR="00992222" w:rsidRPr="00992222">
        <w:rPr>
          <w:rStyle w:val="apple-converted-space"/>
          <w:rFonts w:ascii="Arial" w:hAnsi="Arial" w:cs="Arial"/>
          <w:color w:val="000000"/>
          <w:sz w:val="22"/>
        </w:rPr>
        <w:t> </w:t>
      </w:r>
      <w:hyperlink r:id="rId16" w:history="1">
        <w:r w:rsidR="00992222" w:rsidRPr="00992222">
          <w:rPr>
            <w:rStyle w:val="Hyperlink"/>
            <w:rFonts w:ascii="Arial" w:hAnsi="Arial" w:cs="Arial"/>
            <w:sz w:val="22"/>
          </w:rPr>
          <w:t>https://www.vodafone.com</w:t>
        </w:r>
      </w:hyperlink>
      <w:r w:rsidR="00992222" w:rsidRPr="00992222">
        <w:rPr>
          <w:rStyle w:val="apple-converted-space"/>
          <w:rFonts w:ascii="Arial" w:hAnsi="Arial" w:cs="Arial"/>
          <w:color w:val="000000"/>
          <w:sz w:val="22"/>
        </w:rPr>
        <w:t> </w:t>
      </w:r>
      <w:r w:rsidR="00992222" w:rsidRPr="00992222">
        <w:rPr>
          <w:rFonts w:ascii="Arial" w:hAnsi="Arial" w:cs="Arial"/>
          <w:color w:val="000000"/>
          <w:sz w:val="22"/>
        </w:rPr>
        <w:t>(Accessed: 10 August 2026).</w:t>
      </w:r>
      <w:r w:rsidR="00992222" w:rsidRPr="00992222">
        <w:rPr>
          <w:rFonts w:ascii="Arial" w:hAnsi="Arial" w:cs="Arial"/>
          <w:color w:val="000000"/>
          <w:sz w:val="22"/>
        </w:rPr>
        <w:br/>
      </w:r>
      <w:r w:rsidR="00992222" w:rsidRPr="00992222">
        <w:rPr>
          <w:rFonts w:ascii="Arial" w:hAnsi="Arial" w:cs="Arial"/>
          <w:color w:val="000000"/>
          <w:sz w:val="22"/>
        </w:rPr>
        <w:br/>
        <w:t xml:space="preserve">Vodafone (2024d) </w:t>
      </w:r>
      <w:r w:rsidR="00992222" w:rsidRPr="00C774D6">
        <w:rPr>
          <w:rFonts w:ascii="Arial" w:hAnsi="Arial" w:cs="Arial"/>
          <w:i/>
          <w:iCs/>
          <w:color w:val="000000"/>
          <w:sz w:val="22"/>
        </w:rPr>
        <w:t>Sale of Vodafone Spain</w:t>
      </w:r>
      <w:r w:rsidR="00992222" w:rsidRPr="00992222">
        <w:rPr>
          <w:rFonts w:ascii="Arial" w:hAnsi="Arial" w:cs="Arial"/>
          <w:color w:val="000000"/>
          <w:sz w:val="22"/>
        </w:rPr>
        <w:t>. Press Release, 29 February. Newbury: Vodafone Group Plc.</w:t>
      </w:r>
      <w:r w:rsidR="00992222" w:rsidRPr="00992222">
        <w:rPr>
          <w:rFonts w:ascii="Arial" w:hAnsi="Arial" w:cs="Arial"/>
          <w:color w:val="000000"/>
          <w:sz w:val="22"/>
        </w:rPr>
        <w:br/>
      </w:r>
      <w:r w:rsidR="00992222" w:rsidRPr="00992222">
        <w:rPr>
          <w:rFonts w:ascii="Arial" w:hAnsi="Arial" w:cs="Arial"/>
          <w:color w:val="000000"/>
          <w:sz w:val="22"/>
        </w:rPr>
        <w:br/>
        <w:t>---</w:t>
      </w:r>
    </w:p>
    <w:p w14:paraId="3ACC09D2" w14:textId="77777777" w:rsidR="00561E7D" w:rsidRPr="00992222" w:rsidRDefault="008B6E32" w:rsidP="00CE2DCD">
      <w:pPr>
        <w:jc w:val="both"/>
        <w:rPr>
          <w:rFonts w:ascii="Arial" w:hAnsi="Arial" w:cs="Arial"/>
          <w:sz w:val="22"/>
        </w:rPr>
      </w:pPr>
      <w:r w:rsidRPr="00992222">
        <w:rPr>
          <w:rFonts w:ascii="Arial" w:hAnsi="Arial" w:cs="Arial"/>
          <w:sz w:val="22"/>
        </w:rPr>
        <w:br w:type="page"/>
      </w:r>
    </w:p>
    <w:sectPr w:rsidR="00561E7D" w:rsidRPr="00992222" w:rsidSect="00CE2DCD">
      <w:pgSz w:w="12240" w:h="18720" w:code="14"/>
      <w:pgMar w:top="851" w:right="851" w:bottom="851" w:left="851"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modern"/>
    <w:pitch w:val="fixed"/>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20529A2"/>
    <w:multiLevelType w:val="hybridMultilevel"/>
    <w:tmpl w:val="7E98F946"/>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10" w15:restartNumberingAfterBreak="0">
    <w:nsid w:val="1642204C"/>
    <w:multiLevelType w:val="hybridMultilevel"/>
    <w:tmpl w:val="78889A74"/>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11" w15:restartNumberingAfterBreak="0">
    <w:nsid w:val="1B9A20F1"/>
    <w:multiLevelType w:val="hybridMultilevel"/>
    <w:tmpl w:val="2F320AB8"/>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12" w15:restartNumberingAfterBreak="0">
    <w:nsid w:val="2E1505AC"/>
    <w:multiLevelType w:val="hybridMultilevel"/>
    <w:tmpl w:val="77547764"/>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13" w15:restartNumberingAfterBreak="0">
    <w:nsid w:val="33C07EC7"/>
    <w:multiLevelType w:val="hybridMultilevel"/>
    <w:tmpl w:val="41B07C80"/>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14" w15:restartNumberingAfterBreak="0">
    <w:nsid w:val="340F5935"/>
    <w:multiLevelType w:val="multilevel"/>
    <w:tmpl w:val="2D187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CD15270"/>
    <w:multiLevelType w:val="hybridMultilevel"/>
    <w:tmpl w:val="6192AF02"/>
    <w:lvl w:ilvl="0" w:tplc="34090001">
      <w:start w:val="1"/>
      <w:numFmt w:val="bullet"/>
      <w:lvlText w:val=""/>
      <w:lvlJc w:val="left"/>
      <w:pPr>
        <w:ind w:left="720" w:hanging="360"/>
      </w:pPr>
      <w:rPr>
        <w:rFonts w:ascii="Symbol" w:hAnsi="Symbol" w:hint="default"/>
      </w:rPr>
    </w:lvl>
    <w:lvl w:ilvl="1" w:tplc="34090003" w:tentative="1">
      <w:start w:val="1"/>
      <w:numFmt w:val="bullet"/>
      <w:lvlText w:val="o"/>
      <w:lvlJc w:val="left"/>
      <w:pPr>
        <w:ind w:left="1440" w:hanging="360"/>
      </w:pPr>
      <w:rPr>
        <w:rFonts w:ascii="Courier New" w:hAnsi="Courier New" w:cs="Courier New" w:hint="default"/>
      </w:rPr>
    </w:lvl>
    <w:lvl w:ilvl="2" w:tplc="34090005" w:tentative="1">
      <w:start w:val="1"/>
      <w:numFmt w:val="bullet"/>
      <w:lvlText w:val=""/>
      <w:lvlJc w:val="left"/>
      <w:pPr>
        <w:ind w:left="2160" w:hanging="360"/>
      </w:pPr>
      <w:rPr>
        <w:rFonts w:ascii="Wingdings" w:hAnsi="Wingdings" w:hint="default"/>
      </w:rPr>
    </w:lvl>
    <w:lvl w:ilvl="3" w:tplc="34090001" w:tentative="1">
      <w:start w:val="1"/>
      <w:numFmt w:val="bullet"/>
      <w:lvlText w:val=""/>
      <w:lvlJc w:val="left"/>
      <w:pPr>
        <w:ind w:left="2880" w:hanging="360"/>
      </w:pPr>
      <w:rPr>
        <w:rFonts w:ascii="Symbol" w:hAnsi="Symbol" w:hint="default"/>
      </w:rPr>
    </w:lvl>
    <w:lvl w:ilvl="4" w:tplc="34090003" w:tentative="1">
      <w:start w:val="1"/>
      <w:numFmt w:val="bullet"/>
      <w:lvlText w:val="o"/>
      <w:lvlJc w:val="left"/>
      <w:pPr>
        <w:ind w:left="3600" w:hanging="360"/>
      </w:pPr>
      <w:rPr>
        <w:rFonts w:ascii="Courier New" w:hAnsi="Courier New" w:cs="Courier New" w:hint="default"/>
      </w:rPr>
    </w:lvl>
    <w:lvl w:ilvl="5" w:tplc="34090005" w:tentative="1">
      <w:start w:val="1"/>
      <w:numFmt w:val="bullet"/>
      <w:lvlText w:val=""/>
      <w:lvlJc w:val="left"/>
      <w:pPr>
        <w:ind w:left="4320" w:hanging="360"/>
      </w:pPr>
      <w:rPr>
        <w:rFonts w:ascii="Wingdings" w:hAnsi="Wingdings" w:hint="default"/>
      </w:rPr>
    </w:lvl>
    <w:lvl w:ilvl="6" w:tplc="34090001" w:tentative="1">
      <w:start w:val="1"/>
      <w:numFmt w:val="bullet"/>
      <w:lvlText w:val=""/>
      <w:lvlJc w:val="left"/>
      <w:pPr>
        <w:ind w:left="5040" w:hanging="360"/>
      </w:pPr>
      <w:rPr>
        <w:rFonts w:ascii="Symbol" w:hAnsi="Symbol" w:hint="default"/>
      </w:rPr>
    </w:lvl>
    <w:lvl w:ilvl="7" w:tplc="34090003" w:tentative="1">
      <w:start w:val="1"/>
      <w:numFmt w:val="bullet"/>
      <w:lvlText w:val="o"/>
      <w:lvlJc w:val="left"/>
      <w:pPr>
        <w:ind w:left="5760" w:hanging="360"/>
      </w:pPr>
      <w:rPr>
        <w:rFonts w:ascii="Courier New" w:hAnsi="Courier New" w:cs="Courier New" w:hint="default"/>
      </w:rPr>
    </w:lvl>
    <w:lvl w:ilvl="8" w:tplc="34090005" w:tentative="1">
      <w:start w:val="1"/>
      <w:numFmt w:val="bullet"/>
      <w:lvlText w:val=""/>
      <w:lvlJc w:val="left"/>
      <w:pPr>
        <w:ind w:left="6480" w:hanging="360"/>
      </w:pPr>
      <w:rPr>
        <w:rFonts w:ascii="Wingdings" w:hAnsi="Wingdings" w:hint="default"/>
      </w:rPr>
    </w:lvl>
  </w:abstractNum>
  <w:abstractNum w:abstractNumId="16" w15:restartNumberingAfterBreak="0">
    <w:nsid w:val="75F87502"/>
    <w:multiLevelType w:val="hybridMultilevel"/>
    <w:tmpl w:val="AA224E5A"/>
    <w:lvl w:ilvl="0" w:tplc="34090001">
      <w:start w:val="1"/>
      <w:numFmt w:val="bullet"/>
      <w:lvlText w:val=""/>
      <w:lvlJc w:val="left"/>
      <w:pPr>
        <w:ind w:left="786" w:hanging="360"/>
      </w:pPr>
      <w:rPr>
        <w:rFonts w:ascii="Symbol" w:hAnsi="Symbol" w:hint="default"/>
      </w:rPr>
    </w:lvl>
    <w:lvl w:ilvl="1" w:tplc="34090003" w:tentative="1">
      <w:start w:val="1"/>
      <w:numFmt w:val="bullet"/>
      <w:lvlText w:val="o"/>
      <w:lvlJc w:val="left"/>
      <w:pPr>
        <w:ind w:left="1506" w:hanging="360"/>
      </w:pPr>
      <w:rPr>
        <w:rFonts w:ascii="Courier New" w:hAnsi="Courier New" w:cs="Courier New" w:hint="default"/>
      </w:rPr>
    </w:lvl>
    <w:lvl w:ilvl="2" w:tplc="34090005" w:tentative="1">
      <w:start w:val="1"/>
      <w:numFmt w:val="bullet"/>
      <w:lvlText w:val=""/>
      <w:lvlJc w:val="left"/>
      <w:pPr>
        <w:ind w:left="2226" w:hanging="360"/>
      </w:pPr>
      <w:rPr>
        <w:rFonts w:ascii="Wingdings" w:hAnsi="Wingdings" w:hint="default"/>
      </w:rPr>
    </w:lvl>
    <w:lvl w:ilvl="3" w:tplc="34090001" w:tentative="1">
      <w:start w:val="1"/>
      <w:numFmt w:val="bullet"/>
      <w:lvlText w:val=""/>
      <w:lvlJc w:val="left"/>
      <w:pPr>
        <w:ind w:left="2946" w:hanging="360"/>
      </w:pPr>
      <w:rPr>
        <w:rFonts w:ascii="Symbol" w:hAnsi="Symbol" w:hint="default"/>
      </w:rPr>
    </w:lvl>
    <w:lvl w:ilvl="4" w:tplc="34090003" w:tentative="1">
      <w:start w:val="1"/>
      <w:numFmt w:val="bullet"/>
      <w:lvlText w:val="o"/>
      <w:lvlJc w:val="left"/>
      <w:pPr>
        <w:ind w:left="3666" w:hanging="360"/>
      </w:pPr>
      <w:rPr>
        <w:rFonts w:ascii="Courier New" w:hAnsi="Courier New" w:cs="Courier New" w:hint="default"/>
      </w:rPr>
    </w:lvl>
    <w:lvl w:ilvl="5" w:tplc="34090005" w:tentative="1">
      <w:start w:val="1"/>
      <w:numFmt w:val="bullet"/>
      <w:lvlText w:val=""/>
      <w:lvlJc w:val="left"/>
      <w:pPr>
        <w:ind w:left="4386" w:hanging="360"/>
      </w:pPr>
      <w:rPr>
        <w:rFonts w:ascii="Wingdings" w:hAnsi="Wingdings" w:hint="default"/>
      </w:rPr>
    </w:lvl>
    <w:lvl w:ilvl="6" w:tplc="34090001" w:tentative="1">
      <w:start w:val="1"/>
      <w:numFmt w:val="bullet"/>
      <w:lvlText w:val=""/>
      <w:lvlJc w:val="left"/>
      <w:pPr>
        <w:ind w:left="5106" w:hanging="360"/>
      </w:pPr>
      <w:rPr>
        <w:rFonts w:ascii="Symbol" w:hAnsi="Symbol" w:hint="default"/>
      </w:rPr>
    </w:lvl>
    <w:lvl w:ilvl="7" w:tplc="34090003" w:tentative="1">
      <w:start w:val="1"/>
      <w:numFmt w:val="bullet"/>
      <w:lvlText w:val="o"/>
      <w:lvlJc w:val="left"/>
      <w:pPr>
        <w:ind w:left="5826" w:hanging="360"/>
      </w:pPr>
      <w:rPr>
        <w:rFonts w:ascii="Courier New" w:hAnsi="Courier New" w:cs="Courier New" w:hint="default"/>
      </w:rPr>
    </w:lvl>
    <w:lvl w:ilvl="8" w:tplc="34090005" w:tentative="1">
      <w:start w:val="1"/>
      <w:numFmt w:val="bullet"/>
      <w:lvlText w:val=""/>
      <w:lvlJc w:val="left"/>
      <w:pPr>
        <w:ind w:left="6546" w:hanging="360"/>
      </w:pPr>
      <w:rPr>
        <w:rFonts w:ascii="Wingdings" w:hAnsi="Wingdings" w:hint="default"/>
      </w:rPr>
    </w:lvl>
  </w:abstractNum>
  <w:num w:numId="1" w16cid:durableId="1113594388">
    <w:abstractNumId w:val="8"/>
  </w:num>
  <w:num w:numId="2" w16cid:durableId="339239451">
    <w:abstractNumId w:val="6"/>
  </w:num>
  <w:num w:numId="3" w16cid:durableId="477571454">
    <w:abstractNumId w:val="5"/>
  </w:num>
  <w:num w:numId="4" w16cid:durableId="1502887545">
    <w:abstractNumId w:val="4"/>
  </w:num>
  <w:num w:numId="5" w16cid:durableId="503202703">
    <w:abstractNumId w:val="7"/>
  </w:num>
  <w:num w:numId="6" w16cid:durableId="869685494">
    <w:abstractNumId w:val="3"/>
  </w:num>
  <w:num w:numId="7" w16cid:durableId="148644832">
    <w:abstractNumId w:val="2"/>
  </w:num>
  <w:num w:numId="8" w16cid:durableId="2061974005">
    <w:abstractNumId w:val="1"/>
  </w:num>
  <w:num w:numId="9" w16cid:durableId="1703940596">
    <w:abstractNumId w:val="0"/>
  </w:num>
  <w:num w:numId="10" w16cid:durableId="212426163">
    <w:abstractNumId w:val="9"/>
  </w:num>
  <w:num w:numId="11" w16cid:durableId="1266645878">
    <w:abstractNumId w:val="12"/>
  </w:num>
  <w:num w:numId="12" w16cid:durableId="775566289">
    <w:abstractNumId w:val="10"/>
  </w:num>
  <w:num w:numId="13" w16cid:durableId="2030139052">
    <w:abstractNumId w:val="11"/>
  </w:num>
  <w:num w:numId="14" w16cid:durableId="195657073">
    <w:abstractNumId w:val="15"/>
  </w:num>
  <w:num w:numId="15" w16cid:durableId="82380945">
    <w:abstractNumId w:val="13"/>
  </w:num>
  <w:num w:numId="16" w16cid:durableId="860781747">
    <w:abstractNumId w:val="16"/>
  </w:num>
  <w:num w:numId="17" w16cid:durableId="2107532296">
    <w:abstractNumId w:val="1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97"/>
  <w:proofState w:spelling="clean"/>
  <w:revisionView w:inkAnnotations="0"/>
  <w:defaultTabStop w:val="720"/>
  <w:characterSpacingControl w:val="doNotCompress"/>
  <w:compat>
    <w:doNotExpandShiftReturn/>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73F9"/>
    <w:rsid w:val="0015074B"/>
    <w:rsid w:val="001905EF"/>
    <w:rsid w:val="001B50A5"/>
    <w:rsid w:val="001E37BD"/>
    <w:rsid w:val="0029639D"/>
    <w:rsid w:val="002C2505"/>
    <w:rsid w:val="002D488F"/>
    <w:rsid w:val="00326F90"/>
    <w:rsid w:val="00327722"/>
    <w:rsid w:val="00491E87"/>
    <w:rsid w:val="004B717C"/>
    <w:rsid w:val="00561E7D"/>
    <w:rsid w:val="005D4BE3"/>
    <w:rsid w:val="00626FEA"/>
    <w:rsid w:val="007F27D9"/>
    <w:rsid w:val="008B6E32"/>
    <w:rsid w:val="008E3BC9"/>
    <w:rsid w:val="009267CA"/>
    <w:rsid w:val="00992222"/>
    <w:rsid w:val="00AA1D8D"/>
    <w:rsid w:val="00AA783B"/>
    <w:rsid w:val="00B47730"/>
    <w:rsid w:val="00C4430E"/>
    <w:rsid w:val="00C774D6"/>
    <w:rsid w:val="00CB0664"/>
    <w:rsid w:val="00CB4110"/>
    <w:rsid w:val="00CE2DCD"/>
    <w:rsid w:val="00D82EAD"/>
    <w:rsid w:val="00E35823"/>
    <w:rsid w:val="00EF68E7"/>
    <w:rsid w:val="00F25270"/>
    <w:rsid w:val="00F67EA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530D862"/>
  <w15:docId w15:val="{40BE4557-FEEC-414E-8AC0-41E90E9FC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CE2DCD"/>
    <w:rPr>
      <w:color w:val="0000FF"/>
      <w:u w:val="single"/>
    </w:rPr>
  </w:style>
  <w:style w:type="paragraph" w:customStyle="1" w:styleId="isselectedend">
    <w:name w:val="isselectedend"/>
    <w:basedOn w:val="Normal"/>
    <w:rsid w:val="00626FEA"/>
    <w:pPr>
      <w:spacing w:before="100" w:beforeAutospacing="1" w:after="100" w:afterAutospacing="1" w:line="240" w:lineRule="auto"/>
    </w:pPr>
    <w:rPr>
      <w:rFonts w:eastAsia="Times New Roman" w:cs="Times New Roman"/>
      <w:szCs w:val="24"/>
      <w:lang w:val="en-PH" w:eastAsia="en-PH"/>
    </w:rPr>
  </w:style>
  <w:style w:type="paragraph" w:styleId="NormalWeb">
    <w:name w:val="Normal (Web)"/>
    <w:basedOn w:val="Normal"/>
    <w:uiPriority w:val="99"/>
    <w:semiHidden/>
    <w:unhideWhenUsed/>
    <w:rsid w:val="00626FEA"/>
    <w:pPr>
      <w:spacing w:before="100" w:beforeAutospacing="1" w:after="100" w:afterAutospacing="1" w:line="240" w:lineRule="auto"/>
    </w:pPr>
    <w:rPr>
      <w:rFonts w:eastAsia="Times New Roman" w:cs="Times New Roman"/>
      <w:szCs w:val="24"/>
      <w:lang w:val="en-PH" w:eastAsia="en-PH"/>
    </w:rPr>
  </w:style>
  <w:style w:type="character" w:styleId="FollowedHyperlink">
    <w:name w:val="FollowedHyperlink"/>
    <w:basedOn w:val="DefaultParagraphFont"/>
    <w:uiPriority w:val="99"/>
    <w:semiHidden/>
    <w:unhideWhenUsed/>
    <w:rsid w:val="00491E87"/>
    <w:rPr>
      <w:color w:val="800080" w:themeColor="followedHyperlink"/>
      <w:u w:val="single"/>
    </w:rPr>
  </w:style>
  <w:style w:type="character" w:customStyle="1" w:styleId="apple-converted-space">
    <w:name w:val="apple-converted-space"/>
    <w:basedOn w:val="DefaultParagraphFont"/>
    <w:rsid w:val="009922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75027416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strategy.ec.europa.eu" TargetMode="External"/><Relationship Id="rId13" Type="http://schemas.openxmlformats.org/officeDocument/2006/relationships/hyperlink" Target="https://www.ofcom.org.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gov.uk" TargetMode="External"/><Relationship Id="rId12" Type="http://schemas.openxmlformats.org/officeDocument/2006/relationships/hyperlink" Target="https://www.microsoft.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vodafone.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icrosoft.com" TargetMode="External"/><Relationship Id="rId5" Type="http://schemas.openxmlformats.org/officeDocument/2006/relationships/webSettings" Target="webSettings.xml"/><Relationship Id="rId15" Type="http://schemas.openxmlformats.org/officeDocument/2006/relationships/hyperlink" Target="https://www.vodafone.com" TargetMode="External"/><Relationship Id="rId10" Type="http://schemas.openxmlformats.org/officeDocument/2006/relationships/hyperlink" Target="https://www.iea.org" TargetMode="External"/><Relationship Id="rId4" Type="http://schemas.openxmlformats.org/officeDocument/2006/relationships/settings" Target="settings.xml"/><Relationship Id="rId9" Type="http://schemas.openxmlformats.org/officeDocument/2006/relationships/hyperlink" Target="https://www.gsma.com" TargetMode="External"/><Relationship Id="rId14" Type="http://schemas.openxmlformats.org/officeDocument/2006/relationships/hyperlink" Target="https://www.vodafon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4904E9-9828-4A47-883E-2AD28CB59F1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4801</Words>
  <Characters>27370</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32107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Janice Garcia (2334950)</cp:lastModifiedBy>
  <cp:revision>2</cp:revision>
  <dcterms:created xsi:type="dcterms:W3CDTF">2026-08-11T20:55:00Z</dcterms:created>
  <dcterms:modified xsi:type="dcterms:W3CDTF">2026-08-11T20:55:00Z</dcterms:modified>
  <cp:category/>
</cp:coreProperties>
</file>