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AB837" w14:textId="77777777" w:rsidR="006F45B9" w:rsidRDefault="006F45B9" w:rsidP="00226B74">
      <w:pPr>
        <w:jc w:val="both"/>
        <w:rPr>
          <w:szCs w:val="22"/>
        </w:rPr>
      </w:pPr>
    </w:p>
    <w:p w14:paraId="5294E659" w14:textId="77777777" w:rsidR="00226B74" w:rsidRDefault="00226B74" w:rsidP="00A33A21">
      <w:pPr>
        <w:jc w:val="both"/>
        <w:rPr>
          <w:szCs w:val="22"/>
        </w:rPr>
      </w:pPr>
    </w:p>
    <w:p w14:paraId="496F0956" w14:textId="3EC43D35" w:rsidR="003D3A1C" w:rsidRPr="003D3A1C" w:rsidRDefault="003D3A1C" w:rsidP="00A33A21">
      <w:pPr>
        <w:jc w:val="center"/>
        <w:rPr>
          <w:b/>
          <w:bCs/>
          <w:sz w:val="28"/>
          <w:szCs w:val="28"/>
        </w:rPr>
      </w:pPr>
      <w:r w:rsidRPr="2A89F126">
        <w:rPr>
          <w:b/>
          <w:bCs/>
          <w:sz w:val="28"/>
          <w:szCs w:val="28"/>
        </w:rPr>
        <w:t>Name</w:t>
      </w:r>
      <w:r w:rsidR="2E18A85D" w:rsidRPr="2A89F126">
        <w:rPr>
          <w:b/>
          <w:bCs/>
          <w:sz w:val="28"/>
          <w:szCs w:val="28"/>
        </w:rPr>
        <w:t>: Anisah Bi</w:t>
      </w:r>
    </w:p>
    <w:p w14:paraId="7F240279" w14:textId="05996F13" w:rsidR="003D3A1C" w:rsidRPr="003D3A1C" w:rsidRDefault="003D3A1C" w:rsidP="00A33A21">
      <w:pPr>
        <w:jc w:val="center"/>
        <w:rPr>
          <w:b/>
          <w:bCs/>
          <w:sz w:val="28"/>
          <w:szCs w:val="28"/>
        </w:rPr>
      </w:pPr>
      <w:r w:rsidRPr="2A89F126">
        <w:rPr>
          <w:b/>
          <w:bCs/>
          <w:sz w:val="28"/>
          <w:szCs w:val="28"/>
        </w:rPr>
        <w:t>Student Number</w:t>
      </w:r>
      <w:r w:rsidR="771395E8" w:rsidRPr="2A89F126">
        <w:rPr>
          <w:b/>
          <w:bCs/>
          <w:sz w:val="28"/>
          <w:szCs w:val="28"/>
        </w:rPr>
        <w:t>: 2432005</w:t>
      </w:r>
    </w:p>
    <w:p w14:paraId="49184C52" w14:textId="59BBAE33" w:rsidR="003D3A1C" w:rsidRPr="003D3A1C" w:rsidRDefault="003D3A1C" w:rsidP="00A33A21">
      <w:pPr>
        <w:jc w:val="center"/>
        <w:rPr>
          <w:b/>
          <w:bCs/>
          <w:sz w:val="28"/>
          <w:szCs w:val="28"/>
        </w:rPr>
      </w:pPr>
      <w:r w:rsidRPr="2A89F126">
        <w:rPr>
          <w:b/>
          <w:bCs/>
          <w:sz w:val="28"/>
          <w:szCs w:val="28"/>
        </w:rPr>
        <w:t xml:space="preserve">Module </w:t>
      </w:r>
      <w:r w:rsidR="77728353" w:rsidRPr="2A89F126">
        <w:rPr>
          <w:b/>
          <w:bCs/>
          <w:sz w:val="28"/>
          <w:szCs w:val="28"/>
        </w:rPr>
        <w:t>Code: LCHS4010</w:t>
      </w:r>
    </w:p>
    <w:p w14:paraId="2E4E2EDF" w14:textId="6BF81D79" w:rsidR="110325AA" w:rsidRDefault="110325AA" w:rsidP="00A33A21">
      <w:pPr>
        <w:jc w:val="center"/>
        <w:rPr>
          <w:b/>
          <w:bCs/>
          <w:sz w:val="28"/>
          <w:szCs w:val="28"/>
        </w:rPr>
      </w:pPr>
      <w:r w:rsidRPr="2A89F126">
        <w:rPr>
          <w:b/>
          <w:bCs/>
          <w:sz w:val="28"/>
          <w:szCs w:val="28"/>
        </w:rPr>
        <w:t>Module Name: Psychology</w:t>
      </w:r>
      <w:r w:rsidR="008E0326">
        <w:rPr>
          <w:b/>
          <w:bCs/>
          <w:sz w:val="28"/>
          <w:szCs w:val="28"/>
        </w:rPr>
        <w:t xml:space="preserve"> In Health and Social Care</w:t>
      </w:r>
    </w:p>
    <w:p w14:paraId="374BE80C" w14:textId="27256FDD" w:rsidR="003D3A1C" w:rsidRPr="003D3A1C" w:rsidRDefault="003D3A1C" w:rsidP="00A33A21">
      <w:pPr>
        <w:jc w:val="center"/>
        <w:rPr>
          <w:b/>
          <w:bCs/>
          <w:sz w:val="28"/>
          <w:szCs w:val="28"/>
        </w:rPr>
      </w:pPr>
      <w:r w:rsidRPr="2A89F126">
        <w:rPr>
          <w:b/>
          <w:bCs/>
          <w:sz w:val="28"/>
          <w:szCs w:val="28"/>
        </w:rPr>
        <w:t>Lecturer’s Name</w:t>
      </w:r>
      <w:r w:rsidR="321CC9CD" w:rsidRPr="2A89F126">
        <w:rPr>
          <w:b/>
          <w:bCs/>
          <w:sz w:val="28"/>
          <w:szCs w:val="28"/>
        </w:rPr>
        <w:t>: Helen Parson</w:t>
      </w:r>
      <w:r w:rsidR="11E11A90" w:rsidRPr="2A89F126">
        <w:rPr>
          <w:b/>
          <w:bCs/>
          <w:sz w:val="28"/>
          <w:szCs w:val="28"/>
        </w:rPr>
        <w:t>s</w:t>
      </w:r>
    </w:p>
    <w:p w14:paraId="3744DA73" w14:textId="7B7D68ED" w:rsidR="00226B74" w:rsidRDefault="003D3A1C" w:rsidP="00A33A21">
      <w:pPr>
        <w:jc w:val="center"/>
        <w:rPr>
          <w:rFonts w:ascii="Arial" w:eastAsia="Arial" w:hAnsi="Arial" w:cs="Arial"/>
          <w:sz w:val="28"/>
          <w:szCs w:val="28"/>
          <w:lang w:val="en-US"/>
        </w:rPr>
      </w:pPr>
      <w:r w:rsidRPr="2A89F126">
        <w:rPr>
          <w:b/>
          <w:bCs/>
          <w:sz w:val="28"/>
          <w:szCs w:val="28"/>
        </w:rPr>
        <w:t>Assignment Title</w:t>
      </w:r>
      <w:r w:rsidR="65961D6A" w:rsidRPr="2A89F126">
        <w:rPr>
          <w:b/>
          <w:bCs/>
          <w:sz w:val="28"/>
          <w:szCs w:val="28"/>
        </w:rPr>
        <w:t xml:space="preserve">: </w:t>
      </w:r>
      <w:r w:rsidR="16C0E597" w:rsidRPr="006722B0">
        <w:rPr>
          <w:rFonts w:ascii="Arial" w:eastAsia="Arial" w:hAnsi="Arial" w:cs="Arial"/>
          <w:b/>
          <w:bCs/>
          <w:sz w:val="28"/>
          <w:szCs w:val="28"/>
          <w:lang w:val="en-US"/>
        </w:rPr>
        <w:t>Bibliography &amp; Report</w:t>
      </w:r>
    </w:p>
    <w:p w14:paraId="39A32351" w14:textId="77777777" w:rsidR="009D2416" w:rsidRDefault="009D2416" w:rsidP="00A33A21">
      <w:pPr>
        <w:jc w:val="center"/>
        <w:rPr>
          <w:b/>
          <w:bCs/>
          <w:sz w:val="28"/>
          <w:szCs w:val="32"/>
        </w:rPr>
      </w:pPr>
    </w:p>
    <w:p w14:paraId="5EEC8429" w14:textId="77777777" w:rsidR="009D2416" w:rsidRDefault="009D2416" w:rsidP="00A33A21">
      <w:pPr>
        <w:jc w:val="center"/>
        <w:rPr>
          <w:b/>
          <w:bCs/>
          <w:sz w:val="28"/>
          <w:szCs w:val="32"/>
        </w:rPr>
      </w:pPr>
    </w:p>
    <w:p w14:paraId="660FEF44" w14:textId="77777777" w:rsidR="009D2416" w:rsidRDefault="009D2416" w:rsidP="00A33A21">
      <w:pPr>
        <w:jc w:val="center"/>
        <w:rPr>
          <w:b/>
          <w:bCs/>
          <w:sz w:val="28"/>
          <w:szCs w:val="32"/>
        </w:rPr>
      </w:pPr>
    </w:p>
    <w:p w14:paraId="17A6B001" w14:textId="77777777" w:rsidR="009D2416" w:rsidRDefault="009D2416" w:rsidP="00A33A21">
      <w:pPr>
        <w:jc w:val="center"/>
        <w:rPr>
          <w:b/>
          <w:bCs/>
          <w:sz w:val="28"/>
          <w:szCs w:val="32"/>
        </w:rPr>
      </w:pPr>
    </w:p>
    <w:p w14:paraId="4970A82E" w14:textId="77777777" w:rsidR="009D2416" w:rsidRDefault="009D2416" w:rsidP="00A33A21">
      <w:pPr>
        <w:jc w:val="center"/>
        <w:rPr>
          <w:b/>
          <w:bCs/>
          <w:sz w:val="28"/>
          <w:szCs w:val="32"/>
        </w:rPr>
      </w:pPr>
    </w:p>
    <w:p w14:paraId="0FEEFF04" w14:textId="77777777" w:rsidR="009D2416" w:rsidRDefault="009D2416" w:rsidP="00A33A21">
      <w:pPr>
        <w:jc w:val="center"/>
        <w:rPr>
          <w:b/>
          <w:bCs/>
          <w:sz w:val="28"/>
          <w:szCs w:val="32"/>
        </w:rPr>
      </w:pPr>
    </w:p>
    <w:p w14:paraId="1D50707C" w14:textId="77777777" w:rsidR="009D2416" w:rsidRDefault="009D2416" w:rsidP="00A33A21">
      <w:pPr>
        <w:jc w:val="center"/>
        <w:rPr>
          <w:b/>
          <w:bCs/>
          <w:sz w:val="28"/>
          <w:szCs w:val="32"/>
        </w:rPr>
      </w:pPr>
    </w:p>
    <w:p w14:paraId="1302C777" w14:textId="77777777" w:rsidR="009D2416" w:rsidRDefault="009D2416" w:rsidP="00A33A21">
      <w:pPr>
        <w:jc w:val="center"/>
        <w:rPr>
          <w:b/>
          <w:bCs/>
          <w:sz w:val="28"/>
          <w:szCs w:val="32"/>
        </w:rPr>
      </w:pPr>
    </w:p>
    <w:p w14:paraId="70633A1B" w14:textId="77777777" w:rsidR="009D2416" w:rsidRDefault="009D2416" w:rsidP="00A33A21">
      <w:pPr>
        <w:jc w:val="center"/>
        <w:rPr>
          <w:b/>
          <w:bCs/>
          <w:sz w:val="28"/>
          <w:szCs w:val="32"/>
        </w:rPr>
      </w:pPr>
    </w:p>
    <w:p w14:paraId="3A3A9372" w14:textId="77777777" w:rsidR="009D2416" w:rsidRDefault="009D2416" w:rsidP="00A33A21">
      <w:pPr>
        <w:jc w:val="center"/>
        <w:rPr>
          <w:b/>
          <w:bCs/>
          <w:sz w:val="28"/>
          <w:szCs w:val="32"/>
        </w:rPr>
      </w:pPr>
    </w:p>
    <w:p w14:paraId="096233E2" w14:textId="77777777" w:rsidR="009D2416" w:rsidRDefault="009D2416" w:rsidP="00A33A21">
      <w:pPr>
        <w:jc w:val="center"/>
        <w:rPr>
          <w:b/>
          <w:bCs/>
          <w:sz w:val="28"/>
          <w:szCs w:val="32"/>
        </w:rPr>
      </w:pPr>
    </w:p>
    <w:p w14:paraId="52069866" w14:textId="77777777" w:rsidR="009D2416" w:rsidRDefault="009D2416" w:rsidP="00A33A21">
      <w:pPr>
        <w:jc w:val="center"/>
        <w:rPr>
          <w:b/>
          <w:bCs/>
          <w:sz w:val="28"/>
          <w:szCs w:val="32"/>
        </w:rPr>
      </w:pPr>
    </w:p>
    <w:p w14:paraId="50098727" w14:textId="77777777" w:rsidR="009D2416" w:rsidRDefault="009D2416" w:rsidP="00A33A21">
      <w:pPr>
        <w:jc w:val="center"/>
        <w:rPr>
          <w:b/>
          <w:bCs/>
          <w:sz w:val="28"/>
          <w:szCs w:val="32"/>
        </w:rPr>
      </w:pPr>
    </w:p>
    <w:p w14:paraId="3CE973EA" w14:textId="3DCA1EE0" w:rsidR="2A89F126" w:rsidRDefault="2A89F126" w:rsidP="00A33A21">
      <w:pPr>
        <w:jc w:val="center"/>
        <w:rPr>
          <w:b/>
          <w:bCs/>
        </w:rPr>
      </w:pPr>
    </w:p>
    <w:p w14:paraId="3F0193CA" w14:textId="517E79E0" w:rsidR="006F45B9" w:rsidRPr="00D566DF" w:rsidRDefault="006C242B" w:rsidP="00A33A21">
      <w:pPr>
        <w:jc w:val="center"/>
        <w:rPr>
          <w:rFonts w:ascii="Arial" w:hAnsi="Arial" w:cs="Arial"/>
          <w:b/>
          <w:bCs/>
          <w:szCs w:val="22"/>
        </w:rPr>
      </w:pPr>
      <w:r w:rsidRPr="00D566DF">
        <w:rPr>
          <w:rFonts w:ascii="Arial" w:hAnsi="Arial" w:cs="Arial"/>
          <w:b/>
          <w:bCs/>
          <w:szCs w:val="22"/>
        </w:rPr>
        <w:lastRenderedPageBreak/>
        <w:t>Part A: Annotated Bibliography</w:t>
      </w:r>
    </w:p>
    <w:p w14:paraId="5C34DB7C" w14:textId="3950D2A9" w:rsidR="00585E0C"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Malone, J.C., Liu, S.R., Vaillant, G.E., Rentz, D.M. and Waldinger, R.J. (2016)</w:t>
      </w:r>
      <w:r w:rsidRPr="00D566DF">
        <w:rPr>
          <w:rFonts w:ascii="Arial" w:hAnsi="Arial" w:cs="Arial"/>
          <w:szCs w:val="22"/>
        </w:rPr>
        <w:t xml:space="preserve"> ‘Midlife Eriksonian psychosocial development: Setting the stage for late-life cognitive and emotional health’, </w:t>
      </w:r>
      <w:r w:rsidRPr="00D566DF">
        <w:rPr>
          <w:rStyle w:val="Emphasis"/>
          <w:rFonts w:ascii="Arial" w:eastAsiaTheme="majorEastAsia" w:hAnsi="Arial" w:cs="Arial"/>
          <w:szCs w:val="22"/>
        </w:rPr>
        <w:t>Developmental Psychology</w:t>
      </w:r>
      <w:r w:rsidRPr="00D566DF">
        <w:rPr>
          <w:rFonts w:ascii="Arial" w:hAnsi="Arial" w:cs="Arial"/>
          <w:szCs w:val="22"/>
        </w:rPr>
        <w:t xml:space="preserve">, 52(3), pp. 496–508. Available at: </w:t>
      </w:r>
      <w:hyperlink r:id="rId7" w:tgtFrame="_new" w:history="1">
        <w:r w:rsidRPr="00D566DF">
          <w:rPr>
            <w:rStyle w:val="Hyperlink"/>
            <w:rFonts w:ascii="Arial" w:eastAsiaTheme="majorEastAsia" w:hAnsi="Arial" w:cs="Arial"/>
            <w:szCs w:val="22"/>
          </w:rPr>
          <w:t>https://doi.org/10.1037/a0039875</w:t>
        </w:r>
      </w:hyperlink>
      <w:r w:rsidRPr="00D566DF">
        <w:rPr>
          <w:rFonts w:ascii="Arial" w:hAnsi="Arial" w:cs="Arial"/>
          <w:szCs w:val="22"/>
        </w:rPr>
        <w:t>.</w:t>
      </w:r>
    </w:p>
    <w:p w14:paraId="7553C33C" w14:textId="29CA97F8"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This longitudinal study applies Erikson’s psychosocial theory to examine whether successful midlife development predicts later-life wellbeing. Using data from 159 men followed over several decades, the authors found that stronger midlife psychosocial development was associated with better late-life global cognition, executive functioning, and lower depression. Depression also partly mediated the link between psychosocial development and cognitive functioning. However, no significant association was found with memory.</w:t>
      </w:r>
    </w:p>
    <w:p w14:paraId="2975BB9A" w14:textId="3AD0CD89"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This source is highly relevant to health and social care because it shows that adult development is not only emotional or social, but also connected to later cognitive health. It supports person-centred interventions that encourage meaningful relationships, social contribution, and generativity in midlife and older age. A limitation is that the sample was entirely white American men, reducing generalisability to women and more diverse service-user groups. Even so, it is valuable for showing how psychosocial wellbeing across adulthood can influence ageing outcomes</w:t>
      </w:r>
      <w:r w:rsidR="00585E0C" w:rsidRPr="00D566DF">
        <w:rPr>
          <w:rFonts w:ascii="Arial" w:hAnsi="Arial" w:cs="Arial"/>
          <w:szCs w:val="22"/>
        </w:rPr>
        <w:t xml:space="preserve"> (Homan, Greenberg and Mailick, 2019)</w:t>
      </w:r>
      <w:r w:rsidRPr="00D566DF">
        <w:rPr>
          <w:rFonts w:ascii="Arial" w:hAnsi="Arial" w:cs="Arial"/>
          <w:szCs w:val="22"/>
        </w:rPr>
        <w:t>.</w:t>
      </w:r>
    </w:p>
    <w:p w14:paraId="24AABE84" w14:textId="4B8045B8"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Shergold, I. (2019)</w:t>
      </w:r>
      <w:r w:rsidRPr="00D566DF">
        <w:rPr>
          <w:rFonts w:ascii="Arial" w:hAnsi="Arial" w:cs="Arial"/>
          <w:szCs w:val="22"/>
        </w:rPr>
        <w:t xml:space="preserve"> ‘Taking part in activities, an exploration of the role of discretionary travel in older people’s wellbeing’, </w:t>
      </w:r>
      <w:r w:rsidRPr="00D566DF">
        <w:rPr>
          <w:rStyle w:val="Emphasis"/>
          <w:rFonts w:ascii="Arial" w:eastAsiaTheme="majorEastAsia" w:hAnsi="Arial" w:cs="Arial"/>
          <w:szCs w:val="22"/>
        </w:rPr>
        <w:t>Journal of Transport &amp; Health</w:t>
      </w:r>
      <w:r w:rsidRPr="00D566DF">
        <w:rPr>
          <w:rFonts w:ascii="Arial" w:hAnsi="Arial" w:cs="Arial"/>
          <w:szCs w:val="22"/>
        </w:rPr>
        <w:t xml:space="preserve">, 12, pp. 195–205. Available at: </w:t>
      </w:r>
      <w:hyperlink r:id="rId8" w:tgtFrame="_new" w:history="1">
        <w:r w:rsidRPr="00D566DF">
          <w:rPr>
            <w:rStyle w:val="Hyperlink"/>
            <w:rFonts w:ascii="Arial" w:eastAsiaTheme="majorEastAsia" w:hAnsi="Arial" w:cs="Arial"/>
            <w:szCs w:val="22"/>
          </w:rPr>
          <w:t>https://doi.org/10.1016/j.jth.2019.01.005</w:t>
        </w:r>
      </w:hyperlink>
      <w:r w:rsidRPr="00D566DF">
        <w:rPr>
          <w:rFonts w:ascii="Arial" w:hAnsi="Arial" w:cs="Arial"/>
          <w:szCs w:val="22"/>
        </w:rPr>
        <w:t>.</w:t>
      </w:r>
    </w:p>
    <w:p w14:paraId="455B90F0" w14:textId="77777777"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Shergold draws on </w:t>
      </w:r>
      <w:r w:rsidRPr="00D566DF">
        <w:rPr>
          <w:rStyle w:val="Strong"/>
          <w:rFonts w:ascii="Arial" w:eastAsiaTheme="majorEastAsia" w:hAnsi="Arial" w:cs="Arial"/>
          <w:b w:val="0"/>
          <w:bCs w:val="0"/>
          <w:szCs w:val="22"/>
        </w:rPr>
        <w:t>Havighurst’s Activity Theory</w:t>
      </w:r>
      <w:r w:rsidRPr="00D566DF">
        <w:rPr>
          <w:rFonts w:ascii="Arial" w:hAnsi="Arial" w:cs="Arial"/>
          <w:szCs w:val="22"/>
        </w:rPr>
        <w:t>, which argues that continued engagement in activities supports wellbeing in older age. Using survey data from 920 rural adults aged 60+, the study explores how transport and car access affect participation in formal, informal, and solitary activities. Car access significantly increased formal participation, including volunteering, while informal contact with friends was sometimes higher among those without cars. The findings on wellbeing were mixed, although reduced weekly social contact slightly increased loneliness.</w:t>
      </w:r>
    </w:p>
    <w:p w14:paraId="3CD184AF" w14:textId="073989B4" w:rsidR="006004A6" w:rsidRPr="00D566DF" w:rsidRDefault="006004A6" w:rsidP="00A33A21">
      <w:pPr>
        <w:pStyle w:val="NormalWeb"/>
        <w:spacing w:line="360" w:lineRule="auto"/>
        <w:jc w:val="both"/>
        <w:rPr>
          <w:rFonts w:ascii="Arial" w:hAnsi="Arial" w:cs="Arial"/>
          <w:szCs w:val="22"/>
        </w:rPr>
      </w:pPr>
      <w:r w:rsidRPr="00D566DF">
        <w:rPr>
          <w:rFonts w:ascii="Arial" w:hAnsi="Arial" w:cs="Arial"/>
          <w:szCs w:val="22"/>
        </w:rPr>
        <w:t xml:space="preserve">The study provides valuable contribution to health and social care as it mentions that practical barriers mostly transport and mobility affect the wellbeing of older adults, not just motivation. The study exerts importance of giving access to local services, community activities and social networking events. The study’s strength is that it has established a clear link between theory </w:t>
      </w:r>
      <w:r w:rsidRPr="00D566DF">
        <w:rPr>
          <w:rFonts w:ascii="Arial" w:hAnsi="Arial" w:cs="Arial"/>
          <w:szCs w:val="22"/>
        </w:rPr>
        <w:lastRenderedPageBreak/>
        <w:t xml:space="preserve">and real life challenges faced by older adults due to age. However, the findings related to wellbeing were not strongly conclusive. Also, the findings were specialised for rural settings and were not applicable to urban people. </w:t>
      </w:r>
    </w:p>
    <w:p w14:paraId="3B3D019C" w14:textId="268502B5"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Girgis, F., Miller, J.P., Krach, S. and Cummings, J.L. (2018)</w:t>
      </w:r>
      <w:r w:rsidRPr="00D566DF">
        <w:rPr>
          <w:rFonts w:ascii="Arial" w:hAnsi="Arial" w:cs="Arial"/>
          <w:szCs w:val="22"/>
        </w:rPr>
        <w:t xml:space="preserve"> ‘Toward a neuroscience of adult cognitive developmental theory’, </w:t>
      </w:r>
      <w:r w:rsidRPr="00D566DF">
        <w:rPr>
          <w:rStyle w:val="Emphasis"/>
          <w:rFonts w:ascii="Arial" w:eastAsiaTheme="majorEastAsia" w:hAnsi="Arial" w:cs="Arial"/>
          <w:szCs w:val="22"/>
        </w:rPr>
        <w:t>Frontiers in Neuroscience</w:t>
      </w:r>
      <w:r w:rsidRPr="00D566DF">
        <w:rPr>
          <w:rFonts w:ascii="Arial" w:hAnsi="Arial" w:cs="Arial"/>
          <w:szCs w:val="22"/>
        </w:rPr>
        <w:t xml:space="preserve">, 12, p. 4. Available at: </w:t>
      </w:r>
      <w:hyperlink r:id="rId9" w:tgtFrame="_new" w:history="1">
        <w:r w:rsidRPr="00D566DF">
          <w:rPr>
            <w:rStyle w:val="Hyperlink"/>
            <w:rFonts w:ascii="Arial" w:eastAsiaTheme="majorEastAsia" w:hAnsi="Arial" w:cs="Arial"/>
            <w:szCs w:val="22"/>
          </w:rPr>
          <w:t>https://doi.org/10.3389/fnins.2018.00004</w:t>
        </w:r>
      </w:hyperlink>
      <w:r w:rsidRPr="00D566DF">
        <w:rPr>
          <w:rFonts w:ascii="Arial" w:hAnsi="Arial" w:cs="Arial"/>
          <w:szCs w:val="22"/>
        </w:rPr>
        <w:t>.</w:t>
      </w:r>
    </w:p>
    <w:p w14:paraId="2E738CB9" w14:textId="25DB132E" w:rsidR="00690641" w:rsidRPr="00D566DF" w:rsidRDefault="00896467" w:rsidP="00A33A21">
      <w:pPr>
        <w:pStyle w:val="NormalWeb"/>
        <w:spacing w:line="360" w:lineRule="auto"/>
        <w:jc w:val="both"/>
        <w:rPr>
          <w:rFonts w:ascii="Arial" w:hAnsi="Arial" w:cs="Arial"/>
          <w:szCs w:val="22"/>
        </w:rPr>
      </w:pPr>
      <w:r w:rsidRPr="00D566DF">
        <w:rPr>
          <w:rStyle w:val="Strong"/>
          <w:rFonts w:ascii="Arial" w:eastAsiaTheme="majorEastAsia" w:hAnsi="Arial" w:cs="Arial"/>
          <w:b w:val="0"/>
          <w:bCs w:val="0"/>
          <w:szCs w:val="22"/>
        </w:rPr>
        <w:t xml:space="preserve">Piaget’s cognitive developmental theory forms the basis of the study and it argues that cognitive development is not applicable to adolescence stage only, rather it extends itself to adulthood as well. </w:t>
      </w:r>
      <w:r w:rsidRPr="00D566DF">
        <w:rPr>
          <w:rFonts w:ascii="Arial" w:hAnsi="Arial" w:cs="Arial"/>
          <w:szCs w:val="22"/>
        </w:rPr>
        <w:t>Neo-Piagetian theory, especially Kegan’s constructive developmental theory is mainly used by the study to connect neuroscience and adult thinking. Study argues that adult cognitive ability is shaped by factors such as mind theory, self awareness and brain function mainly medial prefrontal cortex</w:t>
      </w:r>
      <w:r w:rsidR="00690641" w:rsidRPr="00D566DF">
        <w:rPr>
          <w:rFonts w:ascii="Arial" w:hAnsi="Arial" w:cs="Arial"/>
          <w:szCs w:val="22"/>
        </w:rPr>
        <w:t>. The article also considers implications for conditions such as depression and autism.</w:t>
      </w:r>
    </w:p>
    <w:p w14:paraId="21EA60E3" w14:textId="11B3008A"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Its relevance to health and social care lies in extending developmental theory beyond childhood and encouraging practitioners to see older adults as still capable of </w:t>
      </w:r>
      <w:r w:rsidRPr="00D566DF">
        <w:rPr>
          <w:rStyle w:val="Strong"/>
          <w:rFonts w:ascii="Arial" w:eastAsiaTheme="majorEastAsia" w:hAnsi="Arial" w:cs="Arial"/>
          <w:b w:val="0"/>
          <w:bCs w:val="0"/>
          <w:szCs w:val="22"/>
        </w:rPr>
        <w:t>growth, reflection, and adaptation</w:t>
      </w:r>
      <w:r w:rsidRPr="00D566DF">
        <w:rPr>
          <w:rFonts w:ascii="Arial" w:hAnsi="Arial" w:cs="Arial"/>
          <w:szCs w:val="22"/>
        </w:rPr>
        <w:t>. This has value for mental health, rehabilitation, and person-centred care. However, the paper is mainly theoretical and exploratory rather than directly practice-based. It offers less immediate application than empirical studies, but it is still important because it broadens understanding of adult cognition and supports strengths-based approaches to later life</w:t>
      </w:r>
      <w:r w:rsidR="00EC25F9" w:rsidRPr="00D566DF">
        <w:rPr>
          <w:rFonts w:ascii="Arial" w:hAnsi="Arial" w:cs="Arial"/>
          <w:szCs w:val="22"/>
        </w:rPr>
        <w:t xml:space="preserve"> (Kayes and Papadimitriou, 2023)</w:t>
      </w:r>
      <w:r w:rsidRPr="00D566DF">
        <w:rPr>
          <w:rFonts w:ascii="Arial" w:hAnsi="Arial" w:cs="Arial"/>
          <w:szCs w:val="22"/>
        </w:rPr>
        <w:t>.</w:t>
      </w:r>
    </w:p>
    <w:p w14:paraId="3793A97A" w14:textId="47E31626" w:rsidR="00690641" w:rsidRPr="00D566DF" w:rsidRDefault="00690641" w:rsidP="00A33A21">
      <w:pPr>
        <w:pStyle w:val="NormalWeb"/>
        <w:numPr>
          <w:ilvl w:val="0"/>
          <w:numId w:val="2"/>
        </w:numPr>
        <w:spacing w:line="360" w:lineRule="auto"/>
        <w:jc w:val="both"/>
        <w:rPr>
          <w:rFonts w:ascii="Arial" w:hAnsi="Arial" w:cs="Arial"/>
          <w:szCs w:val="22"/>
        </w:rPr>
      </w:pPr>
      <w:r w:rsidRPr="00D566DF">
        <w:rPr>
          <w:rStyle w:val="Strong"/>
          <w:rFonts w:ascii="Arial" w:eastAsiaTheme="majorEastAsia" w:hAnsi="Arial" w:cs="Arial"/>
          <w:b w:val="0"/>
          <w:bCs w:val="0"/>
          <w:szCs w:val="22"/>
        </w:rPr>
        <w:t>Kantar, L.D., Ezzeddine, S. and Rizk, U. (2020)</w:t>
      </w:r>
      <w:r w:rsidRPr="00D566DF">
        <w:rPr>
          <w:rFonts w:ascii="Arial" w:hAnsi="Arial" w:cs="Arial"/>
          <w:szCs w:val="22"/>
        </w:rPr>
        <w:t xml:space="preserve"> ‘Rethinking clinical instruction through the zone of proximal development’, </w:t>
      </w:r>
      <w:r w:rsidRPr="00D566DF">
        <w:rPr>
          <w:rStyle w:val="Emphasis"/>
          <w:rFonts w:ascii="Arial" w:eastAsiaTheme="majorEastAsia" w:hAnsi="Arial" w:cs="Arial"/>
          <w:szCs w:val="22"/>
        </w:rPr>
        <w:t>Nurse Education Today</w:t>
      </w:r>
      <w:r w:rsidRPr="00D566DF">
        <w:rPr>
          <w:rFonts w:ascii="Arial" w:hAnsi="Arial" w:cs="Arial"/>
          <w:szCs w:val="22"/>
        </w:rPr>
        <w:t xml:space="preserve">, 95, p. 104595. Available at: </w:t>
      </w:r>
      <w:hyperlink r:id="rId10" w:tgtFrame="_new" w:history="1">
        <w:r w:rsidRPr="00D566DF">
          <w:rPr>
            <w:rStyle w:val="Hyperlink"/>
            <w:rFonts w:ascii="Arial" w:eastAsiaTheme="majorEastAsia" w:hAnsi="Arial" w:cs="Arial"/>
            <w:szCs w:val="22"/>
          </w:rPr>
          <w:t>https://doi.org/10.1016/j.nedt.2020.104595</w:t>
        </w:r>
      </w:hyperlink>
      <w:r w:rsidRPr="00D566DF">
        <w:rPr>
          <w:rFonts w:ascii="Arial" w:hAnsi="Arial" w:cs="Arial"/>
          <w:szCs w:val="22"/>
        </w:rPr>
        <w:t>.</w:t>
      </w:r>
    </w:p>
    <w:p w14:paraId="36D96BF6" w14:textId="77777777"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Kantar, Ezzeddine and Rizk apply </w:t>
      </w:r>
      <w:r w:rsidRPr="00D566DF">
        <w:rPr>
          <w:rStyle w:val="Strong"/>
          <w:rFonts w:ascii="Arial" w:eastAsiaTheme="majorEastAsia" w:hAnsi="Arial" w:cs="Arial"/>
          <w:b w:val="0"/>
          <w:bCs w:val="0"/>
          <w:szCs w:val="22"/>
        </w:rPr>
        <w:t>Vygotsky’s Zone of Proximal Development (ZPD</w:t>
      </w:r>
      <w:r w:rsidRPr="00D566DF">
        <w:rPr>
          <w:rStyle w:val="Strong"/>
          <w:rFonts w:ascii="Arial" w:eastAsiaTheme="majorEastAsia" w:hAnsi="Arial" w:cs="Arial"/>
          <w:szCs w:val="22"/>
        </w:rPr>
        <w:t>)</w:t>
      </w:r>
      <w:r w:rsidRPr="00D566DF">
        <w:rPr>
          <w:rFonts w:ascii="Arial" w:hAnsi="Arial" w:cs="Arial"/>
          <w:szCs w:val="22"/>
        </w:rPr>
        <w:t xml:space="preserve"> to nursing education. Through a qualitative multiple case study of 18 nurse preceptors in Lebanon, the study identifies strategies that help learners move from supported to independent practice. Three core themes emerged: </w:t>
      </w:r>
      <w:r w:rsidRPr="00D566DF">
        <w:rPr>
          <w:rStyle w:val="Strong"/>
          <w:rFonts w:ascii="Arial" w:eastAsiaTheme="majorEastAsia" w:hAnsi="Arial" w:cs="Arial"/>
          <w:b w:val="0"/>
          <w:bCs w:val="0"/>
          <w:szCs w:val="22"/>
        </w:rPr>
        <w:t>differentiated instruction</w:t>
      </w:r>
      <w:r w:rsidRPr="00D566DF">
        <w:rPr>
          <w:rFonts w:ascii="Arial" w:hAnsi="Arial" w:cs="Arial"/>
          <w:b/>
          <w:bCs/>
          <w:szCs w:val="22"/>
        </w:rPr>
        <w:t xml:space="preserve">, </w:t>
      </w:r>
      <w:r w:rsidRPr="00D566DF">
        <w:rPr>
          <w:rStyle w:val="Strong"/>
          <w:rFonts w:ascii="Arial" w:eastAsiaTheme="majorEastAsia" w:hAnsi="Arial" w:cs="Arial"/>
          <w:b w:val="0"/>
          <w:bCs w:val="0"/>
          <w:szCs w:val="22"/>
        </w:rPr>
        <w:t>instructional scaffolding</w:t>
      </w:r>
      <w:r w:rsidRPr="00D566DF">
        <w:rPr>
          <w:rFonts w:ascii="Arial" w:hAnsi="Arial" w:cs="Arial"/>
          <w:b/>
          <w:bCs/>
          <w:szCs w:val="22"/>
        </w:rPr>
        <w:t xml:space="preserve">, </w:t>
      </w:r>
      <w:r w:rsidRPr="008E0326">
        <w:rPr>
          <w:rFonts w:ascii="Arial" w:hAnsi="Arial" w:cs="Arial"/>
          <w:szCs w:val="22"/>
        </w:rPr>
        <w:t>and</w:t>
      </w:r>
      <w:r w:rsidRPr="00D566DF">
        <w:rPr>
          <w:rFonts w:ascii="Arial" w:hAnsi="Arial" w:cs="Arial"/>
          <w:b/>
          <w:bCs/>
          <w:szCs w:val="22"/>
        </w:rPr>
        <w:t xml:space="preserve"> </w:t>
      </w:r>
      <w:r w:rsidRPr="00D566DF">
        <w:rPr>
          <w:rStyle w:val="Strong"/>
          <w:rFonts w:ascii="Arial" w:eastAsiaTheme="majorEastAsia" w:hAnsi="Arial" w:cs="Arial"/>
          <w:b w:val="0"/>
          <w:bCs w:val="0"/>
          <w:szCs w:val="22"/>
        </w:rPr>
        <w:t>a positive learning environment</w:t>
      </w:r>
      <w:r w:rsidRPr="00D566DF">
        <w:rPr>
          <w:rFonts w:ascii="Arial" w:hAnsi="Arial" w:cs="Arial"/>
          <w:b/>
          <w:bCs/>
          <w:szCs w:val="22"/>
        </w:rPr>
        <w:t>.</w:t>
      </w:r>
      <w:r w:rsidRPr="00D566DF">
        <w:rPr>
          <w:rFonts w:ascii="Arial" w:hAnsi="Arial" w:cs="Arial"/>
          <w:szCs w:val="22"/>
        </w:rPr>
        <w:t xml:space="preserve"> The authors argue that learners benefit most when teaching is pitched slightly beyond their current ability and supported through guidance, prompts, and reflection.</w:t>
      </w:r>
    </w:p>
    <w:p w14:paraId="4E0F9083" w14:textId="59D6AAC0" w:rsidR="00690641" w:rsidRPr="00D566DF" w:rsidRDefault="00690641" w:rsidP="00A33A21">
      <w:pPr>
        <w:pStyle w:val="NormalWeb"/>
        <w:spacing w:line="360" w:lineRule="auto"/>
        <w:jc w:val="both"/>
        <w:rPr>
          <w:rFonts w:ascii="Arial" w:hAnsi="Arial" w:cs="Arial"/>
          <w:szCs w:val="22"/>
        </w:rPr>
      </w:pPr>
      <w:r w:rsidRPr="00D566DF">
        <w:rPr>
          <w:rFonts w:ascii="Arial" w:hAnsi="Arial" w:cs="Arial"/>
          <w:szCs w:val="22"/>
        </w:rPr>
        <w:t xml:space="preserve">Although focused on nurse education, this source is relevant to supporting older adults because it shows the value of </w:t>
      </w:r>
      <w:r w:rsidRPr="00D566DF">
        <w:rPr>
          <w:rStyle w:val="Strong"/>
          <w:rFonts w:ascii="Arial" w:eastAsiaTheme="majorEastAsia" w:hAnsi="Arial" w:cs="Arial"/>
          <w:b w:val="0"/>
          <w:bCs w:val="0"/>
          <w:szCs w:val="22"/>
        </w:rPr>
        <w:t>scaffolding, guided participation, and tailored support</w:t>
      </w:r>
      <w:r w:rsidRPr="00D566DF">
        <w:rPr>
          <w:rFonts w:ascii="Arial" w:hAnsi="Arial" w:cs="Arial"/>
          <w:szCs w:val="22"/>
        </w:rPr>
        <w:t xml:space="preserve">. These principles can be applied in health and social care when helping older adults maintain </w:t>
      </w:r>
      <w:r w:rsidRPr="00D566DF">
        <w:rPr>
          <w:rFonts w:ascii="Arial" w:hAnsi="Arial" w:cs="Arial"/>
          <w:szCs w:val="22"/>
        </w:rPr>
        <w:lastRenderedPageBreak/>
        <w:t xml:space="preserve">independence, learn new routines, or adapt to illness. A strength </w:t>
      </w:r>
      <w:r w:rsidR="00B708D3" w:rsidRPr="00D566DF">
        <w:rPr>
          <w:rFonts w:ascii="Arial" w:hAnsi="Arial" w:cs="Arial"/>
          <w:szCs w:val="22"/>
        </w:rPr>
        <w:t>is</w:t>
      </w:r>
      <w:r w:rsidR="00B708D3">
        <w:rPr>
          <w:rFonts w:ascii="Arial" w:hAnsi="Arial" w:cs="Arial"/>
          <w:szCs w:val="22"/>
        </w:rPr>
        <w:t xml:space="preserve"> </w:t>
      </w:r>
      <w:r w:rsidR="00B74EFA">
        <w:rPr>
          <w:rFonts w:ascii="Arial" w:hAnsi="Arial" w:cs="Arial"/>
          <w:szCs w:val="22"/>
        </w:rPr>
        <w:t>i</w:t>
      </w:r>
      <w:r w:rsidR="00B74EFA" w:rsidRPr="00D566DF">
        <w:rPr>
          <w:rFonts w:ascii="Arial" w:hAnsi="Arial" w:cs="Arial"/>
          <w:szCs w:val="22"/>
        </w:rPr>
        <w:t>t</w:t>
      </w:r>
      <w:r w:rsidR="00B74EFA">
        <w:rPr>
          <w:rFonts w:ascii="Arial" w:hAnsi="Arial" w:cs="Arial"/>
          <w:szCs w:val="22"/>
        </w:rPr>
        <w:t>s</w:t>
      </w:r>
      <w:r w:rsidRPr="00D566DF">
        <w:rPr>
          <w:rFonts w:ascii="Arial" w:hAnsi="Arial" w:cs="Arial"/>
          <w:szCs w:val="22"/>
        </w:rPr>
        <w:t xml:space="preserve"> clear practical framework. A limitation is that it studies student nurses rather than older adults directly. Even so, its ideas are transferable to care settings where support should build autonomy rather than dependence</w:t>
      </w:r>
      <w:r w:rsidR="007E7035" w:rsidRPr="00D566DF">
        <w:rPr>
          <w:rFonts w:ascii="Arial" w:hAnsi="Arial" w:cs="Arial"/>
          <w:szCs w:val="22"/>
        </w:rPr>
        <w:t xml:space="preserve"> (Kayes and Papadimitriou, 2023)</w:t>
      </w:r>
      <w:r w:rsidRPr="00D566DF">
        <w:rPr>
          <w:rFonts w:ascii="Arial" w:hAnsi="Arial" w:cs="Arial"/>
          <w:szCs w:val="22"/>
        </w:rPr>
        <w:t>.</w:t>
      </w:r>
    </w:p>
    <w:p w14:paraId="40A098FF" w14:textId="77777777" w:rsidR="00FB5EBD" w:rsidRPr="00D566DF" w:rsidRDefault="00FB5EBD" w:rsidP="00A33A21">
      <w:pPr>
        <w:spacing w:before="100" w:beforeAutospacing="1" w:after="100" w:afterAutospacing="1"/>
        <w:jc w:val="both"/>
        <w:outlineLvl w:val="1"/>
        <w:rPr>
          <w:rFonts w:eastAsia="Times New Roman"/>
          <w:b/>
          <w:bCs/>
          <w:kern w:val="0"/>
          <w:szCs w:val="22"/>
          <w:lang w:eastAsia="en-GB"/>
          <w14:ligatures w14:val="none"/>
        </w:rPr>
      </w:pPr>
      <w:r w:rsidRPr="00D566DF">
        <w:rPr>
          <w:rFonts w:eastAsia="Times New Roman"/>
          <w:b/>
          <w:bCs/>
          <w:kern w:val="0"/>
          <w:szCs w:val="22"/>
          <w:lang w:eastAsia="en-GB"/>
          <w14:ligatures w14:val="none"/>
        </w:rPr>
        <w:t>Part B: Short Report</w:t>
      </w:r>
    </w:p>
    <w:p w14:paraId="6C1A5656" w14:textId="77777777" w:rsidR="00FB5EBD" w:rsidRPr="00D566DF" w:rsidRDefault="00FB5EBD" w:rsidP="00A33A21">
      <w:pPr>
        <w:spacing w:before="100" w:beforeAutospacing="1" w:after="100" w:afterAutospacing="1"/>
        <w:jc w:val="both"/>
        <w:outlineLvl w:val="2"/>
        <w:rPr>
          <w:rFonts w:eastAsia="Times New Roman"/>
          <w:b/>
          <w:bCs/>
          <w:kern w:val="0"/>
          <w:szCs w:val="22"/>
          <w:lang w:eastAsia="en-GB"/>
          <w14:ligatures w14:val="none"/>
        </w:rPr>
      </w:pPr>
      <w:r w:rsidRPr="00D566DF">
        <w:rPr>
          <w:rFonts w:eastAsia="Times New Roman"/>
          <w:b/>
          <w:bCs/>
          <w:kern w:val="0"/>
          <w:szCs w:val="22"/>
          <w:lang w:eastAsia="en-GB"/>
          <w14:ligatures w14:val="none"/>
        </w:rPr>
        <w:t>Applying Erikson’s Psychosocial Theory to Improve Wellbeing in Residential Care</w:t>
      </w:r>
    </w:p>
    <w:p w14:paraId="102608C1" w14:textId="0978FF9B" w:rsidR="00B17104" w:rsidRPr="00D566DF" w:rsidRDefault="00B17104"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The psychosocial theory developed by Erikson can be applied effectively in the residential care of older adults to enhance their psychological wellbeing. Ego integrity versus despair was the developmental challenge as defined by Erikson later in life. At this point, elderly individuals reconsider their lives and decide whether they feel meaningful, accepted, and fulfilled or regretful, hopeless, and despairing (Malone et al., 2016). In the case of residents in care homes, the transition is particularly critical as moving, losing independence, bereavement, health deterioration, social isolation can make residents feel sad or worthless. Using the theory of Erikson, it is possible to make professionals reali</w:t>
      </w:r>
      <w:r w:rsidR="00051C60">
        <w:rPr>
          <w:rFonts w:ascii="Arial" w:eastAsia="Times New Roman" w:hAnsi="Arial" w:cs="Arial"/>
          <w:kern w:val="0"/>
          <w:szCs w:val="22"/>
          <w:lang w:eastAsia="en-GB"/>
          <w14:ligatures w14:val="none"/>
        </w:rPr>
        <w:t>s</w:t>
      </w:r>
      <w:r w:rsidRPr="00D566DF">
        <w:rPr>
          <w:rFonts w:ascii="Arial" w:eastAsia="Times New Roman" w:hAnsi="Arial" w:cs="Arial"/>
          <w:kern w:val="0"/>
          <w:szCs w:val="22"/>
          <w:lang w:eastAsia="en-GB"/>
          <w14:ligatures w14:val="none"/>
        </w:rPr>
        <w:t>e that emotional wellbeing at an older age is strongly connected with the opportunity to experience dignity, reflection, identity, and meaningful relationships (Polacsek and Woolford, 2022).</w:t>
      </w:r>
    </w:p>
    <w:p w14:paraId="514FDED2" w14:textId="77777777" w:rsidR="00D76F38" w:rsidRPr="00D566DF" w:rsidRDefault="00D76F38"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Practically, Erikson theory recommends care to help residents have a positive sense of self and to perceive their lives as worth living (Malone et al., 2016). This may be achieved by life review activities, reminiscence therapy, person-centred conversations, and chances to make contributions to the care home community. Remembering previous experiences, accomplishments, family history, and lessons in life can enhance identity and make residents feel that their lives are meaningful. Integrity can also be encouraged by care workers who respect personal preferences, cultural values, and routines instead of simply concentrating on physical care requirements. Residents feel more recognised and emotionally secure when they are presented as individuals with rich life histories (Rosen, 2020).</w:t>
      </w:r>
    </w:p>
    <w:p w14:paraId="0FF81B16" w14:textId="428E070A" w:rsidR="0072557E" w:rsidRPr="00D566DF" w:rsidRDefault="0072557E"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 xml:space="preserve">An excellent practical example would be a 82-year old resident, Mrs Khan, who recently transferred into a care home due to the loss of her husband. Since she arrived, she is withdrawn, does not want to do anything in groups, says that she is just waiting to die. Eriksonian view Mrs Khan might be </w:t>
      </w:r>
      <w:r w:rsidR="00F45CE1" w:rsidRPr="00D566DF">
        <w:rPr>
          <w:rFonts w:ascii="Arial" w:eastAsia="Times New Roman" w:hAnsi="Arial" w:cs="Arial"/>
          <w:kern w:val="0"/>
          <w:szCs w:val="22"/>
          <w:lang w:eastAsia="en-GB"/>
          <w14:ligatures w14:val="none"/>
        </w:rPr>
        <w:t>dealing</w:t>
      </w:r>
      <w:r w:rsidRPr="00D566DF">
        <w:rPr>
          <w:rFonts w:ascii="Arial" w:eastAsia="Times New Roman" w:hAnsi="Arial" w:cs="Arial"/>
          <w:kern w:val="0"/>
          <w:szCs w:val="22"/>
          <w:lang w:eastAsia="en-GB"/>
          <w14:ligatures w14:val="none"/>
        </w:rPr>
        <w:t xml:space="preserve"> with despair as opposed to integrity. Staff may react by having regular one to one meetings with a key worker in which she is welcomed to discuss her life, family, career, faith, and achievements. They may develop a life story book that includes photographs and recollections of her family members (Malone et al., 2016). Staff might also engage her in a meaningful aspect within the home like assist in selecting music to </w:t>
      </w:r>
      <w:r w:rsidRPr="00D566DF">
        <w:rPr>
          <w:rFonts w:ascii="Arial" w:eastAsia="Times New Roman" w:hAnsi="Arial" w:cs="Arial"/>
          <w:kern w:val="0"/>
          <w:szCs w:val="22"/>
          <w:lang w:eastAsia="en-GB"/>
          <w14:ligatures w14:val="none"/>
        </w:rPr>
        <w:lastRenderedPageBreak/>
        <w:t>accompany cultural events or providing younger staff with traditional cooking ideas. In the long term, this will assist Mrs Khan in the belief that her experiences do not go to waste and that she is still part of the community. Consequently, her self-esteem, mood, and belongingness can change.</w:t>
      </w:r>
    </w:p>
    <w:p w14:paraId="765C0242" w14:textId="77777777" w:rsidR="00651010" w:rsidRPr="00D566DF" w:rsidRDefault="00651010"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This is a very applicable application within residential care since most elderly individuals are at risk of mental health issues, loneliness, depression, and loss of identity. The theory proposed by Erikson urges practitioners to move past task-oriented care and consider the emotional development during later life. It is also compatible with the values of person-centred care since it is based on the entire person rather than on illness or dependency. The promotion of integrity can enhance self-esteem, a stronger relationship among staff and residents, and a more human care setting (Perry et al., 2018). Nevertheless, one of the major obstacles to the implementation of the theory is that staff at care homes can be pressured by time and be preoccupied with physical activities, like medication, hygiene, and safety, over more profound emotional assistance. Consequently, life review work and meaningful conversations can be regarded as optional instead of mandatory. This may complicate the provision of the relational care necessary to uphold ego integrity (Vogel-Scibilia et al., 2009).</w:t>
      </w:r>
    </w:p>
    <w:p w14:paraId="64602690" w14:textId="7F52A77B" w:rsidR="009629CF" w:rsidRPr="00D566DF" w:rsidRDefault="000945D4" w:rsidP="00A33A21">
      <w:pPr>
        <w:spacing w:before="100" w:beforeAutospacing="1" w:after="100" w:afterAutospacing="1"/>
        <w:jc w:val="both"/>
        <w:rPr>
          <w:rFonts w:ascii="Arial" w:eastAsia="Times New Roman" w:hAnsi="Arial" w:cs="Arial"/>
          <w:kern w:val="0"/>
          <w:szCs w:val="22"/>
          <w:lang w:eastAsia="en-GB"/>
          <w14:ligatures w14:val="none"/>
        </w:rPr>
      </w:pPr>
      <w:r w:rsidRPr="00D566DF">
        <w:rPr>
          <w:rFonts w:ascii="Arial" w:eastAsia="Times New Roman" w:hAnsi="Arial" w:cs="Arial"/>
          <w:kern w:val="0"/>
          <w:szCs w:val="22"/>
          <w:lang w:eastAsia="en-GB"/>
          <w14:ligatures w14:val="none"/>
        </w:rPr>
        <w:t>One practical approach to address this difficulty is to incorporate psychosocial support into regular care practices instead of considering it as an additional activity. As an example, employees may be educated to use everyday occasions like mealtimes, personal care, or garden ambulations as moments of reminiscence and identity-oriented dialogue. Personal history, key relations, previous roles and significant interests can be part of care plans to help all staff interact with residents in a more informed manner. Continuity and trust can also be ensured through key worker systems. Through this, Erikson theory becomes embedded in routine practice instead of an extra burden (Homan, Greenberg and Mailick, 2019; Shergold, 2019).</w:t>
      </w:r>
    </w:p>
    <w:p w14:paraId="02428A0E"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7D9A5F9B"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4CEA1708"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661D6D2F"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227B81A7" w14:textId="77777777" w:rsidR="00FB43CE" w:rsidRDefault="00FB43CE" w:rsidP="00A33A21">
      <w:pPr>
        <w:spacing w:before="100" w:beforeAutospacing="1" w:after="100" w:afterAutospacing="1"/>
        <w:jc w:val="both"/>
        <w:rPr>
          <w:rFonts w:eastAsia="Times New Roman"/>
          <w:kern w:val="0"/>
          <w:szCs w:val="22"/>
          <w:lang w:eastAsia="en-GB"/>
          <w14:ligatures w14:val="none"/>
        </w:rPr>
      </w:pPr>
    </w:p>
    <w:p w14:paraId="3D8BA3D3" w14:textId="77777777" w:rsidR="00D566DF" w:rsidRDefault="00D566DF" w:rsidP="00A33A21">
      <w:pPr>
        <w:spacing w:before="100" w:beforeAutospacing="1" w:after="100" w:afterAutospacing="1"/>
        <w:jc w:val="both"/>
        <w:rPr>
          <w:rFonts w:eastAsia="Times New Roman"/>
          <w:kern w:val="0"/>
          <w:szCs w:val="22"/>
          <w:lang w:eastAsia="en-GB"/>
          <w14:ligatures w14:val="none"/>
        </w:rPr>
      </w:pPr>
    </w:p>
    <w:p w14:paraId="3A34E1AA" w14:textId="0AC83450" w:rsidR="009629CF" w:rsidRPr="00226B74" w:rsidRDefault="009629CF" w:rsidP="00A33A21">
      <w:pPr>
        <w:spacing w:before="100" w:beforeAutospacing="1" w:after="100" w:afterAutospacing="1"/>
        <w:jc w:val="both"/>
        <w:rPr>
          <w:rFonts w:eastAsia="Times New Roman"/>
          <w:b/>
          <w:bCs/>
          <w:kern w:val="0"/>
          <w:szCs w:val="22"/>
          <w:lang w:eastAsia="en-GB"/>
          <w14:ligatures w14:val="none"/>
        </w:rPr>
      </w:pPr>
      <w:r w:rsidRPr="00226B74">
        <w:rPr>
          <w:rFonts w:eastAsia="Times New Roman"/>
          <w:b/>
          <w:bCs/>
          <w:kern w:val="0"/>
          <w:szCs w:val="22"/>
          <w:lang w:eastAsia="en-GB"/>
          <w14:ligatures w14:val="none"/>
        </w:rPr>
        <w:lastRenderedPageBreak/>
        <w:t>References</w:t>
      </w:r>
    </w:p>
    <w:p w14:paraId="2C96A9F8"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Girgis, F.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(2018) ‘Toward a Neuroscience of Adult Cognitive Developmental Theory’, </w:t>
      </w:r>
      <w:r w:rsidRPr="009629CF">
        <w:rPr>
          <w:rFonts w:eastAsia="Times New Roman"/>
          <w:i/>
          <w:iCs/>
          <w:kern w:val="0"/>
          <w:szCs w:val="22"/>
          <w:lang w:eastAsia="en-GB"/>
          <w14:ligatures w14:val="none"/>
        </w:rPr>
        <w:t>Frontiers in Neuroscience</w:t>
      </w:r>
      <w:r w:rsidRPr="009629CF">
        <w:rPr>
          <w:rFonts w:eastAsia="Times New Roman"/>
          <w:kern w:val="0"/>
          <w:szCs w:val="22"/>
          <w:lang w:eastAsia="en-GB"/>
          <w14:ligatures w14:val="none"/>
        </w:rPr>
        <w:t>, 12(4). Available at: https://doi.org/10.3389/fnins.2018.00004.</w:t>
      </w:r>
    </w:p>
    <w:p w14:paraId="2B03681C"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Homan, K.J., Greenberg, J.S. and Mailick, M.R. (2019) ‘Generativity and Well-Being of Midlife and Aging Parents With Children With Developmental or Mental Health Problems’, </w:t>
      </w:r>
      <w:r w:rsidRPr="009629CF">
        <w:rPr>
          <w:rFonts w:eastAsia="Times New Roman"/>
          <w:i/>
          <w:iCs/>
          <w:kern w:val="0"/>
          <w:szCs w:val="22"/>
          <w:lang w:eastAsia="en-GB"/>
          <w14:ligatures w14:val="none"/>
        </w:rPr>
        <w:t>Research on Aging</w:t>
      </w:r>
      <w:r w:rsidRPr="009629CF">
        <w:rPr>
          <w:rFonts w:eastAsia="Times New Roman"/>
          <w:kern w:val="0"/>
          <w:szCs w:val="22"/>
          <w:lang w:eastAsia="en-GB"/>
          <w14:ligatures w14:val="none"/>
        </w:rPr>
        <w:t>, 42(3-4), pp. 95–104. Available at: https://doi.org/10.1177/0164027519884759.</w:t>
      </w:r>
    </w:p>
    <w:p w14:paraId="3CBDCBEB"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Kantar, L.D., Ezzeddine, S. and Rizk, U. (2020) ‘Rethinking Clinical Instruction through the Zone of Proximal Development’, </w:t>
      </w:r>
      <w:r w:rsidRPr="009629CF">
        <w:rPr>
          <w:rFonts w:eastAsia="Times New Roman"/>
          <w:i/>
          <w:iCs/>
          <w:kern w:val="0"/>
          <w:szCs w:val="22"/>
          <w:lang w:eastAsia="en-GB"/>
          <w14:ligatures w14:val="none"/>
        </w:rPr>
        <w:t>Nurse Education Today</w:t>
      </w:r>
      <w:r w:rsidRPr="009629CF">
        <w:rPr>
          <w:rFonts w:eastAsia="Times New Roman"/>
          <w:kern w:val="0"/>
          <w:szCs w:val="22"/>
          <w:lang w:eastAsia="en-GB"/>
          <w14:ligatures w14:val="none"/>
        </w:rPr>
        <w:t>, 95(95), p. 104595. Available at: https://doi.org/10.1016/j.nedt.2020.104595.</w:t>
      </w:r>
    </w:p>
    <w:p w14:paraId="5844D6BA"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Kayes, N.M. and Papadimitriou, C. (2023) ‘Reflecting on challenges and opportunities for the practice of person-centred rehabilitation’, </w:t>
      </w:r>
      <w:r w:rsidRPr="009629CF">
        <w:rPr>
          <w:rFonts w:eastAsia="Times New Roman"/>
          <w:i/>
          <w:iCs/>
          <w:kern w:val="0"/>
          <w:szCs w:val="22"/>
          <w:lang w:eastAsia="en-GB"/>
          <w14:ligatures w14:val="none"/>
        </w:rPr>
        <w:t>Clinical Rehabilitation</w:t>
      </w:r>
      <w:r w:rsidRPr="009629CF">
        <w:rPr>
          <w:rFonts w:eastAsia="Times New Roman"/>
          <w:kern w:val="0"/>
          <w:szCs w:val="22"/>
          <w:lang w:eastAsia="en-GB"/>
          <w14:ligatures w14:val="none"/>
        </w:rPr>
        <w:t>, 37(8), p. 026921552311529. Available at: https://doi.org/10.1177/02692155231152970.</w:t>
      </w:r>
    </w:p>
    <w:p w14:paraId="63EE8E09"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Malone, J.C.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(2016) ‘Midlife Eriksonian psychosocial development: Setting the stage for late-life cognitive and emotional health.’, </w:t>
      </w:r>
      <w:r w:rsidRPr="009629CF">
        <w:rPr>
          <w:rFonts w:eastAsia="Times New Roman"/>
          <w:i/>
          <w:iCs/>
          <w:kern w:val="0"/>
          <w:szCs w:val="22"/>
          <w:lang w:eastAsia="en-GB"/>
          <w14:ligatures w14:val="none"/>
        </w:rPr>
        <w:t>Developmental Psychology</w:t>
      </w:r>
      <w:r w:rsidRPr="009629CF">
        <w:rPr>
          <w:rFonts w:eastAsia="Times New Roman"/>
          <w:kern w:val="0"/>
          <w:szCs w:val="22"/>
          <w:lang w:eastAsia="en-GB"/>
          <w14:ligatures w14:val="none"/>
        </w:rPr>
        <w:t>, 52(3), pp. 496–508. Available at: https://doi.org/10.1037/a0039875.</w:t>
      </w:r>
    </w:p>
    <w:p w14:paraId="51CBE1C2"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Perry, T.E.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(2018) ‘Applying Erikson’s Wisdom to Self-Management Practices of Older Adults’, </w:t>
      </w:r>
      <w:r w:rsidRPr="009629CF">
        <w:rPr>
          <w:rFonts w:eastAsia="Times New Roman"/>
          <w:i/>
          <w:iCs/>
          <w:kern w:val="0"/>
          <w:szCs w:val="22"/>
          <w:lang w:eastAsia="en-GB"/>
          <w14:ligatures w14:val="none"/>
        </w:rPr>
        <w:t>Research on Aging</w:t>
      </w:r>
      <w:r w:rsidRPr="009629CF">
        <w:rPr>
          <w:rFonts w:eastAsia="Times New Roman"/>
          <w:kern w:val="0"/>
          <w:szCs w:val="22"/>
          <w:lang w:eastAsia="en-GB"/>
          <w14:ligatures w14:val="none"/>
        </w:rPr>
        <w:t>, 37(3), pp. 253–274. Available at: https://doi.org/10.1177/0164027514527974.</w:t>
      </w:r>
    </w:p>
    <w:p w14:paraId="15A0BE4C"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Polacsek, M. and Woolford, M. (2022) ‘Strategies to support older adults’ mental health during the transition into residential aged care: a qualitative study of multiple stakeholder perspectives’, </w:t>
      </w:r>
      <w:r w:rsidRPr="009629CF">
        <w:rPr>
          <w:rFonts w:eastAsia="Times New Roman"/>
          <w:i/>
          <w:iCs/>
          <w:kern w:val="0"/>
          <w:szCs w:val="22"/>
          <w:lang w:eastAsia="en-GB"/>
          <w14:ligatures w14:val="none"/>
        </w:rPr>
        <w:t>BMC Geriatrics</w:t>
      </w:r>
      <w:r w:rsidRPr="009629CF">
        <w:rPr>
          <w:rFonts w:eastAsia="Times New Roman"/>
          <w:kern w:val="0"/>
          <w:szCs w:val="22"/>
          <w:lang w:eastAsia="en-GB"/>
          <w14:ligatures w14:val="none"/>
        </w:rPr>
        <w:t>, 22(1). Available at: https://doi.org/10.1186/s12877-022-02859-1.</w:t>
      </w:r>
    </w:p>
    <w:p w14:paraId="52B135E3"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Rosen, M.A. (2020) ‘Teamwork in healthcare: Key Discoveries Enabling safer, high-quality care.’, </w:t>
      </w:r>
      <w:r w:rsidRPr="009629CF">
        <w:rPr>
          <w:rFonts w:eastAsia="Times New Roman"/>
          <w:i/>
          <w:iCs/>
          <w:kern w:val="0"/>
          <w:szCs w:val="22"/>
          <w:lang w:eastAsia="en-GB"/>
          <w14:ligatures w14:val="none"/>
        </w:rPr>
        <w:t>American Psychologist</w:t>
      </w:r>
      <w:r w:rsidRPr="009629CF">
        <w:rPr>
          <w:rFonts w:eastAsia="Times New Roman"/>
          <w:kern w:val="0"/>
          <w:szCs w:val="22"/>
          <w:lang w:eastAsia="en-GB"/>
          <w14:ligatures w14:val="none"/>
        </w:rPr>
        <w:t>, 73(4), pp. 433–450. Available at: https://doi.org/10.1037/amp0000298.</w:t>
      </w:r>
    </w:p>
    <w:p w14:paraId="736D1BDB"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t xml:space="preserve">Shergold, I. (2019) ‘Taking part in activities, an exploration of the role of discretionary travel in older people’s wellbeing’, </w:t>
      </w:r>
      <w:r w:rsidRPr="009629CF">
        <w:rPr>
          <w:rFonts w:eastAsia="Times New Roman"/>
          <w:i/>
          <w:iCs/>
          <w:kern w:val="0"/>
          <w:szCs w:val="22"/>
          <w:lang w:eastAsia="en-GB"/>
          <w14:ligatures w14:val="none"/>
        </w:rPr>
        <w:t>Journal of Transport &amp; Health</w:t>
      </w:r>
      <w:r w:rsidRPr="009629CF">
        <w:rPr>
          <w:rFonts w:eastAsia="Times New Roman"/>
          <w:kern w:val="0"/>
          <w:szCs w:val="22"/>
          <w:lang w:eastAsia="en-GB"/>
          <w14:ligatures w14:val="none"/>
        </w:rPr>
        <w:t>, 12, pp. 195–205. Available at: https://doi.org/10.1016/j.jth.2019.01.005.</w:t>
      </w:r>
    </w:p>
    <w:p w14:paraId="3BD28AF5" w14:textId="77777777" w:rsidR="009629CF" w:rsidRPr="009629CF" w:rsidRDefault="009629CF" w:rsidP="00A33A21">
      <w:pPr>
        <w:spacing w:after="240"/>
        <w:jc w:val="both"/>
        <w:rPr>
          <w:rFonts w:eastAsia="Times New Roman"/>
          <w:kern w:val="0"/>
          <w:szCs w:val="22"/>
          <w:lang w:eastAsia="en-GB"/>
          <w14:ligatures w14:val="none"/>
        </w:rPr>
      </w:pPr>
      <w:r w:rsidRPr="009629CF">
        <w:rPr>
          <w:rFonts w:eastAsia="Times New Roman"/>
          <w:kern w:val="0"/>
          <w:szCs w:val="22"/>
          <w:lang w:eastAsia="en-GB"/>
          <w14:ligatures w14:val="none"/>
        </w:rPr>
        <w:lastRenderedPageBreak/>
        <w:t xml:space="preserve">Vogel-Scibilia, S.E. </w:t>
      </w:r>
      <w:r w:rsidRPr="009629CF">
        <w:rPr>
          <w:rFonts w:eastAsia="Times New Roman"/>
          <w:i/>
          <w:iCs/>
          <w:kern w:val="0"/>
          <w:szCs w:val="22"/>
          <w:lang w:eastAsia="en-GB"/>
          <w14:ligatures w14:val="none"/>
        </w:rPr>
        <w:t>et al.</w:t>
      </w:r>
      <w:r w:rsidRPr="009629CF">
        <w:rPr>
          <w:rFonts w:eastAsia="Times New Roman"/>
          <w:kern w:val="0"/>
          <w:szCs w:val="22"/>
          <w:lang w:eastAsia="en-GB"/>
          <w14:ligatures w14:val="none"/>
        </w:rPr>
        <w:t xml:space="preserve"> (2009) ‘The Recovery Process Utilizing Erikson’s Stages of Human Development’, </w:t>
      </w:r>
      <w:r w:rsidRPr="009629CF">
        <w:rPr>
          <w:rFonts w:eastAsia="Times New Roman"/>
          <w:i/>
          <w:iCs/>
          <w:kern w:val="0"/>
          <w:szCs w:val="22"/>
          <w:lang w:eastAsia="en-GB"/>
          <w14:ligatures w14:val="none"/>
        </w:rPr>
        <w:t>Community Mental Health Journal</w:t>
      </w:r>
      <w:r w:rsidRPr="009629CF">
        <w:rPr>
          <w:rFonts w:eastAsia="Times New Roman"/>
          <w:kern w:val="0"/>
          <w:szCs w:val="22"/>
          <w:lang w:eastAsia="en-GB"/>
          <w14:ligatures w14:val="none"/>
        </w:rPr>
        <w:t>, 45(6), pp. 405–414. Available at: https://doi.org/10.1007/s10597-009-9189-4.</w:t>
      </w:r>
    </w:p>
    <w:p w14:paraId="53867243" w14:textId="77777777" w:rsidR="009629CF" w:rsidRPr="00FB5EBD" w:rsidRDefault="009629CF" w:rsidP="00A33A21">
      <w:pPr>
        <w:spacing w:before="100" w:beforeAutospacing="1" w:after="100" w:afterAutospacing="1"/>
        <w:jc w:val="both"/>
        <w:rPr>
          <w:rFonts w:eastAsia="Times New Roman"/>
          <w:kern w:val="0"/>
          <w:szCs w:val="22"/>
          <w:lang w:eastAsia="en-GB"/>
          <w14:ligatures w14:val="none"/>
        </w:rPr>
      </w:pPr>
    </w:p>
    <w:p w14:paraId="6262C193" w14:textId="77777777" w:rsidR="006C242B" w:rsidRPr="00226B74" w:rsidRDefault="006C242B" w:rsidP="00A33A21">
      <w:pPr>
        <w:jc w:val="both"/>
        <w:rPr>
          <w:szCs w:val="22"/>
        </w:rPr>
      </w:pPr>
    </w:p>
    <w:sectPr w:rsidR="006C242B" w:rsidRPr="00226B74">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42D72" w14:textId="77777777" w:rsidR="00D53C9D" w:rsidRDefault="00D53C9D" w:rsidP="003D3A1C">
      <w:pPr>
        <w:spacing w:after="0" w:line="240" w:lineRule="auto"/>
      </w:pPr>
      <w:r>
        <w:separator/>
      </w:r>
    </w:p>
  </w:endnote>
  <w:endnote w:type="continuationSeparator" w:id="0">
    <w:p w14:paraId="0DE2D450" w14:textId="77777777" w:rsidR="00D53C9D" w:rsidRDefault="00D53C9D" w:rsidP="003D3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4073068"/>
      <w:docPartObj>
        <w:docPartGallery w:val="Page Numbers (Bottom of Page)"/>
        <w:docPartUnique/>
      </w:docPartObj>
    </w:sdtPr>
    <w:sdtEndPr>
      <w:rPr>
        <w:rStyle w:val="PageNumber"/>
      </w:rPr>
    </w:sdtEndPr>
    <w:sdtContent>
      <w:p w14:paraId="7267B94A" w14:textId="72BE8B11" w:rsidR="003D3A1C" w:rsidRDefault="003D3A1C" w:rsidP="005F7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C5B0640" w14:textId="77777777" w:rsidR="003D3A1C" w:rsidRDefault="003D3A1C" w:rsidP="003D3A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8AF925" w14:textId="50801A02" w:rsidR="2A89F126" w:rsidRDefault="2A89F126" w:rsidP="2A89F126">
    <w:pPr>
      <w:pStyle w:val="Footer"/>
      <w:jc w:val="right"/>
    </w:pPr>
    <w:r>
      <w:fldChar w:fldCharType="begin"/>
    </w:r>
    <w:r>
      <w:instrText>PAGE</w:instrText>
    </w:r>
    <w:r>
      <w:fldChar w:fldCharType="separate"/>
    </w:r>
    <w:r w:rsidR="00A33A21">
      <w:rPr>
        <w:noProof/>
      </w:rPr>
      <w:t>1</w:t>
    </w:r>
    <w:r>
      <w:fldChar w:fldCharType="end"/>
    </w:r>
  </w:p>
  <w:sdt>
    <w:sdtPr>
      <w:rPr>
        <w:rStyle w:val="PageNumber"/>
      </w:rPr>
      <w:id w:val="-713970886"/>
      <w:showingPlcHdr/>
      <w:docPartObj>
        <w:docPartGallery w:val="Page Numbers (Bottom of Page)"/>
        <w:docPartUnique/>
      </w:docPartObj>
    </w:sdtPr>
    <w:sdtEndPr>
      <w:rPr>
        <w:rStyle w:val="PageNumber"/>
      </w:rPr>
    </w:sdtEndPr>
    <w:sdtContent>
      <w:p w14:paraId="7BFA8166" w14:textId="73D2D035" w:rsidR="003D3A1C" w:rsidRDefault="2A89F126" w:rsidP="2A89F126">
        <w:pPr>
          <w:pStyle w:val="Footer"/>
          <w:framePr w:wrap="none" w:vAnchor="text" w:hAnchor="margin" w:xAlign="right" w:y="1"/>
          <w:rPr>
            <w:rStyle w:val="PageNumber"/>
            <w:noProof/>
          </w:rPr>
        </w:pPr>
        <w:r w:rsidRPr="2A89F126">
          <w:rPr>
            <w:rStyle w:val="PlaceholderText"/>
          </w:rPr>
          <w:t xml:space="preserve">     </w:t>
        </w:r>
      </w:p>
    </w:sdtContent>
  </w:sdt>
  <w:p w14:paraId="0DEAA195" w14:textId="77777777" w:rsidR="003D3A1C" w:rsidRDefault="003D3A1C" w:rsidP="003D3A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A6A8C" w14:textId="77777777" w:rsidR="00D53C9D" w:rsidRDefault="00D53C9D" w:rsidP="003D3A1C">
      <w:pPr>
        <w:spacing w:after="0" w:line="240" w:lineRule="auto"/>
      </w:pPr>
      <w:r>
        <w:separator/>
      </w:r>
    </w:p>
  </w:footnote>
  <w:footnote w:type="continuationSeparator" w:id="0">
    <w:p w14:paraId="7745D937" w14:textId="77777777" w:rsidR="00D53C9D" w:rsidRDefault="00D53C9D" w:rsidP="003D3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89F126" w14:paraId="031883F5" w14:textId="77777777" w:rsidTr="2A89F126">
      <w:trPr>
        <w:trHeight w:val="300"/>
      </w:trPr>
      <w:tc>
        <w:tcPr>
          <w:tcW w:w="3005" w:type="dxa"/>
        </w:tcPr>
        <w:p w14:paraId="55AC3A81" w14:textId="095B6473" w:rsidR="2A89F126" w:rsidRDefault="2A89F126" w:rsidP="2A89F126">
          <w:pPr>
            <w:pStyle w:val="Header"/>
            <w:ind w:left="-115"/>
          </w:pPr>
        </w:p>
      </w:tc>
      <w:tc>
        <w:tcPr>
          <w:tcW w:w="3005" w:type="dxa"/>
        </w:tcPr>
        <w:p w14:paraId="44E1FBA7" w14:textId="3C1D70EA" w:rsidR="2A89F126" w:rsidRDefault="2A89F126" w:rsidP="2A89F126">
          <w:pPr>
            <w:pStyle w:val="Header"/>
            <w:jc w:val="center"/>
          </w:pPr>
        </w:p>
      </w:tc>
      <w:tc>
        <w:tcPr>
          <w:tcW w:w="3005" w:type="dxa"/>
        </w:tcPr>
        <w:p w14:paraId="25A5D44F" w14:textId="5FED1297" w:rsidR="2A89F126" w:rsidRDefault="2A89F126" w:rsidP="2A89F126">
          <w:pPr>
            <w:pStyle w:val="Header"/>
            <w:ind w:right="-115"/>
            <w:jc w:val="right"/>
          </w:pPr>
        </w:p>
      </w:tc>
    </w:tr>
  </w:tbl>
  <w:p w14:paraId="148EDD85" w14:textId="77975D33" w:rsidR="2A89F126" w:rsidRDefault="2A89F126" w:rsidP="2A89F1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235B4"/>
    <w:multiLevelType w:val="hybridMultilevel"/>
    <w:tmpl w:val="A40AAEE2"/>
    <w:lvl w:ilvl="0" w:tplc="60C6F27C">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4B0E7E"/>
    <w:multiLevelType w:val="hybridMultilevel"/>
    <w:tmpl w:val="7B026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611013">
    <w:abstractNumId w:val="1"/>
  </w:num>
  <w:num w:numId="2" w16cid:durableId="2143301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132"/>
    <w:rsid w:val="000363C5"/>
    <w:rsid w:val="00045966"/>
    <w:rsid w:val="00051C60"/>
    <w:rsid w:val="000945D4"/>
    <w:rsid w:val="000B743B"/>
    <w:rsid w:val="00226B74"/>
    <w:rsid w:val="002A5235"/>
    <w:rsid w:val="002A6A5C"/>
    <w:rsid w:val="00340028"/>
    <w:rsid w:val="003D3A1C"/>
    <w:rsid w:val="00437888"/>
    <w:rsid w:val="00461624"/>
    <w:rsid w:val="00585E0C"/>
    <w:rsid w:val="005C1901"/>
    <w:rsid w:val="005D5473"/>
    <w:rsid w:val="006004A6"/>
    <w:rsid w:val="00621395"/>
    <w:rsid w:val="006220F9"/>
    <w:rsid w:val="006255F1"/>
    <w:rsid w:val="00651010"/>
    <w:rsid w:val="006722B0"/>
    <w:rsid w:val="00690641"/>
    <w:rsid w:val="006C242B"/>
    <w:rsid w:val="006F45B9"/>
    <w:rsid w:val="0072557E"/>
    <w:rsid w:val="007E7035"/>
    <w:rsid w:val="00804503"/>
    <w:rsid w:val="00823DF7"/>
    <w:rsid w:val="00896467"/>
    <w:rsid w:val="008E0326"/>
    <w:rsid w:val="009629CF"/>
    <w:rsid w:val="009B14D7"/>
    <w:rsid w:val="009D2416"/>
    <w:rsid w:val="00A33A21"/>
    <w:rsid w:val="00AB2BA0"/>
    <w:rsid w:val="00B17104"/>
    <w:rsid w:val="00B46F7C"/>
    <w:rsid w:val="00B708D3"/>
    <w:rsid w:val="00B74EFA"/>
    <w:rsid w:val="00BE4882"/>
    <w:rsid w:val="00D04132"/>
    <w:rsid w:val="00D53C9D"/>
    <w:rsid w:val="00D566DF"/>
    <w:rsid w:val="00D76F38"/>
    <w:rsid w:val="00D95A10"/>
    <w:rsid w:val="00E04B44"/>
    <w:rsid w:val="00E947F1"/>
    <w:rsid w:val="00EC25F9"/>
    <w:rsid w:val="00F45CE1"/>
    <w:rsid w:val="00FB43CE"/>
    <w:rsid w:val="00FB5EBD"/>
    <w:rsid w:val="00FB6C67"/>
    <w:rsid w:val="0FC04274"/>
    <w:rsid w:val="110325AA"/>
    <w:rsid w:val="11E11A90"/>
    <w:rsid w:val="16C0E597"/>
    <w:rsid w:val="1AE89239"/>
    <w:rsid w:val="2A89F126"/>
    <w:rsid w:val="2AC8FD19"/>
    <w:rsid w:val="2E18A85D"/>
    <w:rsid w:val="321CC9CD"/>
    <w:rsid w:val="57296BBF"/>
    <w:rsid w:val="65961D6A"/>
    <w:rsid w:val="73D55482"/>
    <w:rsid w:val="771395E8"/>
    <w:rsid w:val="77728353"/>
    <w:rsid w:val="788AE869"/>
    <w:rsid w:val="7B10A6B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12A6E"/>
  <w15:chartTrackingRefBased/>
  <w15:docId w15:val="{D43B32B6-4328-0F42-A57F-74B60CDAA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EBD"/>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D041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41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41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41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41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41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D04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4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4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132"/>
    <w:rPr>
      <w:rFonts w:eastAsiaTheme="majorEastAsia" w:cstheme="majorBidi"/>
      <w:color w:val="272727" w:themeColor="text1" w:themeTint="D8"/>
    </w:rPr>
  </w:style>
  <w:style w:type="paragraph" w:styleId="Title">
    <w:name w:val="Title"/>
    <w:basedOn w:val="Normal"/>
    <w:next w:val="Normal"/>
    <w:link w:val="TitleChar"/>
    <w:uiPriority w:val="10"/>
    <w:qFormat/>
    <w:rsid w:val="00D04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1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132"/>
    <w:pPr>
      <w:spacing w:before="160"/>
      <w:jc w:val="center"/>
    </w:pPr>
    <w:rPr>
      <w:i/>
      <w:iCs/>
      <w:color w:val="404040" w:themeColor="text1" w:themeTint="BF"/>
    </w:rPr>
  </w:style>
  <w:style w:type="character" w:customStyle="1" w:styleId="QuoteChar">
    <w:name w:val="Quote Char"/>
    <w:basedOn w:val="DefaultParagraphFont"/>
    <w:link w:val="Quote"/>
    <w:uiPriority w:val="29"/>
    <w:rsid w:val="00D04132"/>
    <w:rPr>
      <w:rFonts w:asciiTheme="majorBidi" w:hAnsiTheme="majorBidi"/>
      <w:i/>
      <w:iCs/>
      <w:color w:val="404040" w:themeColor="text1" w:themeTint="BF"/>
    </w:rPr>
  </w:style>
  <w:style w:type="paragraph" w:styleId="ListParagraph">
    <w:name w:val="List Paragraph"/>
    <w:basedOn w:val="Normal"/>
    <w:uiPriority w:val="34"/>
    <w:qFormat/>
    <w:rsid w:val="00D04132"/>
    <w:pPr>
      <w:ind w:left="720"/>
      <w:contextualSpacing/>
    </w:pPr>
  </w:style>
  <w:style w:type="character" w:styleId="IntenseEmphasis">
    <w:name w:val="Intense Emphasis"/>
    <w:basedOn w:val="DefaultParagraphFont"/>
    <w:uiPriority w:val="21"/>
    <w:qFormat/>
    <w:rsid w:val="00D04132"/>
    <w:rPr>
      <w:i/>
      <w:iCs/>
      <w:color w:val="0F4761" w:themeColor="accent1" w:themeShade="BF"/>
    </w:rPr>
  </w:style>
  <w:style w:type="paragraph" w:styleId="IntenseQuote">
    <w:name w:val="Intense Quote"/>
    <w:basedOn w:val="Normal"/>
    <w:next w:val="Normal"/>
    <w:link w:val="IntenseQuoteChar"/>
    <w:uiPriority w:val="30"/>
    <w:qFormat/>
    <w:rsid w:val="00D04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132"/>
    <w:rPr>
      <w:rFonts w:asciiTheme="majorBidi" w:hAnsiTheme="majorBidi"/>
      <w:i/>
      <w:iCs/>
      <w:color w:val="0F4761" w:themeColor="accent1" w:themeShade="BF"/>
    </w:rPr>
  </w:style>
  <w:style w:type="character" w:styleId="IntenseReference">
    <w:name w:val="Intense Reference"/>
    <w:basedOn w:val="DefaultParagraphFont"/>
    <w:uiPriority w:val="32"/>
    <w:qFormat/>
    <w:rsid w:val="00D04132"/>
    <w:rPr>
      <w:b/>
      <w:bCs/>
      <w:smallCaps/>
      <w:color w:val="0F4761" w:themeColor="accent1" w:themeShade="BF"/>
      <w:spacing w:val="5"/>
    </w:rPr>
  </w:style>
  <w:style w:type="paragraph" w:styleId="NormalWeb">
    <w:name w:val="Normal (Web)"/>
    <w:basedOn w:val="Normal"/>
    <w:uiPriority w:val="99"/>
    <w:semiHidden/>
    <w:unhideWhenUsed/>
    <w:rsid w:val="006906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0641"/>
    <w:rPr>
      <w:b/>
      <w:bCs/>
    </w:rPr>
  </w:style>
  <w:style w:type="character" w:styleId="Emphasis">
    <w:name w:val="Emphasis"/>
    <w:basedOn w:val="DefaultParagraphFont"/>
    <w:uiPriority w:val="20"/>
    <w:qFormat/>
    <w:rsid w:val="00690641"/>
    <w:rPr>
      <w:i/>
      <w:iCs/>
    </w:rPr>
  </w:style>
  <w:style w:type="character" w:styleId="Hyperlink">
    <w:name w:val="Hyperlink"/>
    <w:basedOn w:val="DefaultParagraphFont"/>
    <w:uiPriority w:val="99"/>
    <w:semiHidden/>
    <w:unhideWhenUsed/>
    <w:rsid w:val="00690641"/>
    <w:rPr>
      <w:color w:val="0000FF"/>
      <w:u w:val="single"/>
    </w:rPr>
  </w:style>
  <w:style w:type="paragraph" w:styleId="Header">
    <w:name w:val="header"/>
    <w:basedOn w:val="Normal"/>
    <w:link w:val="HeaderChar"/>
    <w:uiPriority w:val="99"/>
    <w:unhideWhenUsed/>
    <w:rsid w:val="003D3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A1C"/>
    <w:rPr>
      <w:rFonts w:asciiTheme="minorBidi" w:hAnsiTheme="minorBidi"/>
      <w:sz w:val="22"/>
    </w:rPr>
  </w:style>
  <w:style w:type="paragraph" w:styleId="Footer">
    <w:name w:val="footer"/>
    <w:basedOn w:val="Normal"/>
    <w:link w:val="FooterChar"/>
    <w:uiPriority w:val="99"/>
    <w:unhideWhenUsed/>
    <w:rsid w:val="003D3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A1C"/>
    <w:rPr>
      <w:rFonts w:asciiTheme="minorBidi" w:hAnsiTheme="minorBidi"/>
      <w:sz w:val="22"/>
    </w:rPr>
  </w:style>
  <w:style w:type="character" w:styleId="PageNumber">
    <w:name w:val="page number"/>
    <w:basedOn w:val="DefaultParagraphFont"/>
    <w:uiPriority w:val="99"/>
    <w:semiHidden/>
    <w:unhideWhenUsed/>
    <w:rsid w:val="003D3A1C"/>
  </w:style>
  <w:style w:type="character" w:styleId="PlaceholderText">
    <w:name w:val="Placeholder Text"/>
    <w:basedOn w:val="DefaultParagraphFont"/>
    <w:uiPriority w:val="99"/>
    <w:semiHidden/>
    <w:rsid w:val="2A89F126"/>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th.2019.01.005"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37/a003987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nedt.2020.104595" TargetMode="External"/><Relationship Id="rId4" Type="http://schemas.openxmlformats.org/officeDocument/2006/relationships/webSettings" Target="webSettings.xml"/><Relationship Id="rId9" Type="http://schemas.openxmlformats.org/officeDocument/2006/relationships/hyperlink" Target="https://doi.org/10.3389/fnins.2018.0000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7</Pages>
  <Words>1946</Words>
  <Characters>11095</Characters>
  <Application>Microsoft Office Word</Application>
  <DocSecurity>0</DocSecurity>
  <Lines>92</Lines>
  <Paragraphs>26</Paragraphs>
  <ScaleCrop>false</ScaleCrop>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Anisah Bi</cp:lastModifiedBy>
  <cp:revision>8</cp:revision>
  <dcterms:created xsi:type="dcterms:W3CDTF">2026-03-23T13:06:00Z</dcterms:created>
  <dcterms:modified xsi:type="dcterms:W3CDTF">2026-03-24T01:26:00Z</dcterms:modified>
</cp:coreProperties>
</file>