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94E4E8" w14:textId="021E5594" w:rsidR="00444389" w:rsidRPr="00341AB1" w:rsidRDefault="00444389" w:rsidP="00444389">
      <w:pPr>
        <w:rPr>
          <w:rFonts w:ascii="Times New Roman" w:hAnsi="Times New Roman" w:cs="Times New Roman"/>
          <w:sz w:val="22"/>
          <w:lang w:eastAsia="en-US"/>
        </w:rPr>
      </w:pPr>
    </w:p>
    <w:p w14:paraId="60C5B234" w14:textId="77777777" w:rsidR="00444389" w:rsidRPr="00341AB1" w:rsidRDefault="00444389" w:rsidP="00444389">
      <w:pPr>
        <w:rPr>
          <w:rFonts w:ascii="Times New Roman" w:hAnsi="Times New Roman" w:cs="Times New Roman"/>
          <w:sz w:val="22"/>
          <w:lang w:eastAsia="en-US"/>
        </w:rPr>
      </w:pPr>
    </w:p>
    <w:p w14:paraId="71326095" w14:textId="541F4010" w:rsidR="00444389" w:rsidRPr="00341AB1" w:rsidRDefault="00444389" w:rsidP="00444389">
      <w:pPr>
        <w:jc w:val="center"/>
        <w:rPr>
          <w:rFonts w:ascii="Times New Roman" w:hAnsi="Times New Roman" w:cs="Times New Roman"/>
          <w:sz w:val="22"/>
          <w:lang w:eastAsia="en-US"/>
        </w:rPr>
      </w:pPr>
      <w:bookmarkStart w:id="0" w:name="_Hlk58770953"/>
      <w:bookmarkEnd w:id="0"/>
      <w:r w:rsidRPr="00341AB1">
        <w:rPr>
          <w:rFonts w:ascii="Times New Roman" w:hAnsi="Times New Roman" w:cs="Times New Roman"/>
          <w:noProof/>
          <w:sz w:val="22"/>
          <w:lang w:eastAsia="en-US"/>
        </w:rPr>
        <w:drawing>
          <wp:inline distT="0" distB="0" distL="0" distR="0" wp14:anchorId="4DE980C6" wp14:editId="11FE1967">
            <wp:extent cx="4018938" cy="1473200"/>
            <wp:effectExtent l="0" t="0" r="63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45959" cy="1483105"/>
                    </a:xfrm>
                    <a:prstGeom prst="rect">
                      <a:avLst/>
                    </a:prstGeom>
                  </pic:spPr>
                </pic:pic>
              </a:graphicData>
            </a:graphic>
          </wp:inline>
        </w:drawing>
      </w:r>
    </w:p>
    <w:p w14:paraId="34B0195C" w14:textId="77777777" w:rsidR="00444389" w:rsidRPr="00341AB1" w:rsidRDefault="00444389" w:rsidP="00444389">
      <w:pPr>
        <w:rPr>
          <w:rFonts w:ascii="Times New Roman" w:hAnsi="Times New Roman" w:cs="Times New Roman"/>
          <w:sz w:val="22"/>
          <w:lang w:eastAsia="en-US"/>
        </w:rPr>
      </w:pPr>
    </w:p>
    <w:p w14:paraId="2CE80244" w14:textId="77777777" w:rsidR="00444389" w:rsidRPr="00341AB1" w:rsidRDefault="00444389" w:rsidP="00444389">
      <w:pPr>
        <w:spacing w:line="480" w:lineRule="auto"/>
        <w:ind w:leftChars="500" w:left="1050"/>
        <w:rPr>
          <w:rFonts w:ascii="Times New Roman" w:hAnsi="Times New Roman" w:cs="Times New Roman"/>
          <w:sz w:val="24"/>
          <w:szCs w:val="24"/>
          <w:lang w:eastAsia="en-US"/>
        </w:rPr>
      </w:pPr>
    </w:p>
    <w:p w14:paraId="27E4EFF5" w14:textId="77777777" w:rsidR="00444389" w:rsidRPr="00341AB1" w:rsidRDefault="00444389" w:rsidP="00444389">
      <w:pPr>
        <w:spacing w:line="480" w:lineRule="auto"/>
        <w:ind w:leftChars="500" w:left="1050"/>
        <w:rPr>
          <w:rFonts w:ascii="Times New Roman" w:hAnsi="Times New Roman" w:cs="Times New Roman"/>
          <w:sz w:val="24"/>
          <w:szCs w:val="24"/>
          <w:lang w:eastAsia="en-US"/>
        </w:rPr>
      </w:pPr>
    </w:p>
    <w:p w14:paraId="62C9A12E" w14:textId="7ABFB739" w:rsidR="00444389" w:rsidRPr="00341AB1" w:rsidRDefault="00444389" w:rsidP="00264398">
      <w:pPr>
        <w:spacing w:line="480" w:lineRule="auto"/>
        <w:ind w:leftChars="900" w:left="1890"/>
        <w:rPr>
          <w:rFonts w:ascii="Times New Roman" w:hAnsi="Times New Roman" w:cs="Times New Roman"/>
          <w:sz w:val="24"/>
          <w:szCs w:val="24"/>
          <w:lang w:eastAsia="en-US"/>
        </w:rPr>
      </w:pPr>
      <w:r w:rsidRPr="00341AB1">
        <w:rPr>
          <w:rFonts w:ascii="Times New Roman" w:hAnsi="Times New Roman" w:cs="Times New Roman"/>
          <w:sz w:val="24"/>
          <w:szCs w:val="24"/>
          <w:lang w:eastAsia="en-US"/>
        </w:rPr>
        <w:t>Unit code</w:t>
      </w:r>
      <w:r w:rsidRPr="00341AB1">
        <w:rPr>
          <w:rFonts w:ascii="Times New Roman" w:hAnsi="Times New Roman" w:cs="Times New Roman"/>
          <w:sz w:val="24"/>
          <w:szCs w:val="24"/>
          <w:lang w:eastAsia="en-US"/>
        </w:rPr>
        <w:t>：</w:t>
      </w:r>
      <w:r w:rsidRPr="00341AB1">
        <w:rPr>
          <w:rFonts w:ascii="Times New Roman" w:hAnsi="Times New Roman" w:cs="Times New Roman"/>
          <w:sz w:val="24"/>
          <w:szCs w:val="24"/>
          <w:lang w:eastAsia="en-US"/>
        </w:rPr>
        <w:t>BMMB7013</w:t>
      </w:r>
    </w:p>
    <w:p w14:paraId="6C395BD7" w14:textId="77777777" w:rsidR="00444389" w:rsidRPr="00341AB1" w:rsidRDefault="00444389" w:rsidP="00264398">
      <w:pPr>
        <w:spacing w:line="480" w:lineRule="auto"/>
        <w:ind w:leftChars="900" w:left="1890"/>
        <w:rPr>
          <w:rFonts w:ascii="Times New Roman" w:hAnsi="Times New Roman" w:cs="Times New Roman"/>
          <w:sz w:val="24"/>
          <w:szCs w:val="24"/>
          <w:lang w:eastAsia="en-US"/>
        </w:rPr>
      </w:pPr>
      <w:r w:rsidRPr="00341AB1">
        <w:rPr>
          <w:rFonts w:ascii="Times New Roman" w:hAnsi="Times New Roman" w:cs="Times New Roman"/>
          <w:sz w:val="24"/>
          <w:szCs w:val="24"/>
          <w:lang w:eastAsia="en-US"/>
        </w:rPr>
        <w:t xml:space="preserve">Unit </w:t>
      </w:r>
      <w:proofErr w:type="spellStart"/>
      <w:r w:rsidRPr="00341AB1">
        <w:rPr>
          <w:rFonts w:ascii="Times New Roman" w:hAnsi="Times New Roman" w:cs="Times New Roman"/>
          <w:sz w:val="24"/>
          <w:szCs w:val="24"/>
          <w:lang w:eastAsia="en-US"/>
        </w:rPr>
        <w:t>title</w:t>
      </w:r>
      <w:r w:rsidRPr="00341AB1">
        <w:rPr>
          <w:rFonts w:ascii="Times New Roman" w:hAnsi="Times New Roman" w:cs="Times New Roman"/>
          <w:sz w:val="24"/>
          <w:szCs w:val="24"/>
          <w:lang w:eastAsia="en-US"/>
        </w:rPr>
        <w:t>：</w:t>
      </w:r>
      <w:r w:rsidRPr="00341AB1">
        <w:rPr>
          <w:rFonts w:ascii="Times New Roman" w:hAnsi="Times New Roman" w:cs="Times New Roman"/>
          <w:sz w:val="24"/>
          <w:szCs w:val="24"/>
          <w:lang w:eastAsia="en-US"/>
        </w:rPr>
        <w:t>Strategic</w:t>
      </w:r>
      <w:proofErr w:type="spellEnd"/>
      <w:r w:rsidRPr="00341AB1">
        <w:rPr>
          <w:rFonts w:ascii="Times New Roman" w:hAnsi="Times New Roman" w:cs="Times New Roman"/>
          <w:sz w:val="24"/>
          <w:szCs w:val="24"/>
          <w:lang w:eastAsia="en-US"/>
        </w:rPr>
        <w:t xml:space="preserve"> Management</w:t>
      </w:r>
    </w:p>
    <w:p w14:paraId="6F854A27" w14:textId="77777777" w:rsidR="00444389" w:rsidRPr="00341AB1" w:rsidRDefault="00444389" w:rsidP="00264398">
      <w:pPr>
        <w:spacing w:line="480" w:lineRule="auto"/>
        <w:ind w:leftChars="900" w:left="1890"/>
        <w:rPr>
          <w:rFonts w:ascii="Times New Roman" w:hAnsi="Times New Roman" w:cs="Times New Roman"/>
          <w:sz w:val="24"/>
          <w:szCs w:val="24"/>
          <w:lang w:eastAsia="en-US"/>
        </w:rPr>
      </w:pPr>
      <w:r w:rsidRPr="00341AB1">
        <w:rPr>
          <w:rFonts w:ascii="Times New Roman" w:hAnsi="Times New Roman" w:cs="Times New Roman"/>
          <w:sz w:val="24"/>
          <w:szCs w:val="24"/>
          <w:lang w:eastAsia="en-US"/>
        </w:rPr>
        <w:t>Tutor’s name: Gareth Hughes</w:t>
      </w:r>
    </w:p>
    <w:p w14:paraId="677AAE88" w14:textId="1AE885CB" w:rsidR="00444389" w:rsidRPr="00341AB1" w:rsidRDefault="00444389" w:rsidP="00264398">
      <w:pPr>
        <w:spacing w:line="480" w:lineRule="auto"/>
        <w:ind w:leftChars="900" w:left="1890"/>
        <w:rPr>
          <w:rFonts w:ascii="Times New Roman" w:hAnsi="Times New Roman" w:cs="Times New Roman"/>
          <w:sz w:val="24"/>
          <w:szCs w:val="24"/>
          <w:lang w:eastAsia="en-US"/>
        </w:rPr>
      </w:pPr>
      <w:r w:rsidRPr="00341AB1">
        <w:rPr>
          <w:rFonts w:ascii="Times New Roman" w:hAnsi="Times New Roman" w:cs="Times New Roman"/>
          <w:sz w:val="24"/>
          <w:szCs w:val="24"/>
          <w:lang w:eastAsia="en-US"/>
        </w:rPr>
        <w:t>Report title: Research on Daimler new energy vehicle strategy</w:t>
      </w:r>
    </w:p>
    <w:p w14:paraId="688674B1" w14:textId="688BC1C4" w:rsidR="00444389" w:rsidRPr="00341AB1" w:rsidRDefault="00444389" w:rsidP="00264398">
      <w:pPr>
        <w:spacing w:line="480" w:lineRule="auto"/>
        <w:ind w:leftChars="900" w:left="1890"/>
        <w:rPr>
          <w:rFonts w:ascii="Times New Roman" w:hAnsi="Times New Roman" w:cs="Times New Roman"/>
          <w:sz w:val="24"/>
          <w:szCs w:val="24"/>
          <w:lang w:eastAsia="en-US"/>
        </w:rPr>
      </w:pPr>
      <w:r w:rsidRPr="00341AB1">
        <w:rPr>
          <w:rFonts w:ascii="Times New Roman" w:hAnsi="Times New Roman" w:cs="Times New Roman"/>
          <w:sz w:val="24"/>
          <w:szCs w:val="24"/>
          <w:lang w:eastAsia="en-US"/>
        </w:rPr>
        <w:t xml:space="preserve">Student name: </w:t>
      </w:r>
      <w:proofErr w:type="spellStart"/>
      <w:r w:rsidRPr="00341AB1">
        <w:rPr>
          <w:rFonts w:ascii="Times New Roman" w:hAnsi="Times New Roman" w:cs="Times New Roman"/>
          <w:sz w:val="24"/>
          <w:szCs w:val="24"/>
          <w:lang w:eastAsia="en-US"/>
        </w:rPr>
        <w:t>Juuzhen</w:t>
      </w:r>
      <w:proofErr w:type="spellEnd"/>
      <w:r w:rsidRPr="00341AB1">
        <w:rPr>
          <w:rFonts w:ascii="Times New Roman" w:hAnsi="Times New Roman" w:cs="Times New Roman"/>
          <w:sz w:val="24"/>
          <w:szCs w:val="24"/>
          <w:lang w:eastAsia="en-US"/>
        </w:rPr>
        <w:t xml:space="preserve"> Du</w:t>
      </w:r>
    </w:p>
    <w:p w14:paraId="6F9133E9" w14:textId="1D616B4E" w:rsidR="00444389" w:rsidRPr="00341AB1" w:rsidRDefault="00444389" w:rsidP="00264398">
      <w:pPr>
        <w:spacing w:line="480" w:lineRule="auto"/>
        <w:ind w:leftChars="900" w:left="1890"/>
        <w:rPr>
          <w:rFonts w:ascii="Times New Roman" w:hAnsi="Times New Roman" w:cs="Times New Roman"/>
          <w:sz w:val="28"/>
          <w:szCs w:val="28"/>
          <w:lang w:eastAsia="en-US"/>
        </w:rPr>
        <w:sectPr w:rsidR="00444389" w:rsidRPr="00341AB1">
          <w:pgSz w:w="11906" w:h="16838"/>
          <w:pgMar w:top="1440" w:right="1800" w:bottom="1440" w:left="1800" w:header="851" w:footer="992" w:gutter="0"/>
          <w:cols w:space="425"/>
          <w:docGrid w:type="lines" w:linePitch="312"/>
        </w:sectPr>
      </w:pPr>
      <w:r w:rsidRPr="00341AB1">
        <w:rPr>
          <w:rFonts w:ascii="Times New Roman" w:hAnsi="Times New Roman" w:cs="Times New Roman"/>
          <w:sz w:val="24"/>
          <w:szCs w:val="24"/>
          <w:lang w:eastAsia="en-US"/>
        </w:rPr>
        <w:t>Student number: 200956</w:t>
      </w:r>
      <w:r w:rsidRPr="00341AB1">
        <w:rPr>
          <w:rFonts w:ascii="Times New Roman" w:hAnsi="Times New Roman" w:cs="Times New Roman"/>
          <w:sz w:val="24"/>
          <w:szCs w:val="24"/>
          <w:lang w:eastAsia="en-US"/>
        </w:rPr>
        <w:t>4</w:t>
      </w:r>
    </w:p>
    <w:p w14:paraId="2C0ADAB8" w14:textId="51F999E1" w:rsidR="00A1716F" w:rsidRPr="00341AB1" w:rsidRDefault="00A1716F" w:rsidP="00D55895">
      <w:pPr>
        <w:spacing w:line="480" w:lineRule="auto"/>
        <w:jc w:val="center"/>
        <w:rPr>
          <w:rFonts w:ascii="Times New Roman" w:hAnsi="Times New Roman" w:cs="Times New Roman"/>
          <w:b/>
          <w:bCs/>
          <w:sz w:val="24"/>
          <w:szCs w:val="24"/>
        </w:rPr>
      </w:pPr>
      <w:r w:rsidRPr="00341AB1">
        <w:rPr>
          <w:rFonts w:ascii="Times New Roman" w:hAnsi="Times New Roman" w:cs="Times New Roman"/>
          <w:b/>
          <w:bCs/>
          <w:sz w:val="24"/>
          <w:szCs w:val="24"/>
        </w:rPr>
        <w:lastRenderedPageBreak/>
        <w:t xml:space="preserve">Research on </w:t>
      </w:r>
      <w:r w:rsidR="00715CBA" w:rsidRPr="00341AB1">
        <w:rPr>
          <w:rFonts w:ascii="Times New Roman" w:hAnsi="Times New Roman" w:cs="Times New Roman"/>
          <w:b/>
          <w:bCs/>
          <w:sz w:val="24"/>
          <w:szCs w:val="24"/>
        </w:rPr>
        <w:t xml:space="preserve">Daimler </w:t>
      </w:r>
      <w:r w:rsidRPr="00341AB1">
        <w:rPr>
          <w:rFonts w:ascii="Times New Roman" w:hAnsi="Times New Roman" w:cs="Times New Roman"/>
          <w:b/>
          <w:bCs/>
          <w:sz w:val="24"/>
          <w:szCs w:val="24"/>
        </w:rPr>
        <w:t>new energy vehicle strategy</w:t>
      </w:r>
    </w:p>
    <w:p w14:paraId="3775952B" w14:textId="77777777" w:rsidR="00A1716F" w:rsidRPr="00341AB1" w:rsidRDefault="00A1716F" w:rsidP="00D55895">
      <w:pPr>
        <w:spacing w:line="480" w:lineRule="auto"/>
        <w:rPr>
          <w:rFonts w:ascii="Times New Roman" w:hAnsi="Times New Roman" w:cs="Times New Roman"/>
          <w:sz w:val="24"/>
          <w:szCs w:val="24"/>
        </w:rPr>
      </w:pPr>
    </w:p>
    <w:p w14:paraId="51F7CF29" w14:textId="069E6E25" w:rsidR="00A1716F" w:rsidRPr="00341AB1" w:rsidRDefault="004F6CFA" w:rsidP="00D55895">
      <w:pPr>
        <w:spacing w:line="480" w:lineRule="auto"/>
        <w:rPr>
          <w:rFonts w:ascii="Times New Roman" w:hAnsi="Times New Roman" w:cs="Times New Roman"/>
          <w:b/>
          <w:bCs/>
          <w:sz w:val="24"/>
          <w:szCs w:val="24"/>
        </w:rPr>
      </w:pPr>
      <w:r w:rsidRPr="00341AB1">
        <w:rPr>
          <w:rFonts w:ascii="Times New Roman" w:hAnsi="Times New Roman" w:cs="Times New Roman"/>
          <w:b/>
          <w:bCs/>
          <w:sz w:val="24"/>
          <w:szCs w:val="24"/>
        </w:rPr>
        <w:t>A</w:t>
      </w:r>
      <w:r w:rsidR="00A1716F" w:rsidRPr="00341AB1">
        <w:rPr>
          <w:rFonts w:ascii="Times New Roman" w:hAnsi="Times New Roman" w:cs="Times New Roman"/>
          <w:b/>
          <w:bCs/>
          <w:sz w:val="24"/>
          <w:szCs w:val="24"/>
        </w:rPr>
        <w:t>bstract</w:t>
      </w:r>
      <w:r w:rsidRPr="00341AB1">
        <w:rPr>
          <w:rFonts w:ascii="Times New Roman" w:hAnsi="Times New Roman" w:cs="Times New Roman"/>
          <w:b/>
          <w:bCs/>
          <w:sz w:val="24"/>
          <w:szCs w:val="24"/>
        </w:rPr>
        <w:t>:</w:t>
      </w:r>
    </w:p>
    <w:p w14:paraId="0792DB04" w14:textId="77777777" w:rsidR="002347FA" w:rsidRPr="00341AB1" w:rsidRDefault="002347FA"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With the increasing attention to climate change, many countries have formulated a series of measures to control carbon dioxide emissions. The measures about new energy vehicle are also a very important part of it. As a traditional automobile manufacturer, what kind of strategy Daimler AG should use to deal with these changes. This paper uses PEST method to analyze the internal and external environment faced by new energy vehicle, and then applies SWOT to analyze the strengths, weaknesses, opportunities and threatens of Daimler AG. According to the analysis results, this paper puts forward the corresponding corporate strategy for Daimler AG.</w:t>
      </w:r>
    </w:p>
    <w:p w14:paraId="2D2A1589" w14:textId="77777777" w:rsidR="002347FA" w:rsidRPr="00341AB1" w:rsidRDefault="002347FA" w:rsidP="00D55895">
      <w:pPr>
        <w:spacing w:line="480" w:lineRule="auto"/>
        <w:rPr>
          <w:rFonts w:ascii="Times New Roman" w:hAnsi="Times New Roman" w:cs="Times New Roman"/>
          <w:sz w:val="24"/>
          <w:szCs w:val="24"/>
        </w:rPr>
      </w:pPr>
    </w:p>
    <w:p w14:paraId="68C391D4" w14:textId="7C8B22F1" w:rsidR="00F05BBA" w:rsidRPr="00341AB1" w:rsidRDefault="00A1716F" w:rsidP="00835C54">
      <w:pPr>
        <w:spacing w:line="480" w:lineRule="auto"/>
        <w:rPr>
          <w:rFonts w:ascii="Times New Roman" w:hAnsi="Times New Roman" w:cs="Times New Roman"/>
          <w:sz w:val="24"/>
          <w:szCs w:val="24"/>
        </w:rPr>
        <w:sectPr w:rsidR="00F05BBA" w:rsidRPr="00341AB1">
          <w:pgSz w:w="11906" w:h="16838"/>
          <w:pgMar w:top="1440" w:right="1800" w:bottom="1440" w:left="1800" w:header="851" w:footer="992" w:gutter="0"/>
          <w:cols w:space="425"/>
          <w:docGrid w:type="lines" w:linePitch="312"/>
        </w:sectPr>
      </w:pPr>
      <w:r w:rsidRPr="00341AB1">
        <w:rPr>
          <w:rFonts w:ascii="Times New Roman" w:hAnsi="Times New Roman" w:cs="Times New Roman"/>
          <w:b/>
          <w:bCs/>
          <w:sz w:val="24"/>
          <w:szCs w:val="24"/>
        </w:rPr>
        <w:t>Keywords</w:t>
      </w:r>
      <w:r w:rsidRPr="00341AB1">
        <w:rPr>
          <w:rFonts w:ascii="Times New Roman" w:hAnsi="Times New Roman" w:cs="Times New Roman"/>
          <w:sz w:val="24"/>
          <w:szCs w:val="24"/>
        </w:rPr>
        <w:t xml:space="preserve">: </w:t>
      </w:r>
      <w:r w:rsidR="00715CBA" w:rsidRPr="00341AB1">
        <w:rPr>
          <w:rFonts w:ascii="Times New Roman" w:hAnsi="Times New Roman" w:cs="Times New Roman"/>
          <w:sz w:val="24"/>
          <w:szCs w:val="24"/>
        </w:rPr>
        <w:t>Daimler AG</w:t>
      </w:r>
      <w:r w:rsidRPr="00341AB1">
        <w:rPr>
          <w:rFonts w:ascii="Times New Roman" w:hAnsi="Times New Roman" w:cs="Times New Roman"/>
          <w:sz w:val="24"/>
          <w:szCs w:val="24"/>
        </w:rPr>
        <w:t xml:space="preserve">, </w:t>
      </w:r>
      <w:r w:rsidR="004F6CFA" w:rsidRPr="00341AB1">
        <w:rPr>
          <w:rFonts w:ascii="Times New Roman" w:hAnsi="Times New Roman" w:cs="Times New Roman"/>
          <w:sz w:val="24"/>
          <w:szCs w:val="24"/>
        </w:rPr>
        <w:t>N</w:t>
      </w:r>
      <w:r w:rsidRPr="00341AB1">
        <w:rPr>
          <w:rFonts w:ascii="Times New Roman" w:hAnsi="Times New Roman" w:cs="Times New Roman"/>
          <w:sz w:val="24"/>
          <w:szCs w:val="24"/>
        </w:rPr>
        <w:t xml:space="preserve">ew </w:t>
      </w:r>
      <w:r w:rsidR="004F6CFA" w:rsidRPr="00341AB1">
        <w:rPr>
          <w:rFonts w:ascii="Times New Roman" w:hAnsi="Times New Roman" w:cs="Times New Roman"/>
          <w:sz w:val="24"/>
          <w:szCs w:val="24"/>
        </w:rPr>
        <w:t>E</w:t>
      </w:r>
      <w:r w:rsidRPr="00341AB1">
        <w:rPr>
          <w:rFonts w:ascii="Times New Roman" w:hAnsi="Times New Roman" w:cs="Times New Roman"/>
          <w:sz w:val="24"/>
          <w:szCs w:val="24"/>
        </w:rPr>
        <w:t xml:space="preserve">nergy </w:t>
      </w:r>
      <w:r w:rsidR="004F6CFA" w:rsidRPr="00341AB1">
        <w:rPr>
          <w:rFonts w:ascii="Times New Roman" w:hAnsi="Times New Roman" w:cs="Times New Roman"/>
          <w:sz w:val="24"/>
          <w:szCs w:val="24"/>
        </w:rPr>
        <w:t>V</w:t>
      </w:r>
      <w:r w:rsidRPr="00341AB1">
        <w:rPr>
          <w:rFonts w:ascii="Times New Roman" w:hAnsi="Times New Roman" w:cs="Times New Roman"/>
          <w:sz w:val="24"/>
          <w:szCs w:val="24"/>
        </w:rPr>
        <w:t xml:space="preserve">ehicles, </w:t>
      </w:r>
      <w:r w:rsidR="004F6CFA" w:rsidRPr="00341AB1">
        <w:rPr>
          <w:rFonts w:ascii="Times New Roman" w:hAnsi="Times New Roman" w:cs="Times New Roman"/>
          <w:sz w:val="24"/>
          <w:szCs w:val="24"/>
        </w:rPr>
        <w:t>PEST</w:t>
      </w:r>
      <w:r w:rsidRPr="00341AB1">
        <w:rPr>
          <w:rFonts w:ascii="Times New Roman" w:hAnsi="Times New Roman" w:cs="Times New Roman"/>
          <w:sz w:val="24"/>
          <w:szCs w:val="24"/>
        </w:rPr>
        <w:t>, SWO</w:t>
      </w:r>
      <w:r w:rsidR="00835C54" w:rsidRPr="00341AB1">
        <w:rPr>
          <w:rFonts w:ascii="Times New Roman" w:hAnsi="Times New Roman" w:cs="Times New Roman"/>
          <w:sz w:val="24"/>
          <w:szCs w:val="24"/>
        </w:rPr>
        <w:t>T</w:t>
      </w:r>
    </w:p>
    <w:sdt>
      <w:sdtPr>
        <w:rPr>
          <w:rFonts w:ascii="Times New Roman" w:eastAsiaTheme="minorEastAsia" w:hAnsi="Times New Roman" w:cs="Times New Roman"/>
          <w:color w:val="auto"/>
          <w:kern w:val="2"/>
          <w:sz w:val="24"/>
          <w:szCs w:val="24"/>
          <w:lang w:val="zh-CN"/>
        </w:rPr>
        <w:id w:val="-773787131"/>
        <w:docPartObj>
          <w:docPartGallery w:val="Table of Contents"/>
          <w:docPartUnique/>
        </w:docPartObj>
      </w:sdtPr>
      <w:sdtEndPr>
        <w:rPr>
          <w:color w:val="000000" w:themeColor="text1"/>
        </w:rPr>
      </w:sdtEndPr>
      <w:sdtContent>
        <w:p w14:paraId="20813E65" w14:textId="081B1AE7" w:rsidR="00822A26" w:rsidRPr="00341AB1" w:rsidRDefault="00E00C8B" w:rsidP="00E00C8B">
          <w:pPr>
            <w:pStyle w:val="TOC"/>
            <w:spacing w:before="0" w:line="480" w:lineRule="auto"/>
            <w:jc w:val="center"/>
            <w:rPr>
              <w:rFonts w:ascii="Times New Roman" w:hAnsi="Times New Roman" w:cs="Times New Roman"/>
              <w:color w:val="000000" w:themeColor="text1"/>
              <w:sz w:val="24"/>
              <w:szCs w:val="24"/>
            </w:rPr>
          </w:pPr>
          <w:r w:rsidRPr="00341AB1">
            <w:rPr>
              <w:rFonts w:ascii="Times New Roman" w:hAnsi="Times New Roman" w:cs="Times New Roman"/>
              <w:color w:val="000000" w:themeColor="text1"/>
              <w:sz w:val="24"/>
              <w:szCs w:val="24"/>
              <w:lang w:val="zh-CN"/>
            </w:rPr>
            <w:t>Content</w:t>
          </w:r>
        </w:p>
        <w:p w14:paraId="21D4CC86" w14:textId="49D83A51" w:rsidR="00822A26" w:rsidRPr="00341AB1" w:rsidRDefault="00822A26" w:rsidP="00E00C8B">
          <w:pPr>
            <w:pStyle w:val="TOC1"/>
            <w:tabs>
              <w:tab w:val="right" w:leader="dot" w:pos="8296"/>
            </w:tabs>
            <w:spacing w:line="480" w:lineRule="auto"/>
            <w:rPr>
              <w:rFonts w:ascii="Times New Roman" w:hAnsi="Times New Roman" w:cs="Times New Roman"/>
              <w:noProof/>
              <w:color w:val="000000" w:themeColor="text1"/>
              <w:sz w:val="24"/>
              <w:szCs w:val="24"/>
            </w:rPr>
          </w:pPr>
          <w:r w:rsidRPr="00341AB1">
            <w:rPr>
              <w:rFonts w:ascii="Times New Roman" w:hAnsi="Times New Roman" w:cs="Times New Roman"/>
              <w:color w:val="000000" w:themeColor="text1"/>
              <w:sz w:val="24"/>
              <w:szCs w:val="24"/>
            </w:rPr>
            <w:fldChar w:fldCharType="begin"/>
          </w:r>
          <w:r w:rsidRPr="00341AB1">
            <w:rPr>
              <w:rFonts w:ascii="Times New Roman" w:hAnsi="Times New Roman" w:cs="Times New Roman"/>
              <w:color w:val="000000" w:themeColor="text1"/>
              <w:sz w:val="24"/>
              <w:szCs w:val="24"/>
            </w:rPr>
            <w:instrText xml:space="preserve"> TOC \o "1-3" \h \z \u </w:instrText>
          </w:r>
          <w:r w:rsidRPr="00341AB1">
            <w:rPr>
              <w:rFonts w:ascii="Times New Roman" w:hAnsi="Times New Roman" w:cs="Times New Roman"/>
              <w:color w:val="000000" w:themeColor="text1"/>
              <w:sz w:val="24"/>
              <w:szCs w:val="24"/>
            </w:rPr>
            <w:fldChar w:fldCharType="separate"/>
          </w:r>
          <w:hyperlink w:anchor="_Toc58771686" w:history="1">
            <w:r w:rsidRPr="00341AB1">
              <w:rPr>
                <w:rStyle w:val="a4"/>
                <w:rFonts w:ascii="Times New Roman" w:hAnsi="Times New Roman" w:cs="Times New Roman"/>
                <w:noProof/>
                <w:color w:val="000000" w:themeColor="text1"/>
                <w:sz w:val="24"/>
                <w:szCs w:val="24"/>
              </w:rPr>
              <w:t>1 Introduction to Daimler AG</w:t>
            </w:r>
            <w:r w:rsidRPr="00341AB1">
              <w:rPr>
                <w:rFonts w:ascii="Times New Roman" w:hAnsi="Times New Roman" w:cs="Times New Roman"/>
                <w:noProof/>
                <w:webHidden/>
                <w:color w:val="000000" w:themeColor="text1"/>
                <w:sz w:val="24"/>
                <w:szCs w:val="24"/>
              </w:rPr>
              <w:tab/>
            </w:r>
            <w:r w:rsidRPr="00341AB1">
              <w:rPr>
                <w:rFonts w:ascii="Times New Roman" w:hAnsi="Times New Roman" w:cs="Times New Roman"/>
                <w:noProof/>
                <w:webHidden/>
                <w:color w:val="000000" w:themeColor="text1"/>
                <w:sz w:val="24"/>
                <w:szCs w:val="24"/>
              </w:rPr>
              <w:fldChar w:fldCharType="begin"/>
            </w:r>
            <w:r w:rsidRPr="00341AB1">
              <w:rPr>
                <w:rFonts w:ascii="Times New Roman" w:hAnsi="Times New Roman" w:cs="Times New Roman"/>
                <w:noProof/>
                <w:webHidden/>
                <w:color w:val="000000" w:themeColor="text1"/>
                <w:sz w:val="24"/>
                <w:szCs w:val="24"/>
              </w:rPr>
              <w:instrText xml:space="preserve"> PAGEREF _Toc58771686 \h </w:instrText>
            </w:r>
            <w:r w:rsidRPr="00341AB1">
              <w:rPr>
                <w:rFonts w:ascii="Times New Roman" w:hAnsi="Times New Roman" w:cs="Times New Roman"/>
                <w:noProof/>
                <w:webHidden/>
                <w:color w:val="000000" w:themeColor="text1"/>
                <w:sz w:val="24"/>
                <w:szCs w:val="24"/>
              </w:rPr>
            </w:r>
            <w:r w:rsidRPr="00341AB1">
              <w:rPr>
                <w:rFonts w:ascii="Times New Roman" w:hAnsi="Times New Roman" w:cs="Times New Roman"/>
                <w:noProof/>
                <w:webHidden/>
                <w:color w:val="000000" w:themeColor="text1"/>
                <w:sz w:val="24"/>
                <w:szCs w:val="24"/>
              </w:rPr>
              <w:fldChar w:fldCharType="separate"/>
            </w:r>
            <w:r w:rsidR="00753460" w:rsidRPr="00341AB1">
              <w:rPr>
                <w:rFonts w:ascii="Times New Roman" w:hAnsi="Times New Roman" w:cs="Times New Roman"/>
                <w:noProof/>
                <w:webHidden/>
                <w:color w:val="000000" w:themeColor="text1"/>
                <w:sz w:val="24"/>
                <w:szCs w:val="24"/>
              </w:rPr>
              <w:t>3</w:t>
            </w:r>
            <w:r w:rsidRPr="00341AB1">
              <w:rPr>
                <w:rFonts w:ascii="Times New Roman" w:hAnsi="Times New Roman" w:cs="Times New Roman"/>
                <w:noProof/>
                <w:webHidden/>
                <w:color w:val="000000" w:themeColor="text1"/>
                <w:sz w:val="24"/>
                <w:szCs w:val="24"/>
              </w:rPr>
              <w:fldChar w:fldCharType="end"/>
            </w:r>
          </w:hyperlink>
        </w:p>
        <w:p w14:paraId="7BB705A5" w14:textId="1973548C" w:rsidR="00822A26" w:rsidRPr="00341AB1" w:rsidRDefault="005D2591" w:rsidP="00E00C8B">
          <w:pPr>
            <w:pStyle w:val="TOC2"/>
            <w:tabs>
              <w:tab w:val="right" w:leader="dot" w:pos="8296"/>
            </w:tabs>
            <w:spacing w:line="480" w:lineRule="auto"/>
            <w:rPr>
              <w:rFonts w:ascii="Times New Roman" w:hAnsi="Times New Roman" w:cs="Times New Roman"/>
              <w:noProof/>
              <w:color w:val="000000" w:themeColor="text1"/>
              <w:sz w:val="24"/>
              <w:szCs w:val="24"/>
            </w:rPr>
          </w:pPr>
          <w:hyperlink w:anchor="_Toc58771687" w:history="1">
            <w:r w:rsidR="00822A26" w:rsidRPr="00341AB1">
              <w:rPr>
                <w:rStyle w:val="a4"/>
                <w:rFonts w:ascii="Times New Roman" w:hAnsi="Times New Roman" w:cs="Times New Roman"/>
                <w:noProof/>
                <w:color w:val="000000" w:themeColor="text1"/>
                <w:sz w:val="24"/>
                <w:szCs w:val="24"/>
              </w:rPr>
              <w:t>1.1 company profile</w:t>
            </w:r>
            <w:r w:rsidR="00822A26" w:rsidRPr="00341AB1">
              <w:rPr>
                <w:rFonts w:ascii="Times New Roman" w:hAnsi="Times New Roman" w:cs="Times New Roman"/>
                <w:noProof/>
                <w:webHidden/>
                <w:color w:val="000000" w:themeColor="text1"/>
                <w:sz w:val="24"/>
                <w:szCs w:val="24"/>
              </w:rPr>
              <w:tab/>
            </w:r>
            <w:r w:rsidR="00822A26" w:rsidRPr="00341AB1">
              <w:rPr>
                <w:rFonts w:ascii="Times New Roman" w:hAnsi="Times New Roman" w:cs="Times New Roman"/>
                <w:noProof/>
                <w:webHidden/>
                <w:color w:val="000000" w:themeColor="text1"/>
                <w:sz w:val="24"/>
                <w:szCs w:val="24"/>
              </w:rPr>
              <w:fldChar w:fldCharType="begin"/>
            </w:r>
            <w:r w:rsidR="00822A26" w:rsidRPr="00341AB1">
              <w:rPr>
                <w:rFonts w:ascii="Times New Roman" w:hAnsi="Times New Roman" w:cs="Times New Roman"/>
                <w:noProof/>
                <w:webHidden/>
                <w:color w:val="000000" w:themeColor="text1"/>
                <w:sz w:val="24"/>
                <w:szCs w:val="24"/>
              </w:rPr>
              <w:instrText xml:space="preserve"> PAGEREF _Toc58771687 \h </w:instrText>
            </w:r>
            <w:r w:rsidR="00822A26" w:rsidRPr="00341AB1">
              <w:rPr>
                <w:rFonts w:ascii="Times New Roman" w:hAnsi="Times New Roman" w:cs="Times New Roman"/>
                <w:noProof/>
                <w:webHidden/>
                <w:color w:val="000000" w:themeColor="text1"/>
                <w:sz w:val="24"/>
                <w:szCs w:val="24"/>
              </w:rPr>
            </w:r>
            <w:r w:rsidR="00822A26" w:rsidRPr="00341AB1">
              <w:rPr>
                <w:rFonts w:ascii="Times New Roman" w:hAnsi="Times New Roman" w:cs="Times New Roman"/>
                <w:noProof/>
                <w:webHidden/>
                <w:color w:val="000000" w:themeColor="text1"/>
                <w:sz w:val="24"/>
                <w:szCs w:val="24"/>
              </w:rPr>
              <w:fldChar w:fldCharType="separate"/>
            </w:r>
            <w:r w:rsidR="00753460" w:rsidRPr="00341AB1">
              <w:rPr>
                <w:rFonts w:ascii="Times New Roman" w:hAnsi="Times New Roman" w:cs="Times New Roman"/>
                <w:noProof/>
                <w:webHidden/>
                <w:color w:val="000000" w:themeColor="text1"/>
                <w:sz w:val="24"/>
                <w:szCs w:val="24"/>
              </w:rPr>
              <w:t>3</w:t>
            </w:r>
            <w:r w:rsidR="00822A26" w:rsidRPr="00341AB1">
              <w:rPr>
                <w:rFonts w:ascii="Times New Roman" w:hAnsi="Times New Roman" w:cs="Times New Roman"/>
                <w:noProof/>
                <w:webHidden/>
                <w:color w:val="000000" w:themeColor="text1"/>
                <w:sz w:val="24"/>
                <w:szCs w:val="24"/>
              </w:rPr>
              <w:fldChar w:fldCharType="end"/>
            </w:r>
          </w:hyperlink>
        </w:p>
        <w:p w14:paraId="37608A65" w14:textId="40F62FD7" w:rsidR="00822A26" w:rsidRPr="00341AB1" w:rsidRDefault="005D2591" w:rsidP="00E00C8B">
          <w:pPr>
            <w:pStyle w:val="TOC2"/>
            <w:tabs>
              <w:tab w:val="right" w:leader="dot" w:pos="8296"/>
            </w:tabs>
            <w:spacing w:line="480" w:lineRule="auto"/>
            <w:rPr>
              <w:rFonts w:ascii="Times New Roman" w:hAnsi="Times New Roman" w:cs="Times New Roman"/>
              <w:noProof/>
              <w:color w:val="000000" w:themeColor="text1"/>
              <w:sz w:val="24"/>
              <w:szCs w:val="24"/>
            </w:rPr>
          </w:pPr>
          <w:hyperlink w:anchor="_Toc58771688" w:history="1">
            <w:r w:rsidR="00822A26" w:rsidRPr="00341AB1">
              <w:rPr>
                <w:rStyle w:val="a4"/>
                <w:rFonts w:ascii="Times New Roman" w:hAnsi="Times New Roman" w:cs="Times New Roman"/>
                <w:noProof/>
                <w:color w:val="000000" w:themeColor="text1"/>
                <w:sz w:val="24"/>
                <w:szCs w:val="24"/>
              </w:rPr>
              <w:t>1.2 Daimler AG’s income distribution</w:t>
            </w:r>
            <w:r w:rsidR="00822A26" w:rsidRPr="00341AB1">
              <w:rPr>
                <w:rFonts w:ascii="Times New Roman" w:hAnsi="Times New Roman" w:cs="Times New Roman"/>
                <w:noProof/>
                <w:webHidden/>
                <w:color w:val="000000" w:themeColor="text1"/>
                <w:sz w:val="24"/>
                <w:szCs w:val="24"/>
              </w:rPr>
              <w:tab/>
            </w:r>
            <w:r w:rsidR="00822A26" w:rsidRPr="00341AB1">
              <w:rPr>
                <w:rFonts w:ascii="Times New Roman" w:hAnsi="Times New Roman" w:cs="Times New Roman"/>
                <w:noProof/>
                <w:webHidden/>
                <w:color w:val="000000" w:themeColor="text1"/>
                <w:sz w:val="24"/>
                <w:szCs w:val="24"/>
              </w:rPr>
              <w:fldChar w:fldCharType="begin"/>
            </w:r>
            <w:r w:rsidR="00822A26" w:rsidRPr="00341AB1">
              <w:rPr>
                <w:rFonts w:ascii="Times New Roman" w:hAnsi="Times New Roman" w:cs="Times New Roman"/>
                <w:noProof/>
                <w:webHidden/>
                <w:color w:val="000000" w:themeColor="text1"/>
                <w:sz w:val="24"/>
                <w:szCs w:val="24"/>
              </w:rPr>
              <w:instrText xml:space="preserve"> PAGEREF _Toc58771688 \h </w:instrText>
            </w:r>
            <w:r w:rsidR="00822A26" w:rsidRPr="00341AB1">
              <w:rPr>
                <w:rFonts w:ascii="Times New Roman" w:hAnsi="Times New Roman" w:cs="Times New Roman"/>
                <w:noProof/>
                <w:webHidden/>
                <w:color w:val="000000" w:themeColor="text1"/>
                <w:sz w:val="24"/>
                <w:szCs w:val="24"/>
              </w:rPr>
            </w:r>
            <w:r w:rsidR="00822A26" w:rsidRPr="00341AB1">
              <w:rPr>
                <w:rFonts w:ascii="Times New Roman" w:hAnsi="Times New Roman" w:cs="Times New Roman"/>
                <w:noProof/>
                <w:webHidden/>
                <w:color w:val="000000" w:themeColor="text1"/>
                <w:sz w:val="24"/>
                <w:szCs w:val="24"/>
              </w:rPr>
              <w:fldChar w:fldCharType="separate"/>
            </w:r>
            <w:r w:rsidR="00753460" w:rsidRPr="00341AB1">
              <w:rPr>
                <w:rFonts w:ascii="Times New Roman" w:hAnsi="Times New Roman" w:cs="Times New Roman"/>
                <w:noProof/>
                <w:webHidden/>
                <w:color w:val="000000" w:themeColor="text1"/>
                <w:sz w:val="24"/>
                <w:szCs w:val="24"/>
              </w:rPr>
              <w:t>3</w:t>
            </w:r>
            <w:r w:rsidR="00822A26" w:rsidRPr="00341AB1">
              <w:rPr>
                <w:rFonts w:ascii="Times New Roman" w:hAnsi="Times New Roman" w:cs="Times New Roman"/>
                <w:noProof/>
                <w:webHidden/>
                <w:color w:val="000000" w:themeColor="text1"/>
                <w:sz w:val="24"/>
                <w:szCs w:val="24"/>
              </w:rPr>
              <w:fldChar w:fldCharType="end"/>
            </w:r>
          </w:hyperlink>
        </w:p>
        <w:p w14:paraId="0DAA1D7C" w14:textId="6E852075" w:rsidR="00822A26" w:rsidRPr="00341AB1" w:rsidRDefault="005D2591" w:rsidP="00E00C8B">
          <w:pPr>
            <w:pStyle w:val="TOC2"/>
            <w:tabs>
              <w:tab w:val="right" w:leader="dot" w:pos="8296"/>
            </w:tabs>
            <w:spacing w:line="480" w:lineRule="auto"/>
            <w:rPr>
              <w:rFonts w:ascii="Times New Roman" w:hAnsi="Times New Roman" w:cs="Times New Roman"/>
              <w:noProof/>
              <w:color w:val="000000" w:themeColor="text1"/>
              <w:sz w:val="24"/>
              <w:szCs w:val="24"/>
            </w:rPr>
          </w:pPr>
          <w:hyperlink w:anchor="_Toc58771689" w:history="1">
            <w:r w:rsidR="00822A26" w:rsidRPr="00341AB1">
              <w:rPr>
                <w:rStyle w:val="a4"/>
                <w:rFonts w:ascii="Times New Roman" w:hAnsi="Times New Roman" w:cs="Times New Roman"/>
                <w:noProof/>
                <w:color w:val="000000" w:themeColor="text1"/>
                <w:sz w:val="24"/>
                <w:szCs w:val="24"/>
              </w:rPr>
              <w:t>1.3 Development and Plan of Daimler electric vehicle</w:t>
            </w:r>
            <w:r w:rsidR="00822A26" w:rsidRPr="00341AB1">
              <w:rPr>
                <w:rFonts w:ascii="Times New Roman" w:hAnsi="Times New Roman" w:cs="Times New Roman"/>
                <w:noProof/>
                <w:webHidden/>
                <w:color w:val="000000" w:themeColor="text1"/>
                <w:sz w:val="24"/>
                <w:szCs w:val="24"/>
              </w:rPr>
              <w:tab/>
            </w:r>
            <w:r w:rsidR="00822A26" w:rsidRPr="00341AB1">
              <w:rPr>
                <w:rFonts w:ascii="Times New Roman" w:hAnsi="Times New Roman" w:cs="Times New Roman"/>
                <w:noProof/>
                <w:webHidden/>
                <w:color w:val="000000" w:themeColor="text1"/>
                <w:sz w:val="24"/>
                <w:szCs w:val="24"/>
              </w:rPr>
              <w:fldChar w:fldCharType="begin"/>
            </w:r>
            <w:r w:rsidR="00822A26" w:rsidRPr="00341AB1">
              <w:rPr>
                <w:rFonts w:ascii="Times New Roman" w:hAnsi="Times New Roman" w:cs="Times New Roman"/>
                <w:noProof/>
                <w:webHidden/>
                <w:color w:val="000000" w:themeColor="text1"/>
                <w:sz w:val="24"/>
                <w:szCs w:val="24"/>
              </w:rPr>
              <w:instrText xml:space="preserve"> PAGEREF _Toc58771689 \h </w:instrText>
            </w:r>
            <w:r w:rsidR="00822A26" w:rsidRPr="00341AB1">
              <w:rPr>
                <w:rFonts w:ascii="Times New Roman" w:hAnsi="Times New Roman" w:cs="Times New Roman"/>
                <w:noProof/>
                <w:webHidden/>
                <w:color w:val="000000" w:themeColor="text1"/>
                <w:sz w:val="24"/>
                <w:szCs w:val="24"/>
              </w:rPr>
            </w:r>
            <w:r w:rsidR="00822A26" w:rsidRPr="00341AB1">
              <w:rPr>
                <w:rFonts w:ascii="Times New Roman" w:hAnsi="Times New Roman" w:cs="Times New Roman"/>
                <w:noProof/>
                <w:webHidden/>
                <w:color w:val="000000" w:themeColor="text1"/>
                <w:sz w:val="24"/>
                <w:szCs w:val="24"/>
              </w:rPr>
              <w:fldChar w:fldCharType="separate"/>
            </w:r>
            <w:r w:rsidR="00753460" w:rsidRPr="00341AB1">
              <w:rPr>
                <w:rFonts w:ascii="Times New Roman" w:hAnsi="Times New Roman" w:cs="Times New Roman"/>
                <w:noProof/>
                <w:webHidden/>
                <w:color w:val="000000" w:themeColor="text1"/>
                <w:sz w:val="24"/>
                <w:szCs w:val="24"/>
              </w:rPr>
              <w:t>6</w:t>
            </w:r>
            <w:r w:rsidR="00822A26" w:rsidRPr="00341AB1">
              <w:rPr>
                <w:rFonts w:ascii="Times New Roman" w:hAnsi="Times New Roman" w:cs="Times New Roman"/>
                <w:noProof/>
                <w:webHidden/>
                <w:color w:val="000000" w:themeColor="text1"/>
                <w:sz w:val="24"/>
                <w:szCs w:val="24"/>
              </w:rPr>
              <w:fldChar w:fldCharType="end"/>
            </w:r>
          </w:hyperlink>
        </w:p>
        <w:p w14:paraId="5239DAE3" w14:textId="7D2A4077" w:rsidR="00822A26" w:rsidRPr="00341AB1" w:rsidRDefault="005D2591" w:rsidP="00E00C8B">
          <w:pPr>
            <w:pStyle w:val="TOC1"/>
            <w:tabs>
              <w:tab w:val="right" w:leader="dot" w:pos="8296"/>
            </w:tabs>
            <w:spacing w:line="480" w:lineRule="auto"/>
            <w:rPr>
              <w:rFonts w:ascii="Times New Roman" w:hAnsi="Times New Roman" w:cs="Times New Roman"/>
              <w:noProof/>
              <w:color w:val="000000" w:themeColor="text1"/>
              <w:sz w:val="24"/>
              <w:szCs w:val="24"/>
            </w:rPr>
          </w:pPr>
          <w:hyperlink w:anchor="_Toc58771690" w:history="1">
            <w:r w:rsidR="00822A26" w:rsidRPr="00341AB1">
              <w:rPr>
                <w:rStyle w:val="a4"/>
                <w:rFonts w:ascii="Times New Roman" w:hAnsi="Times New Roman" w:cs="Times New Roman"/>
                <w:noProof/>
                <w:color w:val="000000" w:themeColor="text1"/>
                <w:sz w:val="24"/>
                <w:szCs w:val="24"/>
              </w:rPr>
              <w:t>2 Analysis of new energy vehicle industry</w:t>
            </w:r>
            <w:r w:rsidR="00822A26" w:rsidRPr="00341AB1">
              <w:rPr>
                <w:rFonts w:ascii="Times New Roman" w:hAnsi="Times New Roman" w:cs="Times New Roman"/>
                <w:noProof/>
                <w:webHidden/>
                <w:color w:val="000000" w:themeColor="text1"/>
                <w:sz w:val="24"/>
                <w:szCs w:val="24"/>
              </w:rPr>
              <w:tab/>
            </w:r>
            <w:r w:rsidR="00822A26" w:rsidRPr="00341AB1">
              <w:rPr>
                <w:rFonts w:ascii="Times New Roman" w:hAnsi="Times New Roman" w:cs="Times New Roman"/>
                <w:noProof/>
                <w:webHidden/>
                <w:color w:val="000000" w:themeColor="text1"/>
                <w:sz w:val="24"/>
                <w:szCs w:val="24"/>
              </w:rPr>
              <w:fldChar w:fldCharType="begin"/>
            </w:r>
            <w:r w:rsidR="00822A26" w:rsidRPr="00341AB1">
              <w:rPr>
                <w:rFonts w:ascii="Times New Roman" w:hAnsi="Times New Roman" w:cs="Times New Roman"/>
                <w:noProof/>
                <w:webHidden/>
                <w:color w:val="000000" w:themeColor="text1"/>
                <w:sz w:val="24"/>
                <w:szCs w:val="24"/>
              </w:rPr>
              <w:instrText xml:space="preserve"> PAGEREF _Toc58771690 \h </w:instrText>
            </w:r>
            <w:r w:rsidR="00822A26" w:rsidRPr="00341AB1">
              <w:rPr>
                <w:rFonts w:ascii="Times New Roman" w:hAnsi="Times New Roman" w:cs="Times New Roman"/>
                <w:noProof/>
                <w:webHidden/>
                <w:color w:val="000000" w:themeColor="text1"/>
                <w:sz w:val="24"/>
                <w:szCs w:val="24"/>
              </w:rPr>
            </w:r>
            <w:r w:rsidR="00822A26" w:rsidRPr="00341AB1">
              <w:rPr>
                <w:rFonts w:ascii="Times New Roman" w:hAnsi="Times New Roman" w:cs="Times New Roman"/>
                <w:noProof/>
                <w:webHidden/>
                <w:color w:val="000000" w:themeColor="text1"/>
                <w:sz w:val="24"/>
                <w:szCs w:val="24"/>
              </w:rPr>
              <w:fldChar w:fldCharType="separate"/>
            </w:r>
            <w:r w:rsidR="00753460" w:rsidRPr="00341AB1">
              <w:rPr>
                <w:rFonts w:ascii="Times New Roman" w:hAnsi="Times New Roman" w:cs="Times New Roman"/>
                <w:noProof/>
                <w:webHidden/>
                <w:color w:val="000000" w:themeColor="text1"/>
                <w:sz w:val="24"/>
                <w:szCs w:val="24"/>
              </w:rPr>
              <w:t>8</w:t>
            </w:r>
            <w:r w:rsidR="00822A26" w:rsidRPr="00341AB1">
              <w:rPr>
                <w:rFonts w:ascii="Times New Roman" w:hAnsi="Times New Roman" w:cs="Times New Roman"/>
                <w:noProof/>
                <w:webHidden/>
                <w:color w:val="000000" w:themeColor="text1"/>
                <w:sz w:val="24"/>
                <w:szCs w:val="24"/>
              </w:rPr>
              <w:fldChar w:fldCharType="end"/>
            </w:r>
          </w:hyperlink>
        </w:p>
        <w:p w14:paraId="108F2330" w14:textId="7DB4A5FB" w:rsidR="00822A26" w:rsidRPr="00341AB1" w:rsidRDefault="005D2591" w:rsidP="00E00C8B">
          <w:pPr>
            <w:pStyle w:val="TOC2"/>
            <w:tabs>
              <w:tab w:val="right" w:leader="dot" w:pos="8296"/>
            </w:tabs>
            <w:spacing w:line="480" w:lineRule="auto"/>
            <w:rPr>
              <w:rFonts w:ascii="Times New Roman" w:hAnsi="Times New Roman" w:cs="Times New Roman"/>
              <w:noProof/>
              <w:color w:val="000000" w:themeColor="text1"/>
              <w:sz w:val="24"/>
              <w:szCs w:val="24"/>
            </w:rPr>
          </w:pPr>
          <w:hyperlink w:anchor="_Toc58771691" w:history="1">
            <w:r w:rsidR="00822A26" w:rsidRPr="00341AB1">
              <w:rPr>
                <w:rStyle w:val="a4"/>
                <w:rFonts w:ascii="Times New Roman" w:hAnsi="Times New Roman" w:cs="Times New Roman"/>
                <w:noProof/>
                <w:color w:val="000000" w:themeColor="text1"/>
                <w:sz w:val="24"/>
                <w:szCs w:val="24"/>
              </w:rPr>
              <w:t>2.1 New energy vehicle industry</w:t>
            </w:r>
            <w:r w:rsidR="00822A26" w:rsidRPr="00341AB1">
              <w:rPr>
                <w:rFonts w:ascii="Times New Roman" w:hAnsi="Times New Roman" w:cs="Times New Roman"/>
                <w:noProof/>
                <w:webHidden/>
                <w:color w:val="000000" w:themeColor="text1"/>
                <w:sz w:val="24"/>
                <w:szCs w:val="24"/>
              </w:rPr>
              <w:tab/>
            </w:r>
            <w:r w:rsidR="00822A26" w:rsidRPr="00341AB1">
              <w:rPr>
                <w:rFonts w:ascii="Times New Roman" w:hAnsi="Times New Roman" w:cs="Times New Roman"/>
                <w:noProof/>
                <w:webHidden/>
                <w:color w:val="000000" w:themeColor="text1"/>
                <w:sz w:val="24"/>
                <w:szCs w:val="24"/>
              </w:rPr>
              <w:fldChar w:fldCharType="begin"/>
            </w:r>
            <w:r w:rsidR="00822A26" w:rsidRPr="00341AB1">
              <w:rPr>
                <w:rFonts w:ascii="Times New Roman" w:hAnsi="Times New Roman" w:cs="Times New Roman"/>
                <w:noProof/>
                <w:webHidden/>
                <w:color w:val="000000" w:themeColor="text1"/>
                <w:sz w:val="24"/>
                <w:szCs w:val="24"/>
              </w:rPr>
              <w:instrText xml:space="preserve"> PAGEREF _Toc58771691 \h </w:instrText>
            </w:r>
            <w:r w:rsidR="00822A26" w:rsidRPr="00341AB1">
              <w:rPr>
                <w:rFonts w:ascii="Times New Roman" w:hAnsi="Times New Roman" w:cs="Times New Roman"/>
                <w:noProof/>
                <w:webHidden/>
                <w:color w:val="000000" w:themeColor="text1"/>
                <w:sz w:val="24"/>
                <w:szCs w:val="24"/>
              </w:rPr>
            </w:r>
            <w:r w:rsidR="00822A26" w:rsidRPr="00341AB1">
              <w:rPr>
                <w:rFonts w:ascii="Times New Roman" w:hAnsi="Times New Roman" w:cs="Times New Roman"/>
                <w:noProof/>
                <w:webHidden/>
                <w:color w:val="000000" w:themeColor="text1"/>
                <w:sz w:val="24"/>
                <w:szCs w:val="24"/>
              </w:rPr>
              <w:fldChar w:fldCharType="separate"/>
            </w:r>
            <w:r w:rsidR="00753460" w:rsidRPr="00341AB1">
              <w:rPr>
                <w:rFonts w:ascii="Times New Roman" w:hAnsi="Times New Roman" w:cs="Times New Roman"/>
                <w:noProof/>
                <w:webHidden/>
                <w:color w:val="000000" w:themeColor="text1"/>
                <w:sz w:val="24"/>
                <w:szCs w:val="24"/>
              </w:rPr>
              <w:t>8</w:t>
            </w:r>
            <w:r w:rsidR="00822A26" w:rsidRPr="00341AB1">
              <w:rPr>
                <w:rFonts w:ascii="Times New Roman" w:hAnsi="Times New Roman" w:cs="Times New Roman"/>
                <w:noProof/>
                <w:webHidden/>
                <w:color w:val="000000" w:themeColor="text1"/>
                <w:sz w:val="24"/>
                <w:szCs w:val="24"/>
              </w:rPr>
              <w:fldChar w:fldCharType="end"/>
            </w:r>
          </w:hyperlink>
        </w:p>
        <w:p w14:paraId="5E45B16B" w14:textId="112A3CE8" w:rsidR="00822A26" w:rsidRPr="00341AB1" w:rsidRDefault="005D2591" w:rsidP="00E00C8B">
          <w:pPr>
            <w:pStyle w:val="TOC2"/>
            <w:tabs>
              <w:tab w:val="right" w:leader="dot" w:pos="8296"/>
            </w:tabs>
            <w:spacing w:line="480" w:lineRule="auto"/>
            <w:rPr>
              <w:rFonts w:ascii="Times New Roman" w:hAnsi="Times New Roman" w:cs="Times New Roman"/>
              <w:noProof/>
              <w:color w:val="000000" w:themeColor="text1"/>
              <w:sz w:val="24"/>
              <w:szCs w:val="24"/>
            </w:rPr>
          </w:pPr>
          <w:hyperlink w:anchor="_Toc58771692" w:history="1">
            <w:r w:rsidR="00822A26" w:rsidRPr="00341AB1">
              <w:rPr>
                <w:rStyle w:val="a4"/>
                <w:rFonts w:ascii="Times New Roman" w:hAnsi="Times New Roman" w:cs="Times New Roman"/>
                <w:noProof/>
                <w:color w:val="000000" w:themeColor="text1"/>
                <w:sz w:val="24"/>
                <w:szCs w:val="24"/>
              </w:rPr>
              <w:t>2.2 PEST analysis</w:t>
            </w:r>
            <w:r w:rsidR="00822A26" w:rsidRPr="00341AB1">
              <w:rPr>
                <w:rFonts w:ascii="Times New Roman" w:hAnsi="Times New Roman" w:cs="Times New Roman"/>
                <w:noProof/>
                <w:webHidden/>
                <w:color w:val="000000" w:themeColor="text1"/>
                <w:sz w:val="24"/>
                <w:szCs w:val="24"/>
              </w:rPr>
              <w:tab/>
            </w:r>
            <w:r w:rsidR="00822A26" w:rsidRPr="00341AB1">
              <w:rPr>
                <w:rFonts w:ascii="Times New Roman" w:hAnsi="Times New Roman" w:cs="Times New Roman"/>
                <w:noProof/>
                <w:webHidden/>
                <w:color w:val="000000" w:themeColor="text1"/>
                <w:sz w:val="24"/>
                <w:szCs w:val="24"/>
              </w:rPr>
              <w:fldChar w:fldCharType="begin"/>
            </w:r>
            <w:r w:rsidR="00822A26" w:rsidRPr="00341AB1">
              <w:rPr>
                <w:rFonts w:ascii="Times New Roman" w:hAnsi="Times New Roman" w:cs="Times New Roman"/>
                <w:noProof/>
                <w:webHidden/>
                <w:color w:val="000000" w:themeColor="text1"/>
                <w:sz w:val="24"/>
                <w:szCs w:val="24"/>
              </w:rPr>
              <w:instrText xml:space="preserve"> PAGEREF _Toc58771692 \h </w:instrText>
            </w:r>
            <w:r w:rsidR="00822A26" w:rsidRPr="00341AB1">
              <w:rPr>
                <w:rFonts w:ascii="Times New Roman" w:hAnsi="Times New Roman" w:cs="Times New Roman"/>
                <w:noProof/>
                <w:webHidden/>
                <w:color w:val="000000" w:themeColor="text1"/>
                <w:sz w:val="24"/>
                <w:szCs w:val="24"/>
              </w:rPr>
            </w:r>
            <w:r w:rsidR="00822A26" w:rsidRPr="00341AB1">
              <w:rPr>
                <w:rFonts w:ascii="Times New Roman" w:hAnsi="Times New Roman" w:cs="Times New Roman"/>
                <w:noProof/>
                <w:webHidden/>
                <w:color w:val="000000" w:themeColor="text1"/>
                <w:sz w:val="24"/>
                <w:szCs w:val="24"/>
              </w:rPr>
              <w:fldChar w:fldCharType="separate"/>
            </w:r>
            <w:r w:rsidR="00753460" w:rsidRPr="00341AB1">
              <w:rPr>
                <w:rFonts w:ascii="Times New Roman" w:hAnsi="Times New Roman" w:cs="Times New Roman"/>
                <w:noProof/>
                <w:webHidden/>
                <w:color w:val="000000" w:themeColor="text1"/>
                <w:sz w:val="24"/>
                <w:szCs w:val="24"/>
              </w:rPr>
              <w:t>13</w:t>
            </w:r>
            <w:r w:rsidR="00822A26" w:rsidRPr="00341AB1">
              <w:rPr>
                <w:rFonts w:ascii="Times New Roman" w:hAnsi="Times New Roman" w:cs="Times New Roman"/>
                <w:noProof/>
                <w:webHidden/>
                <w:color w:val="000000" w:themeColor="text1"/>
                <w:sz w:val="24"/>
                <w:szCs w:val="24"/>
              </w:rPr>
              <w:fldChar w:fldCharType="end"/>
            </w:r>
          </w:hyperlink>
        </w:p>
        <w:p w14:paraId="32B42C90" w14:textId="3120185D" w:rsidR="00822A26" w:rsidRPr="00341AB1" w:rsidRDefault="005D2591" w:rsidP="00E00C8B">
          <w:pPr>
            <w:pStyle w:val="TOC1"/>
            <w:tabs>
              <w:tab w:val="right" w:leader="dot" w:pos="8296"/>
            </w:tabs>
            <w:spacing w:line="480" w:lineRule="auto"/>
            <w:rPr>
              <w:rFonts w:ascii="Times New Roman" w:hAnsi="Times New Roman" w:cs="Times New Roman"/>
              <w:noProof/>
              <w:color w:val="000000" w:themeColor="text1"/>
              <w:sz w:val="24"/>
              <w:szCs w:val="24"/>
            </w:rPr>
          </w:pPr>
          <w:hyperlink w:anchor="_Toc58771693" w:history="1">
            <w:r w:rsidR="00822A26" w:rsidRPr="00341AB1">
              <w:rPr>
                <w:rStyle w:val="a4"/>
                <w:rFonts w:ascii="Times New Roman" w:hAnsi="Times New Roman" w:cs="Times New Roman"/>
                <w:noProof/>
                <w:color w:val="000000" w:themeColor="text1"/>
                <w:sz w:val="24"/>
                <w:szCs w:val="24"/>
              </w:rPr>
              <w:t>3 SWOT analysis of Tesla</w:t>
            </w:r>
            <w:r w:rsidR="00822A26" w:rsidRPr="00341AB1">
              <w:rPr>
                <w:rFonts w:ascii="Times New Roman" w:hAnsi="Times New Roman" w:cs="Times New Roman"/>
                <w:noProof/>
                <w:webHidden/>
                <w:color w:val="000000" w:themeColor="text1"/>
                <w:sz w:val="24"/>
                <w:szCs w:val="24"/>
              </w:rPr>
              <w:tab/>
            </w:r>
            <w:r w:rsidR="00822A26" w:rsidRPr="00341AB1">
              <w:rPr>
                <w:rFonts w:ascii="Times New Roman" w:hAnsi="Times New Roman" w:cs="Times New Roman"/>
                <w:noProof/>
                <w:webHidden/>
                <w:color w:val="000000" w:themeColor="text1"/>
                <w:sz w:val="24"/>
                <w:szCs w:val="24"/>
              </w:rPr>
              <w:fldChar w:fldCharType="begin"/>
            </w:r>
            <w:r w:rsidR="00822A26" w:rsidRPr="00341AB1">
              <w:rPr>
                <w:rFonts w:ascii="Times New Roman" w:hAnsi="Times New Roman" w:cs="Times New Roman"/>
                <w:noProof/>
                <w:webHidden/>
                <w:color w:val="000000" w:themeColor="text1"/>
                <w:sz w:val="24"/>
                <w:szCs w:val="24"/>
              </w:rPr>
              <w:instrText xml:space="preserve"> PAGEREF _Toc58771693 \h </w:instrText>
            </w:r>
            <w:r w:rsidR="00822A26" w:rsidRPr="00341AB1">
              <w:rPr>
                <w:rFonts w:ascii="Times New Roman" w:hAnsi="Times New Roman" w:cs="Times New Roman"/>
                <w:noProof/>
                <w:webHidden/>
                <w:color w:val="000000" w:themeColor="text1"/>
                <w:sz w:val="24"/>
                <w:szCs w:val="24"/>
              </w:rPr>
            </w:r>
            <w:r w:rsidR="00822A26" w:rsidRPr="00341AB1">
              <w:rPr>
                <w:rFonts w:ascii="Times New Roman" w:hAnsi="Times New Roman" w:cs="Times New Roman"/>
                <w:noProof/>
                <w:webHidden/>
                <w:color w:val="000000" w:themeColor="text1"/>
                <w:sz w:val="24"/>
                <w:szCs w:val="24"/>
              </w:rPr>
              <w:fldChar w:fldCharType="separate"/>
            </w:r>
            <w:r w:rsidR="00753460" w:rsidRPr="00341AB1">
              <w:rPr>
                <w:rFonts w:ascii="Times New Roman" w:hAnsi="Times New Roman" w:cs="Times New Roman"/>
                <w:noProof/>
                <w:webHidden/>
                <w:color w:val="000000" w:themeColor="text1"/>
                <w:sz w:val="24"/>
                <w:szCs w:val="24"/>
              </w:rPr>
              <w:t>21</w:t>
            </w:r>
            <w:r w:rsidR="00822A26" w:rsidRPr="00341AB1">
              <w:rPr>
                <w:rFonts w:ascii="Times New Roman" w:hAnsi="Times New Roman" w:cs="Times New Roman"/>
                <w:noProof/>
                <w:webHidden/>
                <w:color w:val="000000" w:themeColor="text1"/>
                <w:sz w:val="24"/>
                <w:szCs w:val="24"/>
              </w:rPr>
              <w:fldChar w:fldCharType="end"/>
            </w:r>
          </w:hyperlink>
        </w:p>
        <w:p w14:paraId="451E7039" w14:textId="7E78FF1F" w:rsidR="00822A26" w:rsidRPr="00341AB1" w:rsidRDefault="005D2591" w:rsidP="00E00C8B">
          <w:pPr>
            <w:pStyle w:val="TOC2"/>
            <w:tabs>
              <w:tab w:val="right" w:leader="dot" w:pos="8296"/>
            </w:tabs>
            <w:spacing w:line="480" w:lineRule="auto"/>
            <w:rPr>
              <w:rFonts w:ascii="Times New Roman" w:hAnsi="Times New Roman" w:cs="Times New Roman"/>
              <w:noProof/>
              <w:color w:val="000000" w:themeColor="text1"/>
              <w:sz w:val="24"/>
              <w:szCs w:val="24"/>
            </w:rPr>
          </w:pPr>
          <w:hyperlink w:anchor="_Toc58771694" w:history="1">
            <w:r w:rsidR="00822A26" w:rsidRPr="00341AB1">
              <w:rPr>
                <w:rStyle w:val="a4"/>
                <w:rFonts w:ascii="Times New Roman" w:hAnsi="Times New Roman" w:cs="Times New Roman"/>
                <w:noProof/>
                <w:color w:val="000000" w:themeColor="text1"/>
                <w:sz w:val="24"/>
                <w:szCs w:val="24"/>
              </w:rPr>
              <w:t>3.1 Strengths analysis</w:t>
            </w:r>
            <w:r w:rsidR="00822A26" w:rsidRPr="00341AB1">
              <w:rPr>
                <w:rFonts w:ascii="Times New Roman" w:hAnsi="Times New Roman" w:cs="Times New Roman"/>
                <w:noProof/>
                <w:webHidden/>
                <w:color w:val="000000" w:themeColor="text1"/>
                <w:sz w:val="24"/>
                <w:szCs w:val="24"/>
              </w:rPr>
              <w:tab/>
            </w:r>
            <w:r w:rsidR="00822A26" w:rsidRPr="00341AB1">
              <w:rPr>
                <w:rFonts w:ascii="Times New Roman" w:hAnsi="Times New Roman" w:cs="Times New Roman"/>
                <w:noProof/>
                <w:webHidden/>
                <w:color w:val="000000" w:themeColor="text1"/>
                <w:sz w:val="24"/>
                <w:szCs w:val="24"/>
              </w:rPr>
              <w:fldChar w:fldCharType="begin"/>
            </w:r>
            <w:r w:rsidR="00822A26" w:rsidRPr="00341AB1">
              <w:rPr>
                <w:rFonts w:ascii="Times New Roman" w:hAnsi="Times New Roman" w:cs="Times New Roman"/>
                <w:noProof/>
                <w:webHidden/>
                <w:color w:val="000000" w:themeColor="text1"/>
                <w:sz w:val="24"/>
                <w:szCs w:val="24"/>
              </w:rPr>
              <w:instrText xml:space="preserve"> PAGEREF _Toc58771694 \h </w:instrText>
            </w:r>
            <w:r w:rsidR="00822A26" w:rsidRPr="00341AB1">
              <w:rPr>
                <w:rFonts w:ascii="Times New Roman" w:hAnsi="Times New Roman" w:cs="Times New Roman"/>
                <w:noProof/>
                <w:webHidden/>
                <w:color w:val="000000" w:themeColor="text1"/>
                <w:sz w:val="24"/>
                <w:szCs w:val="24"/>
              </w:rPr>
            </w:r>
            <w:r w:rsidR="00822A26" w:rsidRPr="00341AB1">
              <w:rPr>
                <w:rFonts w:ascii="Times New Roman" w:hAnsi="Times New Roman" w:cs="Times New Roman"/>
                <w:noProof/>
                <w:webHidden/>
                <w:color w:val="000000" w:themeColor="text1"/>
                <w:sz w:val="24"/>
                <w:szCs w:val="24"/>
              </w:rPr>
              <w:fldChar w:fldCharType="separate"/>
            </w:r>
            <w:r w:rsidR="00753460" w:rsidRPr="00341AB1">
              <w:rPr>
                <w:rFonts w:ascii="Times New Roman" w:hAnsi="Times New Roman" w:cs="Times New Roman"/>
                <w:noProof/>
                <w:webHidden/>
                <w:color w:val="000000" w:themeColor="text1"/>
                <w:sz w:val="24"/>
                <w:szCs w:val="24"/>
              </w:rPr>
              <w:t>21</w:t>
            </w:r>
            <w:r w:rsidR="00822A26" w:rsidRPr="00341AB1">
              <w:rPr>
                <w:rFonts w:ascii="Times New Roman" w:hAnsi="Times New Roman" w:cs="Times New Roman"/>
                <w:noProof/>
                <w:webHidden/>
                <w:color w:val="000000" w:themeColor="text1"/>
                <w:sz w:val="24"/>
                <w:szCs w:val="24"/>
              </w:rPr>
              <w:fldChar w:fldCharType="end"/>
            </w:r>
          </w:hyperlink>
        </w:p>
        <w:p w14:paraId="3BC4015D" w14:textId="7396EA63" w:rsidR="00822A26" w:rsidRPr="00341AB1" w:rsidRDefault="005D2591" w:rsidP="00E00C8B">
          <w:pPr>
            <w:pStyle w:val="TOC2"/>
            <w:tabs>
              <w:tab w:val="right" w:leader="dot" w:pos="8296"/>
            </w:tabs>
            <w:spacing w:line="480" w:lineRule="auto"/>
            <w:rPr>
              <w:rFonts w:ascii="Times New Roman" w:hAnsi="Times New Roman" w:cs="Times New Roman"/>
              <w:noProof/>
              <w:color w:val="000000" w:themeColor="text1"/>
              <w:sz w:val="24"/>
              <w:szCs w:val="24"/>
            </w:rPr>
          </w:pPr>
          <w:hyperlink w:anchor="_Toc58771695" w:history="1">
            <w:r w:rsidR="00822A26" w:rsidRPr="00341AB1">
              <w:rPr>
                <w:rStyle w:val="a4"/>
                <w:rFonts w:ascii="Times New Roman" w:hAnsi="Times New Roman" w:cs="Times New Roman"/>
                <w:noProof/>
                <w:color w:val="000000" w:themeColor="text1"/>
                <w:sz w:val="24"/>
                <w:szCs w:val="24"/>
              </w:rPr>
              <w:t>3.2 Weaknesses analysis</w:t>
            </w:r>
            <w:r w:rsidR="00822A26" w:rsidRPr="00341AB1">
              <w:rPr>
                <w:rFonts w:ascii="Times New Roman" w:hAnsi="Times New Roman" w:cs="Times New Roman"/>
                <w:noProof/>
                <w:webHidden/>
                <w:color w:val="000000" w:themeColor="text1"/>
                <w:sz w:val="24"/>
                <w:szCs w:val="24"/>
              </w:rPr>
              <w:tab/>
            </w:r>
            <w:r w:rsidR="00822A26" w:rsidRPr="00341AB1">
              <w:rPr>
                <w:rFonts w:ascii="Times New Roman" w:hAnsi="Times New Roman" w:cs="Times New Roman"/>
                <w:noProof/>
                <w:webHidden/>
                <w:color w:val="000000" w:themeColor="text1"/>
                <w:sz w:val="24"/>
                <w:szCs w:val="24"/>
              </w:rPr>
              <w:fldChar w:fldCharType="begin"/>
            </w:r>
            <w:r w:rsidR="00822A26" w:rsidRPr="00341AB1">
              <w:rPr>
                <w:rFonts w:ascii="Times New Roman" w:hAnsi="Times New Roman" w:cs="Times New Roman"/>
                <w:noProof/>
                <w:webHidden/>
                <w:color w:val="000000" w:themeColor="text1"/>
                <w:sz w:val="24"/>
                <w:szCs w:val="24"/>
              </w:rPr>
              <w:instrText xml:space="preserve"> PAGEREF _Toc58771695 \h </w:instrText>
            </w:r>
            <w:r w:rsidR="00822A26" w:rsidRPr="00341AB1">
              <w:rPr>
                <w:rFonts w:ascii="Times New Roman" w:hAnsi="Times New Roman" w:cs="Times New Roman"/>
                <w:noProof/>
                <w:webHidden/>
                <w:color w:val="000000" w:themeColor="text1"/>
                <w:sz w:val="24"/>
                <w:szCs w:val="24"/>
              </w:rPr>
            </w:r>
            <w:r w:rsidR="00822A26" w:rsidRPr="00341AB1">
              <w:rPr>
                <w:rFonts w:ascii="Times New Roman" w:hAnsi="Times New Roman" w:cs="Times New Roman"/>
                <w:noProof/>
                <w:webHidden/>
                <w:color w:val="000000" w:themeColor="text1"/>
                <w:sz w:val="24"/>
                <w:szCs w:val="24"/>
              </w:rPr>
              <w:fldChar w:fldCharType="separate"/>
            </w:r>
            <w:r w:rsidR="00753460" w:rsidRPr="00341AB1">
              <w:rPr>
                <w:rFonts w:ascii="Times New Roman" w:hAnsi="Times New Roman" w:cs="Times New Roman"/>
                <w:noProof/>
                <w:webHidden/>
                <w:color w:val="000000" w:themeColor="text1"/>
                <w:sz w:val="24"/>
                <w:szCs w:val="24"/>
              </w:rPr>
              <w:t>23</w:t>
            </w:r>
            <w:r w:rsidR="00822A26" w:rsidRPr="00341AB1">
              <w:rPr>
                <w:rFonts w:ascii="Times New Roman" w:hAnsi="Times New Roman" w:cs="Times New Roman"/>
                <w:noProof/>
                <w:webHidden/>
                <w:color w:val="000000" w:themeColor="text1"/>
                <w:sz w:val="24"/>
                <w:szCs w:val="24"/>
              </w:rPr>
              <w:fldChar w:fldCharType="end"/>
            </w:r>
          </w:hyperlink>
        </w:p>
        <w:p w14:paraId="697531A3" w14:textId="1ACC783C" w:rsidR="00822A26" w:rsidRPr="00341AB1" w:rsidRDefault="005D2591" w:rsidP="00E00C8B">
          <w:pPr>
            <w:pStyle w:val="TOC2"/>
            <w:tabs>
              <w:tab w:val="right" w:leader="dot" w:pos="8296"/>
            </w:tabs>
            <w:spacing w:line="480" w:lineRule="auto"/>
            <w:rPr>
              <w:rFonts w:ascii="Times New Roman" w:hAnsi="Times New Roman" w:cs="Times New Roman"/>
              <w:noProof/>
              <w:color w:val="000000" w:themeColor="text1"/>
              <w:sz w:val="24"/>
              <w:szCs w:val="24"/>
            </w:rPr>
          </w:pPr>
          <w:hyperlink w:anchor="_Toc58771696" w:history="1">
            <w:r w:rsidR="00822A26" w:rsidRPr="00341AB1">
              <w:rPr>
                <w:rStyle w:val="a4"/>
                <w:rFonts w:ascii="Times New Roman" w:hAnsi="Times New Roman" w:cs="Times New Roman"/>
                <w:noProof/>
                <w:color w:val="000000" w:themeColor="text1"/>
                <w:sz w:val="24"/>
                <w:szCs w:val="24"/>
              </w:rPr>
              <w:t>3.3 Opportunity analysis</w:t>
            </w:r>
            <w:r w:rsidR="00822A26" w:rsidRPr="00341AB1">
              <w:rPr>
                <w:rFonts w:ascii="Times New Roman" w:hAnsi="Times New Roman" w:cs="Times New Roman"/>
                <w:noProof/>
                <w:webHidden/>
                <w:color w:val="000000" w:themeColor="text1"/>
                <w:sz w:val="24"/>
                <w:szCs w:val="24"/>
              </w:rPr>
              <w:tab/>
            </w:r>
            <w:r w:rsidR="00822A26" w:rsidRPr="00341AB1">
              <w:rPr>
                <w:rFonts w:ascii="Times New Roman" w:hAnsi="Times New Roman" w:cs="Times New Roman"/>
                <w:noProof/>
                <w:webHidden/>
                <w:color w:val="000000" w:themeColor="text1"/>
                <w:sz w:val="24"/>
                <w:szCs w:val="24"/>
              </w:rPr>
              <w:fldChar w:fldCharType="begin"/>
            </w:r>
            <w:r w:rsidR="00822A26" w:rsidRPr="00341AB1">
              <w:rPr>
                <w:rFonts w:ascii="Times New Roman" w:hAnsi="Times New Roman" w:cs="Times New Roman"/>
                <w:noProof/>
                <w:webHidden/>
                <w:color w:val="000000" w:themeColor="text1"/>
                <w:sz w:val="24"/>
                <w:szCs w:val="24"/>
              </w:rPr>
              <w:instrText xml:space="preserve"> PAGEREF _Toc58771696 \h </w:instrText>
            </w:r>
            <w:r w:rsidR="00822A26" w:rsidRPr="00341AB1">
              <w:rPr>
                <w:rFonts w:ascii="Times New Roman" w:hAnsi="Times New Roman" w:cs="Times New Roman"/>
                <w:noProof/>
                <w:webHidden/>
                <w:color w:val="000000" w:themeColor="text1"/>
                <w:sz w:val="24"/>
                <w:szCs w:val="24"/>
              </w:rPr>
            </w:r>
            <w:r w:rsidR="00822A26" w:rsidRPr="00341AB1">
              <w:rPr>
                <w:rFonts w:ascii="Times New Roman" w:hAnsi="Times New Roman" w:cs="Times New Roman"/>
                <w:noProof/>
                <w:webHidden/>
                <w:color w:val="000000" w:themeColor="text1"/>
                <w:sz w:val="24"/>
                <w:szCs w:val="24"/>
              </w:rPr>
              <w:fldChar w:fldCharType="separate"/>
            </w:r>
            <w:r w:rsidR="00753460" w:rsidRPr="00341AB1">
              <w:rPr>
                <w:rFonts w:ascii="Times New Roman" w:hAnsi="Times New Roman" w:cs="Times New Roman"/>
                <w:noProof/>
                <w:webHidden/>
                <w:color w:val="000000" w:themeColor="text1"/>
                <w:sz w:val="24"/>
                <w:szCs w:val="24"/>
              </w:rPr>
              <w:t>24</w:t>
            </w:r>
            <w:r w:rsidR="00822A26" w:rsidRPr="00341AB1">
              <w:rPr>
                <w:rFonts w:ascii="Times New Roman" w:hAnsi="Times New Roman" w:cs="Times New Roman"/>
                <w:noProof/>
                <w:webHidden/>
                <w:color w:val="000000" w:themeColor="text1"/>
                <w:sz w:val="24"/>
                <w:szCs w:val="24"/>
              </w:rPr>
              <w:fldChar w:fldCharType="end"/>
            </w:r>
          </w:hyperlink>
        </w:p>
        <w:p w14:paraId="4FFE26C9" w14:textId="01E5CAED" w:rsidR="00822A26" w:rsidRPr="00341AB1" w:rsidRDefault="005D2591" w:rsidP="00E00C8B">
          <w:pPr>
            <w:pStyle w:val="TOC2"/>
            <w:tabs>
              <w:tab w:val="right" w:leader="dot" w:pos="8296"/>
            </w:tabs>
            <w:spacing w:line="480" w:lineRule="auto"/>
            <w:rPr>
              <w:rFonts w:ascii="Times New Roman" w:hAnsi="Times New Roman" w:cs="Times New Roman"/>
              <w:noProof/>
              <w:color w:val="000000" w:themeColor="text1"/>
              <w:sz w:val="24"/>
              <w:szCs w:val="24"/>
            </w:rPr>
          </w:pPr>
          <w:hyperlink w:anchor="_Toc58771697" w:history="1">
            <w:r w:rsidR="00822A26" w:rsidRPr="00341AB1">
              <w:rPr>
                <w:rStyle w:val="a4"/>
                <w:rFonts w:ascii="Times New Roman" w:hAnsi="Times New Roman" w:cs="Times New Roman"/>
                <w:noProof/>
                <w:color w:val="000000" w:themeColor="text1"/>
                <w:sz w:val="24"/>
                <w:szCs w:val="24"/>
              </w:rPr>
              <w:t>3.4 Threat analysis</w:t>
            </w:r>
            <w:r w:rsidR="00822A26" w:rsidRPr="00341AB1">
              <w:rPr>
                <w:rFonts w:ascii="Times New Roman" w:hAnsi="Times New Roman" w:cs="Times New Roman"/>
                <w:noProof/>
                <w:webHidden/>
                <w:color w:val="000000" w:themeColor="text1"/>
                <w:sz w:val="24"/>
                <w:szCs w:val="24"/>
              </w:rPr>
              <w:tab/>
            </w:r>
            <w:r w:rsidR="00822A26" w:rsidRPr="00341AB1">
              <w:rPr>
                <w:rFonts w:ascii="Times New Roman" w:hAnsi="Times New Roman" w:cs="Times New Roman"/>
                <w:noProof/>
                <w:webHidden/>
                <w:color w:val="000000" w:themeColor="text1"/>
                <w:sz w:val="24"/>
                <w:szCs w:val="24"/>
              </w:rPr>
              <w:fldChar w:fldCharType="begin"/>
            </w:r>
            <w:r w:rsidR="00822A26" w:rsidRPr="00341AB1">
              <w:rPr>
                <w:rFonts w:ascii="Times New Roman" w:hAnsi="Times New Roman" w:cs="Times New Roman"/>
                <w:noProof/>
                <w:webHidden/>
                <w:color w:val="000000" w:themeColor="text1"/>
                <w:sz w:val="24"/>
                <w:szCs w:val="24"/>
              </w:rPr>
              <w:instrText xml:space="preserve"> PAGEREF _Toc58771697 \h </w:instrText>
            </w:r>
            <w:r w:rsidR="00822A26" w:rsidRPr="00341AB1">
              <w:rPr>
                <w:rFonts w:ascii="Times New Roman" w:hAnsi="Times New Roman" w:cs="Times New Roman"/>
                <w:noProof/>
                <w:webHidden/>
                <w:color w:val="000000" w:themeColor="text1"/>
                <w:sz w:val="24"/>
                <w:szCs w:val="24"/>
              </w:rPr>
            </w:r>
            <w:r w:rsidR="00822A26" w:rsidRPr="00341AB1">
              <w:rPr>
                <w:rFonts w:ascii="Times New Roman" w:hAnsi="Times New Roman" w:cs="Times New Roman"/>
                <w:noProof/>
                <w:webHidden/>
                <w:color w:val="000000" w:themeColor="text1"/>
                <w:sz w:val="24"/>
                <w:szCs w:val="24"/>
              </w:rPr>
              <w:fldChar w:fldCharType="separate"/>
            </w:r>
            <w:r w:rsidR="00753460" w:rsidRPr="00341AB1">
              <w:rPr>
                <w:rFonts w:ascii="Times New Roman" w:hAnsi="Times New Roman" w:cs="Times New Roman"/>
                <w:noProof/>
                <w:webHidden/>
                <w:color w:val="000000" w:themeColor="text1"/>
                <w:sz w:val="24"/>
                <w:szCs w:val="24"/>
              </w:rPr>
              <w:t>25</w:t>
            </w:r>
            <w:r w:rsidR="00822A26" w:rsidRPr="00341AB1">
              <w:rPr>
                <w:rFonts w:ascii="Times New Roman" w:hAnsi="Times New Roman" w:cs="Times New Roman"/>
                <w:noProof/>
                <w:webHidden/>
                <w:color w:val="000000" w:themeColor="text1"/>
                <w:sz w:val="24"/>
                <w:szCs w:val="24"/>
              </w:rPr>
              <w:fldChar w:fldCharType="end"/>
            </w:r>
          </w:hyperlink>
        </w:p>
        <w:p w14:paraId="6422CE6D" w14:textId="40583AA4" w:rsidR="00822A26" w:rsidRPr="00341AB1" w:rsidRDefault="005D2591" w:rsidP="00E00C8B">
          <w:pPr>
            <w:pStyle w:val="TOC1"/>
            <w:tabs>
              <w:tab w:val="right" w:leader="dot" w:pos="8296"/>
            </w:tabs>
            <w:spacing w:line="480" w:lineRule="auto"/>
            <w:rPr>
              <w:rFonts w:ascii="Times New Roman" w:hAnsi="Times New Roman" w:cs="Times New Roman"/>
              <w:noProof/>
              <w:color w:val="000000" w:themeColor="text1"/>
              <w:sz w:val="24"/>
              <w:szCs w:val="24"/>
            </w:rPr>
          </w:pPr>
          <w:hyperlink w:anchor="_Toc58771698" w:history="1">
            <w:r w:rsidR="00822A26" w:rsidRPr="00341AB1">
              <w:rPr>
                <w:rStyle w:val="a4"/>
                <w:rFonts w:ascii="Times New Roman" w:hAnsi="Times New Roman" w:cs="Times New Roman"/>
                <w:noProof/>
                <w:color w:val="000000" w:themeColor="text1"/>
                <w:sz w:val="24"/>
                <w:szCs w:val="24"/>
              </w:rPr>
              <w:t>4 Tesla Ag strategy</w:t>
            </w:r>
            <w:r w:rsidR="00822A26" w:rsidRPr="00341AB1">
              <w:rPr>
                <w:rFonts w:ascii="Times New Roman" w:hAnsi="Times New Roman" w:cs="Times New Roman"/>
                <w:noProof/>
                <w:webHidden/>
                <w:color w:val="000000" w:themeColor="text1"/>
                <w:sz w:val="24"/>
                <w:szCs w:val="24"/>
              </w:rPr>
              <w:tab/>
            </w:r>
            <w:r w:rsidR="00822A26" w:rsidRPr="00341AB1">
              <w:rPr>
                <w:rFonts w:ascii="Times New Roman" w:hAnsi="Times New Roman" w:cs="Times New Roman"/>
                <w:noProof/>
                <w:webHidden/>
                <w:color w:val="000000" w:themeColor="text1"/>
                <w:sz w:val="24"/>
                <w:szCs w:val="24"/>
              </w:rPr>
              <w:fldChar w:fldCharType="begin"/>
            </w:r>
            <w:r w:rsidR="00822A26" w:rsidRPr="00341AB1">
              <w:rPr>
                <w:rFonts w:ascii="Times New Roman" w:hAnsi="Times New Roman" w:cs="Times New Roman"/>
                <w:noProof/>
                <w:webHidden/>
                <w:color w:val="000000" w:themeColor="text1"/>
                <w:sz w:val="24"/>
                <w:szCs w:val="24"/>
              </w:rPr>
              <w:instrText xml:space="preserve"> PAGEREF _Toc58771698 \h </w:instrText>
            </w:r>
            <w:r w:rsidR="00822A26" w:rsidRPr="00341AB1">
              <w:rPr>
                <w:rFonts w:ascii="Times New Roman" w:hAnsi="Times New Roman" w:cs="Times New Roman"/>
                <w:noProof/>
                <w:webHidden/>
                <w:color w:val="000000" w:themeColor="text1"/>
                <w:sz w:val="24"/>
                <w:szCs w:val="24"/>
              </w:rPr>
            </w:r>
            <w:r w:rsidR="00822A26" w:rsidRPr="00341AB1">
              <w:rPr>
                <w:rFonts w:ascii="Times New Roman" w:hAnsi="Times New Roman" w:cs="Times New Roman"/>
                <w:noProof/>
                <w:webHidden/>
                <w:color w:val="000000" w:themeColor="text1"/>
                <w:sz w:val="24"/>
                <w:szCs w:val="24"/>
              </w:rPr>
              <w:fldChar w:fldCharType="separate"/>
            </w:r>
            <w:r w:rsidR="00753460" w:rsidRPr="00341AB1">
              <w:rPr>
                <w:rFonts w:ascii="Times New Roman" w:hAnsi="Times New Roman" w:cs="Times New Roman"/>
                <w:noProof/>
                <w:webHidden/>
                <w:color w:val="000000" w:themeColor="text1"/>
                <w:sz w:val="24"/>
                <w:szCs w:val="24"/>
              </w:rPr>
              <w:t>27</w:t>
            </w:r>
            <w:r w:rsidR="00822A26" w:rsidRPr="00341AB1">
              <w:rPr>
                <w:rFonts w:ascii="Times New Roman" w:hAnsi="Times New Roman" w:cs="Times New Roman"/>
                <w:noProof/>
                <w:webHidden/>
                <w:color w:val="000000" w:themeColor="text1"/>
                <w:sz w:val="24"/>
                <w:szCs w:val="24"/>
              </w:rPr>
              <w:fldChar w:fldCharType="end"/>
            </w:r>
          </w:hyperlink>
        </w:p>
        <w:p w14:paraId="26560A89" w14:textId="63C0A990" w:rsidR="00822A26" w:rsidRPr="00341AB1" w:rsidRDefault="005D2591" w:rsidP="00E00C8B">
          <w:pPr>
            <w:pStyle w:val="TOC2"/>
            <w:tabs>
              <w:tab w:val="right" w:leader="dot" w:pos="8296"/>
            </w:tabs>
            <w:spacing w:line="480" w:lineRule="auto"/>
            <w:rPr>
              <w:rFonts w:ascii="Times New Roman" w:hAnsi="Times New Roman" w:cs="Times New Roman"/>
              <w:noProof/>
              <w:color w:val="000000" w:themeColor="text1"/>
              <w:sz w:val="24"/>
              <w:szCs w:val="24"/>
            </w:rPr>
          </w:pPr>
          <w:hyperlink w:anchor="_Toc58771699" w:history="1">
            <w:r w:rsidR="00822A26" w:rsidRPr="00341AB1">
              <w:rPr>
                <w:rStyle w:val="a4"/>
                <w:rFonts w:ascii="Times New Roman" w:hAnsi="Times New Roman" w:cs="Times New Roman"/>
                <w:noProof/>
                <w:color w:val="000000" w:themeColor="text1"/>
                <w:sz w:val="24"/>
                <w:szCs w:val="24"/>
              </w:rPr>
              <w:t>4.1 SO growth strategy</w:t>
            </w:r>
            <w:r w:rsidR="00822A26" w:rsidRPr="00341AB1">
              <w:rPr>
                <w:rFonts w:ascii="Times New Roman" w:hAnsi="Times New Roman" w:cs="Times New Roman"/>
                <w:noProof/>
                <w:webHidden/>
                <w:color w:val="000000" w:themeColor="text1"/>
                <w:sz w:val="24"/>
                <w:szCs w:val="24"/>
              </w:rPr>
              <w:tab/>
            </w:r>
            <w:r w:rsidR="00822A26" w:rsidRPr="00341AB1">
              <w:rPr>
                <w:rFonts w:ascii="Times New Roman" w:hAnsi="Times New Roman" w:cs="Times New Roman"/>
                <w:noProof/>
                <w:webHidden/>
                <w:color w:val="000000" w:themeColor="text1"/>
                <w:sz w:val="24"/>
                <w:szCs w:val="24"/>
              </w:rPr>
              <w:fldChar w:fldCharType="begin"/>
            </w:r>
            <w:r w:rsidR="00822A26" w:rsidRPr="00341AB1">
              <w:rPr>
                <w:rFonts w:ascii="Times New Roman" w:hAnsi="Times New Roman" w:cs="Times New Roman"/>
                <w:noProof/>
                <w:webHidden/>
                <w:color w:val="000000" w:themeColor="text1"/>
                <w:sz w:val="24"/>
                <w:szCs w:val="24"/>
              </w:rPr>
              <w:instrText xml:space="preserve"> PAGEREF _Toc58771699 \h </w:instrText>
            </w:r>
            <w:r w:rsidR="00822A26" w:rsidRPr="00341AB1">
              <w:rPr>
                <w:rFonts w:ascii="Times New Roman" w:hAnsi="Times New Roman" w:cs="Times New Roman"/>
                <w:noProof/>
                <w:webHidden/>
                <w:color w:val="000000" w:themeColor="text1"/>
                <w:sz w:val="24"/>
                <w:szCs w:val="24"/>
              </w:rPr>
            </w:r>
            <w:r w:rsidR="00822A26" w:rsidRPr="00341AB1">
              <w:rPr>
                <w:rFonts w:ascii="Times New Roman" w:hAnsi="Times New Roman" w:cs="Times New Roman"/>
                <w:noProof/>
                <w:webHidden/>
                <w:color w:val="000000" w:themeColor="text1"/>
                <w:sz w:val="24"/>
                <w:szCs w:val="24"/>
              </w:rPr>
              <w:fldChar w:fldCharType="separate"/>
            </w:r>
            <w:r w:rsidR="00753460" w:rsidRPr="00341AB1">
              <w:rPr>
                <w:rFonts w:ascii="Times New Roman" w:hAnsi="Times New Roman" w:cs="Times New Roman"/>
                <w:noProof/>
                <w:webHidden/>
                <w:color w:val="000000" w:themeColor="text1"/>
                <w:sz w:val="24"/>
                <w:szCs w:val="24"/>
              </w:rPr>
              <w:t>27</w:t>
            </w:r>
            <w:r w:rsidR="00822A26" w:rsidRPr="00341AB1">
              <w:rPr>
                <w:rFonts w:ascii="Times New Roman" w:hAnsi="Times New Roman" w:cs="Times New Roman"/>
                <w:noProof/>
                <w:webHidden/>
                <w:color w:val="000000" w:themeColor="text1"/>
                <w:sz w:val="24"/>
                <w:szCs w:val="24"/>
              </w:rPr>
              <w:fldChar w:fldCharType="end"/>
            </w:r>
          </w:hyperlink>
        </w:p>
        <w:p w14:paraId="4DDEE291" w14:textId="0BA323C9" w:rsidR="00822A26" w:rsidRPr="00341AB1" w:rsidRDefault="005D2591" w:rsidP="00E00C8B">
          <w:pPr>
            <w:pStyle w:val="TOC2"/>
            <w:tabs>
              <w:tab w:val="right" w:leader="dot" w:pos="8296"/>
            </w:tabs>
            <w:spacing w:line="480" w:lineRule="auto"/>
            <w:rPr>
              <w:rFonts w:ascii="Times New Roman" w:hAnsi="Times New Roman" w:cs="Times New Roman"/>
              <w:noProof/>
              <w:color w:val="000000" w:themeColor="text1"/>
              <w:sz w:val="24"/>
              <w:szCs w:val="24"/>
            </w:rPr>
          </w:pPr>
          <w:hyperlink w:anchor="_Toc58771700" w:history="1">
            <w:r w:rsidR="00822A26" w:rsidRPr="00341AB1">
              <w:rPr>
                <w:rStyle w:val="a4"/>
                <w:rFonts w:ascii="Times New Roman" w:hAnsi="Times New Roman" w:cs="Times New Roman"/>
                <w:noProof/>
                <w:color w:val="000000" w:themeColor="text1"/>
                <w:sz w:val="24"/>
                <w:szCs w:val="24"/>
              </w:rPr>
              <w:t>4.2 WT defensive strategy</w:t>
            </w:r>
            <w:r w:rsidR="00822A26" w:rsidRPr="00341AB1">
              <w:rPr>
                <w:rFonts w:ascii="Times New Roman" w:hAnsi="Times New Roman" w:cs="Times New Roman"/>
                <w:noProof/>
                <w:webHidden/>
                <w:color w:val="000000" w:themeColor="text1"/>
                <w:sz w:val="24"/>
                <w:szCs w:val="24"/>
              </w:rPr>
              <w:tab/>
            </w:r>
            <w:r w:rsidR="00822A26" w:rsidRPr="00341AB1">
              <w:rPr>
                <w:rFonts w:ascii="Times New Roman" w:hAnsi="Times New Roman" w:cs="Times New Roman"/>
                <w:noProof/>
                <w:webHidden/>
                <w:color w:val="000000" w:themeColor="text1"/>
                <w:sz w:val="24"/>
                <w:szCs w:val="24"/>
              </w:rPr>
              <w:fldChar w:fldCharType="begin"/>
            </w:r>
            <w:r w:rsidR="00822A26" w:rsidRPr="00341AB1">
              <w:rPr>
                <w:rFonts w:ascii="Times New Roman" w:hAnsi="Times New Roman" w:cs="Times New Roman"/>
                <w:noProof/>
                <w:webHidden/>
                <w:color w:val="000000" w:themeColor="text1"/>
                <w:sz w:val="24"/>
                <w:szCs w:val="24"/>
              </w:rPr>
              <w:instrText xml:space="preserve"> PAGEREF _Toc58771700 \h </w:instrText>
            </w:r>
            <w:r w:rsidR="00822A26" w:rsidRPr="00341AB1">
              <w:rPr>
                <w:rFonts w:ascii="Times New Roman" w:hAnsi="Times New Roman" w:cs="Times New Roman"/>
                <w:noProof/>
                <w:webHidden/>
                <w:color w:val="000000" w:themeColor="text1"/>
                <w:sz w:val="24"/>
                <w:szCs w:val="24"/>
              </w:rPr>
            </w:r>
            <w:r w:rsidR="00822A26" w:rsidRPr="00341AB1">
              <w:rPr>
                <w:rFonts w:ascii="Times New Roman" w:hAnsi="Times New Roman" w:cs="Times New Roman"/>
                <w:noProof/>
                <w:webHidden/>
                <w:color w:val="000000" w:themeColor="text1"/>
                <w:sz w:val="24"/>
                <w:szCs w:val="24"/>
              </w:rPr>
              <w:fldChar w:fldCharType="separate"/>
            </w:r>
            <w:r w:rsidR="00753460" w:rsidRPr="00341AB1">
              <w:rPr>
                <w:rFonts w:ascii="Times New Roman" w:hAnsi="Times New Roman" w:cs="Times New Roman"/>
                <w:noProof/>
                <w:webHidden/>
                <w:color w:val="000000" w:themeColor="text1"/>
                <w:sz w:val="24"/>
                <w:szCs w:val="24"/>
              </w:rPr>
              <w:t>29</w:t>
            </w:r>
            <w:r w:rsidR="00822A26" w:rsidRPr="00341AB1">
              <w:rPr>
                <w:rFonts w:ascii="Times New Roman" w:hAnsi="Times New Roman" w:cs="Times New Roman"/>
                <w:noProof/>
                <w:webHidden/>
                <w:color w:val="000000" w:themeColor="text1"/>
                <w:sz w:val="24"/>
                <w:szCs w:val="24"/>
              </w:rPr>
              <w:fldChar w:fldCharType="end"/>
            </w:r>
          </w:hyperlink>
        </w:p>
        <w:p w14:paraId="7AA6A260" w14:textId="6F796AF3" w:rsidR="00822A26" w:rsidRPr="00341AB1" w:rsidRDefault="005D2591" w:rsidP="00E00C8B">
          <w:pPr>
            <w:pStyle w:val="TOC1"/>
            <w:tabs>
              <w:tab w:val="right" w:leader="dot" w:pos="8296"/>
            </w:tabs>
            <w:spacing w:line="480" w:lineRule="auto"/>
            <w:rPr>
              <w:rFonts w:ascii="Times New Roman" w:hAnsi="Times New Roman" w:cs="Times New Roman"/>
              <w:noProof/>
              <w:color w:val="000000" w:themeColor="text1"/>
              <w:sz w:val="24"/>
              <w:szCs w:val="24"/>
            </w:rPr>
          </w:pPr>
          <w:hyperlink w:anchor="_Toc58771701" w:history="1">
            <w:r w:rsidR="00822A26" w:rsidRPr="00341AB1">
              <w:rPr>
                <w:rStyle w:val="a4"/>
                <w:rFonts w:ascii="Times New Roman" w:hAnsi="Times New Roman" w:cs="Times New Roman"/>
                <w:noProof/>
                <w:color w:val="000000" w:themeColor="text1"/>
                <w:sz w:val="24"/>
                <w:szCs w:val="24"/>
              </w:rPr>
              <w:t>References</w:t>
            </w:r>
            <w:r w:rsidR="00822A26" w:rsidRPr="00341AB1">
              <w:rPr>
                <w:rFonts w:ascii="Times New Roman" w:hAnsi="Times New Roman" w:cs="Times New Roman"/>
                <w:noProof/>
                <w:webHidden/>
                <w:color w:val="000000" w:themeColor="text1"/>
                <w:sz w:val="24"/>
                <w:szCs w:val="24"/>
              </w:rPr>
              <w:tab/>
            </w:r>
            <w:r w:rsidR="00822A26" w:rsidRPr="00341AB1">
              <w:rPr>
                <w:rFonts w:ascii="Times New Roman" w:hAnsi="Times New Roman" w:cs="Times New Roman"/>
                <w:noProof/>
                <w:webHidden/>
                <w:color w:val="000000" w:themeColor="text1"/>
                <w:sz w:val="24"/>
                <w:szCs w:val="24"/>
              </w:rPr>
              <w:fldChar w:fldCharType="begin"/>
            </w:r>
            <w:r w:rsidR="00822A26" w:rsidRPr="00341AB1">
              <w:rPr>
                <w:rFonts w:ascii="Times New Roman" w:hAnsi="Times New Roman" w:cs="Times New Roman"/>
                <w:noProof/>
                <w:webHidden/>
                <w:color w:val="000000" w:themeColor="text1"/>
                <w:sz w:val="24"/>
                <w:szCs w:val="24"/>
              </w:rPr>
              <w:instrText xml:space="preserve"> PAGEREF _Toc58771701 \h </w:instrText>
            </w:r>
            <w:r w:rsidR="00822A26" w:rsidRPr="00341AB1">
              <w:rPr>
                <w:rFonts w:ascii="Times New Roman" w:hAnsi="Times New Roman" w:cs="Times New Roman"/>
                <w:noProof/>
                <w:webHidden/>
                <w:color w:val="000000" w:themeColor="text1"/>
                <w:sz w:val="24"/>
                <w:szCs w:val="24"/>
              </w:rPr>
            </w:r>
            <w:r w:rsidR="00822A26" w:rsidRPr="00341AB1">
              <w:rPr>
                <w:rFonts w:ascii="Times New Roman" w:hAnsi="Times New Roman" w:cs="Times New Roman"/>
                <w:noProof/>
                <w:webHidden/>
                <w:color w:val="000000" w:themeColor="text1"/>
                <w:sz w:val="24"/>
                <w:szCs w:val="24"/>
              </w:rPr>
              <w:fldChar w:fldCharType="separate"/>
            </w:r>
            <w:r w:rsidR="00753460" w:rsidRPr="00341AB1">
              <w:rPr>
                <w:rFonts w:ascii="Times New Roman" w:hAnsi="Times New Roman" w:cs="Times New Roman"/>
                <w:noProof/>
                <w:webHidden/>
                <w:color w:val="000000" w:themeColor="text1"/>
                <w:sz w:val="24"/>
                <w:szCs w:val="24"/>
              </w:rPr>
              <w:t>29</w:t>
            </w:r>
            <w:r w:rsidR="00822A26" w:rsidRPr="00341AB1">
              <w:rPr>
                <w:rFonts w:ascii="Times New Roman" w:hAnsi="Times New Roman" w:cs="Times New Roman"/>
                <w:noProof/>
                <w:webHidden/>
                <w:color w:val="000000" w:themeColor="text1"/>
                <w:sz w:val="24"/>
                <w:szCs w:val="24"/>
              </w:rPr>
              <w:fldChar w:fldCharType="end"/>
            </w:r>
          </w:hyperlink>
        </w:p>
        <w:p w14:paraId="19435D85" w14:textId="01B372E5" w:rsidR="00822A26" w:rsidRPr="00341AB1" w:rsidRDefault="00822A26" w:rsidP="00E00C8B">
          <w:pPr>
            <w:spacing w:line="480" w:lineRule="auto"/>
            <w:rPr>
              <w:rFonts w:ascii="Times New Roman" w:hAnsi="Times New Roman" w:cs="Times New Roman"/>
              <w:color w:val="000000" w:themeColor="text1"/>
              <w:sz w:val="24"/>
              <w:szCs w:val="24"/>
            </w:rPr>
          </w:pPr>
          <w:r w:rsidRPr="00341AB1">
            <w:rPr>
              <w:rFonts w:ascii="Times New Roman" w:hAnsi="Times New Roman" w:cs="Times New Roman"/>
              <w:color w:val="000000" w:themeColor="text1"/>
              <w:sz w:val="24"/>
              <w:szCs w:val="24"/>
              <w:lang w:val="zh-CN"/>
            </w:rPr>
            <w:fldChar w:fldCharType="end"/>
          </w:r>
        </w:p>
      </w:sdtContent>
    </w:sdt>
    <w:p w14:paraId="6FA9DD1C" w14:textId="767570A5" w:rsidR="00835C54" w:rsidRPr="00341AB1" w:rsidRDefault="00835C54" w:rsidP="00835C54">
      <w:pPr>
        <w:rPr>
          <w:rFonts w:ascii="Times New Roman" w:hAnsi="Times New Roman" w:cs="Times New Roman"/>
          <w:sz w:val="24"/>
          <w:szCs w:val="24"/>
        </w:rPr>
        <w:sectPr w:rsidR="00835C54" w:rsidRPr="00341AB1">
          <w:pgSz w:w="11906" w:h="16838"/>
          <w:pgMar w:top="1440" w:right="1800" w:bottom="1440" w:left="1800" w:header="851" w:footer="992" w:gutter="0"/>
          <w:cols w:space="425"/>
          <w:docGrid w:type="lines" w:linePitch="312"/>
        </w:sectPr>
      </w:pPr>
    </w:p>
    <w:p w14:paraId="66AF6C3A" w14:textId="06B924AE" w:rsidR="00A1716F" w:rsidRPr="00341AB1" w:rsidRDefault="00A1716F" w:rsidP="00264398">
      <w:pPr>
        <w:pStyle w:val="1"/>
        <w:spacing w:before="0" w:after="0" w:line="480" w:lineRule="auto"/>
        <w:jc w:val="center"/>
        <w:rPr>
          <w:rFonts w:ascii="Times New Roman" w:hAnsi="Times New Roman" w:cs="Times New Roman"/>
          <w:sz w:val="24"/>
          <w:szCs w:val="24"/>
        </w:rPr>
      </w:pPr>
      <w:bookmarkStart w:id="1" w:name="_Toc58771686"/>
      <w:r w:rsidRPr="00341AB1">
        <w:rPr>
          <w:rFonts w:ascii="Times New Roman" w:hAnsi="Times New Roman" w:cs="Times New Roman"/>
          <w:sz w:val="24"/>
          <w:szCs w:val="24"/>
        </w:rPr>
        <w:lastRenderedPageBreak/>
        <w:t xml:space="preserve">1 Introduction to </w:t>
      </w:r>
      <w:r w:rsidR="00835C54" w:rsidRPr="00341AB1">
        <w:rPr>
          <w:rFonts w:ascii="Times New Roman" w:hAnsi="Times New Roman" w:cs="Times New Roman"/>
          <w:sz w:val="24"/>
          <w:szCs w:val="24"/>
        </w:rPr>
        <w:t>Daimler</w:t>
      </w:r>
      <w:r w:rsidRPr="00341AB1">
        <w:rPr>
          <w:rFonts w:ascii="Times New Roman" w:hAnsi="Times New Roman" w:cs="Times New Roman"/>
          <w:sz w:val="24"/>
          <w:szCs w:val="24"/>
        </w:rPr>
        <w:t xml:space="preserve"> AG</w:t>
      </w:r>
      <w:bookmarkEnd w:id="1"/>
    </w:p>
    <w:p w14:paraId="60716B34" w14:textId="220D4527" w:rsidR="00A1716F" w:rsidRPr="00341AB1" w:rsidRDefault="00A1716F" w:rsidP="00D55895">
      <w:pPr>
        <w:pStyle w:val="2"/>
        <w:spacing w:before="0" w:after="0" w:line="480" w:lineRule="auto"/>
        <w:rPr>
          <w:rFonts w:ascii="Times New Roman" w:hAnsi="Times New Roman" w:cs="Times New Roman"/>
          <w:sz w:val="24"/>
          <w:szCs w:val="24"/>
        </w:rPr>
      </w:pPr>
      <w:bookmarkStart w:id="2" w:name="_Toc58771687"/>
      <w:r w:rsidRPr="00341AB1">
        <w:rPr>
          <w:rFonts w:ascii="Times New Roman" w:hAnsi="Times New Roman" w:cs="Times New Roman"/>
          <w:sz w:val="24"/>
          <w:szCs w:val="24"/>
        </w:rPr>
        <w:t>1.1 company profile</w:t>
      </w:r>
      <w:bookmarkEnd w:id="2"/>
    </w:p>
    <w:p w14:paraId="1EE86ECD" w14:textId="5B9338B0" w:rsidR="0052323C" w:rsidRPr="00341AB1" w:rsidRDefault="0052323C"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The history of Daimler group can be traced back to the world's first automobile factory, Benz Rhine gas engine plant, established by Carl Benz in 1886 and Daimler engine company established by Gottlieb Daimler in 1890. During the economic crisis of the 1920s, the two companies merged to form Daimler Benz. Headquartered in Stuttgart, the company is the world's largest luxury car manufacturer, the largest commercial vehicle manufacturer and the second largest truck manufacturer. In 2018, the operating revenue of the whole group was 167.36 billion euro, with a year-on-year increase of 2% (164.154 billion euro in 2017), and the net profit was 7.582 billion euro, with a year-on-year decrease of 29% (2017: 10.617 billion euro). Daimler group ranks 18th in the Fortune Global 500 list in 2019.</w:t>
      </w:r>
    </w:p>
    <w:p w14:paraId="491C50A4" w14:textId="55EF6219" w:rsidR="008A07A5" w:rsidRPr="00341AB1" w:rsidRDefault="0052323C"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In July 2018, Daimler's board of directors proposed the restructuring plan of the group, integrating the original five business units (passenger cars, trucks, light commercial vehicles, buses and financial services) into three subsidiaries. In May 2019, Daimler shareholders' meeting passed the above reform plan, and the new group structure plan will take effect on November 1, 2019. At that time, the group's business will be divided into three entities: Mercedes Benz AG, Daimler truck Ag and Daimler mobility AG.</w:t>
      </w:r>
    </w:p>
    <w:p w14:paraId="0A1E2135" w14:textId="6849F2E4" w:rsidR="00A1716F" w:rsidRPr="00341AB1" w:rsidRDefault="00A1716F" w:rsidP="00D55895">
      <w:pPr>
        <w:pStyle w:val="2"/>
        <w:spacing w:before="0" w:after="0" w:line="480" w:lineRule="auto"/>
        <w:rPr>
          <w:rFonts w:ascii="Times New Roman" w:hAnsi="Times New Roman" w:cs="Times New Roman"/>
          <w:sz w:val="24"/>
          <w:szCs w:val="24"/>
        </w:rPr>
      </w:pPr>
      <w:bookmarkStart w:id="3" w:name="_Toc58771688"/>
      <w:r w:rsidRPr="00341AB1">
        <w:rPr>
          <w:rFonts w:ascii="Times New Roman" w:hAnsi="Times New Roman" w:cs="Times New Roman"/>
          <w:sz w:val="24"/>
          <w:szCs w:val="24"/>
        </w:rPr>
        <w:t xml:space="preserve">1.2 </w:t>
      </w:r>
      <w:r w:rsidR="00327B2B" w:rsidRPr="00341AB1">
        <w:rPr>
          <w:rFonts w:ascii="Times New Roman" w:hAnsi="Times New Roman" w:cs="Times New Roman"/>
          <w:sz w:val="24"/>
          <w:szCs w:val="24"/>
        </w:rPr>
        <w:t>Daimler AG’s</w:t>
      </w:r>
      <w:r w:rsidRPr="00341AB1">
        <w:rPr>
          <w:rFonts w:ascii="Times New Roman" w:hAnsi="Times New Roman" w:cs="Times New Roman"/>
          <w:sz w:val="24"/>
          <w:szCs w:val="24"/>
        </w:rPr>
        <w:t xml:space="preserve"> income distribution</w:t>
      </w:r>
      <w:bookmarkEnd w:id="3"/>
    </w:p>
    <w:p w14:paraId="58E08370" w14:textId="2295E0C2" w:rsidR="008A07A5" w:rsidRPr="00341AB1" w:rsidRDefault="008A07A5" w:rsidP="008A07A5">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Daimler's business is all over the world, but mainly focus on Europe, the United States, China and other countries. According to the data of </w:t>
      </w:r>
      <w:r w:rsidR="00A52D2E" w:rsidRPr="00341AB1">
        <w:rPr>
          <w:rFonts w:ascii="Times New Roman" w:hAnsi="Times New Roman" w:cs="Times New Roman"/>
          <w:sz w:val="24"/>
          <w:szCs w:val="24"/>
        </w:rPr>
        <w:t>Daimler</w:t>
      </w:r>
      <w:r w:rsidRPr="00341AB1">
        <w:rPr>
          <w:rFonts w:ascii="Times New Roman" w:hAnsi="Times New Roman" w:cs="Times New Roman"/>
          <w:sz w:val="24"/>
          <w:szCs w:val="24"/>
        </w:rPr>
        <w:t xml:space="preserve"> </w:t>
      </w:r>
      <w:r w:rsidR="009D62D1" w:rsidRPr="00341AB1">
        <w:rPr>
          <w:rFonts w:ascii="Times New Roman" w:hAnsi="Times New Roman" w:cs="Times New Roman"/>
          <w:sz w:val="24"/>
          <w:szCs w:val="24"/>
        </w:rPr>
        <w:t>(A</w:t>
      </w:r>
      <w:r w:rsidRPr="00341AB1">
        <w:rPr>
          <w:rFonts w:ascii="Times New Roman" w:hAnsi="Times New Roman" w:cs="Times New Roman"/>
          <w:sz w:val="24"/>
          <w:szCs w:val="24"/>
        </w:rPr>
        <w:t>nnual report</w:t>
      </w:r>
      <w:r w:rsidR="009D62D1" w:rsidRPr="00341AB1">
        <w:rPr>
          <w:rFonts w:ascii="Times New Roman" w:hAnsi="Times New Roman" w:cs="Times New Roman"/>
          <w:sz w:val="24"/>
          <w:szCs w:val="24"/>
        </w:rPr>
        <w:t>,</w:t>
      </w:r>
      <w:r w:rsidRPr="00341AB1">
        <w:rPr>
          <w:rFonts w:ascii="Times New Roman" w:hAnsi="Times New Roman" w:cs="Times New Roman"/>
          <w:sz w:val="24"/>
          <w:szCs w:val="24"/>
        </w:rPr>
        <w:t xml:space="preserve"> </w:t>
      </w:r>
      <w:r w:rsidRPr="00341AB1">
        <w:rPr>
          <w:rFonts w:ascii="Times New Roman" w:hAnsi="Times New Roman" w:cs="Times New Roman"/>
          <w:sz w:val="24"/>
          <w:szCs w:val="24"/>
        </w:rPr>
        <w:lastRenderedPageBreak/>
        <w:t>20</w:t>
      </w:r>
      <w:r w:rsidR="00A52D2E" w:rsidRPr="00341AB1">
        <w:rPr>
          <w:rFonts w:ascii="Times New Roman" w:hAnsi="Times New Roman" w:cs="Times New Roman"/>
          <w:sz w:val="24"/>
          <w:szCs w:val="24"/>
        </w:rPr>
        <w:t>19</w:t>
      </w:r>
      <w:r w:rsidR="009D62D1" w:rsidRPr="00341AB1">
        <w:rPr>
          <w:rFonts w:ascii="Times New Roman" w:hAnsi="Times New Roman" w:cs="Times New Roman"/>
          <w:sz w:val="24"/>
          <w:szCs w:val="24"/>
        </w:rPr>
        <w:t>)</w:t>
      </w:r>
      <w:r w:rsidRPr="00341AB1">
        <w:rPr>
          <w:rFonts w:ascii="Times New Roman" w:hAnsi="Times New Roman" w:cs="Times New Roman"/>
          <w:sz w:val="24"/>
          <w:szCs w:val="24"/>
        </w:rPr>
        <w:t xml:space="preserve">, </w:t>
      </w:r>
      <w:r w:rsidR="00A52D2E" w:rsidRPr="00341AB1">
        <w:rPr>
          <w:rFonts w:ascii="Times New Roman" w:hAnsi="Times New Roman" w:cs="Times New Roman"/>
          <w:sz w:val="24"/>
          <w:szCs w:val="24"/>
        </w:rPr>
        <w:t>Daimler AG</w:t>
      </w:r>
      <w:r w:rsidRPr="00341AB1">
        <w:rPr>
          <w:rFonts w:ascii="Times New Roman" w:hAnsi="Times New Roman" w:cs="Times New Roman"/>
          <w:sz w:val="24"/>
          <w:szCs w:val="24"/>
        </w:rPr>
        <w:t xml:space="preserve"> generated $</w:t>
      </w:r>
      <w:r w:rsidR="00A52D2E" w:rsidRPr="00341AB1">
        <w:rPr>
          <w:rFonts w:ascii="Times New Roman" w:hAnsi="Times New Roman" w:cs="Times New Roman"/>
          <w:sz w:val="24"/>
          <w:szCs w:val="24"/>
        </w:rPr>
        <w:t>69</w:t>
      </w:r>
      <w:r w:rsidRPr="00341AB1">
        <w:rPr>
          <w:rFonts w:ascii="Times New Roman" w:hAnsi="Times New Roman" w:cs="Times New Roman"/>
          <w:sz w:val="24"/>
          <w:szCs w:val="24"/>
        </w:rPr>
        <w:t xml:space="preserve"> billion</w:t>
      </w:r>
      <w:r w:rsidR="00A52D2E" w:rsidRPr="00341AB1">
        <w:rPr>
          <w:rFonts w:ascii="Times New Roman" w:hAnsi="Times New Roman" w:cs="Times New Roman"/>
          <w:sz w:val="24"/>
          <w:szCs w:val="24"/>
        </w:rPr>
        <w:t xml:space="preserve"> euros</w:t>
      </w:r>
      <w:r w:rsidRPr="00341AB1">
        <w:rPr>
          <w:rFonts w:ascii="Times New Roman" w:hAnsi="Times New Roman" w:cs="Times New Roman"/>
          <w:sz w:val="24"/>
          <w:szCs w:val="24"/>
        </w:rPr>
        <w:t xml:space="preserve"> in </w:t>
      </w:r>
      <w:r w:rsidR="00A52D2E" w:rsidRPr="00341AB1">
        <w:rPr>
          <w:rFonts w:ascii="Times New Roman" w:hAnsi="Times New Roman" w:cs="Times New Roman"/>
          <w:sz w:val="24"/>
          <w:szCs w:val="24"/>
        </w:rPr>
        <w:t>Europe</w:t>
      </w:r>
      <w:r w:rsidRPr="00341AB1">
        <w:rPr>
          <w:rFonts w:ascii="Times New Roman" w:hAnsi="Times New Roman" w:cs="Times New Roman"/>
          <w:sz w:val="24"/>
          <w:szCs w:val="24"/>
        </w:rPr>
        <w:t xml:space="preserve">, accounting for </w:t>
      </w:r>
      <w:r w:rsidR="00A52D2E" w:rsidRPr="00341AB1">
        <w:rPr>
          <w:rFonts w:ascii="Times New Roman" w:hAnsi="Times New Roman" w:cs="Times New Roman"/>
          <w:sz w:val="24"/>
          <w:szCs w:val="24"/>
        </w:rPr>
        <w:t>40</w:t>
      </w:r>
      <w:r w:rsidRPr="00341AB1">
        <w:rPr>
          <w:rFonts w:ascii="Times New Roman" w:hAnsi="Times New Roman" w:cs="Times New Roman"/>
          <w:sz w:val="24"/>
          <w:szCs w:val="24"/>
        </w:rPr>
        <w:t>%, $</w:t>
      </w:r>
      <w:r w:rsidR="00A52D2E" w:rsidRPr="00341AB1">
        <w:rPr>
          <w:rFonts w:ascii="Times New Roman" w:hAnsi="Times New Roman" w:cs="Times New Roman"/>
          <w:sz w:val="24"/>
          <w:szCs w:val="24"/>
        </w:rPr>
        <w:t>52.2</w:t>
      </w:r>
      <w:r w:rsidRPr="00341AB1">
        <w:rPr>
          <w:rFonts w:ascii="Times New Roman" w:hAnsi="Times New Roman" w:cs="Times New Roman"/>
          <w:sz w:val="24"/>
          <w:szCs w:val="24"/>
        </w:rPr>
        <w:t xml:space="preserve"> billion</w:t>
      </w:r>
      <w:r w:rsidR="00A52D2E" w:rsidRPr="00341AB1">
        <w:rPr>
          <w:rFonts w:ascii="Times New Roman" w:hAnsi="Times New Roman" w:cs="Times New Roman"/>
          <w:sz w:val="24"/>
          <w:szCs w:val="24"/>
        </w:rPr>
        <w:t xml:space="preserve"> euros</w:t>
      </w:r>
      <w:r w:rsidRPr="00341AB1">
        <w:rPr>
          <w:rFonts w:ascii="Times New Roman" w:hAnsi="Times New Roman" w:cs="Times New Roman"/>
          <w:sz w:val="24"/>
          <w:szCs w:val="24"/>
        </w:rPr>
        <w:t xml:space="preserve"> in </w:t>
      </w:r>
      <w:r w:rsidR="00A52D2E" w:rsidRPr="00341AB1">
        <w:rPr>
          <w:rFonts w:ascii="Times New Roman" w:hAnsi="Times New Roman" w:cs="Times New Roman"/>
          <w:sz w:val="24"/>
          <w:szCs w:val="24"/>
        </w:rPr>
        <w:t>NAFTA (mainly in the USA)</w:t>
      </w:r>
      <w:r w:rsidRPr="00341AB1">
        <w:rPr>
          <w:rFonts w:ascii="Times New Roman" w:hAnsi="Times New Roman" w:cs="Times New Roman"/>
          <w:sz w:val="24"/>
          <w:szCs w:val="24"/>
        </w:rPr>
        <w:t xml:space="preserve">, accounting for </w:t>
      </w:r>
      <w:r w:rsidR="00A52D2E" w:rsidRPr="00341AB1">
        <w:rPr>
          <w:rFonts w:ascii="Times New Roman" w:hAnsi="Times New Roman" w:cs="Times New Roman"/>
          <w:sz w:val="24"/>
          <w:szCs w:val="24"/>
        </w:rPr>
        <w:t>30</w:t>
      </w:r>
      <w:r w:rsidRPr="00341AB1">
        <w:rPr>
          <w:rFonts w:ascii="Times New Roman" w:hAnsi="Times New Roman" w:cs="Times New Roman"/>
          <w:sz w:val="24"/>
          <w:szCs w:val="24"/>
        </w:rPr>
        <w:t>%</w:t>
      </w:r>
      <w:r w:rsidR="00A52D2E" w:rsidRPr="00341AB1">
        <w:rPr>
          <w:rFonts w:ascii="Times New Roman" w:hAnsi="Times New Roman" w:cs="Times New Roman"/>
          <w:sz w:val="24"/>
          <w:szCs w:val="24"/>
        </w:rPr>
        <w:t xml:space="preserve">, and 40.7billion euros in Asia (mainly in China), accounting for 24%. However, the income from other countries have 10.4 billion euros, accounting for 6% only. </w:t>
      </w:r>
      <w:r w:rsidRPr="00341AB1">
        <w:rPr>
          <w:rFonts w:ascii="Times New Roman" w:hAnsi="Times New Roman" w:cs="Times New Roman"/>
          <w:sz w:val="24"/>
          <w:szCs w:val="24"/>
        </w:rPr>
        <w:t>Benefiting from China's domestic policy support and the vast market, this paper predicts that the proportion of revenue in China will continue to increase in the future.</w:t>
      </w:r>
    </w:p>
    <w:p w14:paraId="69CF31C5" w14:textId="5EF81B09" w:rsidR="008A07A5" w:rsidRPr="00341AB1" w:rsidRDefault="006720BC"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Daimler AG</w:t>
      </w:r>
      <w:r w:rsidR="008A07A5" w:rsidRPr="00341AB1">
        <w:rPr>
          <w:rFonts w:ascii="Times New Roman" w:hAnsi="Times New Roman" w:cs="Times New Roman"/>
          <w:sz w:val="24"/>
          <w:szCs w:val="24"/>
        </w:rPr>
        <w:t xml:space="preserve"> mainly produces </w:t>
      </w:r>
      <w:r w:rsidRPr="00341AB1">
        <w:rPr>
          <w:rFonts w:ascii="Times New Roman" w:hAnsi="Times New Roman" w:cs="Times New Roman"/>
          <w:sz w:val="24"/>
          <w:szCs w:val="24"/>
        </w:rPr>
        <w:t>MERCEDES BENZ CARS, DAIMLER TRUCKS, DAIMLER BUSES, DAIMLER MOBILITY and Mercedes Benz Vans</w:t>
      </w:r>
      <w:r w:rsidR="008A07A5" w:rsidRPr="00341AB1">
        <w:rPr>
          <w:rFonts w:ascii="Times New Roman" w:hAnsi="Times New Roman" w:cs="Times New Roman"/>
          <w:sz w:val="24"/>
          <w:szCs w:val="24"/>
        </w:rPr>
        <w:t xml:space="preserve">. According to the data of </w:t>
      </w:r>
      <w:r w:rsidRPr="00341AB1">
        <w:rPr>
          <w:rFonts w:ascii="Times New Roman" w:hAnsi="Times New Roman" w:cs="Times New Roman"/>
          <w:sz w:val="24"/>
          <w:szCs w:val="24"/>
        </w:rPr>
        <w:t>Daimler AG</w:t>
      </w:r>
      <w:r w:rsidR="008A07A5" w:rsidRPr="00341AB1">
        <w:rPr>
          <w:rFonts w:ascii="Times New Roman" w:hAnsi="Times New Roman" w:cs="Times New Roman"/>
          <w:sz w:val="24"/>
          <w:szCs w:val="24"/>
        </w:rPr>
        <w:t xml:space="preserve"> annual report in 20</w:t>
      </w:r>
      <w:r w:rsidRPr="00341AB1">
        <w:rPr>
          <w:rFonts w:ascii="Times New Roman" w:hAnsi="Times New Roman" w:cs="Times New Roman"/>
          <w:sz w:val="24"/>
          <w:szCs w:val="24"/>
        </w:rPr>
        <w:t>19</w:t>
      </w:r>
      <w:r w:rsidR="008A07A5" w:rsidRPr="00341AB1">
        <w:rPr>
          <w:rFonts w:ascii="Times New Roman" w:hAnsi="Times New Roman" w:cs="Times New Roman"/>
          <w:sz w:val="24"/>
          <w:szCs w:val="24"/>
        </w:rPr>
        <w:t xml:space="preserve">, the revenue of </w:t>
      </w:r>
      <w:r w:rsidRPr="00341AB1">
        <w:rPr>
          <w:rFonts w:ascii="Times New Roman" w:hAnsi="Times New Roman" w:cs="Times New Roman"/>
          <w:sz w:val="24"/>
          <w:szCs w:val="24"/>
        </w:rPr>
        <w:t>Daimler AG’s</w:t>
      </w:r>
      <w:r w:rsidR="008A07A5" w:rsidRPr="00341AB1">
        <w:rPr>
          <w:rFonts w:ascii="Times New Roman" w:hAnsi="Times New Roman" w:cs="Times New Roman"/>
          <w:sz w:val="24"/>
          <w:szCs w:val="24"/>
        </w:rPr>
        <w:t xml:space="preserve"> </w:t>
      </w:r>
      <w:r w:rsidRPr="00341AB1">
        <w:rPr>
          <w:rFonts w:ascii="Times New Roman" w:hAnsi="Times New Roman" w:cs="Times New Roman"/>
          <w:sz w:val="24"/>
          <w:szCs w:val="24"/>
        </w:rPr>
        <w:t xml:space="preserve">MERCEDES BENZ CARS </w:t>
      </w:r>
      <w:r w:rsidR="008A07A5" w:rsidRPr="00341AB1">
        <w:rPr>
          <w:rFonts w:ascii="Times New Roman" w:hAnsi="Times New Roman" w:cs="Times New Roman"/>
          <w:sz w:val="24"/>
          <w:szCs w:val="24"/>
        </w:rPr>
        <w:t xml:space="preserve">sales business is </w:t>
      </w:r>
      <w:r w:rsidRPr="00341AB1">
        <w:rPr>
          <w:rFonts w:ascii="Times New Roman" w:hAnsi="Times New Roman" w:cs="Times New Roman"/>
          <w:sz w:val="24"/>
          <w:szCs w:val="24"/>
        </w:rPr>
        <w:t>93.9</w:t>
      </w:r>
      <w:r w:rsidR="008A07A5" w:rsidRPr="00341AB1">
        <w:rPr>
          <w:rFonts w:ascii="Times New Roman" w:hAnsi="Times New Roman" w:cs="Times New Roman"/>
          <w:sz w:val="24"/>
          <w:szCs w:val="24"/>
        </w:rPr>
        <w:t xml:space="preserve"> billion</w:t>
      </w:r>
      <w:r w:rsidRPr="00341AB1">
        <w:rPr>
          <w:rFonts w:ascii="Times New Roman" w:hAnsi="Times New Roman" w:cs="Times New Roman"/>
          <w:sz w:val="24"/>
          <w:szCs w:val="24"/>
        </w:rPr>
        <w:t xml:space="preserve"> euros</w:t>
      </w:r>
      <w:r w:rsidR="008A07A5" w:rsidRPr="00341AB1">
        <w:rPr>
          <w:rFonts w:ascii="Times New Roman" w:hAnsi="Times New Roman" w:cs="Times New Roman"/>
          <w:sz w:val="24"/>
          <w:szCs w:val="24"/>
        </w:rPr>
        <w:t xml:space="preserve">, accounting for </w:t>
      </w:r>
      <w:r w:rsidRPr="00341AB1">
        <w:rPr>
          <w:rFonts w:ascii="Times New Roman" w:hAnsi="Times New Roman" w:cs="Times New Roman"/>
          <w:sz w:val="24"/>
          <w:szCs w:val="24"/>
        </w:rPr>
        <w:t>52</w:t>
      </w:r>
      <w:r w:rsidR="008A07A5" w:rsidRPr="00341AB1">
        <w:rPr>
          <w:rFonts w:ascii="Times New Roman" w:hAnsi="Times New Roman" w:cs="Times New Roman"/>
          <w:sz w:val="24"/>
          <w:szCs w:val="24"/>
        </w:rPr>
        <w:t xml:space="preserve">%, the income of </w:t>
      </w:r>
      <w:r w:rsidRPr="00341AB1">
        <w:rPr>
          <w:rFonts w:ascii="Times New Roman" w:hAnsi="Times New Roman" w:cs="Times New Roman"/>
          <w:sz w:val="24"/>
          <w:szCs w:val="24"/>
        </w:rPr>
        <w:t xml:space="preserve">DAIMLER TRUCKS </w:t>
      </w:r>
      <w:r w:rsidR="008A07A5" w:rsidRPr="00341AB1">
        <w:rPr>
          <w:rFonts w:ascii="Times New Roman" w:hAnsi="Times New Roman" w:cs="Times New Roman"/>
          <w:sz w:val="24"/>
          <w:szCs w:val="24"/>
        </w:rPr>
        <w:t xml:space="preserve">is </w:t>
      </w:r>
      <w:r w:rsidRPr="00341AB1">
        <w:rPr>
          <w:rFonts w:ascii="Times New Roman" w:hAnsi="Times New Roman" w:cs="Times New Roman"/>
          <w:sz w:val="24"/>
          <w:szCs w:val="24"/>
        </w:rPr>
        <w:t>40.2</w:t>
      </w:r>
      <w:r w:rsidR="008A07A5" w:rsidRPr="00341AB1">
        <w:rPr>
          <w:rFonts w:ascii="Times New Roman" w:hAnsi="Times New Roman" w:cs="Times New Roman"/>
          <w:sz w:val="24"/>
          <w:szCs w:val="24"/>
        </w:rPr>
        <w:t xml:space="preserve"> </w:t>
      </w:r>
      <w:r w:rsidRPr="00341AB1">
        <w:rPr>
          <w:rFonts w:ascii="Times New Roman" w:hAnsi="Times New Roman" w:cs="Times New Roman"/>
          <w:sz w:val="24"/>
          <w:szCs w:val="24"/>
        </w:rPr>
        <w:t>b</w:t>
      </w:r>
      <w:r w:rsidR="008A07A5" w:rsidRPr="00341AB1">
        <w:rPr>
          <w:rFonts w:ascii="Times New Roman" w:hAnsi="Times New Roman" w:cs="Times New Roman"/>
          <w:sz w:val="24"/>
          <w:szCs w:val="24"/>
        </w:rPr>
        <w:t>illion</w:t>
      </w:r>
      <w:r w:rsidRPr="00341AB1">
        <w:rPr>
          <w:rFonts w:ascii="Times New Roman" w:hAnsi="Times New Roman" w:cs="Times New Roman"/>
          <w:sz w:val="24"/>
          <w:szCs w:val="24"/>
        </w:rPr>
        <w:t xml:space="preserve"> euros</w:t>
      </w:r>
      <w:r w:rsidR="008A07A5" w:rsidRPr="00341AB1">
        <w:rPr>
          <w:rFonts w:ascii="Times New Roman" w:hAnsi="Times New Roman" w:cs="Times New Roman"/>
          <w:sz w:val="24"/>
          <w:szCs w:val="24"/>
        </w:rPr>
        <w:t xml:space="preserve">, accounting for 22%, the income of </w:t>
      </w:r>
      <w:r w:rsidRPr="00341AB1">
        <w:rPr>
          <w:rFonts w:ascii="Times New Roman" w:hAnsi="Times New Roman" w:cs="Times New Roman"/>
          <w:sz w:val="24"/>
          <w:szCs w:val="24"/>
        </w:rPr>
        <w:t>DAIMLER BUSES</w:t>
      </w:r>
      <w:r w:rsidR="008A07A5" w:rsidRPr="00341AB1">
        <w:rPr>
          <w:rFonts w:ascii="Times New Roman" w:hAnsi="Times New Roman" w:cs="Times New Roman"/>
          <w:sz w:val="24"/>
          <w:szCs w:val="24"/>
        </w:rPr>
        <w:t xml:space="preserve"> is </w:t>
      </w:r>
      <w:r w:rsidRPr="00341AB1">
        <w:rPr>
          <w:rFonts w:ascii="Times New Roman" w:hAnsi="Times New Roman" w:cs="Times New Roman"/>
          <w:sz w:val="24"/>
          <w:szCs w:val="24"/>
        </w:rPr>
        <w:t>4.7</w:t>
      </w:r>
      <w:r w:rsidR="008A07A5" w:rsidRPr="00341AB1">
        <w:rPr>
          <w:rFonts w:ascii="Times New Roman" w:hAnsi="Times New Roman" w:cs="Times New Roman"/>
          <w:sz w:val="24"/>
          <w:szCs w:val="24"/>
        </w:rPr>
        <w:t xml:space="preserve"> </w:t>
      </w:r>
      <w:r w:rsidRPr="00341AB1">
        <w:rPr>
          <w:rFonts w:ascii="Times New Roman" w:hAnsi="Times New Roman" w:cs="Times New Roman"/>
          <w:sz w:val="24"/>
          <w:szCs w:val="24"/>
        </w:rPr>
        <w:t>b</w:t>
      </w:r>
      <w:r w:rsidR="008A07A5" w:rsidRPr="00341AB1">
        <w:rPr>
          <w:rFonts w:ascii="Times New Roman" w:hAnsi="Times New Roman" w:cs="Times New Roman"/>
          <w:sz w:val="24"/>
          <w:szCs w:val="24"/>
        </w:rPr>
        <w:t>illion</w:t>
      </w:r>
      <w:r w:rsidRPr="00341AB1">
        <w:rPr>
          <w:rFonts w:ascii="Times New Roman" w:hAnsi="Times New Roman" w:cs="Times New Roman"/>
          <w:sz w:val="24"/>
          <w:szCs w:val="24"/>
        </w:rPr>
        <w:t xml:space="preserve"> euros</w:t>
      </w:r>
      <w:r w:rsidR="008A07A5" w:rsidRPr="00341AB1">
        <w:rPr>
          <w:rFonts w:ascii="Times New Roman" w:hAnsi="Times New Roman" w:cs="Times New Roman"/>
          <w:sz w:val="24"/>
          <w:szCs w:val="24"/>
        </w:rPr>
        <w:t xml:space="preserve">, accounting for </w:t>
      </w:r>
      <w:r w:rsidRPr="00341AB1">
        <w:rPr>
          <w:rFonts w:ascii="Times New Roman" w:hAnsi="Times New Roman" w:cs="Times New Roman"/>
          <w:sz w:val="24"/>
          <w:szCs w:val="24"/>
        </w:rPr>
        <w:t>3</w:t>
      </w:r>
      <w:r w:rsidR="008A07A5" w:rsidRPr="00341AB1">
        <w:rPr>
          <w:rFonts w:ascii="Times New Roman" w:hAnsi="Times New Roman" w:cs="Times New Roman"/>
          <w:sz w:val="24"/>
          <w:szCs w:val="24"/>
        </w:rPr>
        <w:t xml:space="preserve">%, </w:t>
      </w:r>
      <w:r w:rsidRPr="00341AB1">
        <w:rPr>
          <w:rFonts w:ascii="Times New Roman" w:hAnsi="Times New Roman" w:cs="Times New Roman"/>
          <w:sz w:val="24"/>
          <w:szCs w:val="24"/>
        </w:rPr>
        <w:t>the income of DAIMLER MOBILITY is 26.3 billion euros, accounting for 15%, and the income of Mercedes Benz Vans is 14.8 billion euros, accounting for 8%.</w:t>
      </w:r>
      <w:r w:rsidR="008A07A5" w:rsidRPr="00341AB1">
        <w:rPr>
          <w:rFonts w:ascii="Times New Roman" w:hAnsi="Times New Roman" w:cs="Times New Roman"/>
          <w:sz w:val="24"/>
          <w:szCs w:val="24"/>
        </w:rPr>
        <w:t>The details are shown in the following figure:</w:t>
      </w:r>
    </w:p>
    <w:p w14:paraId="6F321C68" w14:textId="6AC71C49" w:rsidR="006720BC" w:rsidRPr="00341AB1" w:rsidRDefault="006720BC" w:rsidP="0052323C">
      <w:pPr>
        <w:spacing w:line="480" w:lineRule="auto"/>
        <w:jc w:val="center"/>
        <w:rPr>
          <w:rFonts w:ascii="Times New Roman" w:hAnsi="Times New Roman" w:cs="Times New Roman"/>
          <w:sz w:val="24"/>
          <w:szCs w:val="24"/>
        </w:rPr>
      </w:pPr>
      <w:r w:rsidRPr="00341AB1">
        <w:rPr>
          <w:rFonts w:ascii="Times New Roman" w:hAnsi="Times New Roman" w:cs="Times New Roman"/>
          <w:noProof/>
          <w:sz w:val="24"/>
          <w:szCs w:val="24"/>
        </w:rPr>
        <w:drawing>
          <wp:inline distT="0" distB="0" distL="0" distR="0" wp14:anchorId="6116108E" wp14:editId="18DB5D37">
            <wp:extent cx="5274310" cy="2677140"/>
            <wp:effectExtent l="0" t="0" r="2540" b="9525"/>
            <wp:docPr id="2" name="图表 2">
              <a:extLst xmlns:a="http://schemas.openxmlformats.org/drawingml/2006/main">
                <a:ext uri="{FF2B5EF4-FFF2-40B4-BE49-F238E27FC236}">
                  <a16:creationId xmlns:a16="http://schemas.microsoft.com/office/drawing/2014/main" id="{5762192A-985D-4651-9D9F-3CF964FCE8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C629EFA" w14:textId="25CB30EA" w:rsidR="00904B87" w:rsidRPr="00341AB1" w:rsidRDefault="0025276B" w:rsidP="006720BC">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lastRenderedPageBreak/>
        <w:t xml:space="preserve">Fig 1-1 </w:t>
      </w:r>
      <w:r w:rsidR="004024F8" w:rsidRPr="00341AB1">
        <w:rPr>
          <w:rFonts w:ascii="Times New Roman" w:hAnsi="Times New Roman" w:cs="Times New Roman"/>
          <w:sz w:val="24"/>
          <w:szCs w:val="24"/>
        </w:rPr>
        <w:t>Income distribution by region</w:t>
      </w:r>
      <w:r w:rsidR="00327B2B" w:rsidRPr="00341AB1">
        <w:rPr>
          <w:rFonts w:ascii="Times New Roman" w:hAnsi="Times New Roman" w:cs="Times New Roman"/>
          <w:noProof/>
          <w:sz w:val="24"/>
          <w:szCs w:val="24"/>
        </w:rPr>
        <w:drawing>
          <wp:inline distT="0" distB="0" distL="0" distR="0" wp14:anchorId="52FBCC01" wp14:editId="66D6FA47">
            <wp:extent cx="5250873" cy="2978727"/>
            <wp:effectExtent l="0" t="0" r="6985" b="12700"/>
            <wp:docPr id="10" name="图表 10">
              <a:extLst xmlns:a="http://schemas.openxmlformats.org/drawingml/2006/main">
                <a:ext uri="{FF2B5EF4-FFF2-40B4-BE49-F238E27FC236}">
                  <a16:creationId xmlns:a16="http://schemas.microsoft.com/office/drawing/2014/main" id="{01D4DE41-6A01-4F70-AA64-80BD8CA1DD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D7B4D69" w14:textId="6E9C948A" w:rsidR="00904B87" w:rsidRPr="00341AB1" w:rsidRDefault="0025276B" w:rsidP="0025276B">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Fig 1-2</w:t>
      </w:r>
      <w:r w:rsidR="004024F8" w:rsidRPr="00341AB1">
        <w:rPr>
          <w:rFonts w:ascii="Times New Roman" w:hAnsi="Times New Roman" w:cs="Times New Roman"/>
          <w:sz w:val="24"/>
          <w:szCs w:val="24"/>
        </w:rPr>
        <w:t xml:space="preserve"> Income distribution by product</w:t>
      </w:r>
    </w:p>
    <w:p w14:paraId="0FF9B2C0" w14:textId="495ED627" w:rsidR="00525BED" w:rsidRPr="00341AB1" w:rsidRDefault="00525BED"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Because of the turbulence of the international environment in recent years, Daimler's automobile profit also has a big decline. According to the financial report of 2019, Daimler's interest and tax profit in 2019 is significantly lower than that in 2018. Among them, the profit of Mercedes Benz cars business decreased from 7216 to 3359 million euros, the profit before interest and tax of Daimler truck decreased from 2753 to 2463 million euros, the profit before interest and tax of Mercedes Benz vans decreased from 312 to - 3085 million euros, the interest and tax profit of Daimler business car and Daimler mobile increased slightly. This phenomenon reflects to a certain extent that the growth space of traditional fuel vehicles is limited, and the market space of traditional fuel vehicles is gradually approaching its online. Daimler should seek new growth point. The details are shown as below fig:</w:t>
      </w:r>
    </w:p>
    <w:p w14:paraId="3FA42397" w14:textId="139681AE" w:rsidR="007059C0" w:rsidRPr="00341AB1" w:rsidRDefault="007059C0" w:rsidP="00D55895">
      <w:pPr>
        <w:spacing w:line="480" w:lineRule="auto"/>
        <w:rPr>
          <w:rFonts w:ascii="Times New Roman" w:hAnsi="Times New Roman" w:cs="Times New Roman"/>
          <w:sz w:val="24"/>
          <w:szCs w:val="24"/>
        </w:rPr>
      </w:pPr>
      <w:r w:rsidRPr="00341AB1">
        <w:rPr>
          <w:rFonts w:ascii="Times New Roman" w:hAnsi="Times New Roman" w:cs="Times New Roman"/>
          <w:noProof/>
          <w:sz w:val="24"/>
          <w:szCs w:val="24"/>
        </w:rPr>
        <w:lastRenderedPageBreak/>
        <w:drawing>
          <wp:inline distT="0" distB="0" distL="0" distR="0" wp14:anchorId="7AD24D45" wp14:editId="1596A230">
            <wp:extent cx="5140036" cy="2348345"/>
            <wp:effectExtent l="0" t="0" r="3810" b="13970"/>
            <wp:docPr id="12" name="图表 12">
              <a:extLst xmlns:a="http://schemas.openxmlformats.org/drawingml/2006/main">
                <a:ext uri="{FF2B5EF4-FFF2-40B4-BE49-F238E27FC236}">
                  <a16:creationId xmlns:a16="http://schemas.microsoft.com/office/drawing/2014/main" id="{118A44B2-E604-47A0-B61F-34F7B7D1E3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303C8D1" w14:textId="06052D5D" w:rsidR="006E432A" w:rsidRPr="00341AB1" w:rsidRDefault="0025276B" w:rsidP="0025276B">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Fig 1-3</w:t>
      </w:r>
      <w:r w:rsidR="0023093C" w:rsidRPr="00341AB1">
        <w:rPr>
          <w:rFonts w:ascii="Times New Roman" w:hAnsi="Times New Roman" w:cs="Times New Roman"/>
          <w:sz w:val="24"/>
          <w:szCs w:val="24"/>
        </w:rPr>
        <w:t xml:space="preserve"> EBIT distribution by product</w:t>
      </w:r>
    </w:p>
    <w:p w14:paraId="4E100376" w14:textId="77777777" w:rsidR="0007610A" w:rsidRPr="00341AB1" w:rsidRDefault="0007610A" w:rsidP="00CF2E39">
      <w:pPr>
        <w:spacing w:line="480" w:lineRule="auto"/>
        <w:rPr>
          <w:rFonts w:ascii="Times New Roman" w:hAnsi="Times New Roman" w:cs="Times New Roman"/>
          <w:sz w:val="24"/>
          <w:szCs w:val="24"/>
        </w:rPr>
      </w:pPr>
    </w:p>
    <w:p w14:paraId="2210D344" w14:textId="745B1E1A" w:rsidR="006E432A" w:rsidRPr="00341AB1" w:rsidRDefault="006E432A" w:rsidP="006E432A">
      <w:pPr>
        <w:pStyle w:val="2"/>
        <w:spacing w:before="0" w:after="0" w:line="480" w:lineRule="auto"/>
        <w:rPr>
          <w:rFonts w:ascii="Times New Roman" w:hAnsi="Times New Roman" w:cs="Times New Roman"/>
          <w:sz w:val="24"/>
          <w:szCs w:val="24"/>
        </w:rPr>
      </w:pPr>
      <w:bookmarkStart w:id="4" w:name="_Toc58771689"/>
      <w:r w:rsidRPr="00341AB1">
        <w:rPr>
          <w:rFonts w:ascii="Times New Roman" w:hAnsi="Times New Roman" w:cs="Times New Roman"/>
          <w:sz w:val="24"/>
          <w:szCs w:val="24"/>
        </w:rPr>
        <w:t xml:space="preserve">1.3 </w:t>
      </w:r>
      <w:r w:rsidR="00BC7BC8" w:rsidRPr="00341AB1">
        <w:rPr>
          <w:rFonts w:ascii="Times New Roman" w:hAnsi="Times New Roman" w:cs="Times New Roman"/>
          <w:sz w:val="24"/>
          <w:szCs w:val="24"/>
        </w:rPr>
        <w:t>Development and Plan of Daimler electric vehicle</w:t>
      </w:r>
      <w:bookmarkEnd w:id="4"/>
    </w:p>
    <w:p w14:paraId="2701B93A" w14:textId="5B8888D8" w:rsidR="00D75891" w:rsidRPr="00341AB1" w:rsidRDefault="00D75891"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Daimler has begun to </w:t>
      </w:r>
      <w:proofErr w:type="spellStart"/>
      <w:r w:rsidRPr="00341AB1">
        <w:rPr>
          <w:rFonts w:ascii="Times New Roman" w:hAnsi="Times New Roman" w:cs="Times New Roman"/>
          <w:sz w:val="24"/>
          <w:szCs w:val="24"/>
        </w:rPr>
        <w:t>layout</w:t>
      </w:r>
      <w:proofErr w:type="spellEnd"/>
      <w:r w:rsidRPr="00341AB1">
        <w:rPr>
          <w:rFonts w:ascii="Times New Roman" w:hAnsi="Times New Roman" w:cs="Times New Roman"/>
          <w:sz w:val="24"/>
          <w:szCs w:val="24"/>
        </w:rPr>
        <w:t xml:space="preserve"> in the new energy vehicle market, but its scale is still small, and there is still a big gap compared with the international new energy vehicle giants. According to </w:t>
      </w:r>
      <w:r w:rsidR="00833017" w:rsidRPr="00341AB1">
        <w:rPr>
          <w:rFonts w:ascii="Times New Roman" w:hAnsi="Times New Roman" w:cs="Times New Roman"/>
          <w:sz w:val="24"/>
          <w:szCs w:val="24"/>
        </w:rPr>
        <w:t xml:space="preserve">Daimler </w:t>
      </w:r>
      <w:proofErr w:type="gramStart"/>
      <w:r w:rsidR="00833017" w:rsidRPr="00341AB1">
        <w:rPr>
          <w:rFonts w:ascii="Times New Roman" w:hAnsi="Times New Roman" w:cs="Times New Roman"/>
          <w:sz w:val="24"/>
          <w:szCs w:val="24"/>
        </w:rPr>
        <w:t>AG(</w:t>
      </w:r>
      <w:proofErr w:type="gramEnd"/>
      <w:r w:rsidR="00833017" w:rsidRPr="00341AB1">
        <w:rPr>
          <w:rFonts w:ascii="Times New Roman" w:hAnsi="Times New Roman" w:cs="Times New Roman"/>
          <w:sz w:val="24"/>
          <w:szCs w:val="24"/>
        </w:rPr>
        <w:t>2019, annual report)</w:t>
      </w:r>
      <w:r w:rsidRPr="00341AB1">
        <w:rPr>
          <w:rFonts w:ascii="Times New Roman" w:hAnsi="Times New Roman" w:cs="Times New Roman"/>
          <w:sz w:val="24"/>
          <w:szCs w:val="24"/>
        </w:rPr>
        <w:t>, there are two types of Daimler new energy vehicles on the market, namely Benz EQC and EQA. EQC will be listed at the end of 2019 and EQA will be listed at the end of 2020. According to public data, in 2017, the sales volume of Daimler electric vehicles was 36000, including 22000 plug-in hybrid electric vehicles and 14000 pure electric vehicles, accounting for 1.3% of the company's vehicle sales. In 2018, the sales volume of Daimler electric vehicles was 39000, including 22000 plug-in hybrid electric vehicles and 17000 pure electric vehicles, accounting for 1.4% of the company's vehicle sales. In 2019, the sales volume of Daimler electric vehicles is 43000, including 24000 plug-in hybrid electric vehicles and 19000 pure electric vehicles, accounting for 1.5% of the company's vehicle sales.</w:t>
      </w:r>
    </w:p>
    <w:p w14:paraId="55D7C1BA" w14:textId="6392AE54" w:rsidR="00D75891" w:rsidRPr="00341AB1" w:rsidRDefault="00CF2E39"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Table 1-1</w:t>
      </w:r>
      <w:r w:rsidR="0023093C" w:rsidRPr="00341AB1">
        <w:rPr>
          <w:rFonts w:ascii="Times New Roman" w:hAnsi="Times New Roman" w:cs="Times New Roman"/>
          <w:sz w:val="24"/>
          <w:szCs w:val="24"/>
        </w:rPr>
        <w:t xml:space="preserve"> Daimler auto sales</w:t>
      </w:r>
    </w:p>
    <w:tbl>
      <w:tblPr>
        <w:tblStyle w:val="a3"/>
        <w:tblW w:w="0" w:type="auto"/>
        <w:tblLook w:val="04A0" w:firstRow="1" w:lastRow="0" w:firstColumn="1" w:lastColumn="0" w:noHBand="0" w:noVBand="1"/>
      </w:tblPr>
      <w:tblGrid>
        <w:gridCol w:w="2972"/>
        <w:gridCol w:w="1843"/>
        <w:gridCol w:w="1843"/>
        <w:gridCol w:w="1638"/>
      </w:tblGrid>
      <w:tr w:rsidR="00E27971" w:rsidRPr="00341AB1" w14:paraId="3D3B5779" w14:textId="77777777" w:rsidTr="000B1C72">
        <w:tc>
          <w:tcPr>
            <w:tcW w:w="2972" w:type="dxa"/>
            <w:vAlign w:val="center"/>
          </w:tcPr>
          <w:p w14:paraId="1137A461" w14:textId="3E941998" w:rsidR="00E27971" w:rsidRPr="00341AB1" w:rsidRDefault="00E27971"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lastRenderedPageBreak/>
              <w:t>Daimler</w:t>
            </w:r>
          </w:p>
        </w:tc>
        <w:tc>
          <w:tcPr>
            <w:tcW w:w="1843" w:type="dxa"/>
            <w:vAlign w:val="center"/>
          </w:tcPr>
          <w:p w14:paraId="1EA9D6B6" w14:textId="152DDC96" w:rsidR="00E27971" w:rsidRPr="00341AB1" w:rsidRDefault="00E27971"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2017</w:t>
            </w:r>
          </w:p>
        </w:tc>
        <w:tc>
          <w:tcPr>
            <w:tcW w:w="1843" w:type="dxa"/>
            <w:vAlign w:val="center"/>
          </w:tcPr>
          <w:p w14:paraId="749EC3CE" w14:textId="36E2DE38" w:rsidR="00E27971" w:rsidRPr="00341AB1" w:rsidRDefault="00E27971"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2018</w:t>
            </w:r>
          </w:p>
        </w:tc>
        <w:tc>
          <w:tcPr>
            <w:tcW w:w="1638" w:type="dxa"/>
            <w:vAlign w:val="center"/>
          </w:tcPr>
          <w:p w14:paraId="09CA9ED0" w14:textId="70957497" w:rsidR="00E27971" w:rsidRPr="00341AB1" w:rsidRDefault="00E27971"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2019</w:t>
            </w:r>
          </w:p>
        </w:tc>
      </w:tr>
      <w:tr w:rsidR="00E27971" w:rsidRPr="00341AB1" w14:paraId="1CFE8240" w14:textId="77777777" w:rsidTr="000B1C72">
        <w:tc>
          <w:tcPr>
            <w:tcW w:w="2972" w:type="dxa"/>
            <w:vAlign w:val="center"/>
          </w:tcPr>
          <w:p w14:paraId="2897827E" w14:textId="63718665" w:rsidR="00E27971" w:rsidRPr="00341AB1" w:rsidRDefault="00E27971" w:rsidP="000A2074">
            <w:pPr>
              <w:spacing w:line="480" w:lineRule="auto"/>
              <w:jc w:val="left"/>
              <w:rPr>
                <w:rFonts w:ascii="Times New Roman" w:hAnsi="Times New Roman" w:cs="Times New Roman"/>
                <w:sz w:val="24"/>
                <w:szCs w:val="24"/>
              </w:rPr>
            </w:pPr>
            <w:r w:rsidRPr="00341AB1">
              <w:rPr>
                <w:rFonts w:ascii="Times New Roman" w:hAnsi="Times New Roman" w:cs="Times New Roman"/>
                <w:sz w:val="24"/>
                <w:szCs w:val="24"/>
              </w:rPr>
              <w:t>Sale units of company</w:t>
            </w:r>
          </w:p>
        </w:tc>
        <w:tc>
          <w:tcPr>
            <w:tcW w:w="1843" w:type="dxa"/>
            <w:vAlign w:val="center"/>
          </w:tcPr>
          <w:p w14:paraId="5775E4D4" w14:textId="2BAFF9BB" w:rsidR="00E27971" w:rsidRPr="00341AB1" w:rsidRDefault="00E27971"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275</w:t>
            </w:r>
          </w:p>
        </w:tc>
        <w:tc>
          <w:tcPr>
            <w:tcW w:w="1843" w:type="dxa"/>
            <w:vAlign w:val="center"/>
          </w:tcPr>
          <w:p w14:paraId="60D876AD" w14:textId="291FB566" w:rsidR="00E27971" w:rsidRPr="00341AB1" w:rsidRDefault="00E27971"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278</w:t>
            </w:r>
          </w:p>
        </w:tc>
        <w:tc>
          <w:tcPr>
            <w:tcW w:w="1638" w:type="dxa"/>
            <w:vAlign w:val="center"/>
          </w:tcPr>
          <w:p w14:paraId="6B4DA6A2" w14:textId="156C86EF" w:rsidR="00E27971" w:rsidRPr="00341AB1" w:rsidRDefault="00E27971"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281</w:t>
            </w:r>
          </w:p>
        </w:tc>
      </w:tr>
      <w:tr w:rsidR="00E27971" w:rsidRPr="00341AB1" w14:paraId="684F753A" w14:textId="77777777" w:rsidTr="000B1C72">
        <w:tc>
          <w:tcPr>
            <w:tcW w:w="2972" w:type="dxa"/>
            <w:vAlign w:val="center"/>
          </w:tcPr>
          <w:p w14:paraId="6AD78C37" w14:textId="1B9FFA16" w:rsidR="00E27971" w:rsidRPr="00341AB1" w:rsidRDefault="00E27971" w:rsidP="000A2074">
            <w:pPr>
              <w:spacing w:line="480" w:lineRule="auto"/>
              <w:jc w:val="left"/>
              <w:rPr>
                <w:rFonts w:ascii="Times New Roman" w:hAnsi="Times New Roman" w:cs="Times New Roman"/>
                <w:sz w:val="24"/>
                <w:szCs w:val="24"/>
              </w:rPr>
            </w:pPr>
            <w:r w:rsidRPr="00341AB1">
              <w:rPr>
                <w:rFonts w:ascii="Times New Roman" w:hAnsi="Times New Roman" w:cs="Times New Roman"/>
                <w:sz w:val="24"/>
                <w:szCs w:val="24"/>
              </w:rPr>
              <w:t>Sale units of electric vehicles</w:t>
            </w:r>
          </w:p>
        </w:tc>
        <w:tc>
          <w:tcPr>
            <w:tcW w:w="1843" w:type="dxa"/>
            <w:vAlign w:val="center"/>
          </w:tcPr>
          <w:p w14:paraId="6A2B184F" w14:textId="0A8D71AC" w:rsidR="00E27971" w:rsidRPr="00341AB1" w:rsidRDefault="00E27971"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3.6</w:t>
            </w:r>
          </w:p>
        </w:tc>
        <w:tc>
          <w:tcPr>
            <w:tcW w:w="1843" w:type="dxa"/>
            <w:vAlign w:val="center"/>
          </w:tcPr>
          <w:p w14:paraId="12507222" w14:textId="5B2950BB" w:rsidR="00E27971" w:rsidRPr="00341AB1" w:rsidRDefault="00E27971"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3.9</w:t>
            </w:r>
          </w:p>
        </w:tc>
        <w:tc>
          <w:tcPr>
            <w:tcW w:w="1638" w:type="dxa"/>
            <w:vAlign w:val="center"/>
          </w:tcPr>
          <w:p w14:paraId="33373741" w14:textId="540080C4" w:rsidR="00E27971" w:rsidRPr="00341AB1" w:rsidRDefault="00E27971"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4.3</w:t>
            </w:r>
          </w:p>
        </w:tc>
      </w:tr>
      <w:tr w:rsidR="00E27971" w:rsidRPr="00341AB1" w14:paraId="11A1CCE3" w14:textId="77777777" w:rsidTr="000B1C72">
        <w:tc>
          <w:tcPr>
            <w:tcW w:w="2972" w:type="dxa"/>
            <w:vAlign w:val="bottom"/>
          </w:tcPr>
          <w:p w14:paraId="4B513040" w14:textId="2270BB27" w:rsidR="00E27971" w:rsidRPr="00341AB1" w:rsidRDefault="000B1C72" w:rsidP="000A2074">
            <w:pPr>
              <w:spacing w:line="480" w:lineRule="auto"/>
              <w:jc w:val="right"/>
              <w:rPr>
                <w:rFonts w:ascii="Times New Roman" w:hAnsi="Times New Roman" w:cs="Times New Roman"/>
                <w:sz w:val="24"/>
                <w:szCs w:val="24"/>
              </w:rPr>
            </w:pPr>
            <w:r w:rsidRPr="00341AB1">
              <w:rPr>
                <w:rFonts w:ascii="Times New Roman" w:hAnsi="Times New Roman" w:cs="Times New Roman"/>
                <w:sz w:val="24"/>
                <w:szCs w:val="24"/>
              </w:rPr>
              <w:t>PHEV</w:t>
            </w:r>
          </w:p>
        </w:tc>
        <w:tc>
          <w:tcPr>
            <w:tcW w:w="1843" w:type="dxa"/>
            <w:vAlign w:val="center"/>
          </w:tcPr>
          <w:p w14:paraId="04B4DC99" w14:textId="6A31741F" w:rsidR="00E27971" w:rsidRPr="00341AB1" w:rsidRDefault="000B1C72"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2.2</w:t>
            </w:r>
          </w:p>
        </w:tc>
        <w:tc>
          <w:tcPr>
            <w:tcW w:w="1843" w:type="dxa"/>
            <w:vAlign w:val="center"/>
          </w:tcPr>
          <w:p w14:paraId="297F88CA" w14:textId="4266F6A8" w:rsidR="00E27971" w:rsidRPr="00341AB1" w:rsidRDefault="000B1C72"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2.2</w:t>
            </w:r>
          </w:p>
        </w:tc>
        <w:tc>
          <w:tcPr>
            <w:tcW w:w="1638" w:type="dxa"/>
            <w:vAlign w:val="center"/>
          </w:tcPr>
          <w:p w14:paraId="1CAF717F" w14:textId="1777CF4A" w:rsidR="00E27971" w:rsidRPr="00341AB1" w:rsidRDefault="000B1C72"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2.4</w:t>
            </w:r>
          </w:p>
        </w:tc>
      </w:tr>
      <w:tr w:rsidR="000B1C72" w:rsidRPr="00341AB1" w14:paraId="77CA30FF" w14:textId="77777777" w:rsidTr="000B1C72">
        <w:tc>
          <w:tcPr>
            <w:tcW w:w="2972" w:type="dxa"/>
            <w:vAlign w:val="bottom"/>
          </w:tcPr>
          <w:p w14:paraId="4E62B71C" w14:textId="3588AF28" w:rsidR="000B1C72" w:rsidRPr="00341AB1" w:rsidRDefault="000B1C72" w:rsidP="000A2074">
            <w:pPr>
              <w:spacing w:line="480" w:lineRule="auto"/>
              <w:jc w:val="right"/>
              <w:rPr>
                <w:rFonts w:ascii="Times New Roman" w:hAnsi="Times New Roman" w:cs="Times New Roman"/>
                <w:sz w:val="24"/>
                <w:szCs w:val="24"/>
              </w:rPr>
            </w:pPr>
            <w:r w:rsidRPr="00341AB1">
              <w:rPr>
                <w:rFonts w:ascii="Times New Roman" w:hAnsi="Times New Roman" w:cs="Times New Roman"/>
                <w:sz w:val="24"/>
                <w:szCs w:val="24"/>
              </w:rPr>
              <w:t>BEV</w:t>
            </w:r>
          </w:p>
        </w:tc>
        <w:tc>
          <w:tcPr>
            <w:tcW w:w="1843" w:type="dxa"/>
            <w:vAlign w:val="center"/>
          </w:tcPr>
          <w:p w14:paraId="3C178AD5" w14:textId="288B028B" w:rsidR="000B1C72" w:rsidRPr="00341AB1" w:rsidRDefault="000B1C72"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1.4</w:t>
            </w:r>
          </w:p>
        </w:tc>
        <w:tc>
          <w:tcPr>
            <w:tcW w:w="1843" w:type="dxa"/>
            <w:vAlign w:val="center"/>
          </w:tcPr>
          <w:p w14:paraId="6E35E92A" w14:textId="75EA0E67" w:rsidR="000B1C72" w:rsidRPr="00341AB1" w:rsidRDefault="000B1C72"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1.7</w:t>
            </w:r>
          </w:p>
        </w:tc>
        <w:tc>
          <w:tcPr>
            <w:tcW w:w="1638" w:type="dxa"/>
            <w:vAlign w:val="center"/>
          </w:tcPr>
          <w:p w14:paraId="253EDDA8" w14:textId="480178BB" w:rsidR="000B1C72" w:rsidRPr="00341AB1" w:rsidRDefault="000B1C72"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1.9</w:t>
            </w:r>
          </w:p>
        </w:tc>
      </w:tr>
      <w:tr w:rsidR="000B1C72" w:rsidRPr="00341AB1" w14:paraId="01BE01DC" w14:textId="77777777" w:rsidTr="000B1C72">
        <w:tc>
          <w:tcPr>
            <w:tcW w:w="2972" w:type="dxa"/>
            <w:vAlign w:val="center"/>
          </w:tcPr>
          <w:p w14:paraId="09258DB1" w14:textId="4897D61A" w:rsidR="000B1C72" w:rsidRPr="00341AB1" w:rsidRDefault="000B1C72" w:rsidP="000A2074">
            <w:pPr>
              <w:spacing w:line="480" w:lineRule="auto"/>
              <w:jc w:val="left"/>
              <w:rPr>
                <w:rFonts w:ascii="Times New Roman" w:hAnsi="Times New Roman" w:cs="Times New Roman"/>
                <w:sz w:val="24"/>
                <w:szCs w:val="24"/>
              </w:rPr>
            </w:pPr>
            <w:r w:rsidRPr="00341AB1">
              <w:rPr>
                <w:rFonts w:ascii="Times New Roman" w:hAnsi="Times New Roman" w:cs="Times New Roman"/>
                <w:sz w:val="24"/>
                <w:szCs w:val="24"/>
              </w:rPr>
              <w:t>Proportion of EV</w:t>
            </w:r>
          </w:p>
        </w:tc>
        <w:tc>
          <w:tcPr>
            <w:tcW w:w="1843" w:type="dxa"/>
            <w:vAlign w:val="center"/>
          </w:tcPr>
          <w:p w14:paraId="00B9806B" w14:textId="62A21A73" w:rsidR="000B1C72" w:rsidRPr="00341AB1" w:rsidRDefault="000B1C72"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1.3%</w:t>
            </w:r>
          </w:p>
        </w:tc>
        <w:tc>
          <w:tcPr>
            <w:tcW w:w="1843" w:type="dxa"/>
            <w:vAlign w:val="center"/>
          </w:tcPr>
          <w:p w14:paraId="6780366D" w14:textId="65467F84" w:rsidR="000B1C72" w:rsidRPr="00341AB1" w:rsidRDefault="000B1C72"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1.4</w:t>
            </w:r>
          </w:p>
        </w:tc>
        <w:tc>
          <w:tcPr>
            <w:tcW w:w="1638" w:type="dxa"/>
            <w:vAlign w:val="center"/>
          </w:tcPr>
          <w:p w14:paraId="3CB4DE39" w14:textId="254542F6" w:rsidR="000B1C72" w:rsidRPr="00341AB1" w:rsidRDefault="000B1C72"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1.5</w:t>
            </w:r>
          </w:p>
        </w:tc>
      </w:tr>
    </w:tbl>
    <w:p w14:paraId="13FF1157" w14:textId="77777777" w:rsidR="00E27971" w:rsidRPr="00341AB1" w:rsidRDefault="00E27971" w:rsidP="0007610A">
      <w:pPr>
        <w:rPr>
          <w:rFonts w:ascii="Times New Roman" w:hAnsi="Times New Roman" w:cs="Times New Roman"/>
          <w:sz w:val="24"/>
          <w:szCs w:val="24"/>
        </w:rPr>
      </w:pPr>
    </w:p>
    <w:p w14:paraId="392002F5" w14:textId="3CB9D1CD" w:rsidR="00D75891" w:rsidRPr="00341AB1" w:rsidRDefault="00D75891"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According to Daimler</w:t>
      </w:r>
      <w:r w:rsidR="00833017" w:rsidRPr="00341AB1">
        <w:rPr>
          <w:rFonts w:ascii="Times New Roman" w:hAnsi="Times New Roman" w:cs="Times New Roman"/>
          <w:sz w:val="24"/>
          <w:szCs w:val="24"/>
        </w:rPr>
        <w:t xml:space="preserve"> AG (2019, Management comment)</w:t>
      </w:r>
      <w:r w:rsidRPr="00341AB1">
        <w:rPr>
          <w:rFonts w:ascii="Times New Roman" w:hAnsi="Times New Roman" w:cs="Times New Roman"/>
          <w:sz w:val="24"/>
          <w:szCs w:val="24"/>
        </w:rPr>
        <w:t>, EVA electric vehicle platform will be built in 2021, and EQs, EQE, EQS SUV and EQE SUV will be put into operation, EQB and other models, and plans to launch more than 10 pure electric new energy vehicles and 25 plug-in hybrid electric vehicles in 2025; by 2030, more than 20 pure electric vehicles and less than 25 plug-in hybrid electric vehicles will be launched, with electric vehicles accounting for more than half of the new vehicle sales.</w:t>
      </w:r>
    </w:p>
    <w:p w14:paraId="50389D01" w14:textId="2FF23280" w:rsidR="00D75891" w:rsidRPr="00341AB1" w:rsidRDefault="00A547BB" w:rsidP="00D55895">
      <w:pPr>
        <w:spacing w:line="480" w:lineRule="auto"/>
        <w:rPr>
          <w:rFonts w:ascii="Times New Roman" w:hAnsi="Times New Roman" w:cs="Times New Roman"/>
          <w:sz w:val="24"/>
          <w:szCs w:val="24"/>
        </w:rPr>
      </w:pPr>
      <w:r w:rsidRPr="00341AB1">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4343B0EE" wp14:editId="0B8EB2A8">
                <wp:simplePos x="0" y="0"/>
                <wp:positionH relativeFrom="margin">
                  <wp:posOffset>3444586</wp:posOffset>
                </wp:positionH>
                <wp:positionV relativeFrom="paragraph">
                  <wp:posOffset>34290</wp:posOffset>
                </wp:positionV>
                <wp:extent cx="1558521" cy="748145"/>
                <wp:effectExtent l="0" t="0" r="0" b="0"/>
                <wp:wrapNone/>
                <wp:docPr id="16" name="矩形 16"/>
                <wp:cNvGraphicFramePr/>
                <a:graphic xmlns:a="http://schemas.openxmlformats.org/drawingml/2006/main">
                  <a:graphicData uri="http://schemas.microsoft.com/office/word/2010/wordprocessingShape">
                    <wps:wsp>
                      <wps:cNvSpPr/>
                      <wps:spPr>
                        <a:xfrm>
                          <a:off x="0" y="0"/>
                          <a:ext cx="1558521" cy="74814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7C807723" w14:textId="36FB6205" w:rsidR="00C4013D" w:rsidRDefault="00C4013D" w:rsidP="00AB0CC2">
                            <w:pPr>
                              <w:jc w:val="center"/>
                            </w:pPr>
                            <w:r>
                              <w:t>&gt;2</w:t>
                            </w:r>
                            <w:r w:rsidRPr="00AB0CC2">
                              <w:t xml:space="preserve">0 types of </w:t>
                            </w:r>
                            <w:r>
                              <w:t>BEV</w:t>
                            </w:r>
                          </w:p>
                          <w:p w14:paraId="24E03254" w14:textId="24302AC5" w:rsidR="00C4013D" w:rsidRPr="00AB0CC2" w:rsidRDefault="00C4013D" w:rsidP="00AB0CC2">
                            <w:pPr>
                              <w:jc w:val="center"/>
                            </w:pPr>
                            <w:r w:rsidRPr="00AB0CC2">
                              <w:t xml:space="preserve"> </w:t>
                            </w:r>
                            <w:r>
                              <w:t>&lt;25</w:t>
                            </w:r>
                            <w:r w:rsidRPr="00AB0CC2">
                              <w:t xml:space="preserve"> types of </w:t>
                            </w:r>
                            <w:r>
                              <w:t>PHEV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343B0EE" id="矩形 16" o:spid="_x0000_s1026" style="position:absolute;left:0;text-align:left;margin-left:271.25pt;margin-top:2.7pt;width:122.7pt;height:58.9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" filled="f" stroked="f" strokeweight="1pt">
                <v:textbox>
                  <w:txbxContent>
                    <w:p w14:paraId="7C807723" w14:textId="36FB6205" w:rsidR="00C4013D" w:rsidRDefault="00C4013D" w:rsidP="00AB0CC2">
                      <w:pPr>
                        <w:jc w:val="center"/>
                      </w:pPr>
                      <w:r>
                        <w:t>&gt;2</w:t>
                      </w:r>
                      <w:r w:rsidRPr="00AB0CC2">
                        <w:t xml:space="preserve">0 types of </w:t>
                      </w:r>
                      <w:r>
                        <w:t>BEV</w:t>
                      </w:r>
                    </w:p>
                    <w:p w14:paraId="24E03254" w14:textId="24302AC5" w:rsidR="00C4013D" w:rsidRPr="00AB0CC2" w:rsidRDefault="00C4013D" w:rsidP="00AB0CC2">
                      <w:pPr>
                        <w:jc w:val="center"/>
                      </w:pPr>
                      <w:r w:rsidRPr="00AB0CC2">
                        <w:t xml:space="preserve"> </w:t>
                      </w:r>
                      <w:r>
                        <w:t>&lt;25</w:t>
                      </w:r>
                      <w:r w:rsidRPr="00AB0CC2">
                        <w:t xml:space="preserve"> types of </w:t>
                      </w:r>
                      <w:r>
                        <w:t>PHEV</w:t>
                      </w:r>
                    </w:p>
                  </w:txbxContent>
                </v:textbox>
                <w10:wrap anchorx="margin"/>
              </v:rect>
            </w:pict>
          </mc:Fallback>
        </mc:AlternateContent>
      </w:r>
    </w:p>
    <w:p w14:paraId="619AEF8F" w14:textId="405D2BDB" w:rsidR="006E432A" w:rsidRPr="00341AB1" w:rsidRDefault="00A547BB" w:rsidP="00D55895">
      <w:pPr>
        <w:spacing w:line="480" w:lineRule="auto"/>
        <w:rPr>
          <w:rFonts w:ascii="Times New Roman" w:hAnsi="Times New Roman" w:cs="Times New Roman"/>
          <w:sz w:val="24"/>
          <w:szCs w:val="24"/>
        </w:rPr>
      </w:pPr>
      <w:r w:rsidRPr="00341AB1">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79F66529" wp14:editId="230B69D8">
                <wp:simplePos x="0" y="0"/>
                <wp:positionH relativeFrom="margin">
                  <wp:posOffset>1773266</wp:posOffset>
                </wp:positionH>
                <wp:positionV relativeFrom="paragraph">
                  <wp:posOffset>82550</wp:posOffset>
                </wp:positionV>
                <wp:extent cx="1440295" cy="748145"/>
                <wp:effectExtent l="0" t="0" r="0" b="0"/>
                <wp:wrapNone/>
                <wp:docPr id="15" name="矩形 15"/>
                <wp:cNvGraphicFramePr/>
                <a:graphic xmlns:a="http://schemas.openxmlformats.org/drawingml/2006/main">
                  <a:graphicData uri="http://schemas.microsoft.com/office/word/2010/wordprocessingShape">
                    <wps:wsp>
                      <wps:cNvSpPr/>
                      <wps:spPr>
                        <a:xfrm>
                          <a:off x="0" y="0"/>
                          <a:ext cx="1440295" cy="74814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509D0E7D" w14:textId="77777777" w:rsidR="00C4013D" w:rsidRDefault="00C4013D" w:rsidP="00AB0CC2">
                            <w:pPr>
                              <w:jc w:val="center"/>
                            </w:pPr>
                            <w:r>
                              <w:t>&gt;</w:t>
                            </w:r>
                            <w:r w:rsidRPr="00AB0CC2">
                              <w:t xml:space="preserve">10 types of </w:t>
                            </w:r>
                            <w:r>
                              <w:t>BEV</w:t>
                            </w:r>
                          </w:p>
                          <w:p w14:paraId="57DA7655" w14:textId="48619395" w:rsidR="00C4013D" w:rsidRDefault="00C4013D" w:rsidP="00AB0CC2">
                            <w:pPr>
                              <w:jc w:val="center"/>
                            </w:pPr>
                            <w:r w:rsidRPr="00AB0CC2">
                              <w:t xml:space="preserve"> </w:t>
                            </w:r>
                            <w:r>
                              <w:t>&gt;</w:t>
                            </w:r>
                            <w:r w:rsidRPr="00AB0CC2">
                              <w:t xml:space="preserve">10 types of </w:t>
                            </w:r>
                            <w:r>
                              <w:t>PHEV</w:t>
                            </w:r>
                          </w:p>
                          <w:p w14:paraId="41EA095C" w14:textId="72FA8340" w:rsidR="00C4013D" w:rsidRPr="00AB0CC2" w:rsidRDefault="00C4013D" w:rsidP="00AB0C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F66529" id="矩形 15" o:spid="_x0000_s1027" style="position:absolute;left:0;text-align:left;margin-left:139.65pt;margin-top:6.5pt;width:113.4pt;height:58.9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" filled="f" stroked="f" strokeweight="1pt">
                <v:textbox>
                  <w:txbxContent>
                    <w:p w14:paraId="509D0E7D" w14:textId="77777777" w:rsidR="00C4013D" w:rsidRDefault="00C4013D" w:rsidP="00AB0CC2">
                      <w:pPr>
                        <w:jc w:val="center"/>
                      </w:pPr>
                      <w:r>
                        <w:t>&gt;</w:t>
                      </w:r>
                      <w:r w:rsidRPr="00AB0CC2">
                        <w:t xml:space="preserve">10 types of </w:t>
                      </w:r>
                      <w:r>
                        <w:t>BEV</w:t>
                      </w:r>
                    </w:p>
                    <w:p w14:paraId="57DA7655" w14:textId="48619395" w:rsidR="00C4013D" w:rsidRDefault="00C4013D" w:rsidP="00AB0CC2">
                      <w:pPr>
                        <w:jc w:val="center"/>
                      </w:pPr>
                      <w:r w:rsidRPr="00AB0CC2">
                        <w:t xml:space="preserve"> </w:t>
                      </w:r>
                      <w:r>
                        <w:t>&gt;</w:t>
                      </w:r>
                      <w:r w:rsidRPr="00AB0CC2">
                        <w:t xml:space="preserve">10 types of </w:t>
                      </w:r>
                      <w:r>
                        <w:t>PHEV</w:t>
                      </w:r>
                    </w:p>
                    <w:p w14:paraId="41EA095C" w14:textId="72FA8340" w:rsidR="00C4013D" w:rsidRPr="00AB0CC2" w:rsidRDefault="00C4013D" w:rsidP="00AB0CC2">
                      <w:pPr>
                        <w:jc w:val="center"/>
                      </w:pPr>
                    </w:p>
                  </w:txbxContent>
                </v:textbox>
                <w10:wrap anchorx="margin"/>
              </v:rect>
            </w:pict>
          </mc:Fallback>
        </mc:AlternateContent>
      </w:r>
      <w:r w:rsidR="00D75891" w:rsidRPr="00341AB1">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4A940591" wp14:editId="5096E376">
                <wp:simplePos x="0" y="0"/>
                <wp:positionH relativeFrom="column">
                  <wp:posOffset>221268</wp:posOffset>
                </wp:positionH>
                <wp:positionV relativeFrom="paragraph">
                  <wp:posOffset>401262</wp:posOffset>
                </wp:positionV>
                <wp:extent cx="1184564" cy="748145"/>
                <wp:effectExtent l="0" t="0" r="0" b="0"/>
                <wp:wrapNone/>
                <wp:docPr id="14" name="矩形 14"/>
                <wp:cNvGraphicFramePr/>
                <a:graphic xmlns:a="http://schemas.openxmlformats.org/drawingml/2006/main">
                  <a:graphicData uri="http://schemas.microsoft.com/office/word/2010/wordprocessingShape">
                    <wps:wsp>
                      <wps:cNvSpPr/>
                      <wps:spPr>
                        <a:xfrm>
                          <a:off x="0" y="0"/>
                          <a:ext cx="1184564" cy="74814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7EED2FD4" w14:textId="5E7C20EB" w:rsidR="00C4013D" w:rsidRDefault="00C4013D" w:rsidP="00AB0CC2">
                            <w:pPr>
                              <w:jc w:val="center"/>
                            </w:pPr>
                            <w:r>
                              <w:t>EVA platform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940591" id="矩形 14" o:spid="_x0000_s1028" style="position:absolute;left:0;text-align:left;margin-left:17.4pt;margin-top:31.6pt;width:93.25pt;height:58.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" filled="f" stroked="f" strokeweight="1pt">
                <v:textbox>
                  <w:txbxContent>
                    <w:p w14:paraId="7EED2FD4" w14:textId="5E7C20EB" w:rsidR="00C4013D" w:rsidRDefault="00C4013D" w:rsidP="00AB0CC2">
                      <w:pPr>
                        <w:jc w:val="center"/>
                      </w:pPr>
                      <w:r>
                        <w:t>EVA platform</w:t>
                      </w:r>
                    </w:p>
                  </w:txbxContent>
                </v:textbox>
              </v:rect>
            </w:pict>
          </mc:Fallback>
        </mc:AlternateContent>
      </w:r>
      <w:r w:rsidR="00AB0CC2" w:rsidRPr="00341AB1">
        <w:rPr>
          <w:rFonts w:ascii="Times New Roman" w:hAnsi="Times New Roman" w:cs="Times New Roman"/>
          <w:noProof/>
          <w:sz w:val="24"/>
          <w:szCs w:val="24"/>
        </w:rPr>
        <w:drawing>
          <wp:inline distT="0" distB="0" distL="0" distR="0" wp14:anchorId="34771D8E" wp14:editId="144467B8">
            <wp:extent cx="5060373" cy="2625436"/>
            <wp:effectExtent l="38100" t="0" r="64135" b="0"/>
            <wp:docPr id="13" name="图示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8C575D3" w14:textId="3B14B7AA" w:rsidR="00E24F94" w:rsidRPr="00341AB1" w:rsidRDefault="00CF2E39" w:rsidP="00CF2E39">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Fig 1-4</w:t>
      </w:r>
      <w:r w:rsidR="0023093C" w:rsidRPr="00341AB1">
        <w:rPr>
          <w:rFonts w:ascii="Times New Roman" w:hAnsi="Times New Roman" w:cs="Times New Roman"/>
          <w:sz w:val="24"/>
          <w:szCs w:val="24"/>
        </w:rPr>
        <w:t xml:space="preserve"> Daimler EV plan</w:t>
      </w:r>
    </w:p>
    <w:p w14:paraId="5340AC07" w14:textId="60A0D6A1" w:rsidR="0007610A" w:rsidRPr="00341AB1" w:rsidRDefault="00E24F94"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lastRenderedPageBreak/>
        <w:t xml:space="preserve">Not only that, Daimler also purchases a large number of new energy vehicle batteries worldwide. According to Daimler's announcement, Daimler has </w:t>
      </w:r>
      <w:proofErr w:type="gramStart"/>
      <w:r w:rsidRPr="00341AB1">
        <w:rPr>
          <w:rFonts w:ascii="Times New Roman" w:hAnsi="Times New Roman" w:cs="Times New Roman"/>
          <w:sz w:val="24"/>
          <w:szCs w:val="24"/>
        </w:rPr>
        <w:t>signed  20</w:t>
      </w:r>
      <w:proofErr w:type="gramEnd"/>
      <w:r w:rsidRPr="00341AB1">
        <w:rPr>
          <w:rFonts w:ascii="Times New Roman" w:hAnsi="Times New Roman" w:cs="Times New Roman"/>
          <w:sz w:val="24"/>
          <w:szCs w:val="24"/>
        </w:rPr>
        <w:t xml:space="preserve"> billion euro</w:t>
      </w:r>
      <w:r w:rsidR="0023093C" w:rsidRPr="00341AB1">
        <w:rPr>
          <w:rFonts w:ascii="Times New Roman" w:hAnsi="Times New Roman" w:cs="Times New Roman"/>
          <w:sz w:val="24"/>
          <w:szCs w:val="24"/>
        </w:rPr>
        <w:t>s</w:t>
      </w:r>
      <w:r w:rsidRPr="00341AB1">
        <w:rPr>
          <w:rFonts w:ascii="Times New Roman" w:hAnsi="Times New Roman" w:cs="Times New Roman"/>
          <w:sz w:val="24"/>
          <w:szCs w:val="24"/>
        </w:rPr>
        <w:t xml:space="preserve"> power battery procurement plan, and the company will carry out power battery module production in eight bases on three continents. The main battery suppliers are CATL, LG, Lithium energy, SK, etc.</w:t>
      </w:r>
    </w:p>
    <w:p w14:paraId="1D719C9A" w14:textId="06A69B1C" w:rsidR="00A1716F" w:rsidRPr="00341AB1" w:rsidRDefault="00A1716F" w:rsidP="00264398">
      <w:pPr>
        <w:pStyle w:val="1"/>
        <w:spacing w:before="0" w:after="0" w:line="480" w:lineRule="auto"/>
        <w:jc w:val="center"/>
        <w:rPr>
          <w:rFonts w:ascii="Times New Roman" w:hAnsi="Times New Roman" w:cs="Times New Roman"/>
          <w:sz w:val="24"/>
          <w:szCs w:val="24"/>
        </w:rPr>
      </w:pPr>
      <w:bookmarkStart w:id="5" w:name="_Toc58771690"/>
      <w:r w:rsidRPr="00341AB1">
        <w:rPr>
          <w:rFonts w:ascii="Times New Roman" w:hAnsi="Times New Roman" w:cs="Times New Roman"/>
          <w:sz w:val="24"/>
          <w:szCs w:val="24"/>
        </w:rPr>
        <w:t>2 Analysis of new energy vehicle industry</w:t>
      </w:r>
      <w:bookmarkEnd w:id="5"/>
    </w:p>
    <w:p w14:paraId="49E75E1E" w14:textId="4C127273" w:rsidR="00904B87" w:rsidRPr="00341AB1" w:rsidRDefault="00A1716F" w:rsidP="00904B87">
      <w:pPr>
        <w:pStyle w:val="2"/>
        <w:spacing w:before="0" w:after="0" w:line="480" w:lineRule="auto"/>
        <w:rPr>
          <w:rFonts w:ascii="Times New Roman" w:hAnsi="Times New Roman" w:cs="Times New Roman"/>
          <w:sz w:val="24"/>
          <w:szCs w:val="24"/>
        </w:rPr>
      </w:pPr>
      <w:bookmarkStart w:id="6" w:name="_Toc58771691"/>
      <w:r w:rsidRPr="00341AB1">
        <w:rPr>
          <w:rFonts w:ascii="Times New Roman" w:hAnsi="Times New Roman" w:cs="Times New Roman"/>
          <w:sz w:val="24"/>
          <w:szCs w:val="24"/>
        </w:rPr>
        <w:t xml:space="preserve">2.1 </w:t>
      </w:r>
      <w:r w:rsidR="00A2358E" w:rsidRPr="00341AB1">
        <w:rPr>
          <w:rFonts w:ascii="Times New Roman" w:hAnsi="Times New Roman" w:cs="Times New Roman"/>
          <w:sz w:val="24"/>
          <w:szCs w:val="24"/>
        </w:rPr>
        <w:t>N</w:t>
      </w:r>
      <w:r w:rsidRPr="00341AB1">
        <w:rPr>
          <w:rFonts w:ascii="Times New Roman" w:hAnsi="Times New Roman" w:cs="Times New Roman"/>
          <w:sz w:val="24"/>
          <w:szCs w:val="24"/>
        </w:rPr>
        <w:t>ew energy vehicle industry</w:t>
      </w:r>
      <w:bookmarkEnd w:id="6"/>
    </w:p>
    <w:p w14:paraId="6D3E9950" w14:textId="6E623DBD" w:rsidR="00A1716F" w:rsidRPr="00341AB1" w:rsidRDefault="00A2358E"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Actually, in the early 19</w:t>
      </w:r>
      <w:r w:rsidRPr="00341AB1">
        <w:rPr>
          <w:rFonts w:ascii="Times New Roman" w:hAnsi="Times New Roman" w:cs="Times New Roman"/>
          <w:sz w:val="24"/>
          <w:szCs w:val="24"/>
          <w:vertAlign w:val="superscript"/>
        </w:rPr>
        <w:t>th</w:t>
      </w:r>
      <w:r w:rsidRPr="00341AB1">
        <w:rPr>
          <w:rFonts w:ascii="Times New Roman" w:hAnsi="Times New Roman" w:cs="Times New Roman"/>
          <w:sz w:val="24"/>
          <w:szCs w:val="24"/>
        </w:rPr>
        <w:t xml:space="preserve"> century, there are electric vehicles on the road. </w:t>
      </w:r>
      <w:r w:rsidR="00A1716F" w:rsidRPr="00341AB1">
        <w:rPr>
          <w:rFonts w:ascii="Times New Roman" w:hAnsi="Times New Roman" w:cs="Times New Roman"/>
          <w:sz w:val="24"/>
          <w:szCs w:val="24"/>
        </w:rPr>
        <w:t>They have been very successful and sold well</w:t>
      </w:r>
      <w:r w:rsidRPr="00341AB1">
        <w:rPr>
          <w:rFonts w:ascii="Times New Roman" w:hAnsi="Times New Roman" w:cs="Times New Roman"/>
          <w:sz w:val="24"/>
          <w:szCs w:val="24"/>
        </w:rPr>
        <w:t xml:space="preserve">. </w:t>
      </w:r>
      <w:r w:rsidR="00A1716F" w:rsidRPr="00341AB1">
        <w:rPr>
          <w:rFonts w:ascii="Times New Roman" w:hAnsi="Times New Roman" w:cs="Times New Roman"/>
          <w:sz w:val="24"/>
          <w:szCs w:val="24"/>
        </w:rPr>
        <w:t xml:space="preserve">It reached </w:t>
      </w:r>
      <w:proofErr w:type="spellStart"/>
      <w:r w:rsidR="00A1716F" w:rsidRPr="00341AB1">
        <w:rPr>
          <w:rFonts w:ascii="Times New Roman" w:hAnsi="Times New Roman" w:cs="Times New Roman"/>
          <w:sz w:val="24"/>
          <w:szCs w:val="24"/>
        </w:rPr>
        <w:t>it</w:t>
      </w:r>
      <w:r w:rsidR="00F06DF4" w:rsidRPr="00341AB1">
        <w:rPr>
          <w:rFonts w:ascii="Times New Roman" w:hAnsi="Times New Roman" w:cs="Times New Roman"/>
          <w:sz w:val="24"/>
          <w:szCs w:val="24"/>
        </w:rPr>
        <w:t>’</w:t>
      </w:r>
      <w:r w:rsidR="00A1716F" w:rsidRPr="00341AB1">
        <w:rPr>
          <w:rFonts w:ascii="Times New Roman" w:hAnsi="Times New Roman" w:cs="Times New Roman"/>
          <w:sz w:val="24"/>
          <w:szCs w:val="24"/>
        </w:rPr>
        <w:t>s</w:t>
      </w:r>
      <w:proofErr w:type="spellEnd"/>
      <w:r w:rsidR="00A1716F" w:rsidRPr="00341AB1">
        <w:rPr>
          <w:rFonts w:ascii="Times New Roman" w:hAnsi="Times New Roman" w:cs="Times New Roman"/>
          <w:sz w:val="24"/>
          <w:szCs w:val="24"/>
        </w:rPr>
        <w:t xml:space="preserve"> peak in 1912. However, it did not last long. In the 1920s, the price of gasoline was reduced</w:t>
      </w:r>
      <w:r w:rsidRPr="00341AB1">
        <w:rPr>
          <w:rFonts w:ascii="Times New Roman" w:hAnsi="Times New Roman" w:cs="Times New Roman"/>
          <w:sz w:val="24"/>
          <w:szCs w:val="24"/>
        </w:rPr>
        <w:t xml:space="preserve"> because of large oil fields founded</w:t>
      </w:r>
      <w:r w:rsidR="00A1716F" w:rsidRPr="00341AB1">
        <w:rPr>
          <w:rFonts w:ascii="Times New Roman" w:hAnsi="Times New Roman" w:cs="Times New Roman"/>
          <w:sz w:val="24"/>
          <w:szCs w:val="24"/>
        </w:rPr>
        <w:t>, and the technical progress of internal combustion engine,</w:t>
      </w:r>
      <w:r w:rsidRPr="00341AB1">
        <w:rPr>
          <w:rFonts w:ascii="Times New Roman" w:hAnsi="Times New Roman" w:cs="Times New Roman"/>
          <w:sz w:val="24"/>
          <w:szCs w:val="24"/>
        </w:rPr>
        <w:t xml:space="preserve"> people gradually used</w:t>
      </w:r>
      <w:r w:rsidR="00A1716F" w:rsidRPr="00341AB1">
        <w:rPr>
          <w:rFonts w:ascii="Times New Roman" w:hAnsi="Times New Roman" w:cs="Times New Roman"/>
          <w:sz w:val="24"/>
          <w:szCs w:val="24"/>
        </w:rPr>
        <w:t xml:space="preserve"> gasoline vehicles </w:t>
      </w:r>
      <w:r w:rsidRPr="00341AB1">
        <w:rPr>
          <w:rFonts w:ascii="Times New Roman" w:hAnsi="Times New Roman" w:cs="Times New Roman"/>
          <w:sz w:val="24"/>
          <w:szCs w:val="24"/>
        </w:rPr>
        <w:t>instead of electric vehicles</w:t>
      </w:r>
      <w:r w:rsidR="00A1716F" w:rsidRPr="00341AB1">
        <w:rPr>
          <w:rFonts w:ascii="Times New Roman" w:hAnsi="Times New Roman" w:cs="Times New Roman"/>
          <w:sz w:val="24"/>
          <w:szCs w:val="24"/>
        </w:rPr>
        <w:t xml:space="preserve">. </w:t>
      </w:r>
      <w:r w:rsidR="0036694F" w:rsidRPr="00341AB1">
        <w:rPr>
          <w:rFonts w:ascii="Times New Roman" w:hAnsi="Times New Roman" w:cs="Times New Roman"/>
          <w:sz w:val="24"/>
          <w:szCs w:val="24"/>
        </w:rPr>
        <w:t xml:space="preserve">As a result, electric vehicles have gradually disappeared in the public view. </w:t>
      </w:r>
      <w:r w:rsidR="00A1716F" w:rsidRPr="00341AB1">
        <w:rPr>
          <w:rFonts w:ascii="Times New Roman" w:hAnsi="Times New Roman" w:cs="Times New Roman"/>
          <w:sz w:val="24"/>
          <w:szCs w:val="24"/>
        </w:rPr>
        <w:t xml:space="preserve">Since then, although there are still some electric vehicles coming out, </w:t>
      </w:r>
      <w:r w:rsidR="0036694F" w:rsidRPr="00341AB1">
        <w:rPr>
          <w:rFonts w:ascii="Times New Roman" w:hAnsi="Times New Roman" w:cs="Times New Roman"/>
          <w:sz w:val="24"/>
          <w:szCs w:val="24"/>
        </w:rPr>
        <w:t>but they can't mass produce because of the high cost</w:t>
      </w:r>
      <w:r w:rsidR="00A1716F" w:rsidRPr="00341AB1">
        <w:rPr>
          <w:rFonts w:ascii="Times New Roman" w:hAnsi="Times New Roman" w:cs="Times New Roman"/>
          <w:sz w:val="24"/>
          <w:szCs w:val="24"/>
        </w:rPr>
        <w:t xml:space="preserve">. Until </w:t>
      </w:r>
      <w:r w:rsidR="00541AD0" w:rsidRPr="00341AB1">
        <w:rPr>
          <w:rFonts w:ascii="Times New Roman" w:hAnsi="Times New Roman" w:cs="Times New Roman"/>
          <w:sz w:val="24"/>
          <w:szCs w:val="24"/>
        </w:rPr>
        <w:t>late 20th century</w:t>
      </w:r>
      <w:r w:rsidR="00A1716F" w:rsidRPr="00341AB1">
        <w:rPr>
          <w:rFonts w:ascii="Times New Roman" w:hAnsi="Times New Roman" w:cs="Times New Roman"/>
          <w:sz w:val="24"/>
          <w:szCs w:val="24"/>
        </w:rPr>
        <w:t xml:space="preserve">, </w:t>
      </w:r>
      <w:r w:rsidR="00541AD0" w:rsidRPr="00341AB1">
        <w:rPr>
          <w:rFonts w:ascii="Times New Roman" w:hAnsi="Times New Roman" w:cs="Times New Roman"/>
          <w:sz w:val="24"/>
          <w:szCs w:val="24"/>
        </w:rPr>
        <w:t>With the shortage of oil resources and the increasingly serious harm of global warming, electric vehicles began to appear in people's vision. In the 21st century, electric vehicle industry has become a strategic key industry in many countries.</w:t>
      </w:r>
      <w:r w:rsidR="00A1716F" w:rsidRPr="00341AB1">
        <w:rPr>
          <w:rFonts w:ascii="Times New Roman" w:hAnsi="Times New Roman" w:cs="Times New Roman"/>
          <w:sz w:val="24"/>
          <w:szCs w:val="24"/>
        </w:rPr>
        <w:t xml:space="preserve"> The world automobile industry has entered a period of comprehensive transformation.</w:t>
      </w:r>
    </w:p>
    <w:p w14:paraId="7DE5FC55" w14:textId="64D9CF66" w:rsidR="00A1716F" w:rsidRPr="00341AB1" w:rsidRDefault="00A1716F"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At present, there are three kinds of electric vehicles: pure electric vehicles, hybrid electric vehicles and fuel cell vehicles. The </w:t>
      </w:r>
      <w:r w:rsidR="00541AD0" w:rsidRPr="00341AB1">
        <w:rPr>
          <w:rFonts w:ascii="Times New Roman" w:hAnsi="Times New Roman" w:cs="Times New Roman"/>
          <w:sz w:val="24"/>
          <w:szCs w:val="24"/>
        </w:rPr>
        <w:t>difference</w:t>
      </w:r>
      <w:r w:rsidRPr="00341AB1">
        <w:rPr>
          <w:rFonts w:ascii="Times New Roman" w:hAnsi="Times New Roman" w:cs="Times New Roman"/>
          <w:sz w:val="24"/>
          <w:szCs w:val="24"/>
        </w:rPr>
        <w:t xml:space="preserve"> of the three kinds of new energy vehicles is </w:t>
      </w:r>
      <w:r w:rsidR="00541AD0" w:rsidRPr="00341AB1">
        <w:rPr>
          <w:rFonts w:ascii="Times New Roman" w:hAnsi="Times New Roman" w:cs="Times New Roman"/>
          <w:sz w:val="24"/>
          <w:szCs w:val="24"/>
        </w:rPr>
        <w:t>presented</w:t>
      </w:r>
      <w:r w:rsidRPr="00341AB1">
        <w:rPr>
          <w:rFonts w:ascii="Times New Roman" w:hAnsi="Times New Roman" w:cs="Times New Roman"/>
          <w:sz w:val="24"/>
          <w:szCs w:val="24"/>
        </w:rPr>
        <w:t xml:space="preserve"> in </w:t>
      </w:r>
      <w:r w:rsidR="00236B7F" w:rsidRPr="00341AB1">
        <w:rPr>
          <w:rFonts w:ascii="Times New Roman" w:hAnsi="Times New Roman" w:cs="Times New Roman"/>
          <w:sz w:val="24"/>
          <w:szCs w:val="24"/>
        </w:rPr>
        <w:t>Figure</w:t>
      </w:r>
      <w:r w:rsidRPr="00341AB1">
        <w:rPr>
          <w:rFonts w:ascii="Times New Roman" w:hAnsi="Times New Roman" w:cs="Times New Roman"/>
          <w:sz w:val="24"/>
          <w:szCs w:val="24"/>
        </w:rPr>
        <w:t xml:space="preserve"> </w:t>
      </w:r>
      <w:r w:rsidR="00236B7F" w:rsidRPr="00341AB1">
        <w:rPr>
          <w:rFonts w:ascii="Times New Roman" w:hAnsi="Times New Roman" w:cs="Times New Roman"/>
          <w:sz w:val="24"/>
          <w:szCs w:val="24"/>
        </w:rPr>
        <w:t>2</w:t>
      </w:r>
      <w:r w:rsidRPr="00341AB1">
        <w:rPr>
          <w:rFonts w:ascii="Times New Roman" w:hAnsi="Times New Roman" w:cs="Times New Roman"/>
          <w:sz w:val="24"/>
          <w:szCs w:val="24"/>
        </w:rPr>
        <w:t xml:space="preserve">-1. At present, most developed countries </w:t>
      </w:r>
      <w:r w:rsidR="00541AD0" w:rsidRPr="00341AB1">
        <w:rPr>
          <w:rFonts w:ascii="Times New Roman" w:hAnsi="Times New Roman" w:cs="Times New Roman"/>
          <w:sz w:val="24"/>
          <w:szCs w:val="24"/>
        </w:rPr>
        <w:t xml:space="preserve">mainly focus </w:t>
      </w:r>
      <w:proofErr w:type="gramStart"/>
      <w:r w:rsidR="00541AD0" w:rsidRPr="00341AB1">
        <w:rPr>
          <w:rFonts w:ascii="Times New Roman" w:hAnsi="Times New Roman" w:cs="Times New Roman"/>
          <w:sz w:val="24"/>
          <w:szCs w:val="24"/>
        </w:rPr>
        <w:t xml:space="preserve">on </w:t>
      </w:r>
      <w:r w:rsidRPr="00341AB1">
        <w:rPr>
          <w:rFonts w:ascii="Times New Roman" w:hAnsi="Times New Roman" w:cs="Times New Roman"/>
          <w:sz w:val="24"/>
          <w:szCs w:val="24"/>
        </w:rPr>
        <w:t xml:space="preserve"> the</w:t>
      </w:r>
      <w:proofErr w:type="gramEnd"/>
      <w:r w:rsidRPr="00341AB1">
        <w:rPr>
          <w:rFonts w:ascii="Times New Roman" w:hAnsi="Times New Roman" w:cs="Times New Roman"/>
          <w:sz w:val="24"/>
          <w:szCs w:val="24"/>
        </w:rPr>
        <w:t xml:space="preserve"> development of </w:t>
      </w:r>
      <w:r w:rsidR="00541AD0" w:rsidRPr="00341AB1">
        <w:rPr>
          <w:rFonts w:ascii="Times New Roman" w:hAnsi="Times New Roman" w:cs="Times New Roman"/>
          <w:sz w:val="24"/>
          <w:szCs w:val="24"/>
        </w:rPr>
        <w:t>blade</w:t>
      </w:r>
      <w:r w:rsidRPr="00341AB1">
        <w:rPr>
          <w:rFonts w:ascii="Times New Roman" w:hAnsi="Times New Roman" w:cs="Times New Roman"/>
          <w:sz w:val="24"/>
          <w:szCs w:val="24"/>
        </w:rPr>
        <w:t xml:space="preserve"> electric vehicles, and it is </w:t>
      </w:r>
      <w:r w:rsidR="00541AD0" w:rsidRPr="00341AB1">
        <w:rPr>
          <w:rFonts w:ascii="Times New Roman" w:hAnsi="Times New Roman" w:cs="Times New Roman"/>
          <w:sz w:val="24"/>
          <w:szCs w:val="24"/>
        </w:rPr>
        <w:t>blade</w:t>
      </w:r>
      <w:r w:rsidRPr="00341AB1">
        <w:rPr>
          <w:rFonts w:ascii="Times New Roman" w:hAnsi="Times New Roman" w:cs="Times New Roman"/>
          <w:sz w:val="24"/>
          <w:szCs w:val="24"/>
        </w:rPr>
        <w:t xml:space="preserve"> electric vehicles that sell </w:t>
      </w:r>
      <w:r w:rsidRPr="00341AB1">
        <w:rPr>
          <w:rFonts w:ascii="Times New Roman" w:hAnsi="Times New Roman" w:cs="Times New Roman"/>
          <w:sz w:val="24"/>
          <w:szCs w:val="24"/>
        </w:rPr>
        <w:lastRenderedPageBreak/>
        <w:t>more in the international competitive market.</w:t>
      </w:r>
    </w:p>
    <w:p w14:paraId="0D28E9CB" w14:textId="37E6D9D4" w:rsidR="00702384" w:rsidRPr="00341AB1" w:rsidRDefault="00185DF6"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Table</w:t>
      </w:r>
      <w:r w:rsidR="00702384" w:rsidRPr="00341AB1">
        <w:rPr>
          <w:rFonts w:ascii="Times New Roman" w:hAnsi="Times New Roman" w:cs="Times New Roman"/>
          <w:sz w:val="24"/>
          <w:szCs w:val="24"/>
        </w:rPr>
        <w:t xml:space="preserve"> 2-1 Comparison of new energy vehicles</w:t>
      </w:r>
    </w:p>
    <w:tbl>
      <w:tblPr>
        <w:tblStyle w:val="a3"/>
        <w:tblW w:w="0" w:type="auto"/>
        <w:tblLook w:val="04A0" w:firstRow="1" w:lastRow="0" w:firstColumn="1" w:lastColumn="0" w:noHBand="0" w:noVBand="1"/>
      </w:tblPr>
      <w:tblGrid>
        <w:gridCol w:w="1696"/>
        <w:gridCol w:w="3834"/>
        <w:gridCol w:w="2766"/>
      </w:tblGrid>
      <w:tr w:rsidR="00B8101B" w:rsidRPr="00341AB1" w14:paraId="55F240E9" w14:textId="77777777" w:rsidTr="00B4700F">
        <w:tc>
          <w:tcPr>
            <w:tcW w:w="1696" w:type="dxa"/>
            <w:vAlign w:val="center"/>
          </w:tcPr>
          <w:p w14:paraId="323F9A7A" w14:textId="77777777" w:rsidR="00B8101B" w:rsidRPr="00341AB1" w:rsidRDefault="00B8101B" w:rsidP="00D55895">
            <w:pPr>
              <w:spacing w:line="480" w:lineRule="auto"/>
              <w:jc w:val="center"/>
              <w:rPr>
                <w:rFonts w:ascii="Times New Roman" w:hAnsi="Times New Roman" w:cs="Times New Roman"/>
                <w:sz w:val="24"/>
                <w:szCs w:val="24"/>
              </w:rPr>
            </w:pPr>
          </w:p>
        </w:tc>
        <w:tc>
          <w:tcPr>
            <w:tcW w:w="3834" w:type="dxa"/>
            <w:vAlign w:val="center"/>
          </w:tcPr>
          <w:p w14:paraId="4D15FAE8" w14:textId="34DAFF43" w:rsidR="00B8101B" w:rsidRPr="00341AB1" w:rsidRDefault="00B8101B"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Advantages</w:t>
            </w:r>
          </w:p>
        </w:tc>
        <w:tc>
          <w:tcPr>
            <w:tcW w:w="2766" w:type="dxa"/>
            <w:vAlign w:val="center"/>
          </w:tcPr>
          <w:p w14:paraId="5F478626" w14:textId="2568506E" w:rsidR="00B8101B" w:rsidRPr="00341AB1" w:rsidRDefault="00B8101B"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Disadvantages</w:t>
            </w:r>
          </w:p>
        </w:tc>
      </w:tr>
      <w:tr w:rsidR="00B8101B" w:rsidRPr="00341AB1" w14:paraId="42585C33" w14:textId="77777777" w:rsidTr="00B4700F">
        <w:tc>
          <w:tcPr>
            <w:tcW w:w="1696" w:type="dxa"/>
            <w:vAlign w:val="center"/>
          </w:tcPr>
          <w:p w14:paraId="49B11412" w14:textId="5C7D33CA" w:rsidR="00B8101B" w:rsidRPr="00341AB1" w:rsidRDefault="00B8101B"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Blade Electric Vehicles</w:t>
            </w:r>
          </w:p>
        </w:tc>
        <w:tc>
          <w:tcPr>
            <w:tcW w:w="3834" w:type="dxa"/>
            <w:vAlign w:val="center"/>
          </w:tcPr>
          <w:p w14:paraId="295BBFD2" w14:textId="3AE96D26" w:rsidR="00B8101B" w:rsidRPr="00341AB1" w:rsidRDefault="00B8101B"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zero emission; large space; maintenance</w:t>
            </w:r>
          </w:p>
        </w:tc>
        <w:tc>
          <w:tcPr>
            <w:tcW w:w="2766" w:type="dxa"/>
            <w:vAlign w:val="center"/>
          </w:tcPr>
          <w:p w14:paraId="3FDAA77E" w14:textId="5D8FE61C" w:rsidR="00B8101B" w:rsidRPr="00341AB1" w:rsidRDefault="00B8101B"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Short range; short battery life and high cost</w:t>
            </w:r>
          </w:p>
        </w:tc>
      </w:tr>
      <w:tr w:rsidR="00B8101B" w:rsidRPr="00341AB1" w14:paraId="1C944FA9" w14:textId="77777777" w:rsidTr="00B4700F">
        <w:tc>
          <w:tcPr>
            <w:tcW w:w="1696" w:type="dxa"/>
            <w:vAlign w:val="center"/>
          </w:tcPr>
          <w:p w14:paraId="52D5D8AF" w14:textId="241AEE9B" w:rsidR="00B8101B" w:rsidRPr="00341AB1" w:rsidRDefault="00B8101B"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 xml:space="preserve">Hybrid </w:t>
            </w:r>
            <w:r w:rsidR="00B4700F" w:rsidRPr="00341AB1">
              <w:rPr>
                <w:rFonts w:ascii="Times New Roman" w:hAnsi="Times New Roman" w:cs="Times New Roman"/>
                <w:sz w:val="24"/>
                <w:szCs w:val="24"/>
              </w:rPr>
              <w:t>E</w:t>
            </w:r>
            <w:r w:rsidRPr="00341AB1">
              <w:rPr>
                <w:rFonts w:ascii="Times New Roman" w:hAnsi="Times New Roman" w:cs="Times New Roman"/>
                <w:sz w:val="24"/>
                <w:szCs w:val="24"/>
              </w:rPr>
              <w:t>lectric vehicle</w:t>
            </w:r>
          </w:p>
        </w:tc>
        <w:tc>
          <w:tcPr>
            <w:tcW w:w="3834" w:type="dxa"/>
            <w:vAlign w:val="center"/>
          </w:tcPr>
          <w:p w14:paraId="70E68857" w14:textId="7BED1017" w:rsidR="00B8101B" w:rsidRPr="00341AB1" w:rsidRDefault="00B8101B"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Low emission; long range; can refuel</w:t>
            </w:r>
          </w:p>
        </w:tc>
        <w:tc>
          <w:tcPr>
            <w:tcW w:w="2766" w:type="dxa"/>
            <w:vAlign w:val="center"/>
          </w:tcPr>
          <w:p w14:paraId="5709587B" w14:textId="38BF00E4" w:rsidR="00B8101B" w:rsidRPr="00341AB1" w:rsidRDefault="00B8101B"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Complex structure; weak power output; slow driving speed; high cost</w:t>
            </w:r>
          </w:p>
        </w:tc>
      </w:tr>
      <w:tr w:rsidR="00B8101B" w:rsidRPr="00341AB1" w14:paraId="39FCE22C" w14:textId="77777777" w:rsidTr="00B4700F">
        <w:tc>
          <w:tcPr>
            <w:tcW w:w="1696" w:type="dxa"/>
            <w:vAlign w:val="center"/>
          </w:tcPr>
          <w:p w14:paraId="00C0CC3B" w14:textId="66C29B1E" w:rsidR="00B8101B" w:rsidRPr="00341AB1" w:rsidRDefault="00B8101B"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Fuel cell vehicle</w:t>
            </w:r>
          </w:p>
        </w:tc>
        <w:tc>
          <w:tcPr>
            <w:tcW w:w="3834" w:type="dxa"/>
            <w:vAlign w:val="center"/>
          </w:tcPr>
          <w:p w14:paraId="7F67B1FF" w14:textId="3D9401A4" w:rsidR="00B8101B" w:rsidRPr="00341AB1" w:rsidRDefault="00B8101B"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Zero emission, high efficiency, good fuel economy and long driving range</w:t>
            </w:r>
          </w:p>
        </w:tc>
        <w:tc>
          <w:tcPr>
            <w:tcW w:w="2766" w:type="dxa"/>
            <w:vAlign w:val="center"/>
          </w:tcPr>
          <w:p w14:paraId="4824772D" w14:textId="7DD62BF3" w:rsidR="00B8101B" w:rsidRPr="00341AB1" w:rsidRDefault="00B8101B"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The cost is good; the commercial application is not good</w:t>
            </w:r>
          </w:p>
        </w:tc>
      </w:tr>
    </w:tbl>
    <w:p w14:paraId="13911FEF" w14:textId="7F41016F" w:rsidR="00A1716F" w:rsidRPr="00341AB1" w:rsidRDefault="00A1716F"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The global new energy vehicles </w:t>
      </w:r>
      <w:r w:rsidR="00531BB9" w:rsidRPr="00341AB1">
        <w:rPr>
          <w:rFonts w:ascii="Times New Roman" w:hAnsi="Times New Roman" w:cs="Times New Roman"/>
          <w:sz w:val="24"/>
          <w:szCs w:val="24"/>
        </w:rPr>
        <w:t xml:space="preserve">industry </w:t>
      </w:r>
      <w:proofErr w:type="gramStart"/>
      <w:r w:rsidRPr="00341AB1">
        <w:rPr>
          <w:rFonts w:ascii="Times New Roman" w:hAnsi="Times New Roman" w:cs="Times New Roman"/>
          <w:sz w:val="24"/>
          <w:szCs w:val="24"/>
        </w:rPr>
        <w:t>are</w:t>
      </w:r>
      <w:proofErr w:type="gramEnd"/>
      <w:r w:rsidRPr="00341AB1">
        <w:rPr>
          <w:rFonts w:ascii="Times New Roman" w:hAnsi="Times New Roman" w:cs="Times New Roman"/>
          <w:sz w:val="24"/>
          <w:szCs w:val="24"/>
        </w:rPr>
        <w:t xml:space="preserve"> </w:t>
      </w:r>
      <w:r w:rsidR="00531BB9" w:rsidRPr="00341AB1">
        <w:rPr>
          <w:rFonts w:ascii="Times New Roman" w:hAnsi="Times New Roman" w:cs="Times New Roman"/>
          <w:sz w:val="24"/>
          <w:szCs w:val="24"/>
        </w:rPr>
        <w:t>going through</w:t>
      </w:r>
      <w:r w:rsidRPr="00341AB1">
        <w:rPr>
          <w:rFonts w:ascii="Times New Roman" w:hAnsi="Times New Roman" w:cs="Times New Roman"/>
          <w:sz w:val="24"/>
          <w:szCs w:val="24"/>
        </w:rPr>
        <w:t xml:space="preserve"> rapid</w:t>
      </w:r>
      <w:r w:rsidR="00531BB9" w:rsidRPr="00341AB1">
        <w:rPr>
          <w:rFonts w:ascii="Times New Roman" w:hAnsi="Times New Roman" w:cs="Times New Roman"/>
          <w:sz w:val="24"/>
          <w:szCs w:val="24"/>
        </w:rPr>
        <w:t>ly</w:t>
      </w:r>
      <w:r w:rsidRPr="00341AB1">
        <w:rPr>
          <w:rFonts w:ascii="Times New Roman" w:hAnsi="Times New Roman" w:cs="Times New Roman"/>
          <w:sz w:val="24"/>
          <w:szCs w:val="24"/>
        </w:rPr>
        <w:t xml:space="preserve"> develop</w:t>
      </w:r>
      <w:r w:rsidR="00531BB9" w:rsidRPr="00341AB1">
        <w:rPr>
          <w:rFonts w:ascii="Times New Roman" w:hAnsi="Times New Roman" w:cs="Times New Roman"/>
          <w:sz w:val="24"/>
          <w:szCs w:val="24"/>
        </w:rPr>
        <w:t>ing</w:t>
      </w:r>
      <w:r w:rsidRPr="00341AB1">
        <w:rPr>
          <w:rFonts w:ascii="Times New Roman" w:hAnsi="Times New Roman" w:cs="Times New Roman"/>
          <w:sz w:val="24"/>
          <w:szCs w:val="24"/>
        </w:rPr>
        <w:t>. The sales of new energy vehicles increased from 549000 to 2.21 million</w:t>
      </w:r>
      <w:r w:rsidR="004B2DDF" w:rsidRPr="00341AB1">
        <w:rPr>
          <w:rFonts w:ascii="Times New Roman" w:hAnsi="Times New Roman" w:cs="Times New Roman"/>
          <w:sz w:val="24"/>
          <w:szCs w:val="24"/>
        </w:rPr>
        <w:t xml:space="preserve"> all over the world</w:t>
      </w:r>
      <w:r w:rsidRPr="00341AB1">
        <w:rPr>
          <w:rFonts w:ascii="Times New Roman" w:hAnsi="Times New Roman" w:cs="Times New Roman"/>
          <w:sz w:val="24"/>
          <w:szCs w:val="24"/>
        </w:rPr>
        <w:t xml:space="preserve"> </w:t>
      </w:r>
      <w:r w:rsidR="00A70693" w:rsidRPr="00341AB1">
        <w:rPr>
          <w:rFonts w:ascii="Times New Roman" w:hAnsi="Times New Roman" w:cs="Times New Roman"/>
          <w:sz w:val="24"/>
          <w:szCs w:val="24"/>
        </w:rPr>
        <w:t>during 2015 to 2019</w:t>
      </w:r>
      <w:r w:rsidRPr="00341AB1">
        <w:rPr>
          <w:rFonts w:ascii="Times New Roman" w:hAnsi="Times New Roman" w:cs="Times New Roman"/>
          <w:sz w:val="24"/>
          <w:szCs w:val="24"/>
        </w:rPr>
        <w:t xml:space="preserve">, with a compound growth rate of 41.6%. </w:t>
      </w:r>
      <w:r w:rsidR="00A70693" w:rsidRPr="00341AB1">
        <w:rPr>
          <w:rFonts w:ascii="Times New Roman" w:hAnsi="Times New Roman" w:cs="Times New Roman"/>
          <w:sz w:val="24"/>
          <w:szCs w:val="24"/>
        </w:rPr>
        <w:t>Besides</w:t>
      </w:r>
      <w:r w:rsidRPr="00341AB1">
        <w:rPr>
          <w:rFonts w:ascii="Times New Roman" w:hAnsi="Times New Roman" w:cs="Times New Roman"/>
          <w:sz w:val="24"/>
          <w:szCs w:val="24"/>
        </w:rPr>
        <w:t>, the global new energy vehicle business is still in its infancy.</w:t>
      </w:r>
      <w:r w:rsidR="0027485E" w:rsidRPr="00341AB1">
        <w:rPr>
          <w:rFonts w:ascii="Times New Roman" w:hAnsi="Times New Roman" w:cs="Times New Roman"/>
          <w:sz w:val="24"/>
          <w:szCs w:val="24"/>
        </w:rPr>
        <w:t xml:space="preserve"> China Merchant Securities (2019, quoted in </w:t>
      </w:r>
      <w:proofErr w:type="spellStart"/>
      <w:r w:rsidR="0027485E" w:rsidRPr="00341AB1">
        <w:rPr>
          <w:rFonts w:ascii="Times New Roman" w:hAnsi="Times New Roman" w:cs="Times New Roman"/>
          <w:sz w:val="24"/>
          <w:szCs w:val="24"/>
        </w:rPr>
        <w:t>Markline</w:t>
      </w:r>
      <w:proofErr w:type="spellEnd"/>
      <w:r w:rsidR="0027485E" w:rsidRPr="00341AB1">
        <w:rPr>
          <w:rFonts w:ascii="Times New Roman" w:hAnsi="Times New Roman" w:cs="Times New Roman"/>
          <w:sz w:val="24"/>
          <w:szCs w:val="24"/>
        </w:rPr>
        <w:t>, 2019, p.39) presented</w:t>
      </w:r>
      <w:r w:rsidRPr="00341AB1">
        <w:rPr>
          <w:rFonts w:ascii="Times New Roman" w:hAnsi="Times New Roman" w:cs="Times New Roman"/>
          <w:sz w:val="24"/>
          <w:szCs w:val="24"/>
        </w:rPr>
        <w:t xml:space="preserve"> the </w:t>
      </w:r>
      <w:r w:rsidR="004B2DDF" w:rsidRPr="00341AB1">
        <w:rPr>
          <w:rFonts w:ascii="Times New Roman" w:hAnsi="Times New Roman" w:cs="Times New Roman"/>
          <w:sz w:val="24"/>
          <w:szCs w:val="24"/>
        </w:rPr>
        <w:t>yield</w:t>
      </w:r>
      <w:r w:rsidRPr="00341AB1">
        <w:rPr>
          <w:rFonts w:ascii="Times New Roman" w:hAnsi="Times New Roman" w:cs="Times New Roman"/>
          <w:sz w:val="24"/>
          <w:szCs w:val="24"/>
        </w:rPr>
        <w:t xml:space="preserve"> of new energy vehicles in 2019 is 2.21 million, and the penetration rate of new energy vehicles is only 2.40%. In 2019, as China's policy subsidies for new energy vehicles decline, the </w:t>
      </w:r>
      <w:r w:rsidR="004B2DDF" w:rsidRPr="00341AB1">
        <w:rPr>
          <w:rFonts w:ascii="Times New Roman" w:hAnsi="Times New Roman" w:cs="Times New Roman"/>
          <w:sz w:val="24"/>
          <w:szCs w:val="24"/>
        </w:rPr>
        <w:t xml:space="preserve">yield </w:t>
      </w:r>
      <w:r w:rsidRPr="00341AB1">
        <w:rPr>
          <w:rFonts w:ascii="Times New Roman" w:hAnsi="Times New Roman" w:cs="Times New Roman"/>
          <w:sz w:val="24"/>
          <w:szCs w:val="24"/>
        </w:rPr>
        <w:t xml:space="preserve">of new energy vehicles in China are lower than expected, but the growth rate is still positive. According to statistics, </w:t>
      </w:r>
      <w:r w:rsidR="004B2DDF" w:rsidRPr="00341AB1">
        <w:rPr>
          <w:rFonts w:ascii="Times New Roman" w:hAnsi="Times New Roman" w:cs="Times New Roman"/>
          <w:sz w:val="24"/>
          <w:szCs w:val="24"/>
        </w:rPr>
        <w:t xml:space="preserve">the proportion of </w:t>
      </w:r>
      <w:r w:rsidRPr="00341AB1">
        <w:rPr>
          <w:rFonts w:ascii="Times New Roman" w:hAnsi="Times New Roman" w:cs="Times New Roman"/>
          <w:sz w:val="24"/>
          <w:szCs w:val="24"/>
        </w:rPr>
        <w:t xml:space="preserve">China's sales of new energy vehicles </w:t>
      </w:r>
      <w:r w:rsidR="004B2DDF" w:rsidRPr="00341AB1">
        <w:rPr>
          <w:rFonts w:ascii="Times New Roman" w:hAnsi="Times New Roman" w:cs="Times New Roman"/>
          <w:sz w:val="24"/>
          <w:szCs w:val="24"/>
        </w:rPr>
        <w:t xml:space="preserve">is </w:t>
      </w:r>
      <w:r w:rsidRPr="00341AB1">
        <w:rPr>
          <w:rFonts w:ascii="Times New Roman" w:hAnsi="Times New Roman" w:cs="Times New Roman"/>
          <w:sz w:val="24"/>
          <w:szCs w:val="24"/>
        </w:rPr>
        <w:t xml:space="preserve">more than 50% of the world, so the decline in sales of new energy vehicles in China has led to a decline in the growth rate of global new energy vehicles. However, </w:t>
      </w:r>
      <w:r w:rsidR="004B2DDF" w:rsidRPr="00341AB1">
        <w:rPr>
          <w:rFonts w:ascii="Times New Roman" w:hAnsi="Times New Roman" w:cs="Times New Roman"/>
          <w:sz w:val="24"/>
          <w:szCs w:val="24"/>
        </w:rPr>
        <w:t xml:space="preserve">With the </w:t>
      </w:r>
      <w:r w:rsidR="004B2DDF" w:rsidRPr="00341AB1">
        <w:rPr>
          <w:rFonts w:ascii="Times New Roman" w:hAnsi="Times New Roman" w:cs="Times New Roman"/>
          <w:sz w:val="24"/>
          <w:szCs w:val="24"/>
        </w:rPr>
        <w:lastRenderedPageBreak/>
        <w:t>increase of subsidies for electric vehicles in China,</w:t>
      </w:r>
      <w:r w:rsidRPr="00341AB1">
        <w:rPr>
          <w:rFonts w:ascii="Times New Roman" w:hAnsi="Times New Roman" w:cs="Times New Roman"/>
          <w:sz w:val="24"/>
          <w:szCs w:val="24"/>
        </w:rPr>
        <w:t xml:space="preserve"> the sales of new energy vehicles in China </w:t>
      </w:r>
      <w:proofErr w:type="gramStart"/>
      <w:r w:rsidR="004B2DDF" w:rsidRPr="00341AB1">
        <w:rPr>
          <w:rFonts w:ascii="Times New Roman" w:hAnsi="Times New Roman" w:cs="Times New Roman"/>
          <w:sz w:val="24"/>
          <w:szCs w:val="24"/>
        </w:rPr>
        <w:t>is</w:t>
      </w:r>
      <w:proofErr w:type="gramEnd"/>
      <w:r w:rsidR="004B2DDF" w:rsidRPr="00341AB1">
        <w:rPr>
          <w:rFonts w:ascii="Times New Roman" w:hAnsi="Times New Roman" w:cs="Times New Roman"/>
          <w:sz w:val="24"/>
          <w:szCs w:val="24"/>
        </w:rPr>
        <w:t xml:space="preserve"> estimated to</w:t>
      </w:r>
      <w:r w:rsidRPr="00341AB1">
        <w:rPr>
          <w:rFonts w:ascii="Times New Roman" w:hAnsi="Times New Roman" w:cs="Times New Roman"/>
          <w:sz w:val="24"/>
          <w:szCs w:val="24"/>
        </w:rPr>
        <w:t xml:space="preserve"> increase. The market prospect of new energy vehicles in the world is very broad. </w:t>
      </w:r>
      <w:r w:rsidR="004B2DDF" w:rsidRPr="00341AB1">
        <w:rPr>
          <w:rFonts w:ascii="Times New Roman" w:hAnsi="Times New Roman" w:cs="Times New Roman"/>
          <w:sz w:val="24"/>
          <w:szCs w:val="24"/>
        </w:rPr>
        <w:t>The prospect of new energy vehicles is still very broad</w:t>
      </w:r>
      <w:r w:rsidRPr="00341AB1">
        <w:rPr>
          <w:rFonts w:ascii="Times New Roman" w:hAnsi="Times New Roman" w:cs="Times New Roman"/>
          <w:sz w:val="24"/>
          <w:szCs w:val="24"/>
        </w:rPr>
        <w:t>.</w:t>
      </w:r>
    </w:p>
    <w:p w14:paraId="4FCBB62A" w14:textId="4253F3A9" w:rsidR="00A1716F" w:rsidRPr="00341AB1" w:rsidRDefault="00A1716F" w:rsidP="00D55895">
      <w:pPr>
        <w:spacing w:line="480" w:lineRule="auto"/>
        <w:jc w:val="center"/>
        <w:rPr>
          <w:rFonts w:ascii="Times New Roman" w:hAnsi="Times New Roman" w:cs="Times New Roman"/>
          <w:sz w:val="24"/>
          <w:szCs w:val="24"/>
        </w:rPr>
      </w:pPr>
      <w:r w:rsidRPr="00341AB1">
        <w:rPr>
          <w:rFonts w:ascii="Times New Roman" w:hAnsi="Times New Roman" w:cs="Times New Roman"/>
          <w:noProof/>
          <w:sz w:val="24"/>
          <w:szCs w:val="24"/>
        </w:rPr>
        <w:drawing>
          <wp:inline distT="0" distB="0" distL="0" distR="0" wp14:anchorId="347E9F4B" wp14:editId="78B1DD88">
            <wp:extent cx="4870450" cy="2882900"/>
            <wp:effectExtent l="0" t="0" r="6350" b="12700"/>
            <wp:docPr id="1" name="图表 1">
              <a:extLst xmlns:a="http://schemas.openxmlformats.org/drawingml/2006/main">
                <a:ext uri="{FF2B5EF4-FFF2-40B4-BE49-F238E27FC236}">
                  <a16:creationId xmlns:a16="http://schemas.microsoft.com/office/drawing/2014/main" id="{467BE5A3-9947-400E-BB6F-5D4EC3DAD6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9B77FC6" w14:textId="585B135F" w:rsidR="00A1716F" w:rsidRPr="00341AB1" w:rsidRDefault="00185DF6"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Fig</w:t>
      </w:r>
      <w:r w:rsidR="00415F6E" w:rsidRPr="00341AB1">
        <w:rPr>
          <w:rFonts w:ascii="Times New Roman" w:hAnsi="Times New Roman" w:cs="Times New Roman"/>
          <w:sz w:val="24"/>
          <w:szCs w:val="24"/>
        </w:rPr>
        <w:t xml:space="preserve"> 2-1 Sales of new energy vehicles</w:t>
      </w:r>
    </w:p>
    <w:p w14:paraId="0CCB6B6C" w14:textId="010DF6AF" w:rsidR="00A1716F" w:rsidRPr="00341AB1" w:rsidRDefault="00A1716F"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The International Energy Agency (IEA) believe</w:t>
      </w:r>
      <w:r w:rsidR="005110EC" w:rsidRPr="00341AB1">
        <w:rPr>
          <w:rFonts w:ascii="Times New Roman" w:hAnsi="Times New Roman" w:cs="Times New Roman"/>
          <w:sz w:val="24"/>
          <w:szCs w:val="24"/>
        </w:rPr>
        <w:t>d</w:t>
      </w:r>
      <w:r w:rsidRPr="00341AB1">
        <w:rPr>
          <w:rFonts w:ascii="Times New Roman" w:hAnsi="Times New Roman" w:cs="Times New Roman"/>
          <w:sz w:val="24"/>
          <w:szCs w:val="24"/>
        </w:rPr>
        <w:t xml:space="preserve"> that </w:t>
      </w:r>
      <w:r w:rsidR="005110EC" w:rsidRPr="00341AB1">
        <w:rPr>
          <w:rFonts w:ascii="Times New Roman" w:hAnsi="Times New Roman" w:cs="Times New Roman"/>
          <w:sz w:val="24"/>
          <w:szCs w:val="24"/>
        </w:rPr>
        <w:t xml:space="preserve">international energy security can be achieved by </w:t>
      </w:r>
      <w:r w:rsidRPr="00341AB1">
        <w:rPr>
          <w:rFonts w:ascii="Times New Roman" w:hAnsi="Times New Roman" w:cs="Times New Roman"/>
          <w:sz w:val="24"/>
          <w:szCs w:val="24"/>
        </w:rPr>
        <w:t xml:space="preserve">low-carbon </w:t>
      </w:r>
      <w:r w:rsidR="005110EC" w:rsidRPr="00341AB1">
        <w:rPr>
          <w:rFonts w:ascii="Times New Roman" w:hAnsi="Times New Roman" w:cs="Times New Roman"/>
          <w:sz w:val="24"/>
          <w:szCs w:val="24"/>
        </w:rPr>
        <w:t>life style</w:t>
      </w:r>
      <w:r w:rsidRPr="00341AB1">
        <w:rPr>
          <w:rFonts w:ascii="Times New Roman" w:hAnsi="Times New Roman" w:cs="Times New Roman"/>
          <w:sz w:val="24"/>
          <w:szCs w:val="24"/>
        </w:rPr>
        <w:t xml:space="preserve">, and the adoption of new energy </w:t>
      </w:r>
      <w:r w:rsidR="005110EC" w:rsidRPr="00341AB1">
        <w:rPr>
          <w:rFonts w:ascii="Times New Roman" w:hAnsi="Times New Roman" w:cs="Times New Roman"/>
          <w:sz w:val="24"/>
          <w:szCs w:val="24"/>
        </w:rPr>
        <w:t>vehicles</w:t>
      </w:r>
      <w:r w:rsidRPr="00341AB1">
        <w:rPr>
          <w:rFonts w:ascii="Times New Roman" w:hAnsi="Times New Roman" w:cs="Times New Roman"/>
          <w:sz w:val="24"/>
          <w:szCs w:val="24"/>
        </w:rPr>
        <w:t xml:space="preserve"> in transportation w</w:t>
      </w:r>
      <w:r w:rsidR="005110EC" w:rsidRPr="00341AB1">
        <w:rPr>
          <w:rFonts w:ascii="Times New Roman" w:hAnsi="Times New Roman" w:cs="Times New Roman"/>
          <w:sz w:val="24"/>
          <w:szCs w:val="24"/>
        </w:rPr>
        <w:t>ould</w:t>
      </w:r>
      <w:r w:rsidRPr="00341AB1">
        <w:rPr>
          <w:rFonts w:ascii="Times New Roman" w:hAnsi="Times New Roman" w:cs="Times New Roman"/>
          <w:sz w:val="24"/>
          <w:szCs w:val="24"/>
        </w:rPr>
        <w:t xml:space="preserve"> </w:t>
      </w:r>
      <w:r w:rsidR="005110EC" w:rsidRPr="00341AB1">
        <w:rPr>
          <w:rFonts w:ascii="Times New Roman" w:hAnsi="Times New Roman" w:cs="Times New Roman"/>
          <w:sz w:val="24"/>
          <w:szCs w:val="24"/>
        </w:rPr>
        <w:t>lead to</w:t>
      </w:r>
      <w:r w:rsidRPr="00341AB1">
        <w:rPr>
          <w:rFonts w:ascii="Times New Roman" w:hAnsi="Times New Roman" w:cs="Times New Roman"/>
          <w:sz w:val="24"/>
          <w:szCs w:val="24"/>
        </w:rPr>
        <w:t xml:space="preserve"> the changes of the global energy industry chain in the future. The latest report shows that high oil prices </w:t>
      </w:r>
      <w:r w:rsidR="00F34FC7" w:rsidRPr="00341AB1">
        <w:rPr>
          <w:rFonts w:ascii="Times New Roman" w:hAnsi="Times New Roman" w:cs="Times New Roman"/>
          <w:sz w:val="24"/>
          <w:szCs w:val="24"/>
        </w:rPr>
        <w:t xml:space="preserve">started to decrease </w:t>
      </w:r>
      <w:r w:rsidRPr="00341AB1">
        <w:rPr>
          <w:rFonts w:ascii="Times New Roman" w:hAnsi="Times New Roman" w:cs="Times New Roman"/>
          <w:sz w:val="24"/>
          <w:szCs w:val="24"/>
        </w:rPr>
        <w:t>the growth</w:t>
      </w:r>
      <w:r w:rsidR="00F34FC7" w:rsidRPr="00341AB1">
        <w:rPr>
          <w:rFonts w:ascii="Times New Roman" w:hAnsi="Times New Roman" w:cs="Times New Roman"/>
          <w:sz w:val="24"/>
          <w:szCs w:val="24"/>
        </w:rPr>
        <w:t xml:space="preserve"> rate</w:t>
      </w:r>
      <w:r w:rsidRPr="00341AB1">
        <w:rPr>
          <w:rFonts w:ascii="Times New Roman" w:hAnsi="Times New Roman" w:cs="Times New Roman"/>
          <w:sz w:val="24"/>
          <w:szCs w:val="24"/>
        </w:rPr>
        <w:t xml:space="preserve"> of oil </w:t>
      </w:r>
      <w:r w:rsidR="00F34FC7" w:rsidRPr="00341AB1">
        <w:rPr>
          <w:rFonts w:ascii="Times New Roman" w:hAnsi="Times New Roman" w:cs="Times New Roman"/>
          <w:sz w:val="24"/>
          <w:szCs w:val="24"/>
        </w:rPr>
        <w:t>consumed</w:t>
      </w:r>
      <w:r w:rsidRPr="00341AB1">
        <w:rPr>
          <w:rFonts w:ascii="Times New Roman" w:hAnsi="Times New Roman" w:cs="Times New Roman"/>
          <w:sz w:val="24"/>
          <w:szCs w:val="24"/>
        </w:rPr>
        <w:t xml:space="preserve"> in </w:t>
      </w:r>
      <w:r w:rsidR="00F34FC7" w:rsidRPr="00341AB1">
        <w:rPr>
          <w:rFonts w:ascii="Times New Roman" w:hAnsi="Times New Roman" w:cs="Times New Roman"/>
          <w:sz w:val="24"/>
          <w:szCs w:val="24"/>
        </w:rPr>
        <w:t>China</w:t>
      </w:r>
      <w:r w:rsidRPr="00341AB1">
        <w:rPr>
          <w:rFonts w:ascii="Times New Roman" w:hAnsi="Times New Roman" w:cs="Times New Roman"/>
          <w:sz w:val="24"/>
          <w:szCs w:val="24"/>
        </w:rPr>
        <w:t xml:space="preserve"> and the United States. Moreover, </w:t>
      </w:r>
      <w:r w:rsidR="00F34FC7" w:rsidRPr="00341AB1">
        <w:rPr>
          <w:rFonts w:ascii="Times New Roman" w:hAnsi="Times New Roman" w:cs="Times New Roman"/>
          <w:sz w:val="24"/>
          <w:szCs w:val="24"/>
        </w:rPr>
        <w:t>as</w:t>
      </w:r>
      <w:r w:rsidRPr="00341AB1">
        <w:rPr>
          <w:rFonts w:ascii="Times New Roman" w:hAnsi="Times New Roman" w:cs="Times New Roman"/>
          <w:sz w:val="24"/>
          <w:szCs w:val="24"/>
        </w:rPr>
        <w:t xml:space="preserve"> the increasing demand </w:t>
      </w:r>
      <w:r w:rsidR="00F34FC7" w:rsidRPr="00341AB1">
        <w:rPr>
          <w:rFonts w:ascii="Times New Roman" w:hAnsi="Times New Roman" w:cs="Times New Roman"/>
          <w:sz w:val="24"/>
          <w:szCs w:val="24"/>
        </w:rPr>
        <w:t>of</w:t>
      </w:r>
      <w:r w:rsidRPr="00341AB1">
        <w:rPr>
          <w:rFonts w:ascii="Times New Roman" w:hAnsi="Times New Roman" w:cs="Times New Roman"/>
          <w:sz w:val="24"/>
          <w:szCs w:val="24"/>
        </w:rPr>
        <w:t xml:space="preserve"> transportation all over the world, whether</w:t>
      </w:r>
      <w:r w:rsidR="00F34FC7" w:rsidRPr="00341AB1">
        <w:rPr>
          <w:rFonts w:ascii="Times New Roman" w:hAnsi="Times New Roman" w:cs="Times New Roman"/>
          <w:sz w:val="24"/>
          <w:szCs w:val="24"/>
        </w:rPr>
        <w:t xml:space="preserve"> a great deal of</w:t>
      </w:r>
      <w:r w:rsidRPr="00341AB1">
        <w:rPr>
          <w:rFonts w:ascii="Times New Roman" w:hAnsi="Times New Roman" w:cs="Times New Roman"/>
          <w:sz w:val="24"/>
          <w:szCs w:val="24"/>
        </w:rPr>
        <w:t xml:space="preserve"> vehicles can be </w:t>
      </w:r>
      <w:r w:rsidR="00F34FC7" w:rsidRPr="00341AB1">
        <w:rPr>
          <w:rFonts w:ascii="Times New Roman" w:hAnsi="Times New Roman" w:cs="Times New Roman"/>
          <w:sz w:val="24"/>
          <w:szCs w:val="24"/>
        </w:rPr>
        <w:t>satisfied</w:t>
      </w:r>
      <w:r w:rsidRPr="00341AB1">
        <w:rPr>
          <w:rFonts w:ascii="Times New Roman" w:hAnsi="Times New Roman" w:cs="Times New Roman"/>
          <w:sz w:val="24"/>
          <w:szCs w:val="24"/>
        </w:rPr>
        <w:t xml:space="preserve"> by </w:t>
      </w:r>
      <w:r w:rsidR="00F34FC7" w:rsidRPr="00341AB1">
        <w:rPr>
          <w:rFonts w:ascii="Times New Roman" w:hAnsi="Times New Roman" w:cs="Times New Roman"/>
          <w:sz w:val="24"/>
          <w:szCs w:val="24"/>
        </w:rPr>
        <w:t xml:space="preserve">new </w:t>
      </w:r>
      <w:r w:rsidRPr="00341AB1">
        <w:rPr>
          <w:rFonts w:ascii="Times New Roman" w:hAnsi="Times New Roman" w:cs="Times New Roman"/>
          <w:sz w:val="24"/>
          <w:szCs w:val="24"/>
        </w:rPr>
        <w:t xml:space="preserve">energy has become </w:t>
      </w:r>
      <w:proofErr w:type="spellStart"/>
      <w:proofErr w:type="gramStart"/>
      <w:r w:rsidRPr="00341AB1">
        <w:rPr>
          <w:rFonts w:ascii="Times New Roman" w:hAnsi="Times New Roman" w:cs="Times New Roman"/>
          <w:sz w:val="24"/>
          <w:szCs w:val="24"/>
        </w:rPr>
        <w:t>a</w:t>
      </w:r>
      <w:proofErr w:type="spellEnd"/>
      <w:proofErr w:type="gramEnd"/>
      <w:r w:rsidRPr="00341AB1">
        <w:rPr>
          <w:rFonts w:ascii="Times New Roman" w:hAnsi="Times New Roman" w:cs="Times New Roman"/>
          <w:sz w:val="24"/>
          <w:szCs w:val="24"/>
        </w:rPr>
        <w:t xml:space="preserve"> </w:t>
      </w:r>
      <w:r w:rsidR="00F34FC7" w:rsidRPr="00341AB1">
        <w:rPr>
          <w:rFonts w:ascii="Times New Roman" w:hAnsi="Times New Roman" w:cs="Times New Roman"/>
          <w:sz w:val="24"/>
          <w:szCs w:val="24"/>
        </w:rPr>
        <w:t>important</w:t>
      </w:r>
      <w:r w:rsidRPr="00341AB1">
        <w:rPr>
          <w:rFonts w:ascii="Times New Roman" w:hAnsi="Times New Roman" w:cs="Times New Roman"/>
          <w:sz w:val="24"/>
          <w:szCs w:val="24"/>
        </w:rPr>
        <w:t xml:space="preserve"> issue, so the transportation field needs </w:t>
      </w:r>
      <w:r w:rsidR="00F34FC7" w:rsidRPr="00341AB1">
        <w:rPr>
          <w:rFonts w:ascii="Times New Roman" w:hAnsi="Times New Roman" w:cs="Times New Roman"/>
          <w:sz w:val="24"/>
          <w:szCs w:val="24"/>
        </w:rPr>
        <w:t xml:space="preserve">new </w:t>
      </w:r>
      <w:r w:rsidRPr="00341AB1">
        <w:rPr>
          <w:rFonts w:ascii="Times New Roman" w:hAnsi="Times New Roman" w:cs="Times New Roman"/>
          <w:sz w:val="24"/>
          <w:szCs w:val="24"/>
        </w:rPr>
        <w:t xml:space="preserve">energy </w:t>
      </w:r>
      <w:r w:rsidR="00F34FC7" w:rsidRPr="00341AB1">
        <w:rPr>
          <w:rFonts w:ascii="Times New Roman" w:hAnsi="Times New Roman" w:cs="Times New Roman"/>
          <w:sz w:val="24"/>
          <w:szCs w:val="24"/>
        </w:rPr>
        <w:t>transformation</w:t>
      </w:r>
      <w:r w:rsidRPr="00341AB1">
        <w:rPr>
          <w:rFonts w:ascii="Times New Roman" w:hAnsi="Times New Roman" w:cs="Times New Roman"/>
          <w:sz w:val="24"/>
          <w:szCs w:val="24"/>
        </w:rPr>
        <w:t xml:space="preserve">. The International Energy Agency (IEA) predicts that the number of new energy vehicles will reach 7 million by 2020, with a penetration rate of 9%. After that, new energy vehicles will continue to grow at a high speed. By 2050, the sales of new energy vehicles </w:t>
      </w:r>
      <w:r w:rsidR="00F34FC7" w:rsidRPr="00341AB1">
        <w:rPr>
          <w:rFonts w:ascii="Times New Roman" w:hAnsi="Times New Roman" w:cs="Times New Roman"/>
          <w:sz w:val="24"/>
          <w:szCs w:val="24"/>
        </w:rPr>
        <w:t xml:space="preserve">worldwide </w:t>
      </w:r>
      <w:r w:rsidRPr="00341AB1">
        <w:rPr>
          <w:rFonts w:ascii="Times New Roman" w:hAnsi="Times New Roman" w:cs="Times New Roman"/>
          <w:sz w:val="24"/>
          <w:szCs w:val="24"/>
        </w:rPr>
        <w:t>w</w:t>
      </w:r>
      <w:r w:rsidR="00F34FC7" w:rsidRPr="00341AB1">
        <w:rPr>
          <w:rFonts w:ascii="Times New Roman" w:hAnsi="Times New Roman" w:cs="Times New Roman"/>
          <w:sz w:val="24"/>
          <w:szCs w:val="24"/>
        </w:rPr>
        <w:t>ould</w:t>
      </w:r>
      <w:r w:rsidRPr="00341AB1">
        <w:rPr>
          <w:rFonts w:ascii="Times New Roman" w:hAnsi="Times New Roman" w:cs="Times New Roman"/>
          <w:sz w:val="24"/>
          <w:szCs w:val="24"/>
        </w:rPr>
        <w:t xml:space="preserve"> reach </w:t>
      </w:r>
      <w:r w:rsidR="00F34FC7" w:rsidRPr="00341AB1">
        <w:rPr>
          <w:rFonts w:ascii="Times New Roman" w:hAnsi="Times New Roman" w:cs="Times New Roman"/>
          <w:sz w:val="24"/>
          <w:szCs w:val="24"/>
        </w:rPr>
        <w:t xml:space="preserve">to </w:t>
      </w:r>
      <w:r w:rsidRPr="00341AB1">
        <w:rPr>
          <w:rFonts w:ascii="Times New Roman" w:hAnsi="Times New Roman" w:cs="Times New Roman"/>
          <w:sz w:val="24"/>
          <w:szCs w:val="24"/>
        </w:rPr>
        <w:t>100 million, and the penetration rate w</w:t>
      </w:r>
      <w:r w:rsidR="00F34FC7" w:rsidRPr="00341AB1">
        <w:rPr>
          <w:rFonts w:ascii="Times New Roman" w:hAnsi="Times New Roman" w:cs="Times New Roman"/>
          <w:sz w:val="24"/>
          <w:szCs w:val="24"/>
        </w:rPr>
        <w:t>ould</w:t>
      </w:r>
      <w:r w:rsidRPr="00341AB1">
        <w:rPr>
          <w:rFonts w:ascii="Times New Roman" w:hAnsi="Times New Roman" w:cs="Times New Roman"/>
          <w:sz w:val="24"/>
          <w:szCs w:val="24"/>
        </w:rPr>
        <w:t xml:space="preserve"> </w:t>
      </w:r>
      <w:r w:rsidRPr="00341AB1">
        <w:rPr>
          <w:rFonts w:ascii="Times New Roman" w:hAnsi="Times New Roman" w:cs="Times New Roman"/>
          <w:sz w:val="24"/>
          <w:szCs w:val="24"/>
        </w:rPr>
        <w:lastRenderedPageBreak/>
        <w:t>reach</w:t>
      </w:r>
      <w:r w:rsidR="00F34FC7" w:rsidRPr="00341AB1">
        <w:rPr>
          <w:rFonts w:ascii="Times New Roman" w:hAnsi="Times New Roman" w:cs="Times New Roman"/>
          <w:sz w:val="24"/>
          <w:szCs w:val="24"/>
        </w:rPr>
        <w:t xml:space="preserve"> to</w:t>
      </w:r>
      <w:r w:rsidRPr="00341AB1">
        <w:rPr>
          <w:rFonts w:ascii="Times New Roman" w:hAnsi="Times New Roman" w:cs="Times New Roman"/>
          <w:sz w:val="24"/>
          <w:szCs w:val="24"/>
        </w:rPr>
        <w:t xml:space="preserve"> 60%. At this stage, traditional fuel vehicles will be gradually replaced.</w:t>
      </w:r>
    </w:p>
    <w:p w14:paraId="4D1072FA" w14:textId="165FC90E" w:rsidR="00A1716F" w:rsidRPr="00341AB1" w:rsidRDefault="00A1716F" w:rsidP="00D55895">
      <w:pPr>
        <w:spacing w:line="480" w:lineRule="auto"/>
        <w:rPr>
          <w:rFonts w:ascii="Times New Roman" w:hAnsi="Times New Roman" w:cs="Times New Roman"/>
          <w:sz w:val="24"/>
          <w:szCs w:val="24"/>
        </w:rPr>
      </w:pPr>
      <w:r w:rsidRPr="00341AB1">
        <w:rPr>
          <w:rFonts w:ascii="Times New Roman" w:hAnsi="Times New Roman" w:cs="Times New Roman"/>
          <w:noProof/>
          <w:sz w:val="24"/>
          <w:szCs w:val="24"/>
        </w:rPr>
        <w:drawing>
          <wp:inline distT="0" distB="0" distL="0" distR="0" wp14:anchorId="0C2D8AE4" wp14:editId="47FFCEB1">
            <wp:extent cx="5274310" cy="1213780"/>
            <wp:effectExtent l="19050" t="0" r="40640" b="0"/>
            <wp:docPr id="7" name="图示 7">
              <a:extLst xmlns:a="http://schemas.openxmlformats.org/drawingml/2006/main">
                <a:ext uri="{FF2B5EF4-FFF2-40B4-BE49-F238E27FC236}">
                  <a16:creationId xmlns:a16="http://schemas.microsoft.com/office/drawing/2014/main" id="{F04B78E1-7D38-4A72-A737-9B2B0BAF58FF}"/>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05CC327F" w14:textId="6C49E905" w:rsidR="00655257" w:rsidRPr="00341AB1" w:rsidRDefault="00185DF6"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Fig</w:t>
      </w:r>
      <w:r w:rsidR="00655257" w:rsidRPr="00341AB1">
        <w:rPr>
          <w:rFonts w:ascii="Times New Roman" w:hAnsi="Times New Roman" w:cs="Times New Roman"/>
          <w:sz w:val="24"/>
          <w:szCs w:val="24"/>
        </w:rPr>
        <w:t xml:space="preserve"> 2-2 IEA forecasts about New energy vehicles</w:t>
      </w:r>
    </w:p>
    <w:p w14:paraId="73B0EDF5" w14:textId="6BF5DDFB" w:rsidR="00A1716F" w:rsidRPr="00341AB1" w:rsidRDefault="00A1716F"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Tesla's global and Chinese production capacity and sales volume continued to expand, maintaining a leading position in the industry. Tesla, as a leading enterprise in the global new energy vehicle industry, started to release the first new energy vehicle model </w:t>
      </w:r>
      <w:r w:rsidR="00F34FC7" w:rsidRPr="00341AB1">
        <w:rPr>
          <w:rFonts w:ascii="Times New Roman" w:hAnsi="Times New Roman" w:cs="Times New Roman"/>
          <w:sz w:val="24"/>
          <w:szCs w:val="24"/>
        </w:rPr>
        <w:t>S</w:t>
      </w:r>
      <w:r w:rsidRPr="00341AB1">
        <w:rPr>
          <w:rFonts w:ascii="Times New Roman" w:hAnsi="Times New Roman" w:cs="Times New Roman"/>
          <w:sz w:val="24"/>
          <w:szCs w:val="24"/>
        </w:rPr>
        <w:t xml:space="preserve"> in 2012. Thanks to the rising demand of global people for green travel and the technical barriers of its own products, Tesla has been rapidly infiltrating, and then published model x</w:t>
      </w:r>
      <w:r w:rsidR="008F5FAF" w:rsidRPr="00341AB1">
        <w:rPr>
          <w:rFonts w:ascii="Times New Roman" w:hAnsi="Times New Roman" w:cs="Times New Roman"/>
          <w:sz w:val="24"/>
          <w:szCs w:val="24"/>
        </w:rPr>
        <w:t xml:space="preserve">. </w:t>
      </w:r>
      <w:r w:rsidR="00DB0CC0" w:rsidRPr="00341AB1">
        <w:rPr>
          <w:rFonts w:ascii="Times New Roman" w:hAnsi="Times New Roman" w:cs="Times New Roman"/>
          <w:sz w:val="24"/>
          <w:szCs w:val="24"/>
        </w:rPr>
        <w:t xml:space="preserve">According to (Soochow Securities, quoted in </w:t>
      </w:r>
      <w:proofErr w:type="spellStart"/>
      <w:r w:rsidR="00DB0CC0" w:rsidRPr="00341AB1">
        <w:rPr>
          <w:rFonts w:ascii="Times New Roman" w:hAnsi="Times New Roman" w:cs="Times New Roman"/>
          <w:sz w:val="24"/>
          <w:szCs w:val="24"/>
        </w:rPr>
        <w:t>Insideevs</w:t>
      </w:r>
      <w:proofErr w:type="spellEnd"/>
      <w:r w:rsidR="00DB0CC0" w:rsidRPr="00341AB1">
        <w:rPr>
          <w:rFonts w:ascii="Times New Roman" w:hAnsi="Times New Roman" w:cs="Times New Roman"/>
          <w:sz w:val="24"/>
          <w:szCs w:val="24"/>
        </w:rPr>
        <w:t xml:space="preserve">, 2019, p.18), </w:t>
      </w:r>
      <w:r w:rsidRPr="00341AB1">
        <w:rPr>
          <w:rFonts w:ascii="Times New Roman" w:hAnsi="Times New Roman" w:cs="Times New Roman"/>
          <w:sz w:val="24"/>
          <w:szCs w:val="24"/>
        </w:rPr>
        <w:t xml:space="preserve">the global sales volume of Tesla was only 2700 in 2012, 368000 in 2019, and the CAGR of global sales in 2012-2019 was 101.80%. It is predicted that the sales volume of Tesla will further increase to 500000 in 2020. In order to better solve the current capacity bottleneck and develop the Chinese market, Tesla set up a factory in Shanghai, China in 2019 to produce the new model y made in China. It is estimated that when it is fully completed and put into operation in 2022, the production capacity will reach 500000 units, and </w:t>
      </w:r>
      <w:r w:rsidR="003506DC" w:rsidRPr="00341AB1">
        <w:rPr>
          <w:rFonts w:ascii="Times New Roman" w:hAnsi="Times New Roman" w:cs="Times New Roman"/>
          <w:sz w:val="24"/>
          <w:szCs w:val="24"/>
        </w:rPr>
        <w:t>the</w:t>
      </w:r>
      <w:r w:rsidRPr="00341AB1">
        <w:rPr>
          <w:rFonts w:ascii="Times New Roman" w:hAnsi="Times New Roman" w:cs="Times New Roman"/>
          <w:sz w:val="24"/>
          <w:szCs w:val="24"/>
        </w:rPr>
        <w:t xml:space="preserve"> market share of </w:t>
      </w:r>
      <w:r w:rsidR="003506DC" w:rsidRPr="00341AB1">
        <w:rPr>
          <w:rFonts w:ascii="Times New Roman" w:hAnsi="Times New Roman" w:cs="Times New Roman"/>
          <w:sz w:val="24"/>
          <w:szCs w:val="24"/>
        </w:rPr>
        <w:t>blade</w:t>
      </w:r>
      <w:r w:rsidRPr="00341AB1">
        <w:rPr>
          <w:rFonts w:ascii="Times New Roman" w:hAnsi="Times New Roman" w:cs="Times New Roman"/>
          <w:sz w:val="24"/>
          <w:szCs w:val="24"/>
        </w:rPr>
        <w:t xml:space="preserve"> electric vehicles</w:t>
      </w:r>
      <w:r w:rsidR="003506DC" w:rsidRPr="00341AB1">
        <w:rPr>
          <w:rFonts w:ascii="Times New Roman" w:hAnsi="Times New Roman" w:cs="Times New Roman"/>
          <w:sz w:val="24"/>
          <w:szCs w:val="24"/>
        </w:rPr>
        <w:t xml:space="preserve"> of Tesla Inc</w:t>
      </w:r>
      <w:r w:rsidRPr="00341AB1">
        <w:rPr>
          <w:rFonts w:ascii="Times New Roman" w:hAnsi="Times New Roman" w:cs="Times New Roman"/>
          <w:sz w:val="24"/>
          <w:szCs w:val="24"/>
        </w:rPr>
        <w:t xml:space="preserve"> in China is expected to continue to expand. Thanks to the expansion of global and Chinese production and sales, Tesla maintains its leading position in the industry. In the global </w:t>
      </w:r>
      <w:r w:rsidR="003506DC" w:rsidRPr="00341AB1">
        <w:rPr>
          <w:rFonts w:ascii="Times New Roman" w:hAnsi="Times New Roman" w:cs="Times New Roman"/>
          <w:sz w:val="24"/>
          <w:szCs w:val="24"/>
        </w:rPr>
        <w:t>electric vehicle</w:t>
      </w:r>
      <w:r w:rsidRPr="00341AB1">
        <w:rPr>
          <w:rFonts w:ascii="Times New Roman" w:hAnsi="Times New Roman" w:cs="Times New Roman"/>
          <w:sz w:val="24"/>
          <w:szCs w:val="24"/>
        </w:rPr>
        <w:t xml:space="preserve"> market share in 2019, t customers will continue to rank first in the world, accounting for 16.6%. Its leading position is expected to be consolidated in the future. However, </w:t>
      </w:r>
      <w:r w:rsidRPr="00341AB1">
        <w:rPr>
          <w:rFonts w:ascii="Times New Roman" w:hAnsi="Times New Roman" w:cs="Times New Roman"/>
          <w:sz w:val="24"/>
          <w:szCs w:val="24"/>
        </w:rPr>
        <w:lastRenderedPageBreak/>
        <w:t xml:space="preserve">the competition in the industry should not be underestimated. The market share of BYD, BAIC and other automobile companies is only a few percentage points behind Tesla. The </w:t>
      </w:r>
      <w:r w:rsidR="003506DC" w:rsidRPr="00341AB1">
        <w:rPr>
          <w:rFonts w:ascii="Times New Roman" w:hAnsi="Times New Roman" w:cs="Times New Roman"/>
          <w:sz w:val="24"/>
          <w:szCs w:val="24"/>
        </w:rPr>
        <w:t xml:space="preserve">market </w:t>
      </w:r>
      <w:r w:rsidRPr="00341AB1">
        <w:rPr>
          <w:rFonts w:ascii="Times New Roman" w:hAnsi="Times New Roman" w:cs="Times New Roman"/>
          <w:sz w:val="24"/>
          <w:szCs w:val="24"/>
        </w:rPr>
        <w:t xml:space="preserve">concentration of new energy vehicle industry is low, </w:t>
      </w:r>
      <w:r w:rsidR="003506DC" w:rsidRPr="00341AB1">
        <w:rPr>
          <w:rFonts w:ascii="Times New Roman" w:hAnsi="Times New Roman" w:cs="Times New Roman"/>
          <w:sz w:val="24"/>
          <w:szCs w:val="24"/>
        </w:rPr>
        <w:t xml:space="preserve">thus this paper </w:t>
      </w:r>
      <w:proofErr w:type="gramStart"/>
      <w:r w:rsidR="003506DC" w:rsidRPr="00341AB1">
        <w:rPr>
          <w:rFonts w:ascii="Times New Roman" w:hAnsi="Times New Roman" w:cs="Times New Roman"/>
          <w:sz w:val="24"/>
          <w:szCs w:val="24"/>
        </w:rPr>
        <w:t>draw</w:t>
      </w:r>
      <w:proofErr w:type="gramEnd"/>
      <w:r w:rsidR="003506DC" w:rsidRPr="00341AB1">
        <w:rPr>
          <w:rFonts w:ascii="Times New Roman" w:hAnsi="Times New Roman" w:cs="Times New Roman"/>
          <w:sz w:val="24"/>
          <w:szCs w:val="24"/>
        </w:rPr>
        <w:t xml:space="preserve"> the conclusion that</w:t>
      </w:r>
      <w:r w:rsidRPr="00341AB1">
        <w:rPr>
          <w:rFonts w:ascii="Times New Roman" w:hAnsi="Times New Roman" w:cs="Times New Roman"/>
          <w:sz w:val="24"/>
          <w:szCs w:val="24"/>
        </w:rPr>
        <w:t xml:space="preserve"> the market competition w</w:t>
      </w:r>
      <w:r w:rsidR="003506DC" w:rsidRPr="00341AB1">
        <w:rPr>
          <w:rFonts w:ascii="Times New Roman" w:hAnsi="Times New Roman" w:cs="Times New Roman"/>
          <w:sz w:val="24"/>
          <w:szCs w:val="24"/>
        </w:rPr>
        <w:t>ould</w:t>
      </w:r>
      <w:r w:rsidRPr="00341AB1">
        <w:rPr>
          <w:rFonts w:ascii="Times New Roman" w:hAnsi="Times New Roman" w:cs="Times New Roman"/>
          <w:sz w:val="24"/>
          <w:szCs w:val="24"/>
        </w:rPr>
        <w:t xml:space="preserve"> be intensified in the future.</w:t>
      </w:r>
    </w:p>
    <w:p w14:paraId="3084C0F4" w14:textId="43CFE5B4" w:rsidR="00A1716F" w:rsidRPr="00341AB1" w:rsidRDefault="00A1716F" w:rsidP="00D55895">
      <w:pPr>
        <w:spacing w:line="480" w:lineRule="auto"/>
        <w:jc w:val="center"/>
        <w:rPr>
          <w:rFonts w:ascii="Times New Roman" w:hAnsi="Times New Roman" w:cs="Times New Roman"/>
          <w:sz w:val="24"/>
          <w:szCs w:val="24"/>
        </w:rPr>
      </w:pPr>
      <w:r w:rsidRPr="00341AB1">
        <w:rPr>
          <w:rFonts w:ascii="Times New Roman" w:hAnsi="Times New Roman" w:cs="Times New Roman"/>
          <w:noProof/>
          <w:sz w:val="24"/>
          <w:szCs w:val="24"/>
        </w:rPr>
        <w:drawing>
          <wp:inline distT="0" distB="0" distL="0" distR="0" wp14:anchorId="27D5AFE1" wp14:editId="5D058F80">
            <wp:extent cx="4826000" cy="2825750"/>
            <wp:effectExtent l="0" t="0" r="12700" b="12700"/>
            <wp:docPr id="5" name="图表 5">
              <a:extLst xmlns:a="http://schemas.openxmlformats.org/drawingml/2006/main">
                <a:ext uri="{FF2B5EF4-FFF2-40B4-BE49-F238E27FC236}">
                  <a16:creationId xmlns:a16="http://schemas.microsoft.com/office/drawing/2014/main" id="{50815601-CC42-4991-B3DD-CE6B360F7A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9AC0475" w14:textId="5BE89FB4" w:rsidR="00A1716F" w:rsidRPr="00341AB1" w:rsidRDefault="00185DF6"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Fig</w:t>
      </w:r>
      <w:r w:rsidR="00D07957" w:rsidRPr="00341AB1">
        <w:rPr>
          <w:rFonts w:ascii="Times New Roman" w:hAnsi="Times New Roman" w:cs="Times New Roman"/>
          <w:sz w:val="24"/>
          <w:szCs w:val="24"/>
        </w:rPr>
        <w:t xml:space="preserve"> 2-3 Market share</w:t>
      </w:r>
    </w:p>
    <w:p w14:paraId="1B9F2E11" w14:textId="3FACE81F" w:rsidR="00A1716F" w:rsidRPr="00341AB1" w:rsidRDefault="00A1716F" w:rsidP="00D55895">
      <w:pPr>
        <w:pStyle w:val="2"/>
        <w:spacing w:before="0" w:after="0" w:line="480" w:lineRule="auto"/>
        <w:rPr>
          <w:rFonts w:ascii="Times New Roman" w:hAnsi="Times New Roman" w:cs="Times New Roman"/>
          <w:sz w:val="24"/>
          <w:szCs w:val="24"/>
        </w:rPr>
      </w:pPr>
      <w:bookmarkStart w:id="7" w:name="_Toc58771692"/>
      <w:r w:rsidRPr="00341AB1">
        <w:rPr>
          <w:rFonts w:ascii="Times New Roman" w:hAnsi="Times New Roman" w:cs="Times New Roman"/>
          <w:sz w:val="24"/>
          <w:szCs w:val="24"/>
        </w:rPr>
        <w:t>2.2 PEST analysis</w:t>
      </w:r>
      <w:bookmarkEnd w:id="7"/>
    </w:p>
    <w:p w14:paraId="39821EC6" w14:textId="6751B74A" w:rsidR="00A1716F" w:rsidRPr="00341AB1" w:rsidRDefault="00A1716F"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(1) Analysis of political environment</w:t>
      </w:r>
    </w:p>
    <w:p w14:paraId="2903FC59" w14:textId="0753356D" w:rsidR="00A1716F" w:rsidRPr="00341AB1" w:rsidRDefault="00A1716F"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At present, people in various countries pay more and more attention to the environment, and the governments of various countries have also issued corresponding policies to meet the needs of the people, especially the United States, Japan, France, Germany and other countries have issued a series of policies. In these policies, new energy vehicle related policies also occupy a place. On June 3, 2020, Germany launched an economic stimulus plan with a total amount of 130 billion euro, of which 120 billion yuan will be spent from the federal government. The main measures include: (1) from July 1, 2020 to the end of 2021, the government incentives under the existing system </w:t>
      </w:r>
      <w:r w:rsidRPr="00341AB1">
        <w:rPr>
          <w:rFonts w:ascii="Times New Roman" w:hAnsi="Times New Roman" w:cs="Times New Roman"/>
          <w:sz w:val="24"/>
          <w:szCs w:val="24"/>
        </w:rPr>
        <w:lastRenderedPageBreak/>
        <w:t>of new energy vehicles will be doubled, that is, the government subsidies for electric vehicles with a price of less than 40000 euros will be increased to 6000 euros, plus the subsidies of 3000 Euro borne by automobile enterprises, The total subsidy was increased to 9000 euro (original 6000 Euro), and the total subsidy of plug-in hybrid vehicle was increased to 6750 euro (original 4500 Euro).</w:t>
      </w:r>
      <w:r w:rsidR="007D78C0" w:rsidRPr="00341AB1">
        <w:rPr>
          <w:rFonts w:ascii="Times New Roman" w:hAnsi="Times New Roman" w:cs="Times New Roman"/>
          <w:sz w:val="24"/>
          <w:szCs w:val="24"/>
        </w:rPr>
        <w:t xml:space="preserve">; </w:t>
      </w:r>
      <w:r w:rsidRPr="00341AB1">
        <w:rPr>
          <w:rFonts w:ascii="Times New Roman" w:hAnsi="Times New Roman" w:cs="Times New Roman"/>
          <w:sz w:val="24"/>
          <w:szCs w:val="24"/>
        </w:rPr>
        <w:t>(2) An additional 2.5 billion euro investment will be made in the research and development of electric vehicles, charging infrastructure and battery manufacturing</w:t>
      </w:r>
      <w:r w:rsidR="007D78C0" w:rsidRPr="00341AB1">
        <w:rPr>
          <w:rFonts w:ascii="Times New Roman" w:hAnsi="Times New Roman" w:cs="Times New Roman"/>
          <w:sz w:val="24"/>
          <w:szCs w:val="24"/>
        </w:rPr>
        <w:t>;</w:t>
      </w:r>
      <w:r w:rsidRPr="00341AB1">
        <w:rPr>
          <w:rFonts w:ascii="Times New Roman" w:hAnsi="Times New Roman" w:cs="Times New Roman"/>
          <w:sz w:val="24"/>
          <w:szCs w:val="24"/>
        </w:rPr>
        <w:t xml:space="preserve"> (3) The support for the electrification of commercial vehicles in the public sector will reach 1.2 billion euro by the end of 2021, including subsidies for electric buses and charging infrastructure</w:t>
      </w:r>
      <w:r w:rsidR="007D78C0" w:rsidRPr="00341AB1">
        <w:rPr>
          <w:rFonts w:ascii="Times New Roman" w:hAnsi="Times New Roman" w:cs="Times New Roman"/>
          <w:sz w:val="24"/>
          <w:szCs w:val="24"/>
        </w:rPr>
        <w:t>;</w:t>
      </w:r>
      <w:r w:rsidRPr="00341AB1">
        <w:rPr>
          <w:rFonts w:ascii="Times New Roman" w:hAnsi="Times New Roman" w:cs="Times New Roman"/>
          <w:sz w:val="24"/>
          <w:szCs w:val="24"/>
        </w:rPr>
        <w:t xml:space="preserve"> (4) From July 1 to the end of 2020, the value-added tax of the whole industry will be reduced from 19% to 16%, with a total amount of 20 billion euro</w:t>
      </w:r>
      <w:r w:rsidR="007D78C0" w:rsidRPr="00341AB1">
        <w:rPr>
          <w:rFonts w:ascii="Times New Roman" w:hAnsi="Times New Roman" w:cs="Times New Roman"/>
          <w:sz w:val="24"/>
          <w:szCs w:val="24"/>
        </w:rPr>
        <w:t>;</w:t>
      </w:r>
      <w:r w:rsidRPr="00341AB1">
        <w:rPr>
          <w:rFonts w:ascii="Times New Roman" w:hAnsi="Times New Roman" w:cs="Times New Roman"/>
          <w:sz w:val="24"/>
          <w:szCs w:val="24"/>
        </w:rPr>
        <w:t xml:space="preserve"> (5) The upper limit of tax exemption for electric vehicles has been raised from 40000 euro to 60000 euro, and the tax exemption period for electric vehicles has been extended from 2025 to 2030. On May 26, 2020, French President Marcon announced an </w:t>
      </w:r>
      <w:proofErr w:type="gramStart"/>
      <w:r w:rsidRPr="00341AB1">
        <w:rPr>
          <w:rFonts w:ascii="Times New Roman" w:hAnsi="Times New Roman" w:cs="Times New Roman"/>
          <w:sz w:val="24"/>
          <w:szCs w:val="24"/>
        </w:rPr>
        <w:t>8 billion euro</w:t>
      </w:r>
      <w:proofErr w:type="gramEnd"/>
      <w:r w:rsidRPr="00341AB1">
        <w:rPr>
          <w:rFonts w:ascii="Times New Roman" w:hAnsi="Times New Roman" w:cs="Times New Roman"/>
          <w:sz w:val="24"/>
          <w:szCs w:val="24"/>
        </w:rPr>
        <w:t xml:space="preserve"> plan, hoping to help France become the largest producer of new energy vehicles in Europe, and planned to produce more than 1 million hybrid and electric vehicles in France within five years. According to the plan, the government subsidies for private consumers who buy electric vehicles will be increased from 6000 to 7000 euros, and commercial customers will be given 5000 Euro subsidies; for Diesel / gasoline vehicles, they will also be given a subsidy of 3000 euros; for pure electric vehicles, they will receive a subsidy of 5000 euros. Subsidies for electric vehicles and subsidies for exchange can be used in combination. This means that electric vehicles can be subsidized up to </w:t>
      </w:r>
      <w:r w:rsidRPr="00341AB1">
        <w:rPr>
          <w:rFonts w:ascii="Times New Roman" w:hAnsi="Times New Roman" w:cs="Times New Roman"/>
          <w:sz w:val="24"/>
          <w:szCs w:val="24"/>
        </w:rPr>
        <w:lastRenderedPageBreak/>
        <w:t>120000 euros, and the number is limited to 200000 vehicles. In March 2020, the Dutch government announced the details of subsidies for private purchase of electric vehicles. Starting from July 2020, pure electric vehicle buyers with a minimum mileage of 120 km and prices between 1200 and 45000 euros will receive a subsidy of 4000 euros. At the same time, the second-hand electric vehicles that meet the conditions can receive a subsidy of 2000 euro. In addition, for users who rent pure electric vehicles, subsidies will be paid in monthly installments. If the lease contract is terminated within four years, the subsidy will also be terminated.</w:t>
      </w:r>
    </w:p>
    <w:p w14:paraId="1EEA7555" w14:textId="71CAEF4F" w:rsidR="00EC0E4D" w:rsidRPr="00341AB1" w:rsidRDefault="00185DF6"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Table</w:t>
      </w:r>
      <w:r w:rsidR="00F06DF4" w:rsidRPr="00341AB1">
        <w:rPr>
          <w:rFonts w:ascii="Times New Roman" w:hAnsi="Times New Roman" w:cs="Times New Roman"/>
          <w:sz w:val="24"/>
          <w:szCs w:val="24"/>
        </w:rPr>
        <w:t xml:space="preserve"> 2-2 New energy vehicle policies in European countries</w:t>
      </w:r>
    </w:p>
    <w:tbl>
      <w:tblPr>
        <w:tblStyle w:val="a3"/>
        <w:tblW w:w="0" w:type="auto"/>
        <w:tblLook w:val="04A0" w:firstRow="1" w:lastRow="0" w:firstColumn="1" w:lastColumn="0" w:noHBand="0" w:noVBand="1"/>
      </w:tblPr>
      <w:tblGrid>
        <w:gridCol w:w="1403"/>
        <w:gridCol w:w="2218"/>
        <w:gridCol w:w="4675"/>
      </w:tblGrid>
      <w:tr w:rsidR="00B577B6" w:rsidRPr="00341AB1" w14:paraId="07BC9812" w14:textId="77777777" w:rsidTr="00B577B6">
        <w:tc>
          <w:tcPr>
            <w:tcW w:w="1403" w:type="dxa"/>
          </w:tcPr>
          <w:p w14:paraId="0D4B4D29" w14:textId="04484E0E"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Nation</w:t>
            </w:r>
          </w:p>
        </w:tc>
        <w:tc>
          <w:tcPr>
            <w:tcW w:w="2218" w:type="dxa"/>
          </w:tcPr>
          <w:p w14:paraId="1CDBE168" w14:textId="3B2C1282"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Policy classification</w:t>
            </w:r>
          </w:p>
        </w:tc>
        <w:tc>
          <w:tcPr>
            <w:tcW w:w="4675" w:type="dxa"/>
          </w:tcPr>
          <w:p w14:paraId="3A631F82" w14:textId="4490D826"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Primary coverage</w:t>
            </w:r>
          </w:p>
        </w:tc>
      </w:tr>
      <w:tr w:rsidR="00B577B6" w:rsidRPr="00341AB1" w14:paraId="751B4B93" w14:textId="77777777" w:rsidTr="00B577B6">
        <w:tc>
          <w:tcPr>
            <w:tcW w:w="1403" w:type="dxa"/>
          </w:tcPr>
          <w:p w14:paraId="692295D8" w14:textId="3D531CD4"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Norway</w:t>
            </w:r>
          </w:p>
        </w:tc>
        <w:tc>
          <w:tcPr>
            <w:tcW w:w="2218" w:type="dxa"/>
          </w:tcPr>
          <w:p w14:paraId="6EDB7F38" w14:textId="18006411"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Tax policy</w:t>
            </w:r>
          </w:p>
        </w:tc>
        <w:tc>
          <w:tcPr>
            <w:tcW w:w="4675" w:type="dxa"/>
          </w:tcPr>
          <w:p w14:paraId="75AC7BEE" w14:textId="33320319"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There is no need to pay value-added tax on the purchase of rental electric vehicles</w:t>
            </w:r>
          </w:p>
        </w:tc>
      </w:tr>
      <w:tr w:rsidR="00B577B6" w:rsidRPr="00341AB1" w14:paraId="4A707935" w14:textId="77777777" w:rsidTr="00B577B6">
        <w:tc>
          <w:tcPr>
            <w:tcW w:w="1403" w:type="dxa"/>
          </w:tcPr>
          <w:p w14:paraId="332F38D2" w14:textId="06FAF3E4"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German</w:t>
            </w:r>
          </w:p>
        </w:tc>
        <w:tc>
          <w:tcPr>
            <w:tcW w:w="2218" w:type="dxa"/>
          </w:tcPr>
          <w:p w14:paraId="35A391DA" w14:textId="22AAB37F"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Subsidy</w:t>
            </w:r>
          </w:p>
        </w:tc>
        <w:tc>
          <w:tcPr>
            <w:tcW w:w="4675" w:type="dxa"/>
          </w:tcPr>
          <w:p w14:paraId="5F1F2F8F" w14:textId="39FCABFD"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The maximum subsidy for electric vehicles less than 40000 euro is 6000 euro, and the subsidy of 3000 Euro borne by automobile enterprises is 9000 euro</w:t>
            </w:r>
          </w:p>
        </w:tc>
      </w:tr>
      <w:tr w:rsidR="00B577B6" w:rsidRPr="00341AB1" w14:paraId="3DAAAF72" w14:textId="77777777" w:rsidTr="00B577B6">
        <w:tc>
          <w:tcPr>
            <w:tcW w:w="1403" w:type="dxa"/>
          </w:tcPr>
          <w:p w14:paraId="6B16557D" w14:textId="39F9C368"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UK</w:t>
            </w:r>
          </w:p>
        </w:tc>
        <w:tc>
          <w:tcPr>
            <w:tcW w:w="2218" w:type="dxa"/>
          </w:tcPr>
          <w:p w14:paraId="52DA7B92" w14:textId="50283D4A"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Subsidy</w:t>
            </w:r>
          </w:p>
        </w:tc>
        <w:tc>
          <w:tcPr>
            <w:tcW w:w="4675" w:type="dxa"/>
          </w:tcPr>
          <w:p w14:paraId="22C36948" w14:textId="4A3AE221"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For pure electric vehicles, the subsidy is 35% of the vehicle price, and the maximum subsidy is not more than 3500 pounds; for pure electric vehicles, the subsidy is up to 20%, and the maximum subsidy is not more than 8000 pounds;</w:t>
            </w:r>
          </w:p>
        </w:tc>
      </w:tr>
      <w:tr w:rsidR="00B577B6" w:rsidRPr="00341AB1" w14:paraId="5C67B63D" w14:textId="77777777" w:rsidTr="00B577B6">
        <w:tc>
          <w:tcPr>
            <w:tcW w:w="1403" w:type="dxa"/>
          </w:tcPr>
          <w:p w14:paraId="7E0B3DB9" w14:textId="08FF042B"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lastRenderedPageBreak/>
              <w:t>France</w:t>
            </w:r>
          </w:p>
        </w:tc>
        <w:tc>
          <w:tcPr>
            <w:tcW w:w="2218" w:type="dxa"/>
          </w:tcPr>
          <w:p w14:paraId="104BD1EE" w14:textId="15B487F2"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Subsidy</w:t>
            </w:r>
          </w:p>
        </w:tc>
        <w:tc>
          <w:tcPr>
            <w:tcW w:w="4675" w:type="dxa"/>
          </w:tcPr>
          <w:p w14:paraId="47C14458" w14:textId="6582AA6D"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The subsidy for private consumers was raised from 6000 to 7000 euros.</w:t>
            </w:r>
          </w:p>
        </w:tc>
      </w:tr>
      <w:tr w:rsidR="00B577B6" w:rsidRPr="00341AB1" w14:paraId="6B067771" w14:textId="77777777" w:rsidTr="00B577B6">
        <w:tc>
          <w:tcPr>
            <w:tcW w:w="1403" w:type="dxa"/>
          </w:tcPr>
          <w:p w14:paraId="3BCBBB13" w14:textId="0852B9C4"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Netherlands</w:t>
            </w:r>
          </w:p>
        </w:tc>
        <w:tc>
          <w:tcPr>
            <w:tcW w:w="2218" w:type="dxa"/>
          </w:tcPr>
          <w:p w14:paraId="11D4A438" w14:textId="2D0A6A33"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Subsidy</w:t>
            </w:r>
          </w:p>
        </w:tc>
        <w:tc>
          <w:tcPr>
            <w:tcW w:w="4675" w:type="dxa"/>
          </w:tcPr>
          <w:p w14:paraId="25ACA36E" w14:textId="1CD2E8CD"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For new energy vehicles below 45000 euro, the subsidy is 4000 euro.</w:t>
            </w:r>
          </w:p>
        </w:tc>
      </w:tr>
      <w:tr w:rsidR="00EC0E4D" w:rsidRPr="00341AB1" w14:paraId="55828EC7" w14:textId="77777777" w:rsidTr="00B577B6">
        <w:tc>
          <w:tcPr>
            <w:tcW w:w="1403" w:type="dxa"/>
          </w:tcPr>
          <w:p w14:paraId="48A4A558" w14:textId="2A8B71D6" w:rsidR="00EC0E4D" w:rsidRPr="00341AB1" w:rsidRDefault="00EC0E4D"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Italy</w:t>
            </w:r>
          </w:p>
        </w:tc>
        <w:tc>
          <w:tcPr>
            <w:tcW w:w="2218" w:type="dxa"/>
          </w:tcPr>
          <w:p w14:paraId="6F6802D3" w14:textId="26EDF522" w:rsidR="00EC0E4D" w:rsidRPr="00341AB1" w:rsidRDefault="00EC0E4D"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Subsidy</w:t>
            </w:r>
          </w:p>
        </w:tc>
        <w:tc>
          <w:tcPr>
            <w:tcW w:w="4675" w:type="dxa"/>
          </w:tcPr>
          <w:p w14:paraId="04413B0A" w14:textId="2B6E218B" w:rsidR="00EC0E4D" w:rsidRPr="00341AB1" w:rsidRDefault="00EC0E4D"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The maximum subsidy for new energy vehicles is 4000 euro</w:t>
            </w:r>
          </w:p>
        </w:tc>
      </w:tr>
      <w:tr w:rsidR="00EC0E4D" w:rsidRPr="00341AB1" w14:paraId="00FC6691" w14:textId="77777777" w:rsidTr="00B577B6">
        <w:tc>
          <w:tcPr>
            <w:tcW w:w="1403" w:type="dxa"/>
          </w:tcPr>
          <w:p w14:paraId="2F77D2EB" w14:textId="3202287A" w:rsidR="00EC0E4D" w:rsidRPr="00341AB1" w:rsidRDefault="00EC0E4D"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Sweden</w:t>
            </w:r>
          </w:p>
        </w:tc>
        <w:tc>
          <w:tcPr>
            <w:tcW w:w="2218" w:type="dxa"/>
          </w:tcPr>
          <w:p w14:paraId="22E3500C" w14:textId="419930BC" w:rsidR="00EC0E4D" w:rsidRPr="00341AB1" w:rsidRDefault="00EC0E4D"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Subsidy</w:t>
            </w:r>
          </w:p>
        </w:tc>
        <w:tc>
          <w:tcPr>
            <w:tcW w:w="4675" w:type="dxa"/>
          </w:tcPr>
          <w:p w14:paraId="0582AB90" w14:textId="217AA7AC" w:rsidR="00EC0E4D" w:rsidRPr="00341AB1" w:rsidRDefault="00EC0E4D"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The maximum cash subsidy is 5460 euro</w:t>
            </w:r>
          </w:p>
        </w:tc>
      </w:tr>
    </w:tbl>
    <w:p w14:paraId="2FE7B901" w14:textId="3579A366" w:rsidR="00A1716F" w:rsidRPr="00341AB1" w:rsidRDefault="00A1716F" w:rsidP="00D55895">
      <w:pPr>
        <w:spacing w:line="480" w:lineRule="auto"/>
        <w:rPr>
          <w:rFonts w:ascii="Times New Roman" w:hAnsi="Times New Roman" w:cs="Times New Roman"/>
          <w:sz w:val="24"/>
          <w:szCs w:val="24"/>
        </w:rPr>
      </w:pPr>
    </w:p>
    <w:p w14:paraId="2DBDEE45" w14:textId="1C393E64" w:rsidR="00A1716F" w:rsidRPr="00341AB1" w:rsidRDefault="00A1716F"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China has also adopted </w:t>
      </w:r>
      <w:r w:rsidR="007D78C0" w:rsidRPr="00341AB1">
        <w:rPr>
          <w:rFonts w:ascii="Times New Roman" w:hAnsi="Times New Roman" w:cs="Times New Roman"/>
          <w:sz w:val="24"/>
          <w:szCs w:val="24"/>
        </w:rPr>
        <w:t>many</w:t>
      </w:r>
      <w:r w:rsidRPr="00341AB1">
        <w:rPr>
          <w:rFonts w:ascii="Times New Roman" w:hAnsi="Times New Roman" w:cs="Times New Roman"/>
          <w:sz w:val="24"/>
          <w:szCs w:val="24"/>
        </w:rPr>
        <w:t xml:space="preserve"> </w:t>
      </w:r>
      <w:r w:rsidR="007D78C0" w:rsidRPr="00341AB1">
        <w:rPr>
          <w:rFonts w:ascii="Times New Roman" w:hAnsi="Times New Roman" w:cs="Times New Roman"/>
          <w:sz w:val="24"/>
          <w:szCs w:val="24"/>
        </w:rPr>
        <w:t>measures</w:t>
      </w:r>
      <w:r w:rsidRPr="00341AB1">
        <w:rPr>
          <w:rFonts w:ascii="Times New Roman" w:hAnsi="Times New Roman" w:cs="Times New Roman"/>
          <w:sz w:val="24"/>
          <w:szCs w:val="24"/>
        </w:rPr>
        <w:t xml:space="preserve"> to encourage the </w:t>
      </w:r>
      <w:r w:rsidR="007D78C0" w:rsidRPr="00341AB1">
        <w:rPr>
          <w:rFonts w:ascii="Times New Roman" w:hAnsi="Times New Roman" w:cs="Times New Roman"/>
          <w:sz w:val="24"/>
          <w:szCs w:val="24"/>
        </w:rPr>
        <w:t>growth</w:t>
      </w:r>
      <w:r w:rsidRPr="00341AB1">
        <w:rPr>
          <w:rFonts w:ascii="Times New Roman" w:hAnsi="Times New Roman" w:cs="Times New Roman"/>
          <w:sz w:val="24"/>
          <w:szCs w:val="24"/>
        </w:rPr>
        <w:t xml:space="preserve"> of new energy</w:t>
      </w:r>
      <w:r w:rsidR="007D78C0" w:rsidRPr="00341AB1">
        <w:rPr>
          <w:rFonts w:ascii="Times New Roman" w:hAnsi="Times New Roman" w:cs="Times New Roman"/>
          <w:sz w:val="24"/>
          <w:szCs w:val="24"/>
        </w:rPr>
        <w:t xml:space="preserve"> vehicles</w:t>
      </w:r>
      <w:r w:rsidRPr="00341AB1">
        <w:rPr>
          <w:rFonts w:ascii="Times New Roman" w:hAnsi="Times New Roman" w:cs="Times New Roman"/>
          <w:sz w:val="24"/>
          <w:szCs w:val="24"/>
        </w:rPr>
        <w:t xml:space="preserve">, </w:t>
      </w:r>
      <w:r w:rsidR="007D78C0" w:rsidRPr="00341AB1">
        <w:rPr>
          <w:rFonts w:ascii="Times New Roman" w:hAnsi="Times New Roman" w:cs="Times New Roman"/>
          <w:sz w:val="24"/>
          <w:szCs w:val="24"/>
        </w:rPr>
        <w:t>like</w:t>
      </w:r>
      <w:r w:rsidRPr="00341AB1">
        <w:rPr>
          <w:rFonts w:ascii="Times New Roman" w:hAnsi="Times New Roman" w:cs="Times New Roman"/>
          <w:sz w:val="24"/>
          <w:szCs w:val="24"/>
        </w:rPr>
        <w:t xml:space="preserve"> tax subsidies</w:t>
      </w:r>
      <w:r w:rsidR="007D78C0" w:rsidRPr="00341AB1">
        <w:rPr>
          <w:rFonts w:ascii="Times New Roman" w:hAnsi="Times New Roman" w:cs="Times New Roman"/>
          <w:sz w:val="24"/>
          <w:szCs w:val="24"/>
        </w:rPr>
        <w:t>,</w:t>
      </w:r>
      <w:r w:rsidRPr="00341AB1">
        <w:rPr>
          <w:rFonts w:ascii="Times New Roman" w:hAnsi="Times New Roman" w:cs="Times New Roman"/>
          <w:sz w:val="24"/>
          <w:szCs w:val="24"/>
        </w:rPr>
        <w:t xml:space="preserve"> tax incentives</w:t>
      </w:r>
      <w:r w:rsidR="007D78C0" w:rsidRPr="00341AB1">
        <w:rPr>
          <w:rFonts w:ascii="Times New Roman" w:hAnsi="Times New Roman" w:cs="Times New Roman"/>
          <w:sz w:val="24"/>
          <w:szCs w:val="24"/>
        </w:rPr>
        <w:t xml:space="preserve"> and points policy</w:t>
      </w:r>
      <w:r w:rsidRPr="00341AB1">
        <w:rPr>
          <w:rFonts w:ascii="Times New Roman" w:hAnsi="Times New Roman" w:cs="Times New Roman"/>
          <w:sz w:val="24"/>
          <w:szCs w:val="24"/>
        </w:rPr>
        <w:t>.</w:t>
      </w:r>
    </w:p>
    <w:p w14:paraId="657FC408" w14:textId="5942A315" w:rsidR="00A1716F" w:rsidRPr="00341AB1" w:rsidRDefault="00A1716F"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(2) Economic environment analysis</w:t>
      </w:r>
    </w:p>
    <w:p w14:paraId="475E220F" w14:textId="6C7751F7" w:rsidR="00A1716F" w:rsidRPr="00341AB1" w:rsidRDefault="00A1716F"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Due to the outbreak of covid-19, the development of world economy has been greatly affected. However, with the development of vaccine research and development, the world economy is recovering. If we put aside the impact of the covid-19 epidemic, the world economy has begun to recover in the past few years.</w:t>
      </w:r>
    </w:p>
    <w:p w14:paraId="109ACE99" w14:textId="38905BCE" w:rsidR="00A1716F" w:rsidRPr="00341AB1" w:rsidRDefault="00A1716F"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In 2019, the geopolitical impact of the world economy will slow down, but it will continue to grow. The International Monetary Fund forecasts that the real growth rate of global GDP in 2019 will be 3.0%, the lowest level since the 2008 financial crisis. Among them, the growth rate of developed economies dropped from 2.3% to 1.7%; the economic growth of emerging markets and developing economies fell to the lowest point in four years, from 4.5% to 3.9%; the economic growth of </w:t>
      </w:r>
      <w:proofErr w:type="gramStart"/>
      <w:r w:rsidRPr="00341AB1">
        <w:rPr>
          <w:rFonts w:ascii="Times New Roman" w:hAnsi="Times New Roman" w:cs="Times New Roman"/>
          <w:sz w:val="24"/>
          <w:szCs w:val="24"/>
        </w:rPr>
        <w:t>sub Saharan Africa</w:t>
      </w:r>
      <w:proofErr w:type="gramEnd"/>
      <w:r w:rsidRPr="00341AB1">
        <w:rPr>
          <w:rFonts w:ascii="Times New Roman" w:hAnsi="Times New Roman" w:cs="Times New Roman"/>
          <w:sz w:val="24"/>
          <w:szCs w:val="24"/>
        </w:rPr>
        <w:t xml:space="preserve"> remained stable, with a good growth rate of 3.2%. In general, against the background </w:t>
      </w:r>
      <w:r w:rsidRPr="00341AB1">
        <w:rPr>
          <w:rFonts w:ascii="Times New Roman" w:hAnsi="Times New Roman" w:cs="Times New Roman"/>
          <w:sz w:val="24"/>
          <w:szCs w:val="24"/>
        </w:rPr>
        <w:lastRenderedPageBreak/>
        <w:t>of geopolitical instability and Global trade friction, although global economic growth has slowed down simultaneously, there is still growth, which is the biggest bright spot.</w:t>
      </w:r>
    </w:p>
    <w:p w14:paraId="232187B4" w14:textId="151EB70B" w:rsidR="00A1716F" w:rsidRPr="00341AB1" w:rsidRDefault="00A1716F"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Under the background of increasing economic operation pressure, insufficient technological innovation and insufficient reform core power, loose monetary policy has become the "master key" for developed economies to maintain economic growth and employment rate. In 2019, the adjustment of monetary policy becomes the general trend, and a new round of easing policy is officially ushered in. According to incomplete statistics, as of October 2019, more than 30 economies around the world have announced interest rate cuts, including developed economies such as the United States, the European Union and South Korea, as well as emerging markets and developing economies such as India, Brazil and South Africa. Loose monetary policy can help ease the risk aversion, improve the price performance of risk assets and ease the downward pressure on the economy.</w:t>
      </w:r>
    </w:p>
    <w:p w14:paraId="5F9D030B" w14:textId="5660E63B" w:rsidR="00A1716F" w:rsidRPr="00341AB1" w:rsidRDefault="00A1716F"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(3) Analysis of social environment</w:t>
      </w:r>
    </w:p>
    <w:p w14:paraId="6E50CC76" w14:textId="15E7A10A" w:rsidR="00A1716F" w:rsidRPr="00341AB1" w:rsidRDefault="00A1716F"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On the one hand, if a product wants to occupy a place in the market, public recognition is the top priority. If the electric vehicle industry wants to achieve rapid development, it also needs to enter the supply and demand market and accept the test of consumers. Electric vehicle is still a new fashion product with high cost. However, as a life experience, it may attract some high-income, curious about new things and ecological environment of the public. </w:t>
      </w:r>
      <w:r w:rsidR="007D78C0" w:rsidRPr="00341AB1">
        <w:rPr>
          <w:rFonts w:ascii="Times New Roman" w:hAnsi="Times New Roman" w:cs="Times New Roman"/>
          <w:sz w:val="24"/>
          <w:szCs w:val="24"/>
        </w:rPr>
        <w:t xml:space="preserve">According to the United Nations population statistics, many developed countries have been an aging society. </w:t>
      </w:r>
      <w:r w:rsidRPr="00341AB1">
        <w:rPr>
          <w:rFonts w:ascii="Times New Roman" w:hAnsi="Times New Roman" w:cs="Times New Roman"/>
          <w:sz w:val="24"/>
          <w:szCs w:val="24"/>
        </w:rPr>
        <w:t xml:space="preserve">It is estimated that the retired population will account for about 15% of the total population in 2026. Obviously, </w:t>
      </w:r>
      <w:r w:rsidRPr="00341AB1">
        <w:rPr>
          <w:rFonts w:ascii="Times New Roman" w:hAnsi="Times New Roman" w:cs="Times New Roman"/>
          <w:sz w:val="24"/>
          <w:szCs w:val="24"/>
        </w:rPr>
        <w:lastRenderedPageBreak/>
        <w:t>aging will be a problem that all countries in the world will face. In terms of energy consumption, intelligent vehicles will be more effective than traditional vehicles in terms of energy consumption.</w:t>
      </w:r>
      <w:r w:rsidR="00DB0CC0" w:rsidRPr="00341AB1">
        <w:rPr>
          <w:rFonts w:ascii="Times New Roman" w:hAnsi="Times New Roman" w:cs="Times New Roman"/>
          <w:sz w:val="24"/>
          <w:szCs w:val="24"/>
        </w:rPr>
        <w:t xml:space="preserve"> </w:t>
      </w:r>
      <w:proofErr w:type="spellStart"/>
      <w:r w:rsidR="00DB0CC0" w:rsidRPr="00341AB1">
        <w:rPr>
          <w:rFonts w:ascii="Times New Roman" w:hAnsi="Times New Roman" w:cs="Times New Roman"/>
          <w:sz w:val="24"/>
          <w:szCs w:val="24"/>
        </w:rPr>
        <w:t>Guotai</w:t>
      </w:r>
      <w:proofErr w:type="spellEnd"/>
      <w:r w:rsidR="00DB0CC0" w:rsidRPr="00341AB1">
        <w:rPr>
          <w:rFonts w:ascii="Times New Roman" w:hAnsi="Times New Roman" w:cs="Times New Roman"/>
          <w:sz w:val="24"/>
          <w:szCs w:val="24"/>
        </w:rPr>
        <w:t xml:space="preserve"> </w:t>
      </w:r>
      <w:proofErr w:type="spellStart"/>
      <w:r w:rsidR="00DB0CC0" w:rsidRPr="00341AB1">
        <w:rPr>
          <w:rFonts w:ascii="Times New Roman" w:hAnsi="Times New Roman" w:cs="Times New Roman"/>
          <w:sz w:val="24"/>
          <w:szCs w:val="24"/>
        </w:rPr>
        <w:t>Junan</w:t>
      </w:r>
      <w:proofErr w:type="spellEnd"/>
      <w:r w:rsidR="00DB0CC0" w:rsidRPr="00341AB1">
        <w:rPr>
          <w:rFonts w:ascii="Times New Roman" w:hAnsi="Times New Roman" w:cs="Times New Roman"/>
          <w:sz w:val="24"/>
          <w:szCs w:val="24"/>
        </w:rPr>
        <w:t xml:space="preserve"> </w:t>
      </w:r>
      <w:proofErr w:type="spellStart"/>
      <w:r w:rsidR="00DB0CC0" w:rsidRPr="00341AB1">
        <w:rPr>
          <w:rFonts w:ascii="Times New Roman" w:hAnsi="Times New Roman" w:cs="Times New Roman"/>
          <w:sz w:val="24"/>
          <w:szCs w:val="24"/>
        </w:rPr>
        <w:t>Securitys</w:t>
      </w:r>
      <w:proofErr w:type="spellEnd"/>
      <w:r w:rsidR="00DB0CC0" w:rsidRPr="00341AB1">
        <w:rPr>
          <w:rFonts w:ascii="Times New Roman" w:hAnsi="Times New Roman" w:cs="Times New Roman"/>
          <w:sz w:val="24"/>
          <w:szCs w:val="24"/>
        </w:rPr>
        <w:t xml:space="preserve"> (2017, quoted in UN, 2017, p.24) presented that the proportion of population over 60 years old would be 21.29%.</w:t>
      </w:r>
    </w:p>
    <w:p w14:paraId="65FB3558" w14:textId="74297E56" w:rsidR="00A1716F" w:rsidRPr="00341AB1" w:rsidRDefault="005B1DCB" w:rsidP="00D55895">
      <w:pPr>
        <w:spacing w:line="480" w:lineRule="auto"/>
        <w:jc w:val="center"/>
        <w:rPr>
          <w:rFonts w:ascii="Times New Roman" w:hAnsi="Times New Roman" w:cs="Times New Roman"/>
          <w:sz w:val="24"/>
          <w:szCs w:val="24"/>
        </w:rPr>
      </w:pPr>
      <w:r w:rsidRPr="00341AB1">
        <w:rPr>
          <w:rFonts w:ascii="Times New Roman" w:hAnsi="Times New Roman" w:cs="Times New Roman"/>
          <w:noProof/>
          <w:sz w:val="24"/>
          <w:szCs w:val="24"/>
        </w:rPr>
        <w:drawing>
          <wp:inline distT="0" distB="0" distL="0" distR="0" wp14:anchorId="76E0A8C4" wp14:editId="1CC6B9CB">
            <wp:extent cx="5257800" cy="2339340"/>
            <wp:effectExtent l="0" t="0" r="0" b="3810"/>
            <wp:docPr id="8" name="图表 8">
              <a:extLst xmlns:a="http://schemas.openxmlformats.org/drawingml/2006/main">
                <a:ext uri="{FF2B5EF4-FFF2-40B4-BE49-F238E27FC236}">
                  <a16:creationId xmlns:a16="http://schemas.microsoft.com/office/drawing/2014/main" id="{47384A40-225B-4926-A225-BD7F01277F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F679F40" w14:textId="296EC2A2" w:rsidR="009C037B" w:rsidRPr="00341AB1" w:rsidRDefault="00185DF6"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Fig</w:t>
      </w:r>
      <w:r w:rsidR="005B1DCB" w:rsidRPr="00341AB1">
        <w:rPr>
          <w:rFonts w:ascii="Times New Roman" w:hAnsi="Times New Roman" w:cs="Times New Roman"/>
          <w:sz w:val="24"/>
          <w:szCs w:val="24"/>
        </w:rPr>
        <w:t xml:space="preserve"> 2-4 Ageing of population</w:t>
      </w:r>
    </w:p>
    <w:p w14:paraId="5ADF4AFC" w14:textId="410FE568" w:rsidR="00A1716F" w:rsidRPr="00341AB1" w:rsidRDefault="00A1716F"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On the other hand, the society pays more and more attention to the energy depletion, environmental pollution and other social problems, and the concept of scientific and clean development is increasingly popular. Air pollution, extreme weather and other problems in many parts of the world make people hope to take some measures to reduce environmental pollution and realize the harmonious coexistence of human and environment. </w:t>
      </w:r>
      <w:r w:rsidR="007D78C0" w:rsidRPr="00341AB1">
        <w:rPr>
          <w:rFonts w:ascii="Times New Roman" w:hAnsi="Times New Roman" w:cs="Times New Roman"/>
          <w:sz w:val="24"/>
          <w:szCs w:val="24"/>
        </w:rPr>
        <w:t xml:space="preserve">Different </w:t>
      </w:r>
      <w:r w:rsidRPr="00341AB1">
        <w:rPr>
          <w:rFonts w:ascii="Times New Roman" w:hAnsi="Times New Roman" w:cs="Times New Roman"/>
          <w:sz w:val="24"/>
          <w:szCs w:val="24"/>
        </w:rPr>
        <w:t>with the traditional fuel vehicles, new energy vehicles have the characteristics of energy saving and environmental protection, which are favored by more and more people. As a kind of zero emission environmental protection vehicle, electric vehicle will be recognized by consumers in the long run because its development conforms to the requirements of human society and the value orientation of sustainable development.</w:t>
      </w:r>
    </w:p>
    <w:p w14:paraId="37E1B9D5" w14:textId="1F2FBCF8" w:rsidR="00A1716F" w:rsidRPr="00341AB1" w:rsidRDefault="00A1716F"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lastRenderedPageBreak/>
        <w:t>(4) Technical environment analysis</w:t>
      </w:r>
    </w:p>
    <w:p w14:paraId="29B9E6CC" w14:textId="7A87E711" w:rsidR="00A1716F" w:rsidRPr="00341AB1" w:rsidRDefault="00A1716F"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The power battery is a very "young" product. In 1996, GM launched EV-1 with lead-acid battery, which is the prototype of modern electric vehicle architecture. From lead-acid battery to Japanese hybrid Ni MH battery and now popular lithium battery, it is only more than 20 years. At present, as the new energy vehicle power battery, lead-acid battery and nickel hydrogen battery are facing elimination, so lithium battery is the standard configuration of new energy vehicle. At present, there are four kinds of lithium batteries, which are lithium cobalt oxide, lithium manganese oxide, ternary materials and lithium iron phosphate batteries. These four types of batteries have different characteristics. The energy density of lithium cobalt oxide battery is high, but its safety is slightly insufficient; although the energy density of lithium manganese dioxide battery is not as good as that of lithium cobalt oxide and lithium ternary battery, other comprehensive performance is quite excellent; ternary material is to mix nickel, cobalt, manganese and other three materials in the cathode material according to a certain proportion, and its energy density can reach the maximum, The energy density of LiFePO4 battery is the lowest, but its life and safety performance are the highest. With the </w:t>
      </w:r>
      <w:r w:rsidR="00982EF0" w:rsidRPr="00341AB1">
        <w:rPr>
          <w:rFonts w:ascii="Times New Roman" w:hAnsi="Times New Roman" w:cs="Times New Roman"/>
          <w:sz w:val="24"/>
          <w:szCs w:val="24"/>
        </w:rPr>
        <w:t xml:space="preserve">improvement </w:t>
      </w:r>
      <w:r w:rsidRPr="00341AB1">
        <w:rPr>
          <w:rFonts w:ascii="Times New Roman" w:hAnsi="Times New Roman" w:cs="Times New Roman"/>
          <w:sz w:val="24"/>
          <w:szCs w:val="24"/>
        </w:rPr>
        <w:t xml:space="preserve">of battery technology, the energy density of lithium battery is gradually improved, and the safety performance is also guaranteed, which promotes the development of </w:t>
      </w:r>
      <w:r w:rsidR="00982EF0" w:rsidRPr="00341AB1">
        <w:rPr>
          <w:rFonts w:ascii="Times New Roman" w:hAnsi="Times New Roman" w:cs="Times New Roman"/>
          <w:sz w:val="24"/>
          <w:szCs w:val="24"/>
        </w:rPr>
        <w:t xml:space="preserve">electric vehicle </w:t>
      </w:r>
      <w:r w:rsidRPr="00341AB1">
        <w:rPr>
          <w:rFonts w:ascii="Times New Roman" w:hAnsi="Times New Roman" w:cs="Times New Roman"/>
          <w:sz w:val="24"/>
          <w:szCs w:val="24"/>
        </w:rPr>
        <w:t>industry to a certain extent.</w:t>
      </w:r>
    </w:p>
    <w:p w14:paraId="050D4E70" w14:textId="6165D6EF" w:rsidR="00A1716F" w:rsidRPr="00341AB1" w:rsidRDefault="00A1716F"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New energy vehicle charging technology has a new breakthrough. At present, the fastest mass-produced pure electric vehicles are still Tesla's </w:t>
      </w:r>
      <w:proofErr w:type="spellStart"/>
      <w:r w:rsidRPr="00341AB1">
        <w:rPr>
          <w:rFonts w:ascii="Times New Roman" w:hAnsi="Times New Roman" w:cs="Times New Roman"/>
          <w:sz w:val="24"/>
          <w:szCs w:val="24"/>
        </w:rPr>
        <w:t>model s</w:t>
      </w:r>
      <w:proofErr w:type="spellEnd"/>
      <w:r w:rsidRPr="00341AB1">
        <w:rPr>
          <w:rFonts w:ascii="Times New Roman" w:hAnsi="Times New Roman" w:cs="Times New Roman"/>
          <w:sz w:val="24"/>
          <w:szCs w:val="24"/>
        </w:rPr>
        <w:t xml:space="preserve">, model X and model 3, which can be charged at a maximum power of 120kw by using super charging </w:t>
      </w:r>
      <w:r w:rsidRPr="00341AB1">
        <w:rPr>
          <w:rFonts w:ascii="Times New Roman" w:hAnsi="Times New Roman" w:cs="Times New Roman"/>
          <w:sz w:val="24"/>
          <w:szCs w:val="24"/>
        </w:rPr>
        <w:lastRenderedPageBreak/>
        <w:t>piles. In the future, the charging system and DC fast charging pile equipment of pure electric vehicles will be further upgraded to improve the maximum charging power, shorten the charging time and improve the user experience.</w:t>
      </w:r>
    </w:p>
    <w:p w14:paraId="6A7A9BF8" w14:textId="222C6C3E" w:rsidR="00305F25" w:rsidRPr="00341AB1" w:rsidRDefault="00A1716F"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New energy vehicles are still unable to form standardized products. At present, electric vehicles on the market can be </w:t>
      </w:r>
      <w:r w:rsidR="00982EF0" w:rsidRPr="00341AB1">
        <w:rPr>
          <w:rFonts w:ascii="Times New Roman" w:hAnsi="Times New Roman" w:cs="Times New Roman"/>
          <w:sz w:val="24"/>
          <w:szCs w:val="24"/>
        </w:rPr>
        <w:t>classified</w:t>
      </w:r>
      <w:r w:rsidRPr="00341AB1">
        <w:rPr>
          <w:rFonts w:ascii="Times New Roman" w:hAnsi="Times New Roman" w:cs="Times New Roman"/>
          <w:sz w:val="24"/>
          <w:szCs w:val="24"/>
        </w:rPr>
        <w:t xml:space="preserve"> to hybrid electric vehicles, </w:t>
      </w:r>
      <w:r w:rsidR="00982EF0" w:rsidRPr="00341AB1">
        <w:rPr>
          <w:rFonts w:ascii="Times New Roman" w:hAnsi="Times New Roman" w:cs="Times New Roman"/>
          <w:sz w:val="24"/>
          <w:szCs w:val="24"/>
        </w:rPr>
        <w:t>blade</w:t>
      </w:r>
      <w:r w:rsidRPr="00341AB1">
        <w:rPr>
          <w:rFonts w:ascii="Times New Roman" w:hAnsi="Times New Roman" w:cs="Times New Roman"/>
          <w:sz w:val="24"/>
          <w:szCs w:val="24"/>
        </w:rPr>
        <w:t xml:space="preserve"> electric vehicles and fuel cell vehicles. The development progress and application degree of the above three models are different. Although electric vehicles were first produced, hybrid electric vehicles are widely used at present.</w:t>
      </w:r>
    </w:p>
    <w:p w14:paraId="323A6A8B" w14:textId="08FCFCAC" w:rsidR="00305F25" w:rsidRPr="00341AB1" w:rsidRDefault="00A1716F" w:rsidP="00264398">
      <w:pPr>
        <w:pStyle w:val="1"/>
        <w:spacing w:before="0" w:after="0" w:line="480" w:lineRule="auto"/>
        <w:jc w:val="center"/>
        <w:rPr>
          <w:rFonts w:ascii="Times New Roman" w:hAnsi="Times New Roman" w:cs="Times New Roman"/>
          <w:sz w:val="24"/>
          <w:szCs w:val="24"/>
        </w:rPr>
      </w:pPr>
      <w:bookmarkStart w:id="8" w:name="_Toc58771693"/>
      <w:r w:rsidRPr="00341AB1">
        <w:rPr>
          <w:rFonts w:ascii="Times New Roman" w:hAnsi="Times New Roman" w:cs="Times New Roman"/>
          <w:sz w:val="24"/>
          <w:szCs w:val="24"/>
        </w:rPr>
        <w:t>3 SWOT analysis of Tesla</w:t>
      </w:r>
      <w:bookmarkEnd w:id="8"/>
    </w:p>
    <w:p w14:paraId="17B459AF" w14:textId="0DEA407E" w:rsidR="00305F25" w:rsidRPr="00341AB1" w:rsidRDefault="00A1716F" w:rsidP="00D55895">
      <w:pPr>
        <w:pStyle w:val="2"/>
        <w:spacing w:before="0" w:after="0" w:line="480" w:lineRule="auto"/>
        <w:rPr>
          <w:rFonts w:ascii="Times New Roman" w:hAnsi="Times New Roman" w:cs="Times New Roman"/>
          <w:sz w:val="24"/>
          <w:szCs w:val="24"/>
        </w:rPr>
      </w:pPr>
      <w:bookmarkStart w:id="9" w:name="_Toc58771694"/>
      <w:r w:rsidRPr="00341AB1">
        <w:rPr>
          <w:rFonts w:ascii="Times New Roman" w:hAnsi="Times New Roman" w:cs="Times New Roman"/>
          <w:sz w:val="24"/>
          <w:szCs w:val="24"/>
        </w:rPr>
        <w:t>3.1</w:t>
      </w:r>
      <w:r w:rsidR="00D94AE1" w:rsidRPr="00341AB1">
        <w:rPr>
          <w:rFonts w:ascii="Times New Roman" w:hAnsi="Times New Roman" w:cs="Times New Roman"/>
          <w:sz w:val="24"/>
          <w:szCs w:val="24"/>
        </w:rPr>
        <w:t xml:space="preserve"> Strengths</w:t>
      </w:r>
      <w:r w:rsidRPr="00341AB1">
        <w:rPr>
          <w:rFonts w:ascii="Times New Roman" w:hAnsi="Times New Roman" w:cs="Times New Roman"/>
          <w:sz w:val="24"/>
          <w:szCs w:val="24"/>
        </w:rPr>
        <w:t xml:space="preserve"> analysis</w:t>
      </w:r>
      <w:bookmarkEnd w:id="9"/>
    </w:p>
    <w:p w14:paraId="1A54BB28" w14:textId="3F93BDE9" w:rsidR="00A1716F" w:rsidRPr="00341AB1" w:rsidRDefault="00A1716F"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(1) </w:t>
      </w:r>
      <w:r w:rsidR="002334AC" w:rsidRPr="00341AB1">
        <w:rPr>
          <w:rFonts w:ascii="Times New Roman" w:hAnsi="Times New Roman" w:cs="Times New Roman"/>
          <w:sz w:val="24"/>
          <w:szCs w:val="24"/>
        </w:rPr>
        <w:t>High brand awareness</w:t>
      </w:r>
    </w:p>
    <w:p w14:paraId="2F946B8B" w14:textId="32B3ED2D" w:rsidR="005023E4" w:rsidRPr="00341AB1" w:rsidRDefault="005023E4"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Daimler is one of the most </w:t>
      </w:r>
      <w:r w:rsidR="009323CD" w:rsidRPr="00341AB1">
        <w:rPr>
          <w:rFonts w:ascii="Times New Roman" w:hAnsi="Times New Roman" w:cs="Times New Roman"/>
          <w:sz w:val="24"/>
          <w:szCs w:val="24"/>
        </w:rPr>
        <w:t>famous</w:t>
      </w:r>
      <w:r w:rsidRPr="00341AB1">
        <w:rPr>
          <w:rFonts w:ascii="Times New Roman" w:hAnsi="Times New Roman" w:cs="Times New Roman"/>
          <w:sz w:val="24"/>
          <w:szCs w:val="24"/>
        </w:rPr>
        <w:t xml:space="preserve"> auto companies in the world. With Mercedes Benz cars and trucks, Daimler trucks and buses, and Daimler</w:t>
      </w:r>
      <w:r w:rsidR="002334AC" w:rsidRPr="00341AB1">
        <w:rPr>
          <w:rFonts w:ascii="Times New Roman" w:hAnsi="Times New Roman" w:cs="Times New Roman"/>
          <w:sz w:val="24"/>
          <w:szCs w:val="24"/>
        </w:rPr>
        <w:t>’</w:t>
      </w:r>
      <w:r w:rsidRPr="00341AB1">
        <w:rPr>
          <w:rFonts w:ascii="Times New Roman" w:hAnsi="Times New Roman" w:cs="Times New Roman"/>
          <w:sz w:val="24"/>
          <w:szCs w:val="24"/>
        </w:rPr>
        <w:t>s mobility division, the group is one of the world</w:t>
      </w:r>
      <w:r w:rsidR="002334AC" w:rsidRPr="00341AB1">
        <w:rPr>
          <w:rFonts w:ascii="Times New Roman" w:hAnsi="Times New Roman" w:cs="Times New Roman"/>
          <w:sz w:val="24"/>
          <w:szCs w:val="24"/>
        </w:rPr>
        <w:t>’</w:t>
      </w:r>
      <w:r w:rsidRPr="00341AB1">
        <w:rPr>
          <w:rFonts w:ascii="Times New Roman" w:hAnsi="Times New Roman" w:cs="Times New Roman"/>
          <w:sz w:val="24"/>
          <w:szCs w:val="24"/>
        </w:rPr>
        <w:t>s leading suppliers of premium vehicles and one of the world</w:t>
      </w:r>
      <w:r w:rsidR="002334AC" w:rsidRPr="00341AB1">
        <w:rPr>
          <w:rFonts w:ascii="Times New Roman" w:hAnsi="Times New Roman" w:cs="Times New Roman"/>
          <w:sz w:val="24"/>
          <w:szCs w:val="24"/>
        </w:rPr>
        <w:t>’</w:t>
      </w:r>
      <w:r w:rsidRPr="00341AB1">
        <w:rPr>
          <w:rFonts w:ascii="Times New Roman" w:hAnsi="Times New Roman" w:cs="Times New Roman"/>
          <w:sz w:val="24"/>
          <w:szCs w:val="24"/>
        </w:rPr>
        <w:t>s largest manufacturers of commercial vehicles. The company</w:t>
      </w:r>
      <w:r w:rsidR="002334AC" w:rsidRPr="00341AB1">
        <w:rPr>
          <w:rFonts w:ascii="Times New Roman" w:hAnsi="Times New Roman" w:cs="Times New Roman"/>
          <w:sz w:val="24"/>
          <w:szCs w:val="24"/>
        </w:rPr>
        <w:t>’</w:t>
      </w:r>
      <w:r w:rsidRPr="00341AB1">
        <w:rPr>
          <w:rFonts w:ascii="Times New Roman" w:hAnsi="Times New Roman" w:cs="Times New Roman"/>
          <w:sz w:val="24"/>
          <w:szCs w:val="24"/>
        </w:rPr>
        <w:t xml:space="preserve">s founders, Gottlieb Daimler and Carl Benz, made history by inventing the car in 1886. Daimler sells cars and services in almost every country in the world and has production facilities in Europe, North and South America, Asia and Africa. </w:t>
      </w:r>
    </w:p>
    <w:p w14:paraId="18E308CE" w14:textId="0E71866E" w:rsidR="005023E4" w:rsidRPr="00341AB1" w:rsidRDefault="00A1716F" w:rsidP="005023E4">
      <w:pPr>
        <w:spacing w:line="480" w:lineRule="auto"/>
        <w:rPr>
          <w:rFonts w:ascii="Times New Roman" w:hAnsi="Times New Roman" w:cs="Times New Roman"/>
          <w:sz w:val="24"/>
          <w:szCs w:val="24"/>
        </w:rPr>
      </w:pPr>
      <w:r w:rsidRPr="00341AB1">
        <w:rPr>
          <w:rFonts w:ascii="Times New Roman" w:hAnsi="Times New Roman" w:cs="Times New Roman"/>
          <w:sz w:val="24"/>
          <w:szCs w:val="24"/>
        </w:rPr>
        <w:t>(2)</w:t>
      </w:r>
      <w:r w:rsidR="0089478A" w:rsidRPr="00341AB1">
        <w:rPr>
          <w:rFonts w:ascii="Times New Roman" w:hAnsi="Times New Roman" w:cs="Times New Roman"/>
          <w:sz w:val="24"/>
          <w:szCs w:val="24"/>
        </w:rPr>
        <w:t xml:space="preserve"> </w:t>
      </w:r>
      <w:r w:rsidR="005023E4" w:rsidRPr="00341AB1">
        <w:rPr>
          <w:rFonts w:ascii="Times New Roman" w:hAnsi="Times New Roman" w:cs="Times New Roman"/>
          <w:sz w:val="24"/>
          <w:szCs w:val="24"/>
        </w:rPr>
        <w:t>Master core technology of vehicles</w:t>
      </w:r>
    </w:p>
    <w:p w14:paraId="5F2BA234" w14:textId="296B8A4A" w:rsidR="00C25913" w:rsidRPr="00341AB1" w:rsidRDefault="005023E4"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One of the most important factors that contributes to the competitiveness of Daimler AG is technology advantages. Daimler AG’s technology of vehicles is most advantaged all over the world. </w:t>
      </w:r>
      <w:r w:rsidR="009E3DB9" w:rsidRPr="00341AB1">
        <w:rPr>
          <w:rFonts w:ascii="Times New Roman" w:hAnsi="Times New Roman" w:cs="Times New Roman"/>
          <w:sz w:val="24"/>
          <w:szCs w:val="24"/>
        </w:rPr>
        <w:t xml:space="preserve">The huge R&amp;D investment is one of the key factors for </w:t>
      </w:r>
      <w:r w:rsidR="00264398">
        <w:rPr>
          <w:rFonts w:ascii="Times New Roman" w:hAnsi="Times New Roman" w:cs="Times New Roman"/>
          <w:sz w:val="24"/>
          <w:szCs w:val="24"/>
        </w:rPr>
        <w:t xml:space="preserve">   </w:t>
      </w:r>
      <w:r w:rsidR="009E3DB9" w:rsidRPr="00341AB1">
        <w:rPr>
          <w:rFonts w:ascii="Times New Roman" w:hAnsi="Times New Roman" w:cs="Times New Roman"/>
          <w:sz w:val="24"/>
          <w:szCs w:val="24"/>
        </w:rPr>
        <w:lastRenderedPageBreak/>
        <w:t>Daimler to gain advantages in competition and keep ahead. Moreover, the company's R&amp;D achievements are that its own products are highly differentiated and can distinguish its own products from those of other manufacturers. The company's investment in R&amp;D is consistent, so that the company can keep abreast of the new technology</w:t>
      </w:r>
      <w:r w:rsidR="00C4013D" w:rsidRPr="00341AB1">
        <w:rPr>
          <w:rFonts w:ascii="Times New Roman" w:hAnsi="Times New Roman" w:cs="Times New Roman"/>
          <w:sz w:val="24"/>
          <w:szCs w:val="24"/>
        </w:rPr>
        <w:t xml:space="preserve"> </w:t>
      </w:r>
      <w:r w:rsidR="00C25913" w:rsidRPr="00341AB1">
        <w:rPr>
          <w:rFonts w:ascii="Times New Roman" w:hAnsi="Times New Roman" w:cs="Times New Roman"/>
          <w:sz w:val="24"/>
          <w:szCs w:val="24"/>
        </w:rPr>
        <w:t>Daimler invests 4-5% of its revenue in R&amp;D every year to maintain its advantage in automobile manufacturing. For example, Daimler invested 9.1 billion euros and 9.7 billion euros in research costs in 2018-2019, and is expected to invest 9.4 billion euros in 2020 and 2021.</w:t>
      </w:r>
    </w:p>
    <w:p w14:paraId="2A29B9C9" w14:textId="27FA8480" w:rsidR="00C25913" w:rsidRPr="00341AB1" w:rsidRDefault="00C25913" w:rsidP="00D55895">
      <w:pPr>
        <w:spacing w:line="480" w:lineRule="auto"/>
        <w:rPr>
          <w:rFonts w:ascii="Times New Roman" w:hAnsi="Times New Roman" w:cs="Times New Roman"/>
          <w:sz w:val="24"/>
          <w:szCs w:val="24"/>
        </w:rPr>
      </w:pPr>
      <w:r w:rsidRPr="00341AB1">
        <w:rPr>
          <w:rFonts w:ascii="Times New Roman" w:hAnsi="Times New Roman" w:cs="Times New Roman"/>
          <w:noProof/>
          <w:sz w:val="24"/>
          <w:szCs w:val="24"/>
        </w:rPr>
        <w:drawing>
          <wp:inline distT="0" distB="0" distL="0" distR="0" wp14:anchorId="108BCBFB" wp14:editId="625C603C">
            <wp:extent cx="5334000" cy="2743200"/>
            <wp:effectExtent l="0" t="0" r="0" b="0"/>
            <wp:docPr id="17" name="图表 17">
              <a:extLst xmlns:a="http://schemas.openxmlformats.org/drawingml/2006/main">
                <a:ext uri="{FF2B5EF4-FFF2-40B4-BE49-F238E27FC236}">
                  <a16:creationId xmlns:a16="http://schemas.microsoft.com/office/drawing/2014/main" id="{B96A43B3-75A5-434F-843F-8E0120DF33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0B9F3A6" w14:textId="15570855" w:rsidR="00C25913" w:rsidRPr="00341AB1" w:rsidRDefault="00C25913" w:rsidP="002334AC">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Fig 3-1</w:t>
      </w:r>
      <w:r w:rsidR="00DF6F26" w:rsidRPr="00341AB1">
        <w:rPr>
          <w:rFonts w:ascii="Times New Roman" w:hAnsi="Times New Roman" w:cs="Times New Roman"/>
          <w:sz w:val="24"/>
          <w:szCs w:val="24"/>
        </w:rPr>
        <w:t xml:space="preserve"> Daimler R&amp;D expenses</w:t>
      </w:r>
    </w:p>
    <w:p w14:paraId="149FBFC2" w14:textId="515F068B" w:rsidR="0077147D" w:rsidRPr="00341AB1" w:rsidRDefault="0077147D" w:rsidP="0077147D">
      <w:pPr>
        <w:spacing w:line="480" w:lineRule="auto"/>
        <w:rPr>
          <w:rFonts w:ascii="Times New Roman" w:hAnsi="Times New Roman" w:cs="Times New Roman"/>
          <w:sz w:val="24"/>
          <w:szCs w:val="24"/>
        </w:rPr>
      </w:pPr>
      <w:r w:rsidRPr="00341AB1">
        <w:rPr>
          <w:rFonts w:ascii="Times New Roman" w:hAnsi="Times New Roman" w:cs="Times New Roman"/>
          <w:sz w:val="24"/>
          <w:szCs w:val="24"/>
        </w:rPr>
        <w:t>(3) Excellent resource integration ability</w:t>
      </w:r>
    </w:p>
    <w:p w14:paraId="452C1E44" w14:textId="4F8C3877" w:rsidR="0077147D" w:rsidRPr="00341AB1" w:rsidRDefault="0077147D"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Daimler company was established earlier, and has been in the leading position of the world's automobile manufacturers. Its supply channels and sales network are very rich, and its business covers the world, with the ability to integrate resources from different regions to reduce costs. Not only that, Daimler company has a perfect production line management system, which can make scientific use of various resources, </w:t>
      </w:r>
      <w:r w:rsidRPr="00341AB1">
        <w:rPr>
          <w:rFonts w:ascii="Times New Roman" w:hAnsi="Times New Roman" w:cs="Times New Roman"/>
          <w:sz w:val="24"/>
          <w:szCs w:val="24"/>
        </w:rPr>
        <w:lastRenderedPageBreak/>
        <w:t>reduce various losses, and then reduce costs.</w:t>
      </w:r>
    </w:p>
    <w:p w14:paraId="316C925D" w14:textId="6158E9B8" w:rsidR="00A1716F" w:rsidRPr="00341AB1" w:rsidRDefault="00A1716F" w:rsidP="00D55895">
      <w:pPr>
        <w:pStyle w:val="2"/>
        <w:spacing w:before="0" w:after="0" w:line="480" w:lineRule="auto"/>
        <w:rPr>
          <w:rFonts w:ascii="Times New Roman" w:hAnsi="Times New Roman" w:cs="Times New Roman"/>
          <w:sz w:val="24"/>
          <w:szCs w:val="24"/>
        </w:rPr>
      </w:pPr>
      <w:bookmarkStart w:id="10" w:name="_Toc58771695"/>
      <w:r w:rsidRPr="00341AB1">
        <w:rPr>
          <w:rFonts w:ascii="Times New Roman" w:hAnsi="Times New Roman" w:cs="Times New Roman"/>
          <w:sz w:val="24"/>
          <w:szCs w:val="24"/>
        </w:rPr>
        <w:t xml:space="preserve">3.2 </w:t>
      </w:r>
      <w:r w:rsidR="00305F25" w:rsidRPr="00341AB1">
        <w:rPr>
          <w:rFonts w:ascii="Times New Roman" w:hAnsi="Times New Roman" w:cs="Times New Roman"/>
          <w:sz w:val="24"/>
          <w:szCs w:val="24"/>
        </w:rPr>
        <w:t>W</w:t>
      </w:r>
      <w:r w:rsidRPr="00341AB1">
        <w:rPr>
          <w:rFonts w:ascii="Times New Roman" w:hAnsi="Times New Roman" w:cs="Times New Roman"/>
          <w:sz w:val="24"/>
          <w:szCs w:val="24"/>
        </w:rPr>
        <w:t>eakness</w:t>
      </w:r>
      <w:r w:rsidR="00305F25" w:rsidRPr="00341AB1">
        <w:rPr>
          <w:rFonts w:ascii="Times New Roman" w:hAnsi="Times New Roman" w:cs="Times New Roman"/>
          <w:sz w:val="24"/>
          <w:szCs w:val="24"/>
        </w:rPr>
        <w:t>es</w:t>
      </w:r>
      <w:r w:rsidRPr="00341AB1">
        <w:rPr>
          <w:rFonts w:ascii="Times New Roman" w:hAnsi="Times New Roman" w:cs="Times New Roman"/>
          <w:sz w:val="24"/>
          <w:szCs w:val="24"/>
        </w:rPr>
        <w:t xml:space="preserve"> analysis</w:t>
      </w:r>
      <w:bookmarkEnd w:id="10"/>
    </w:p>
    <w:p w14:paraId="555D744D" w14:textId="7D7FC6EE" w:rsidR="00A1716F" w:rsidRPr="00341AB1" w:rsidRDefault="00A1716F"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w:t>
      </w:r>
      <w:r w:rsidR="00E11BF9" w:rsidRPr="00341AB1">
        <w:rPr>
          <w:rFonts w:ascii="Times New Roman" w:hAnsi="Times New Roman" w:cs="Times New Roman"/>
          <w:sz w:val="24"/>
          <w:szCs w:val="24"/>
        </w:rPr>
        <w:t>1</w:t>
      </w:r>
      <w:r w:rsidRPr="00341AB1">
        <w:rPr>
          <w:rFonts w:ascii="Times New Roman" w:hAnsi="Times New Roman" w:cs="Times New Roman"/>
          <w:sz w:val="24"/>
          <w:szCs w:val="24"/>
        </w:rPr>
        <w:t xml:space="preserve">) </w:t>
      </w:r>
      <w:r w:rsidR="006F705F" w:rsidRPr="00341AB1">
        <w:rPr>
          <w:rFonts w:ascii="Times New Roman" w:hAnsi="Times New Roman" w:cs="Times New Roman"/>
          <w:sz w:val="24"/>
          <w:szCs w:val="24"/>
        </w:rPr>
        <w:t>New energy vehicle business starts slowly</w:t>
      </w:r>
    </w:p>
    <w:p w14:paraId="47B1BB99" w14:textId="07AF2533" w:rsidR="008A13D5" w:rsidRPr="00341AB1" w:rsidRDefault="006F705F"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At present, there are many new brands and traditional car companies in the new energy market. They have earlier layout in the new energy vehicle market. Battery technology and other new energy vehicle technology have a more in-depth research, and now occupy a larger market share. Although Daimler has also deployed new energy vehicles and invested in some battery suppliers, the accumulation of related technologies is still weak compared with Tesla and other companies.</w:t>
      </w:r>
    </w:p>
    <w:p w14:paraId="3CF7322E" w14:textId="4CEF8ABF" w:rsidR="0077147D" w:rsidRPr="00341AB1" w:rsidRDefault="00A1716F" w:rsidP="0077147D">
      <w:pPr>
        <w:spacing w:line="480" w:lineRule="auto"/>
        <w:rPr>
          <w:rFonts w:ascii="Times New Roman" w:hAnsi="Times New Roman" w:cs="Times New Roman"/>
          <w:sz w:val="24"/>
          <w:szCs w:val="24"/>
        </w:rPr>
      </w:pPr>
      <w:r w:rsidRPr="00341AB1">
        <w:rPr>
          <w:rFonts w:ascii="Times New Roman" w:hAnsi="Times New Roman" w:cs="Times New Roman"/>
          <w:sz w:val="24"/>
          <w:szCs w:val="24"/>
        </w:rPr>
        <w:t>(</w:t>
      </w:r>
      <w:r w:rsidR="00E11BF9" w:rsidRPr="00341AB1">
        <w:rPr>
          <w:rFonts w:ascii="Times New Roman" w:hAnsi="Times New Roman" w:cs="Times New Roman"/>
          <w:sz w:val="24"/>
          <w:szCs w:val="24"/>
        </w:rPr>
        <w:t>2</w:t>
      </w:r>
      <w:r w:rsidRPr="00341AB1">
        <w:rPr>
          <w:rFonts w:ascii="Times New Roman" w:hAnsi="Times New Roman" w:cs="Times New Roman"/>
          <w:sz w:val="24"/>
          <w:szCs w:val="24"/>
        </w:rPr>
        <w:t xml:space="preserve">) </w:t>
      </w:r>
      <w:r w:rsidR="004F6E23" w:rsidRPr="00341AB1">
        <w:rPr>
          <w:rFonts w:ascii="Times New Roman" w:hAnsi="Times New Roman" w:cs="Times New Roman"/>
          <w:sz w:val="24"/>
          <w:szCs w:val="24"/>
        </w:rPr>
        <w:t>The staff distribution is not reasonable enough</w:t>
      </w:r>
    </w:p>
    <w:p w14:paraId="582222C9" w14:textId="23224E4B" w:rsidR="008A13D5" w:rsidRPr="00341AB1" w:rsidRDefault="00B80C21"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According to the above, Mercedes Benz's revenue sources are mainly from Europe, North America Free Trade Agreement and China's contribution from Asia. According to Daimler's 2019 annual report, the number of employees in Europe, the number of employees in the United States and China are 132961106773852, respectively, while the corresponding income is 40256, 19127, 30614 million eu</w:t>
      </w:r>
      <w:r w:rsidR="00DE3C2C" w:rsidRPr="00341AB1">
        <w:rPr>
          <w:rFonts w:ascii="Times New Roman" w:hAnsi="Times New Roman" w:cs="Times New Roman"/>
          <w:sz w:val="24"/>
          <w:szCs w:val="24"/>
        </w:rPr>
        <w:t>ro</w:t>
      </w:r>
      <w:r w:rsidRPr="00341AB1">
        <w:rPr>
          <w:rFonts w:ascii="Times New Roman" w:hAnsi="Times New Roman" w:cs="Times New Roman"/>
          <w:sz w:val="24"/>
          <w:szCs w:val="24"/>
        </w:rPr>
        <w:t>s. See the figure below for details</w:t>
      </w:r>
      <w:r w:rsidR="004F6E23" w:rsidRPr="00341AB1">
        <w:rPr>
          <w:rFonts w:ascii="Times New Roman" w:hAnsi="Times New Roman" w:cs="Times New Roman"/>
          <w:sz w:val="24"/>
          <w:szCs w:val="24"/>
        </w:rPr>
        <w:t>：</w:t>
      </w:r>
    </w:p>
    <w:p w14:paraId="068E1389" w14:textId="798857DB" w:rsidR="004F6E23" w:rsidRPr="00341AB1" w:rsidRDefault="009910CC" w:rsidP="004F6E23">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Table 3-1</w:t>
      </w:r>
      <w:r w:rsidR="00DE3C2C" w:rsidRPr="00341AB1">
        <w:rPr>
          <w:rFonts w:ascii="Times New Roman" w:hAnsi="Times New Roman" w:cs="Times New Roman"/>
        </w:rPr>
        <w:t xml:space="preserve"> </w:t>
      </w:r>
      <w:r w:rsidR="00DE3C2C" w:rsidRPr="00341AB1">
        <w:rPr>
          <w:rFonts w:ascii="Times New Roman" w:hAnsi="Times New Roman" w:cs="Times New Roman"/>
          <w:sz w:val="24"/>
          <w:szCs w:val="24"/>
        </w:rPr>
        <w:t xml:space="preserve">Revenue vs. staff </w:t>
      </w:r>
    </w:p>
    <w:tbl>
      <w:tblPr>
        <w:tblStyle w:val="a3"/>
        <w:tblW w:w="0" w:type="auto"/>
        <w:tblLook w:val="04A0" w:firstRow="1" w:lastRow="0" w:firstColumn="1" w:lastColumn="0" w:noHBand="0" w:noVBand="1"/>
      </w:tblPr>
      <w:tblGrid>
        <w:gridCol w:w="2830"/>
        <w:gridCol w:w="1843"/>
        <w:gridCol w:w="1701"/>
        <w:gridCol w:w="1922"/>
      </w:tblGrid>
      <w:tr w:rsidR="004F6E23" w:rsidRPr="00341AB1" w14:paraId="5D59582F" w14:textId="77777777" w:rsidTr="004F6E23">
        <w:tc>
          <w:tcPr>
            <w:tcW w:w="2830" w:type="dxa"/>
          </w:tcPr>
          <w:p w14:paraId="6E95DF4B" w14:textId="77777777" w:rsidR="004F6E23" w:rsidRPr="00341AB1" w:rsidRDefault="004F6E23" w:rsidP="00D55895">
            <w:pPr>
              <w:spacing w:line="480" w:lineRule="auto"/>
              <w:rPr>
                <w:rFonts w:ascii="Times New Roman" w:hAnsi="Times New Roman" w:cs="Times New Roman"/>
                <w:sz w:val="24"/>
                <w:szCs w:val="24"/>
              </w:rPr>
            </w:pPr>
          </w:p>
        </w:tc>
        <w:tc>
          <w:tcPr>
            <w:tcW w:w="1843" w:type="dxa"/>
          </w:tcPr>
          <w:p w14:paraId="06A423C1" w14:textId="0D9EA51C" w:rsidR="004F6E23" w:rsidRPr="00341AB1" w:rsidRDefault="004F6E2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Europe</w:t>
            </w:r>
          </w:p>
        </w:tc>
        <w:tc>
          <w:tcPr>
            <w:tcW w:w="1701" w:type="dxa"/>
          </w:tcPr>
          <w:p w14:paraId="61FC5EFB" w14:textId="6F7D48C0" w:rsidR="004F6E23" w:rsidRPr="00341AB1" w:rsidRDefault="004F6E2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NAFTA</w:t>
            </w:r>
          </w:p>
        </w:tc>
        <w:tc>
          <w:tcPr>
            <w:tcW w:w="1922" w:type="dxa"/>
          </w:tcPr>
          <w:p w14:paraId="29D4A20B" w14:textId="425938F8" w:rsidR="004F6E23" w:rsidRPr="00341AB1" w:rsidRDefault="004F6E2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Asia</w:t>
            </w:r>
          </w:p>
        </w:tc>
      </w:tr>
      <w:tr w:rsidR="004F6E23" w:rsidRPr="00341AB1" w14:paraId="13B7882F" w14:textId="77777777" w:rsidTr="004F6E23">
        <w:tc>
          <w:tcPr>
            <w:tcW w:w="2830" w:type="dxa"/>
          </w:tcPr>
          <w:p w14:paraId="4798FB42" w14:textId="6EA52CAD" w:rsidR="004F6E23" w:rsidRPr="00341AB1" w:rsidRDefault="004F6E2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Revenue (million euros)</w:t>
            </w:r>
          </w:p>
        </w:tc>
        <w:tc>
          <w:tcPr>
            <w:tcW w:w="1843" w:type="dxa"/>
          </w:tcPr>
          <w:p w14:paraId="52EBFA4D" w14:textId="2C3B8522" w:rsidR="004F6E23" w:rsidRPr="00341AB1" w:rsidRDefault="004F6E2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40256</w:t>
            </w:r>
          </w:p>
        </w:tc>
        <w:tc>
          <w:tcPr>
            <w:tcW w:w="1701" w:type="dxa"/>
          </w:tcPr>
          <w:p w14:paraId="41EE4852" w14:textId="03C19B6C" w:rsidR="004F6E23" w:rsidRPr="00341AB1" w:rsidRDefault="004F6E2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19127</w:t>
            </w:r>
          </w:p>
        </w:tc>
        <w:tc>
          <w:tcPr>
            <w:tcW w:w="1922" w:type="dxa"/>
          </w:tcPr>
          <w:p w14:paraId="6D593E4A" w14:textId="5D370843" w:rsidR="004F6E23" w:rsidRPr="00341AB1" w:rsidRDefault="004F6E2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30614</w:t>
            </w:r>
          </w:p>
        </w:tc>
      </w:tr>
      <w:tr w:rsidR="004F6E23" w:rsidRPr="00341AB1" w14:paraId="76D9E5F2" w14:textId="77777777" w:rsidTr="004F6E23">
        <w:tc>
          <w:tcPr>
            <w:tcW w:w="2830" w:type="dxa"/>
          </w:tcPr>
          <w:p w14:paraId="6CA817C5" w14:textId="69AEB6BC" w:rsidR="004F6E23" w:rsidRPr="00341AB1" w:rsidRDefault="004F6E2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Employees</w:t>
            </w:r>
          </w:p>
        </w:tc>
        <w:tc>
          <w:tcPr>
            <w:tcW w:w="1843" w:type="dxa"/>
          </w:tcPr>
          <w:p w14:paraId="07A4D0BD" w14:textId="384CF477" w:rsidR="004F6E23" w:rsidRPr="00341AB1" w:rsidRDefault="004F6E2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132961</w:t>
            </w:r>
          </w:p>
        </w:tc>
        <w:tc>
          <w:tcPr>
            <w:tcW w:w="1701" w:type="dxa"/>
          </w:tcPr>
          <w:p w14:paraId="58E892FD" w14:textId="41A2E8F2" w:rsidR="004F6E23" w:rsidRPr="00341AB1" w:rsidRDefault="004F6E2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10677</w:t>
            </w:r>
          </w:p>
        </w:tc>
        <w:tc>
          <w:tcPr>
            <w:tcW w:w="1922" w:type="dxa"/>
          </w:tcPr>
          <w:p w14:paraId="6D5BD3D1" w14:textId="42487CFA" w:rsidR="004F6E23" w:rsidRPr="00341AB1" w:rsidRDefault="004F6E2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3852</w:t>
            </w:r>
          </w:p>
        </w:tc>
      </w:tr>
    </w:tbl>
    <w:p w14:paraId="1D94DE33" w14:textId="71EF6B45" w:rsidR="008A13D5" w:rsidRPr="00341AB1" w:rsidRDefault="008A13D5" w:rsidP="00D55895">
      <w:pPr>
        <w:spacing w:line="480" w:lineRule="auto"/>
        <w:rPr>
          <w:rFonts w:ascii="Times New Roman" w:hAnsi="Times New Roman" w:cs="Times New Roman"/>
          <w:sz w:val="24"/>
          <w:szCs w:val="24"/>
        </w:rPr>
      </w:pPr>
    </w:p>
    <w:p w14:paraId="33AD317A" w14:textId="4119BE63" w:rsidR="00A1716F" w:rsidRPr="00341AB1" w:rsidRDefault="00A1716F" w:rsidP="00D55895">
      <w:pPr>
        <w:pStyle w:val="2"/>
        <w:spacing w:before="0" w:after="0" w:line="480" w:lineRule="auto"/>
        <w:rPr>
          <w:rFonts w:ascii="Times New Roman" w:hAnsi="Times New Roman" w:cs="Times New Roman"/>
          <w:sz w:val="24"/>
          <w:szCs w:val="24"/>
        </w:rPr>
      </w:pPr>
      <w:bookmarkStart w:id="11" w:name="_Toc58771696"/>
      <w:r w:rsidRPr="00341AB1">
        <w:rPr>
          <w:rFonts w:ascii="Times New Roman" w:hAnsi="Times New Roman" w:cs="Times New Roman"/>
          <w:sz w:val="24"/>
          <w:szCs w:val="24"/>
        </w:rPr>
        <w:lastRenderedPageBreak/>
        <w:t xml:space="preserve">3.3 </w:t>
      </w:r>
      <w:r w:rsidR="0025179C" w:rsidRPr="00341AB1">
        <w:rPr>
          <w:rFonts w:ascii="Times New Roman" w:hAnsi="Times New Roman" w:cs="Times New Roman"/>
          <w:sz w:val="24"/>
          <w:szCs w:val="24"/>
        </w:rPr>
        <w:t>O</w:t>
      </w:r>
      <w:r w:rsidRPr="00341AB1">
        <w:rPr>
          <w:rFonts w:ascii="Times New Roman" w:hAnsi="Times New Roman" w:cs="Times New Roman"/>
          <w:sz w:val="24"/>
          <w:szCs w:val="24"/>
        </w:rPr>
        <w:t>pportunity analysis</w:t>
      </w:r>
      <w:bookmarkEnd w:id="11"/>
    </w:p>
    <w:p w14:paraId="2ED67D19" w14:textId="77777777" w:rsidR="00A66270" w:rsidRPr="00341AB1" w:rsidRDefault="00A1716F" w:rsidP="00A66270">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(1) </w:t>
      </w:r>
      <w:r w:rsidR="00A66270" w:rsidRPr="00341AB1">
        <w:rPr>
          <w:rFonts w:ascii="Times New Roman" w:hAnsi="Times New Roman" w:cs="Times New Roman"/>
          <w:sz w:val="24"/>
          <w:szCs w:val="24"/>
        </w:rPr>
        <w:t>New energy vehicle industry has broad prospects</w:t>
      </w:r>
    </w:p>
    <w:p w14:paraId="70E19419" w14:textId="044F25B8" w:rsidR="008A13D5" w:rsidRPr="00341AB1" w:rsidRDefault="00A66270"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The world economic environment has begun to recover, which will benefit the new energy vehicle industry. Besides, as the biggest vehicle market, the sales of new energy vehicles in China have increased significantly for latest years. The sales volume of new energy vehicles in China reached to 1.3 million, an increase of 63.1% over last year; In addition, European countries have formulated a timetable for banning the sale of fuel vehicles, and the residents' awareness of environmental protection is increasing, and they gradually realize the importance of green-life style which includes using new energy vehicles to transport. In the future, the new energy vehicles will get higher attention when people buy their cars.</w:t>
      </w:r>
    </w:p>
    <w:p w14:paraId="143CA82D" w14:textId="22BDE99F" w:rsidR="00A1716F" w:rsidRPr="00341AB1" w:rsidRDefault="00A1716F"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(2) </w:t>
      </w:r>
      <w:r w:rsidR="00E65E3D" w:rsidRPr="00341AB1">
        <w:rPr>
          <w:rFonts w:ascii="Times New Roman" w:hAnsi="Times New Roman" w:cs="Times New Roman"/>
          <w:sz w:val="24"/>
          <w:szCs w:val="24"/>
        </w:rPr>
        <w:t>Policy driven industry development</w:t>
      </w:r>
    </w:p>
    <w:p w14:paraId="628DE765" w14:textId="51E5054D" w:rsidR="008A13D5" w:rsidRPr="00341AB1" w:rsidRDefault="007C3D69"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At present, people in various countries pay more and more attention to the environment, and the governments of various countries have also issued corresponding policies to meet the needs of the people, especially the United States, Japan, France, Germany and other countries have issued a series of policies. The European Parliament and the Council issued the most stringent carbon emission regulations in April 2019. The new standard stipulates that the average CO2 emissions of new passenger cars in 2021, 2025 and 2030 are respectively </w:t>
      </w:r>
      <w:r w:rsidR="00CA080F" w:rsidRPr="00341AB1">
        <w:rPr>
          <w:rFonts w:ascii="Times New Roman" w:hAnsi="Times New Roman" w:cs="Times New Roman"/>
          <w:sz w:val="24"/>
          <w:szCs w:val="24"/>
        </w:rPr>
        <w:t>95g/</w:t>
      </w:r>
      <w:r w:rsidRPr="00341AB1">
        <w:rPr>
          <w:rFonts w:ascii="Times New Roman" w:hAnsi="Times New Roman" w:cs="Times New Roman"/>
          <w:sz w:val="24"/>
          <w:szCs w:val="24"/>
        </w:rPr>
        <w:t xml:space="preserve">km, 81g / km and </w:t>
      </w:r>
      <w:r w:rsidR="00CA080F" w:rsidRPr="00341AB1">
        <w:rPr>
          <w:rFonts w:ascii="Times New Roman" w:hAnsi="Times New Roman" w:cs="Times New Roman"/>
          <w:sz w:val="24"/>
          <w:szCs w:val="24"/>
        </w:rPr>
        <w:t>59g/</w:t>
      </w:r>
      <w:r w:rsidRPr="00341AB1">
        <w:rPr>
          <w:rFonts w:ascii="Times New Roman" w:hAnsi="Times New Roman" w:cs="Times New Roman"/>
          <w:sz w:val="24"/>
          <w:szCs w:val="24"/>
        </w:rPr>
        <w:t>km. If the CO2 emissions corresponding to gasoline combustion are converted, the corresponding vehicle fuel consumption requirements are 4.0 L / 100 km, 3.4 L / 100 km and 2.5</w:t>
      </w:r>
      <w:r w:rsidR="00CA080F" w:rsidRPr="00341AB1">
        <w:rPr>
          <w:rFonts w:ascii="Times New Roman" w:hAnsi="Times New Roman" w:cs="Times New Roman"/>
          <w:sz w:val="24"/>
          <w:szCs w:val="24"/>
        </w:rPr>
        <w:t>L/</w:t>
      </w:r>
      <w:r w:rsidRPr="00341AB1">
        <w:rPr>
          <w:rFonts w:ascii="Times New Roman" w:hAnsi="Times New Roman" w:cs="Times New Roman"/>
          <w:sz w:val="24"/>
          <w:szCs w:val="24"/>
        </w:rPr>
        <w:t>100 km, respectively.</w:t>
      </w:r>
      <w:r w:rsidR="00CA080F" w:rsidRPr="00341AB1">
        <w:rPr>
          <w:rFonts w:ascii="Times New Roman" w:hAnsi="Times New Roman" w:cs="Times New Roman"/>
          <w:sz w:val="24"/>
          <w:szCs w:val="24"/>
        </w:rPr>
        <w:t xml:space="preserve"> T</w:t>
      </w:r>
      <w:r w:rsidRPr="00341AB1">
        <w:rPr>
          <w:rFonts w:ascii="Times New Roman" w:hAnsi="Times New Roman" w:cs="Times New Roman"/>
          <w:sz w:val="24"/>
          <w:szCs w:val="24"/>
        </w:rPr>
        <w:t>here will be a huge demand of electric vehicles.</w:t>
      </w:r>
    </w:p>
    <w:p w14:paraId="1721021F" w14:textId="306DBCFA" w:rsidR="00A1716F" w:rsidRPr="00341AB1" w:rsidRDefault="00A1716F" w:rsidP="00D55895">
      <w:pPr>
        <w:pStyle w:val="2"/>
        <w:spacing w:before="0" w:after="0" w:line="480" w:lineRule="auto"/>
        <w:rPr>
          <w:rFonts w:ascii="Times New Roman" w:hAnsi="Times New Roman" w:cs="Times New Roman"/>
          <w:sz w:val="24"/>
          <w:szCs w:val="24"/>
        </w:rPr>
      </w:pPr>
      <w:bookmarkStart w:id="12" w:name="_Toc58771697"/>
      <w:r w:rsidRPr="00341AB1">
        <w:rPr>
          <w:rFonts w:ascii="Times New Roman" w:hAnsi="Times New Roman" w:cs="Times New Roman"/>
          <w:sz w:val="24"/>
          <w:szCs w:val="24"/>
        </w:rPr>
        <w:lastRenderedPageBreak/>
        <w:t xml:space="preserve">3.4 </w:t>
      </w:r>
      <w:r w:rsidR="0025179C" w:rsidRPr="00341AB1">
        <w:rPr>
          <w:rFonts w:ascii="Times New Roman" w:hAnsi="Times New Roman" w:cs="Times New Roman"/>
          <w:sz w:val="24"/>
          <w:szCs w:val="24"/>
        </w:rPr>
        <w:t>T</w:t>
      </w:r>
      <w:r w:rsidRPr="00341AB1">
        <w:rPr>
          <w:rFonts w:ascii="Times New Roman" w:hAnsi="Times New Roman" w:cs="Times New Roman"/>
          <w:sz w:val="24"/>
          <w:szCs w:val="24"/>
        </w:rPr>
        <w:t>hreat analysis</w:t>
      </w:r>
      <w:bookmarkEnd w:id="12"/>
    </w:p>
    <w:p w14:paraId="33D94B77" w14:textId="77777777" w:rsidR="00F824C8" w:rsidRPr="00341AB1" w:rsidRDefault="00A1716F" w:rsidP="00F824C8">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(1) </w:t>
      </w:r>
      <w:r w:rsidR="00F824C8" w:rsidRPr="00341AB1">
        <w:rPr>
          <w:rFonts w:ascii="Times New Roman" w:hAnsi="Times New Roman" w:cs="Times New Roman"/>
          <w:sz w:val="24"/>
          <w:szCs w:val="24"/>
        </w:rPr>
        <w:t>Battery supply</w:t>
      </w:r>
    </w:p>
    <w:p w14:paraId="7314B81F" w14:textId="219F36CF" w:rsidR="007C3D69" w:rsidRPr="00341AB1" w:rsidRDefault="007C3D69"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Daimler battery suppliers may have stronger bargaining power. Although Daimler has a strong ability to integrate resources, most of the auto parts can be produced by itself, but Daimler can</w:t>
      </w:r>
      <w:r w:rsidR="00CA080F" w:rsidRPr="00341AB1">
        <w:rPr>
          <w:rFonts w:ascii="Times New Roman" w:hAnsi="Times New Roman" w:cs="Times New Roman"/>
          <w:sz w:val="24"/>
          <w:szCs w:val="24"/>
        </w:rPr>
        <w:t>’t</w:t>
      </w:r>
      <w:r w:rsidRPr="00341AB1">
        <w:rPr>
          <w:rFonts w:ascii="Times New Roman" w:hAnsi="Times New Roman" w:cs="Times New Roman"/>
          <w:sz w:val="24"/>
          <w:szCs w:val="24"/>
        </w:rPr>
        <w:t xml:space="preserve"> produce large-scale batteries for electric vehicles. </w:t>
      </w:r>
      <w:proofErr w:type="gramStart"/>
      <w:r w:rsidRPr="00341AB1">
        <w:rPr>
          <w:rFonts w:ascii="Times New Roman" w:hAnsi="Times New Roman" w:cs="Times New Roman"/>
          <w:sz w:val="24"/>
          <w:szCs w:val="24"/>
        </w:rPr>
        <w:t>So</w:t>
      </w:r>
      <w:proofErr w:type="gramEnd"/>
      <w:r w:rsidRPr="00341AB1">
        <w:rPr>
          <w:rFonts w:ascii="Times New Roman" w:hAnsi="Times New Roman" w:cs="Times New Roman"/>
          <w:sz w:val="24"/>
          <w:szCs w:val="24"/>
        </w:rPr>
        <w:t xml:space="preserve"> Daimler had to rely on batteries from battery suppliers. With the increase in demand and capacity of electric vehicles planned to be produced by Daimler, the demand for batteries will also increase. Therefore, the bargaining power of upstream battery suppliers may be enhanced in the future. </w:t>
      </w:r>
    </w:p>
    <w:p w14:paraId="0B004F87" w14:textId="52ECA86A" w:rsidR="001E58D4" w:rsidRPr="00341AB1" w:rsidRDefault="00A1716F" w:rsidP="001E58D4">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(2) </w:t>
      </w:r>
      <w:r w:rsidR="00F77E1D" w:rsidRPr="00341AB1">
        <w:rPr>
          <w:rFonts w:ascii="Times New Roman" w:hAnsi="Times New Roman" w:cs="Times New Roman"/>
          <w:sz w:val="24"/>
          <w:szCs w:val="24"/>
        </w:rPr>
        <w:t>The market competition is increasingly fierce</w:t>
      </w:r>
    </w:p>
    <w:p w14:paraId="633C5B9D" w14:textId="1C373425" w:rsidR="008A13D5" w:rsidRPr="00341AB1" w:rsidRDefault="00F77E1D"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Daimler is being challenged by new electric vehicle brands as well as traditional well-known car companies. Compared with Daimler, the price of emerging brands is lower and they enter the market earlier, while traditional well-known automobile brands will enter the new energy vehicle market in large scale in recent years. In 2019, Tesla's sales volume reached 367500 vehicles, accounting for 16.4% of the market share. Other traditional automobile enterprises have formulated development plans for new energy vehicles. For example, Volkswagen plans to invest 60 billion yuan in the research and development of new energy vehicles from 2020 to 2024, Toyota plans to sell 5.5 million new energy vehicles worldwide by 2025, and BMW plans to launch 25 new energy vehicles by 2023. The details are shown in the figure below:</w:t>
      </w:r>
    </w:p>
    <w:p w14:paraId="0CD841A4" w14:textId="7328C37F" w:rsidR="00F77E1D" w:rsidRPr="00341AB1" w:rsidRDefault="009910CC" w:rsidP="00E65E3D">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Table 3-2</w:t>
      </w:r>
      <w:r w:rsidR="007B0C4F" w:rsidRPr="00341AB1">
        <w:rPr>
          <w:rFonts w:ascii="Times New Roman" w:hAnsi="Times New Roman" w:cs="Times New Roman"/>
          <w:sz w:val="24"/>
          <w:szCs w:val="24"/>
        </w:rPr>
        <w:t xml:space="preserve"> Plans of major auto companies for new energy vehicles</w:t>
      </w:r>
    </w:p>
    <w:tbl>
      <w:tblPr>
        <w:tblStyle w:val="a3"/>
        <w:tblW w:w="0" w:type="auto"/>
        <w:tblLook w:val="04A0" w:firstRow="1" w:lastRow="0" w:firstColumn="1" w:lastColumn="0" w:noHBand="0" w:noVBand="1"/>
      </w:tblPr>
      <w:tblGrid>
        <w:gridCol w:w="1980"/>
        <w:gridCol w:w="992"/>
        <w:gridCol w:w="5324"/>
      </w:tblGrid>
      <w:tr w:rsidR="00954757" w:rsidRPr="00341AB1" w14:paraId="6FF7A118" w14:textId="77777777" w:rsidTr="000E5B51">
        <w:tc>
          <w:tcPr>
            <w:tcW w:w="1980" w:type="dxa"/>
          </w:tcPr>
          <w:p w14:paraId="35A28E5C" w14:textId="522B1FA5" w:rsidR="00954757" w:rsidRPr="00341AB1" w:rsidRDefault="001F1CD8" w:rsidP="001F1CD8">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Brand</w:t>
            </w:r>
          </w:p>
        </w:tc>
        <w:tc>
          <w:tcPr>
            <w:tcW w:w="992" w:type="dxa"/>
          </w:tcPr>
          <w:p w14:paraId="383C2914" w14:textId="4BF6C9C4" w:rsidR="00954757" w:rsidRPr="00341AB1" w:rsidRDefault="00954757" w:rsidP="001F1CD8">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Time</w:t>
            </w:r>
          </w:p>
        </w:tc>
        <w:tc>
          <w:tcPr>
            <w:tcW w:w="5324" w:type="dxa"/>
          </w:tcPr>
          <w:p w14:paraId="7700ACF1" w14:textId="45129911" w:rsidR="00954757" w:rsidRPr="00341AB1" w:rsidRDefault="00954757" w:rsidP="001F1CD8">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Plan</w:t>
            </w:r>
          </w:p>
        </w:tc>
      </w:tr>
      <w:tr w:rsidR="00954757" w:rsidRPr="00341AB1" w14:paraId="541AA885" w14:textId="77777777" w:rsidTr="000E5B51">
        <w:tc>
          <w:tcPr>
            <w:tcW w:w="1980" w:type="dxa"/>
          </w:tcPr>
          <w:p w14:paraId="09EC0631" w14:textId="3F9D1D4C" w:rsidR="00954757" w:rsidRPr="00341AB1" w:rsidRDefault="00954757" w:rsidP="001E58D4">
            <w:pPr>
              <w:spacing w:line="480" w:lineRule="auto"/>
              <w:rPr>
                <w:rFonts w:ascii="Times New Roman" w:hAnsi="Times New Roman" w:cs="Times New Roman"/>
                <w:sz w:val="24"/>
                <w:szCs w:val="24"/>
              </w:rPr>
            </w:pPr>
            <w:r w:rsidRPr="00341AB1">
              <w:rPr>
                <w:rFonts w:ascii="Times New Roman" w:hAnsi="Times New Roman" w:cs="Times New Roman"/>
                <w:sz w:val="24"/>
                <w:szCs w:val="24"/>
              </w:rPr>
              <w:lastRenderedPageBreak/>
              <w:t>VOLKSWAGEN</w:t>
            </w:r>
          </w:p>
        </w:tc>
        <w:tc>
          <w:tcPr>
            <w:tcW w:w="992" w:type="dxa"/>
          </w:tcPr>
          <w:p w14:paraId="3EB62BA4" w14:textId="5086AF88" w:rsidR="00954757" w:rsidRPr="00341AB1" w:rsidRDefault="000E5B51" w:rsidP="001F1CD8">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2025</w:t>
            </w:r>
          </w:p>
        </w:tc>
        <w:tc>
          <w:tcPr>
            <w:tcW w:w="5324" w:type="dxa"/>
          </w:tcPr>
          <w:p w14:paraId="6DB50200" w14:textId="1161754F" w:rsidR="00954757" w:rsidRPr="00341AB1" w:rsidRDefault="000E5B51" w:rsidP="00CA080F">
            <w:pPr>
              <w:spacing w:line="480" w:lineRule="auto"/>
              <w:rPr>
                <w:rFonts w:ascii="Times New Roman" w:hAnsi="Times New Roman" w:cs="Times New Roman"/>
                <w:sz w:val="24"/>
                <w:szCs w:val="24"/>
              </w:rPr>
            </w:pPr>
            <w:r w:rsidRPr="00341AB1">
              <w:rPr>
                <w:rFonts w:ascii="Times New Roman" w:hAnsi="Times New Roman" w:cs="Times New Roman"/>
                <w:sz w:val="24"/>
                <w:szCs w:val="24"/>
              </w:rPr>
              <w:t>Target 3 million vehicles, penetration rate 20%</w:t>
            </w:r>
          </w:p>
        </w:tc>
      </w:tr>
      <w:tr w:rsidR="00954757" w:rsidRPr="00341AB1" w14:paraId="32970446" w14:textId="77777777" w:rsidTr="000E5B51">
        <w:tc>
          <w:tcPr>
            <w:tcW w:w="1980" w:type="dxa"/>
          </w:tcPr>
          <w:p w14:paraId="1DBFCD29" w14:textId="11F5385D" w:rsidR="00954757" w:rsidRPr="00341AB1" w:rsidRDefault="00954757" w:rsidP="001E58D4">
            <w:pPr>
              <w:spacing w:line="480" w:lineRule="auto"/>
              <w:rPr>
                <w:rFonts w:ascii="Times New Roman" w:hAnsi="Times New Roman" w:cs="Times New Roman"/>
                <w:sz w:val="24"/>
                <w:szCs w:val="24"/>
              </w:rPr>
            </w:pPr>
            <w:r w:rsidRPr="00341AB1">
              <w:rPr>
                <w:rFonts w:ascii="Times New Roman" w:hAnsi="Times New Roman" w:cs="Times New Roman"/>
                <w:sz w:val="24"/>
                <w:szCs w:val="24"/>
              </w:rPr>
              <w:t>BWM</w:t>
            </w:r>
          </w:p>
        </w:tc>
        <w:tc>
          <w:tcPr>
            <w:tcW w:w="992" w:type="dxa"/>
          </w:tcPr>
          <w:p w14:paraId="622E6560" w14:textId="6A42B8C0" w:rsidR="00954757" w:rsidRPr="00341AB1" w:rsidRDefault="000E5B51" w:rsidP="001F1CD8">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2025</w:t>
            </w:r>
          </w:p>
        </w:tc>
        <w:tc>
          <w:tcPr>
            <w:tcW w:w="5324" w:type="dxa"/>
          </w:tcPr>
          <w:p w14:paraId="28F3F8A8" w14:textId="7306C379" w:rsidR="00954757" w:rsidRPr="00341AB1" w:rsidRDefault="000E5B51" w:rsidP="00CA080F">
            <w:pPr>
              <w:spacing w:line="480" w:lineRule="auto"/>
              <w:rPr>
                <w:rFonts w:ascii="Times New Roman" w:hAnsi="Times New Roman" w:cs="Times New Roman"/>
                <w:sz w:val="24"/>
                <w:szCs w:val="24"/>
              </w:rPr>
            </w:pPr>
            <w:r w:rsidRPr="00341AB1">
              <w:rPr>
                <w:rFonts w:ascii="Times New Roman" w:hAnsi="Times New Roman" w:cs="Times New Roman"/>
                <w:sz w:val="24"/>
                <w:szCs w:val="24"/>
              </w:rPr>
              <w:t>Sales of EV account for 15-25% of total sales</w:t>
            </w:r>
          </w:p>
        </w:tc>
      </w:tr>
      <w:tr w:rsidR="00954757" w:rsidRPr="00341AB1" w14:paraId="3D7593C3" w14:textId="77777777" w:rsidTr="000E5B51">
        <w:tc>
          <w:tcPr>
            <w:tcW w:w="1980" w:type="dxa"/>
          </w:tcPr>
          <w:p w14:paraId="668BB098" w14:textId="0A79F03D" w:rsidR="00954757" w:rsidRPr="00341AB1" w:rsidRDefault="00954757" w:rsidP="001E58D4">
            <w:pPr>
              <w:spacing w:line="480" w:lineRule="auto"/>
              <w:rPr>
                <w:rFonts w:ascii="Times New Roman" w:hAnsi="Times New Roman" w:cs="Times New Roman"/>
                <w:sz w:val="24"/>
                <w:szCs w:val="24"/>
              </w:rPr>
            </w:pPr>
            <w:r w:rsidRPr="00341AB1">
              <w:rPr>
                <w:rFonts w:ascii="Times New Roman" w:hAnsi="Times New Roman" w:cs="Times New Roman"/>
                <w:sz w:val="24"/>
                <w:szCs w:val="24"/>
              </w:rPr>
              <w:t>Audi</w:t>
            </w:r>
          </w:p>
        </w:tc>
        <w:tc>
          <w:tcPr>
            <w:tcW w:w="992" w:type="dxa"/>
          </w:tcPr>
          <w:p w14:paraId="180295C8" w14:textId="0D6D4DAF" w:rsidR="00954757" w:rsidRPr="00341AB1" w:rsidRDefault="000E5B51" w:rsidP="001F1CD8">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2025</w:t>
            </w:r>
          </w:p>
        </w:tc>
        <w:tc>
          <w:tcPr>
            <w:tcW w:w="5324" w:type="dxa"/>
          </w:tcPr>
          <w:p w14:paraId="3638D5F9" w14:textId="080E8606" w:rsidR="00954757" w:rsidRPr="00341AB1" w:rsidRDefault="000E5B51" w:rsidP="00CA080F">
            <w:pPr>
              <w:spacing w:line="480" w:lineRule="auto"/>
              <w:rPr>
                <w:rFonts w:ascii="Times New Roman" w:hAnsi="Times New Roman" w:cs="Times New Roman"/>
                <w:sz w:val="24"/>
                <w:szCs w:val="24"/>
              </w:rPr>
            </w:pPr>
            <w:r w:rsidRPr="00341AB1">
              <w:rPr>
                <w:rFonts w:ascii="Times New Roman" w:hAnsi="Times New Roman" w:cs="Times New Roman"/>
                <w:sz w:val="24"/>
                <w:szCs w:val="24"/>
              </w:rPr>
              <w:t>Sales of EV account for 40% of total sales</w:t>
            </w:r>
          </w:p>
        </w:tc>
      </w:tr>
      <w:tr w:rsidR="005672E2" w:rsidRPr="00341AB1" w14:paraId="6279D38E" w14:textId="77777777" w:rsidTr="000E5B51">
        <w:tc>
          <w:tcPr>
            <w:tcW w:w="1980" w:type="dxa"/>
          </w:tcPr>
          <w:p w14:paraId="5D1E7E11" w14:textId="4B1FF5C1" w:rsidR="005672E2" w:rsidRPr="00341AB1" w:rsidRDefault="005672E2" w:rsidP="005672E2">
            <w:pPr>
              <w:spacing w:line="480" w:lineRule="auto"/>
              <w:rPr>
                <w:rFonts w:ascii="Times New Roman" w:hAnsi="Times New Roman" w:cs="Times New Roman"/>
                <w:sz w:val="24"/>
                <w:szCs w:val="24"/>
              </w:rPr>
            </w:pPr>
            <w:r w:rsidRPr="00341AB1">
              <w:rPr>
                <w:rFonts w:ascii="Times New Roman" w:hAnsi="Times New Roman" w:cs="Times New Roman"/>
                <w:sz w:val="24"/>
                <w:szCs w:val="24"/>
              </w:rPr>
              <w:t>LEXUS</w:t>
            </w:r>
          </w:p>
        </w:tc>
        <w:tc>
          <w:tcPr>
            <w:tcW w:w="992" w:type="dxa"/>
          </w:tcPr>
          <w:p w14:paraId="75D74A95" w14:textId="555FFC66" w:rsidR="005672E2" w:rsidRPr="00341AB1" w:rsidRDefault="005672E2" w:rsidP="001F1CD8">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2025</w:t>
            </w:r>
          </w:p>
        </w:tc>
        <w:tc>
          <w:tcPr>
            <w:tcW w:w="5324" w:type="dxa"/>
          </w:tcPr>
          <w:p w14:paraId="5F55325C" w14:textId="31FC0325" w:rsidR="005672E2" w:rsidRPr="00341AB1" w:rsidRDefault="005672E2" w:rsidP="00CA080F">
            <w:pPr>
              <w:spacing w:line="480" w:lineRule="auto"/>
              <w:rPr>
                <w:rFonts w:ascii="Times New Roman" w:hAnsi="Times New Roman" w:cs="Times New Roman"/>
                <w:sz w:val="24"/>
                <w:szCs w:val="24"/>
              </w:rPr>
            </w:pPr>
            <w:r w:rsidRPr="00341AB1">
              <w:rPr>
                <w:rFonts w:ascii="Times New Roman" w:hAnsi="Times New Roman" w:cs="Times New Roman"/>
                <w:sz w:val="24"/>
                <w:szCs w:val="24"/>
              </w:rPr>
              <w:t>Target 5.5 million vehicles, penetration rate 20%</w:t>
            </w:r>
          </w:p>
        </w:tc>
      </w:tr>
      <w:tr w:rsidR="005672E2" w:rsidRPr="00341AB1" w14:paraId="088B45D1" w14:textId="77777777" w:rsidTr="000E5B51">
        <w:tc>
          <w:tcPr>
            <w:tcW w:w="1980" w:type="dxa"/>
          </w:tcPr>
          <w:p w14:paraId="46046243" w14:textId="5B373C7E" w:rsidR="005672E2" w:rsidRPr="00341AB1" w:rsidRDefault="005672E2" w:rsidP="005672E2">
            <w:pPr>
              <w:spacing w:line="480" w:lineRule="auto"/>
              <w:rPr>
                <w:rFonts w:ascii="Times New Roman" w:hAnsi="Times New Roman" w:cs="Times New Roman"/>
                <w:sz w:val="24"/>
                <w:szCs w:val="24"/>
              </w:rPr>
            </w:pPr>
            <w:r w:rsidRPr="00341AB1">
              <w:rPr>
                <w:rFonts w:ascii="Times New Roman" w:hAnsi="Times New Roman" w:cs="Times New Roman"/>
                <w:sz w:val="24"/>
                <w:szCs w:val="24"/>
              </w:rPr>
              <w:t>Ford</w:t>
            </w:r>
          </w:p>
        </w:tc>
        <w:tc>
          <w:tcPr>
            <w:tcW w:w="992" w:type="dxa"/>
          </w:tcPr>
          <w:p w14:paraId="313A8E11" w14:textId="36D1CB41" w:rsidR="005672E2" w:rsidRPr="00341AB1" w:rsidRDefault="007E3BE5" w:rsidP="001F1CD8">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2025</w:t>
            </w:r>
          </w:p>
        </w:tc>
        <w:tc>
          <w:tcPr>
            <w:tcW w:w="5324" w:type="dxa"/>
          </w:tcPr>
          <w:p w14:paraId="2E68E0F8" w14:textId="10A864EF" w:rsidR="005672E2" w:rsidRPr="00341AB1" w:rsidRDefault="007E3BE5" w:rsidP="001F1CD8">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Target 2 million vehicles</w:t>
            </w:r>
          </w:p>
        </w:tc>
      </w:tr>
    </w:tbl>
    <w:p w14:paraId="4D7E89D5" w14:textId="7FDDDF13" w:rsidR="008A13D5" w:rsidRPr="00341AB1" w:rsidRDefault="00AF5427"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To sum up, Tesla's SWOT analysis results are summarized as follows:</w:t>
      </w:r>
    </w:p>
    <w:p w14:paraId="6FA6E257" w14:textId="59F78626" w:rsidR="00D94AE1" w:rsidRPr="00341AB1" w:rsidRDefault="00600465"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Table</w:t>
      </w:r>
      <w:r w:rsidR="00D94AE1" w:rsidRPr="00341AB1">
        <w:rPr>
          <w:rFonts w:ascii="Times New Roman" w:hAnsi="Times New Roman" w:cs="Times New Roman"/>
          <w:sz w:val="24"/>
          <w:szCs w:val="24"/>
        </w:rPr>
        <w:t xml:space="preserve"> 3-</w:t>
      </w:r>
      <w:r w:rsidR="009910CC" w:rsidRPr="00341AB1">
        <w:rPr>
          <w:rFonts w:ascii="Times New Roman" w:hAnsi="Times New Roman" w:cs="Times New Roman"/>
          <w:sz w:val="24"/>
          <w:szCs w:val="24"/>
        </w:rPr>
        <w:t>3</w:t>
      </w:r>
      <w:r w:rsidR="00D94AE1" w:rsidRPr="00341AB1">
        <w:rPr>
          <w:rFonts w:ascii="Times New Roman" w:hAnsi="Times New Roman" w:cs="Times New Roman"/>
          <w:sz w:val="24"/>
          <w:szCs w:val="24"/>
        </w:rPr>
        <w:t xml:space="preserve"> SWOT analyses</w:t>
      </w:r>
    </w:p>
    <w:tbl>
      <w:tblPr>
        <w:tblStyle w:val="a3"/>
        <w:tblW w:w="0" w:type="auto"/>
        <w:tblLook w:val="04A0" w:firstRow="1" w:lastRow="0" w:firstColumn="1" w:lastColumn="0" w:noHBand="0" w:noVBand="1"/>
      </w:tblPr>
      <w:tblGrid>
        <w:gridCol w:w="1097"/>
        <w:gridCol w:w="3014"/>
        <w:gridCol w:w="4190"/>
      </w:tblGrid>
      <w:tr w:rsidR="00A1716F" w:rsidRPr="00341AB1" w14:paraId="6F375197" w14:textId="77777777" w:rsidTr="00B23ACB">
        <w:tc>
          <w:tcPr>
            <w:tcW w:w="1097" w:type="dxa"/>
            <w:tcBorders>
              <w:top w:val="nil"/>
              <w:left w:val="nil"/>
            </w:tcBorders>
            <w:vAlign w:val="center"/>
          </w:tcPr>
          <w:p w14:paraId="36B0FEC7" w14:textId="77777777" w:rsidR="00A1716F" w:rsidRPr="00341AB1" w:rsidRDefault="00A1716F" w:rsidP="00D55895">
            <w:pPr>
              <w:spacing w:line="480" w:lineRule="auto"/>
              <w:rPr>
                <w:rFonts w:ascii="Times New Roman" w:eastAsia="华文楷体" w:hAnsi="Times New Roman" w:cs="Times New Roman"/>
                <w:sz w:val="24"/>
                <w:szCs w:val="24"/>
              </w:rPr>
            </w:pPr>
          </w:p>
        </w:tc>
        <w:tc>
          <w:tcPr>
            <w:tcW w:w="3014" w:type="dxa"/>
            <w:vAlign w:val="center"/>
          </w:tcPr>
          <w:p w14:paraId="3F2AE04D" w14:textId="77777777" w:rsidR="00A1716F" w:rsidRPr="00341AB1" w:rsidRDefault="00A1716F" w:rsidP="00D55895">
            <w:pPr>
              <w:spacing w:line="480" w:lineRule="auto"/>
              <w:rPr>
                <w:rFonts w:ascii="Times New Roman" w:eastAsia="华文楷体" w:hAnsi="Times New Roman" w:cs="Times New Roman"/>
                <w:sz w:val="24"/>
                <w:szCs w:val="24"/>
              </w:rPr>
            </w:pPr>
            <w:r w:rsidRPr="00341AB1">
              <w:rPr>
                <w:rFonts w:ascii="Times New Roman" w:eastAsia="华文楷体" w:hAnsi="Times New Roman" w:cs="Times New Roman"/>
                <w:sz w:val="24"/>
                <w:szCs w:val="24"/>
              </w:rPr>
              <w:t>Advantage</w:t>
            </w:r>
          </w:p>
        </w:tc>
        <w:tc>
          <w:tcPr>
            <w:tcW w:w="4190" w:type="dxa"/>
            <w:vAlign w:val="center"/>
          </w:tcPr>
          <w:p w14:paraId="6AEBB2CD" w14:textId="77777777" w:rsidR="00A1716F" w:rsidRPr="00341AB1" w:rsidRDefault="00A1716F" w:rsidP="00D55895">
            <w:pPr>
              <w:spacing w:line="480" w:lineRule="auto"/>
              <w:rPr>
                <w:rFonts w:ascii="Times New Roman" w:eastAsia="华文楷体" w:hAnsi="Times New Roman" w:cs="Times New Roman"/>
                <w:sz w:val="24"/>
                <w:szCs w:val="24"/>
              </w:rPr>
            </w:pPr>
            <w:r w:rsidRPr="00341AB1">
              <w:rPr>
                <w:rFonts w:ascii="Times New Roman" w:eastAsia="华文楷体" w:hAnsi="Times New Roman" w:cs="Times New Roman"/>
                <w:sz w:val="24"/>
                <w:szCs w:val="24"/>
              </w:rPr>
              <w:t>Disadvantage</w:t>
            </w:r>
          </w:p>
        </w:tc>
      </w:tr>
      <w:tr w:rsidR="00A1716F" w:rsidRPr="00341AB1" w14:paraId="23B262E7" w14:textId="77777777" w:rsidTr="00B23ACB">
        <w:tc>
          <w:tcPr>
            <w:tcW w:w="1097" w:type="dxa"/>
            <w:vMerge w:val="restart"/>
            <w:vAlign w:val="center"/>
          </w:tcPr>
          <w:p w14:paraId="3841F615" w14:textId="77777777" w:rsidR="00A1716F" w:rsidRPr="00341AB1" w:rsidRDefault="00A1716F" w:rsidP="00D55895">
            <w:pPr>
              <w:spacing w:line="480" w:lineRule="auto"/>
              <w:rPr>
                <w:rFonts w:ascii="Times New Roman" w:eastAsia="华文楷体" w:hAnsi="Times New Roman" w:cs="Times New Roman"/>
                <w:sz w:val="24"/>
                <w:szCs w:val="24"/>
              </w:rPr>
            </w:pPr>
            <w:r w:rsidRPr="00341AB1">
              <w:rPr>
                <w:rFonts w:ascii="Times New Roman" w:eastAsia="华文楷体" w:hAnsi="Times New Roman" w:cs="Times New Roman"/>
                <w:sz w:val="24"/>
                <w:szCs w:val="24"/>
              </w:rPr>
              <w:t>Internal</w:t>
            </w:r>
          </w:p>
        </w:tc>
        <w:tc>
          <w:tcPr>
            <w:tcW w:w="3014" w:type="dxa"/>
            <w:vAlign w:val="center"/>
          </w:tcPr>
          <w:p w14:paraId="558A5094" w14:textId="77777777" w:rsidR="00A1716F" w:rsidRPr="00341AB1" w:rsidRDefault="00A1716F" w:rsidP="004D56B3">
            <w:pPr>
              <w:spacing w:line="480" w:lineRule="auto"/>
              <w:jc w:val="center"/>
              <w:rPr>
                <w:rFonts w:ascii="Times New Roman" w:eastAsia="华文楷体" w:hAnsi="Times New Roman" w:cs="Times New Roman"/>
                <w:b/>
                <w:bCs/>
                <w:sz w:val="24"/>
                <w:szCs w:val="24"/>
              </w:rPr>
            </w:pPr>
            <w:r w:rsidRPr="00341AB1">
              <w:rPr>
                <w:rFonts w:ascii="Times New Roman" w:eastAsia="华文楷体" w:hAnsi="Times New Roman" w:cs="Times New Roman"/>
                <w:b/>
                <w:bCs/>
                <w:sz w:val="24"/>
                <w:szCs w:val="24"/>
              </w:rPr>
              <w:t>Strengths</w:t>
            </w:r>
          </w:p>
        </w:tc>
        <w:tc>
          <w:tcPr>
            <w:tcW w:w="4190" w:type="dxa"/>
            <w:vAlign w:val="center"/>
          </w:tcPr>
          <w:p w14:paraId="36422C83" w14:textId="77777777" w:rsidR="00A1716F" w:rsidRPr="00341AB1" w:rsidRDefault="00A1716F" w:rsidP="004D56B3">
            <w:pPr>
              <w:spacing w:line="480" w:lineRule="auto"/>
              <w:jc w:val="center"/>
              <w:rPr>
                <w:rFonts w:ascii="Times New Roman" w:eastAsia="华文楷体" w:hAnsi="Times New Roman" w:cs="Times New Roman"/>
                <w:b/>
                <w:bCs/>
                <w:sz w:val="24"/>
                <w:szCs w:val="24"/>
              </w:rPr>
            </w:pPr>
            <w:r w:rsidRPr="00341AB1">
              <w:rPr>
                <w:rFonts w:ascii="Times New Roman" w:eastAsia="华文楷体" w:hAnsi="Times New Roman" w:cs="Times New Roman"/>
                <w:b/>
                <w:bCs/>
                <w:sz w:val="24"/>
                <w:szCs w:val="24"/>
              </w:rPr>
              <w:t>Weaknesses</w:t>
            </w:r>
          </w:p>
        </w:tc>
      </w:tr>
      <w:tr w:rsidR="00A1716F" w:rsidRPr="00341AB1" w14:paraId="58A7D67F" w14:textId="77777777" w:rsidTr="00B23ACB">
        <w:tc>
          <w:tcPr>
            <w:tcW w:w="1097" w:type="dxa"/>
            <w:vMerge/>
            <w:vAlign w:val="center"/>
          </w:tcPr>
          <w:p w14:paraId="0D88EC12" w14:textId="77777777" w:rsidR="00A1716F" w:rsidRPr="00341AB1" w:rsidRDefault="00A1716F" w:rsidP="00D55895">
            <w:pPr>
              <w:spacing w:line="480" w:lineRule="auto"/>
              <w:rPr>
                <w:rFonts w:ascii="Times New Roman" w:eastAsia="华文楷体" w:hAnsi="Times New Roman" w:cs="Times New Roman"/>
                <w:sz w:val="24"/>
                <w:szCs w:val="24"/>
              </w:rPr>
            </w:pPr>
          </w:p>
        </w:tc>
        <w:tc>
          <w:tcPr>
            <w:tcW w:w="3014" w:type="dxa"/>
            <w:vAlign w:val="center"/>
          </w:tcPr>
          <w:p w14:paraId="0922D6B6" w14:textId="77777777" w:rsidR="00696EB9" w:rsidRPr="00341AB1" w:rsidRDefault="00696EB9" w:rsidP="00696EB9">
            <w:pPr>
              <w:spacing w:line="480" w:lineRule="auto"/>
              <w:rPr>
                <w:rFonts w:ascii="Times New Roman" w:hAnsi="Times New Roman" w:cs="Times New Roman"/>
                <w:sz w:val="24"/>
                <w:szCs w:val="24"/>
              </w:rPr>
            </w:pPr>
            <w:r w:rsidRPr="00341AB1">
              <w:rPr>
                <w:rFonts w:ascii="Times New Roman" w:hAnsi="Times New Roman" w:cs="Times New Roman"/>
                <w:sz w:val="24"/>
                <w:szCs w:val="24"/>
              </w:rPr>
              <w:t>(1) High brand awareness</w:t>
            </w:r>
          </w:p>
          <w:p w14:paraId="1893A743" w14:textId="4CB92609" w:rsidR="00696EB9" w:rsidRPr="00341AB1" w:rsidRDefault="00696EB9" w:rsidP="00696EB9">
            <w:pPr>
              <w:spacing w:line="480" w:lineRule="auto"/>
              <w:rPr>
                <w:rFonts w:ascii="Times New Roman" w:hAnsi="Times New Roman" w:cs="Times New Roman"/>
                <w:sz w:val="24"/>
                <w:szCs w:val="24"/>
              </w:rPr>
            </w:pPr>
            <w:r w:rsidRPr="00341AB1">
              <w:rPr>
                <w:rFonts w:ascii="Times New Roman" w:hAnsi="Times New Roman" w:cs="Times New Roman"/>
                <w:sz w:val="24"/>
                <w:szCs w:val="24"/>
              </w:rPr>
              <w:t>(2)</w:t>
            </w:r>
            <w:r w:rsidR="00B23ACB" w:rsidRPr="00341AB1">
              <w:rPr>
                <w:rFonts w:ascii="Times New Roman" w:hAnsi="Times New Roman" w:cs="Times New Roman"/>
                <w:sz w:val="24"/>
                <w:szCs w:val="24"/>
              </w:rPr>
              <w:t xml:space="preserve"> </w:t>
            </w:r>
            <w:r w:rsidRPr="00341AB1">
              <w:rPr>
                <w:rFonts w:ascii="Times New Roman" w:hAnsi="Times New Roman" w:cs="Times New Roman"/>
                <w:sz w:val="24"/>
                <w:szCs w:val="24"/>
              </w:rPr>
              <w:t>Master core technology of vehicles</w:t>
            </w:r>
          </w:p>
          <w:p w14:paraId="05F3A932" w14:textId="20DD7D61" w:rsidR="005F1D0E" w:rsidRPr="00341AB1" w:rsidRDefault="00696EB9"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(3)</w:t>
            </w:r>
            <w:r w:rsidR="00B23ACB" w:rsidRPr="00341AB1">
              <w:rPr>
                <w:rFonts w:ascii="Times New Roman" w:hAnsi="Times New Roman" w:cs="Times New Roman"/>
                <w:sz w:val="24"/>
                <w:szCs w:val="24"/>
              </w:rPr>
              <w:t xml:space="preserve"> </w:t>
            </w:r>
            <w:r w:rsidRPr="00341AB1">
              <w:rPr>
                <w:rFonts w:ascii="Times New Roman" w:hAnsi="Times New Roman" w:cs="Times New Roman"/>
                <w:sz w:val="24"/>
                <w:szCs w:val="24"/>
              </w:rPr>
              <w:t>Excellent resource integration ability</w:t>
            </w:r>
          </w:p>
        </w:tc>
        <w:tc>
          <w:tcPr>
            <w:tcW w:w="4190" w:type="dxa"/>
            <w:vAlign w:val="center"/>
          </w:tcPr>
          <w:p w14:paraId="3E3D52C2" w14:textId="10E75700" w:rsidR="004D796B" w:rsidRPr="00341AB1" w:rsidRDefault="004D796B" w:rsidP="004D796B">
            <w:pPr>
              <w:spacing w:line="480" w:lineRule="auto"/>
              <w:rPr>
                <w:rFonts w:ascii="Times New Roman" w:hAnsi="Times New Roman" w:cs="Times New Roman"/>
                <w:sz w:val="24"/>
                <w:szCs w:val="24"/>
              </w:rPr>
            </w:pPr>
            <w:r w:rsidRPr="00341AB1">
              <w:rPr>
                <w:rFonts w:ascii="Times New Roman" w:hAnsi="Times New Roman" w:cs="Times New Roman"/>
                <w:sz w:val="24"/>
                <w:szCs w:val="24"/>
              </w:rPr>
              <w:t>(</w:t>
            </w:r>
            <w:r w:rsidR="00E11BF9" w:rsidRPr="00341AB1">
              <w:rPr>
                <w:rFonts w:ascii="Times New Roman" w:hAnsi="Times New Roman" w:cs="Times New Roman"/>
                <w:sz w:val="24"/>
                <w:szCs w:val="24"/>
              </w:rPr>
              <w:t>1</w:t>
            </w:r>
            <w:r w:rsidRPr="00341AB1">
              <w:rPr>
                <w:rFonts w:ascii="Times New Roman" w:hAnsi="Times New Roman" w:cs="Times New Roman"/>
                <w:sz w:val="24"/>
                <w:szCs w:val="24"/>
              </w:rPr>
              <w:t>) New energy vehicle business starts slowly</w:t>
            </w:r>
          </w:p>
          <w:p w14:paraId="213A67AB" w14:textId="4AAB15D0" w:rsidR="005F1D0E" w:rsidRPr="00341AB1" w:rsidRDefault="004D796B" w:rsidP="004D796B">
            <w:pPr>
              <w:rPr>
                <w:rFonts w:ascii="Times New Roman" w:hAnsi="Times New Roman" w:cs="Times New Roman"/>
                <w:sz w:val="24"/>
                <w:szCs w:val="24"/>
              </w:rPr>
            </w:pPr>
            <w:r w:rsidRPr="00341AB1">
              <w:rPr>
                <w:rFonts w:ascii="Times New Roman" w:hAnsi="Times New Roman" w:cs="Times New Roman"/>
                <w:sz w:val="24"/>
                <w:szCs w:val="24"/>
              </w:rPr>
              <w:t>(</w:t>
            </w:r>
            <w:r w:rsidR="00E11BF9" w:rsidRPr="00341AB1">
              <w:rPr>
                <w:rFonts w:ascii="Times New Roman" w:hAnsi="Times New Roman" w:cs="Times New Roman"/>
                <w:sz w:val="24"/>
                <w:szCs w:val="24"/>
              </w:rPr>
              <w:t>2</w:t>
            </w:r>
            <w:r w:rsidRPr="00341AB1">
              <w:rPr>
                <w:rFonts w:ascii="Times New Roman" w:hAnsi="Times New Roman" w:cs="Times New Roman"/>
                <w:sz w:val="24"/>
                <w:szCs w:val="24"/>
              </w:rPr>
              <w:t>) The staff distribution is not reasonable enough</w:t>
            </w:r>
          </w:p>
        </w:tc>
      </w:tr>
      <w:tr w:rsidR="00A1716F" w:rsidRPr="00341AB1" w14:paraId="3902D751" w14:textId="77777777" w:rsidTr="00B23ACB">
        <w:tc>
          <w:tcPr>
            <w:tcW w:w="1097" w:type="dxa"/>
            <w:vMerge w:val="restart"/>
            <w:vAlign w:val="center"/>
          </w:tcPr>
          <w:p w14:paraId="39DCBC00" w14:textId="77777777" w:rsidR="00A1716F" w:rsidRPr="00341AB1" w:rsidRDefault="00A1716F" w:rsidP="00D55895">
            <w:pPr>
              <w:spacing w:line="480" w:lineRule="auto"/>
              <w:rPr>
                <w:rFonts w:ascii="Times New Roman" w:eastAsia="华文楷体" w:hAnsi="Times New Roman" w:cs="Times New Roman"/>
                <w:sz w:val="24"/>
                <w:szCs w:val="24"/>
              </w:rPr>
            </w:pPr>
            <w:r w:rsidRPr="00341AB1">
              <w:rPr>
                <w:rFonts w:ascii="Times New Roman" w:eastAsia="华文楷体" w:hAnsi="Times New Roman" w:cs="Times New Roman"/>
                <w:sz w:val="24"/>
                <w:szCs w:val="24"/>
              </w:rPr>
              <w:t>External</w:t>
            </w:r>
          </w:p>
        </w:tc>
        <w:tc>
          <w:tcPr>
            <w:tcW w:w="3014" w:type="dxa"/>
            <w:vAlign w:val="center"/>
          </w:tcPr>
          <w:p w14:paraId="64251B1F" w14:textId="77777777" w:rsidR="00A1716F" w:rsidRPr="00341AB1" w:rsidRDefault="00A1716F" w:rsidP="004D56B3">
            <w:pPr>
              <w:spacing w:line="480" w:lineRule="auto"/>
              <w:jc w:val="center"/>
              <w:rPr>
                <w:rFonts w:ascii="Times New Roman" w:eastAsia="华文楷体" w:hAnsi="Times New Roman" w:cs="Times New Roman"/>
                <w:b/>
                <w:bCs/>
                <w:sz w:val="24"/>
                <w:szCs w:val="24"/>
              </w:rPr>
            </w:pPr>
            <w:r w:rsidRPr="00341AB1">
              <w:rPr>
                <w:rFonts w:ascii="Times New Roman" w:eastAsia="华文楷体" w:hAnsi="Times New Roman" w:cs="Times New Roman"/>
                <w:b/>
                <w:bCs/>
                <w:sz w:val="24"/>
                <w:szCs w:val="24"/>
              </w:rPr>
              <w:t>Opportunities</w:t>
            </w:r>
          </w:p>
        </w:tc>
        <w:tc>
          <w:tcPr>
            <w:tcW w:w="4190" w:type="dxa"/>
            <w:vAlign w:val="center"/>
          </w:tcPr>
          <w:p w14:paraId="7E8E6D44" w14:textId="77777777" w:rsidR="00A1716F" w:rsidRPr="00341AB1" w:rsidRDefault="00A1716F" w:rsidP="004D56B3">
            <w:pPr>
              <w:spacing w:line="480" w:lineRule="auto"/>
              <w:jc w:val="center"/>
              <w:rPr>
                <w:rFonts w:ascii="Times New Roman" w:eastAsia="华文楷体" w:hAnsi="Times New Roman" w:cs="Times New Roman"/>
                <w:b/>
                <w:bCs/>
                <w:sz w:val="24"/>
                <w:szCs w:val="24"/>
              </w:rPr>
            </w:pPr>
            <w:r w:rsidRPr="00341AB1">
              <w:rPr>
                <w:rFonts w:ascii="Times New Roman" w:eastAsia="华文楷体" w:hAnsi="Times New Roman" w:cs="Times New Roman"/>
                <w:b/>
                <w:bCs/>
                <w:sz w:val="24"/>
                <w:szCs w:val="24"/>
              </w:rPr>
              <w:t>Threats</w:t>
            </w:r>
          </w:p>
        </w:tc>
      </w:tr>
      <w:tr w:rsidR="00A1716F" w:rsidRPr="00341AB1" w14:paraId="7E972ADA" w14:textId="77777777" w:rsidTr="00B23ACB">
        <w:tc>
          <w:tcPr>
            <w:tcW w:w="1097" w:type="dxa"/>
            <w:vMerge/>
            <w:vAlign w:val="center"/>
          </w:tcPr>
          <w:p w14:paraId="3D0B23F4" w14:textId="77777777" w:rsidR="00A1716F" w:rsidRPr="00341AB1" w:rsidRDefault="00A1716F" w:rsidP="00D55895">
            <w:pPr>
              <w:spacing w:line="480" w:lineRule="auto"/>
              <w:rPr>
                <w:rFonts w:ascii="Times New Roman" w:eastAsia="华文楷体" w:hAnsi="Times New Roman" w:cs="Times New Roman"/>
                <w:sz w:val="24"/>
                <w:szCs w:val="24"/>
              </w:rPr>
            </w:pPr>
          </w:p>
        </w:tc>
        <w:tc>
          <w:tcPr>
            <w:tcW w:w="3014" w:type="dxa"/>
            <w:vAlign w:val="center"/>
          </w:tcPr>
          <w:p w14:paraId="1B47B108" w14:textId="77777777" w:rsidR="004D56B3" w:rsidRPr="00341AB1" w:rsidRDefault="004D56B3" w:rsidP="004D56B3">
            <w:pPr>
              <w:spacing w:line="480" w:lineRule="auto"/>
              <w:rPr>
                <w:rFonts w:ascii="Times New Roman" w:hAnsi="Times New Roman" w:cs="Times New Roman"/>
                <w:sz w:val="24"/>
                <w:szCs w:val="24"/>
              </w:rPr>
            </w:pPr>
            <w:r w:rsidRPr="00341AB1">
              <w:rPr>
                <w:rFonts w:ascii="Times New Roman" w:hAnsi="Times New Roman" w:cs="Times New Roman"/>
                <w:sz w:val="24"/>
                <w:szCs w:val="24"/>
              </w:rPr>
              <w:t>(1) New energy vehicle industry has broad prospects</w:t>
            </w:r>
          </w:p>
          <w:p w14:paraId="64E6B4A2" w14:textId="6828FDED" w:rsidR="00A1716F" w:rsidRPr="00341AB1" w:rsidRDefault="004D56B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(2) Policy driven industry development</w:t>
            </w:r>
          </w:p>
        </w:tc>
        <w:tc>
          <w:tcPr>
            <w:tcW w:w="4190" w:type="dxa"/>
            <w:vAlign w:val="center"/>
          </w:tcPr>
          <w:p w14:paraId="15CB6753" w14:textId="77777777" w:rsidR="004D56B3" w:rsidRPr="00341AB1" w:rsidRDefault="004D56B3" w:rsidP="004D56B3">
            <w:pPr>
              <w:spacing w:line="480" w:lineRule="auto"/>
              <w:rPr>
                <w:rFonts w:ascii="Times New Roman" w:hAnsi="Times New Roman" w:cs="Times New Roman"/>
                <w:sz w:val="24"/>
                <w:szCs w:val="24"/>
              </w:rPr>
            </w:pPr>
            <w:r w:rsidRPr="00341AB1">
              <w:rPr>
                <w:rFonts w:ascii="Times New Roman" w:hAnsi="Times New Roman" w:cs="Times New Roman"/>
                <w:sz w:val="24"/>
                <w:szCs w:val="24"/>
              </w:rPr>
              <w:t>(1) Battery supply</w:t>
            </w:r>
          </w:p>
          <w:p w14:paraId="1284755D" w14:textId="50C7162F" w:rsidR="00A1716F" w:rsidRPr="00341AB1" w:rsidRDefault="004D56B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(2) The market competition is increasingly fierce</w:t>
            </w:r>
          </w:p>
        </w:tc>
      </w:tr>
    </w:tbl>
    <w:p w14:paraId="526BAE4D" w14:textId="0853E4A2" w:rsidR="00A1716F" w:rsidRPr="00341AB1" w:rsidRDefault="00A1716F" w:rsidP="00D55895">
      <w:pPr>
        <w:spacing w:line="480" w:lineRule="auto"/>
        <w:rPr>
          <w:rFonts w:ascii="Times New Roman" w:hAnsi="Times New Roman" w:cs="Times New Roman"/>
          <w:sz w:val="24"/>
          <w:szCs w:val="24"/>
        </w:rPr>
      </w:pPr>
    </w:p>
    <w:p w14:paraId="49ACBD81" w14:textId="5B7A57C1" w:rsidR="00A1716F" w:rsidRPr="00341AB1" w:rsidRDefault="00A1716F" w:rsidP="00264398">
      <w:pPr>
        <w:pStyle w:val="1"/>
        <w:spacing w:before="0" w:after="0" w:line="480" w:lineRule="auto"/>
        <w:jc w:val="center"/>
        <w:rPr>
          <w:rFonts w:ascii="Times New Roman" w:hAnsi="Times New Roman" w:cs="Times New Roman"/>
          <w:sz w:val="24"/>
          <w:szCs w:val="24"/>
        </w:rPr>
      </w:pPr>
      <w:bookmarkStart w:id="13" w:name="_Toc58771698"/>
      <w:r w:rsidRPr="00341AB1">
        <w:rPr>
          <w:rFonts w:ascii="Times New Roman" w:hAnsi="Times New Roman" w:cs="Times New Roman"/>
          <w:sz w:val="24"/>
          <w:szCs w:val="24"/>
        </w:rPr>
        <w:lastRenderedPageBreak/>
        <w:t>4 Tesla Ag strategy</w:t>
      </w:r>
      <w:bookmarkEnd w:id="13"/>
    </w:p>
    <w:p w14:paraId="2C07C7F1" w14:textId="3B9A5A2A" w:rsidR="00A1716F" w:rsidRPr="00341AB1" w:rsidRDefault="00305F25" w:rsidP="00D55895">
      <w:pPr>
        <w:pStyle w:val="2"/>
        <w:spacing w:before="0" w:after="0" w:line="480" w:lineRule="auto"/>
        <w:rPr>
          <w:rFonts w:ascii="Times New Roman" w:hAnsi="Times New Roman" w:cs="Times New Roman"/>
          <w:sz w:val="24"/>
          <w:szCs w:val="24"/>
        </w:rPr>
      </w:pPr>
      <w:bookmarkStart w:id="14" w:name="_Toc58771699"/>
      <w:r w:rsidRPr="00341AB1">
        <w:rPr>
          <w:rFonts w:ascii="Times New Roman" w:hAnsi="Times New Roman" w:cs="Times New Roman"/>
          <w:sz w:val="24"/>
          <w:szCs w:val="24"/>
        </w:rPr>
        <w:t>4.</w:t>
      </w:r>
      <w:r w:rsidR="00A1716F" w:rsidRPr="00341AB1">
        <w:rPr>
          <w:rFonts w:ascii="Times New Roman" w:hAnsi="Times New Roman" w:cs="Times New Roman"/>
          <w:sz w:val="24"/>
          <w:szCs w:val="24"/>
        </w:rPr>
        <w:t>1</w:t>
      </w:r>
      <w:r w:rsidRPr="00341AB1">
        <w:rPr>
          <w:rFonts w:ascii="Times New Roman" w:hAnsi="Times New Roman" w:cs="Times New Roman"/>
          <w:sz w:val="24"/>
          <w:szCs w:val="24"/>
        </w:rPr>
        <w:t xml:space="preserve"> </w:t>
      </w:r>
      <w:r w:rsidR="00A1716F" w:rsidRPr="00341AB1">
        <w:rPr>
          <w:rFonts w:ascii="Times New Roman" w:hAnsi="Times New Roman" w:cs="Times New Roman"/>
          <w:sz w:val="24"/>
          <w:szCs w:val="24"/>
        </w:rPr>
        <w:t>S</w:t>
      </w:r>
      <w:r w:rsidRPr="00341AB1">
        <w:rPr>
          <w:rFonts w:ascii="Times New Roman" w:hAnsi="Times New Roman" w:cs="Times New Roman"/>
          <w:sz w:val="24"/>
          <w:szCs w:val="24"/>
        </w:rPr>
        <w:t>O</w:t>
      </w:r>
      <w:r w:rsidR="00A1716F" w:rsidRPr="00341AB1">
        <w:rPr>
          <w:rFonts w:ascii="Times New Roman" w:hAnsi="Times New Roman" w:cs="Times New Roman"/>
          <w:sz w:val="24"/>
          <w:szCs w:val="24"/>
        </w:rPr>
        <w:t xml:space="preserve"> growth strategy</w:t>
      </w:r>
      <w:bookmarkEnd w:id="14"/>
    </w:p>
    <w:p w14:paraId="06628CDD" w14:textId="54B91860" w:rsidR="00A1716F" w:rsidRPr="00341AB1" w:rsidRDefault="00A1716F"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(1) </w:t>
      </w:r>
      <w:r w:rsidR="00385762" w:rsidRPr="00341AB1">
        <w:rPr>
          <w:rFonts w:ascii="Times New Roman" w:hAnsi="Times New Roman" w:cs="Times New Roman"/>
          <w:sz w:val="24"/>
          <w:szCs w:val="24"/>
        </w:rPr>
        <w:t>Accelerate investment in new energy vehicles</w:t>
      </w:r>
    </w:p>
    <w:p w14:paraId="45A01C74" w14:textId="5BE8F23D" w:rsidR="008A13D5" w:rsidRPr="00341AB1" w:rsidRDefault="00385762"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At present, Daimler has plans for new energy vehicles, but the speed is slow, and it is mainly to cope with the EU's strict control policy on carbon emissions. In terms of vehicle models, about half of the new energy vehicles currently sold by Daimler are plug-in hybrid electric vehicles. Although this model can play the technical advantages of Daimler as a traditional fuel vehicle enterprise, it will also slow down the pace of its transformation to pure electric vehicles. This paper believes that Daimler should focus more on pure electric vehicles. The market space of traditional fuel vehicles is close to the top and will shrink further in the foreseeable future. Daimler should transform the advantages of its traditional vehicles into the advantages of new energy vehicles as soon as possible, so as to speed up the pace of entering the new energy vehicle market.</w:t>
      </w:r>
    </w:p>
    <w:p w14:paraId="549D1B5A" w14:textId="77777777" w:rsidR="00DC1BC3" w:rsidRPr="00341AB1" w:rsidRDefault="00A1716F" w:rsidP="00DC1BC3">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(2) </w:t>
      </w:r>
      <w:r w:rsidR="00DC1BC3" w:rsidRPr="00341AB1">
        <w:rPr>
          <w:rFonts w:ascii="Times New Roman" w:hAnsi="Times New Roman" w:cs="Times New Roman"/>
          <w:sz w:val="24"/>
          <w:szCs w:val="24"/>
        </w:rPr>
        <w:t xml:space="preserve">Strengthen the construction of marketing and after-sales system. </w:t>
      </w:r>
    </w:p>
    <w:p w14:paraId="2C4539DE" w14:textId="1DA4FBA5" w:rsidR="008A13D5" w:rsidRPr="00341AB1" w:rsidRDefault="00DC1BC3" w:rsidP="00264398">
      <w:pPr>
        <w:spacing w:line="480" w:lineRule="auto"/>
        <w:ind w:firstLineChars="200" w:firstLine="480"/>
        <w:rPr>
          <w:rFonts w:ascii="Times New Roman" w:hAnsi="Times New Roman" w:cs="Times New Roman" w:hint="eastAsia"/>
          <w:sz w:val="24"/>
          <w:szCs w:val="24"/>
        </w:rPr>
      </w:pPr>
      <w:r w:rsidRPr="00341AB1">
        <w:rPr>
          <w:rFonts w:ascii="Times New Roman" w:hAnsi="Times New Roman" w:cs="Times New Roman"/>
          <w:sz w:val="24"/>
          <w:szCs w:val="24"/>
        </w:rPr>
        <w:t xml:space="preserve">As a new product, many consumers still hold a wait-and-see attitude and doubt the technical maturity of pure electric vehicle products. </w:t>
      </w:r>
      <w:r w:rsidR="00D53898" w:rsidRPr="00341AB1">
        <w:rPr>
          <w:rFonts w:ascii="Times New Roman" w:hAnsi="Times New Roman" w:cs="Times New Roman"/>
          <w:sz w:val="24"/>
          <w:szCs w:val="24"/>
        </w:rPr>
        <w:t xml:space="preserve">Besides When Daimler introduces new energy vehicles, other traditional car companies will also introduce more models, so marketing will be more important. </w:t>
      </w:r>
      <w:r w:rsidRPr="00341AB1">
        <w:rPr>
          <w:rFonts w:ascii="Times New Roman" w:hAnsi="Times New Roman" w:cs="Times New Roman"/>
          <w:sz w:val="24"/>
          <w:szCs w:val="24"/>
        </w:rPr>
        <w:t xml:space="preserve">Therefore, </w:t>
      </w:r>
      <w:r w:rsidR="00D53898" w:rsidRPr="00341AB1">
        <w:rPr>
          <w:rFonts w:ascii="Times New Roman" w:hAnsi="Times New Roman" w:cs="Times New Roman"/>
          <w:sz w:val="24"/>
          <w:szCs w:val="24"/>
        </w:rPr>
        <w:t>Daimler AG</w:t>
      </w:r>
      <w:r w:rsidRPr="00341AB1">
        <w:rPr>
          <w:rFonts w:ascii="Times New Roman" w:hAnsi="Times New Roman" w:cs="Times New Roman"/>
          <w:sz w:val="24"/>
          <w:szCs w:val="24"/>
        </w:rPr>
        <w:t xml:space="preserve"> should further expand its marketing, and embody the selling points of new energy pure electric vehicles of joint venture brand, such as stable performance, balanced performance, safety and reliability, through new media, short video, live broadcast and in-depth experience, so as to make more consumers accept the acquisition and purchase of pure electric products. In the </w:t>
      </w:r>
      <w:r w:rsidRPr="00341AB1">
        <w:rPr>
          <w:rFonts w:ascii="Times New Roman" w:hAnsi="Times New Roman" w:cs="Times New Roman"/>
          <w:sz w:val="24"/>
          <w:szCs w:val="24"/>
        </w:rPr>
        <w:lastRenderedPageBreak/>
        <w:t>market opening period, pure electric vehicle products not only rely on national and local subsidies and tax-free policies, but also need to continue to reduce costs, improve product competitiveness and gain market share.</w:t>
      </w:r>
    </w:p>
    <w:p w14:paraId="2331CC75" w14:textId="0D58AE35" w:rsidR="00A1716F" w:rsidRPr="00341AB1" w:rsidRDefault="00305F25" w:rsidP="00D55895">
      <w:pPr>
        <w:pStyle w:val="2"/>
        <w:spacing w:before="0" w:after="0" w:line="480" w:lineRule="auto"/>
        <w:rPr>
          <w:rFonts w:ascii="Times New Roman" w:hAnsi="Times New Roman" w:cs="Times New Roman"/>
          <w:sz w:val="24"/>
          <w:szCs w:val="24"/>
        </w:rPr>
      </w:pPr>
      <w:bookmarkStart w:id="15" w:name="_Toc58771700"/>
      <w:r w:rsidRPr="00341AB1">
        <w:rPr>
          <w:rFonts w:ascii="Times New Roman" w:hAnsi="Times New Roman" w:cs="Times New Roman"/>
          <w:sz w:val="24"/>
          <w:szCs w:val="24"/>
        </w:rPr>
        <w:t>4.</w:t>
      </w:r>
      <w:r w:rsidR="00A1716F" w:rsidRPr="00341AB1">
        <w:rPr>
          <w:rFonts w:ascii="Times New Roman" w:hAnsi="Times New Roman" w:cs="Times New Roman"/>
          <w:sz w:val="24"/>
          <w:szCs w:val="24"/>
        </w:rPr>
        <w:t>2 W</w:t>
      </w:r>
      <w:r w:rsidRPr="00341AB1">
        <w:rPr>
          <w:rFonts w:ascii="Times New Roman" w:hAnsi="Times New Roman" w:cs="Times New Roman"/>
          <w:sz w:val="24"/>
          <w:szCs w:val="24"/>
        </w:rPr>
        <w:t>T</w:t>
      </w:r>
      <w:r w:rsidR="00A1716F" w:rsidRPr="00341AB1">
        <w:rPr>
          <w:rFonts w:ascii="Times New Roman" w:hAnsi="Times New Roman" w:cs="Times New Roman"/>
          <w:sz w:val="24"/>
          <w:szCs w:val="24"/>
        </w:rPr>
        <w:t xml:space="preserve"> defensive strategy</w:t>
      </w:r>
      <w:bookmarkEnd w:id="15"/>
    </w:p>
    <w:p w14:paraId="7895A31A" w14:textId="41EA975C" w:rsidR="00F91C9F" w:rsidRPr="00341AB1" w:rsidRDefault="00A1716F" w:rsidP="00F91C9F">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(1) </w:t>
      </w:r>
      <w:r w:rsidR="00F91C9F" w:rsidRPr="00341AB1">
        <w:rPr>
          <w:rFonts w:ascii="Times New Roman" w:hAnsi="Times New Roman" w:cs="Times New Roman"/>
          <w:sz w:val="24"/>
          <w:szCs w:val="24"/>
        </w:rPr>
        <w:t>Using lower-price strategy to promotion</w:t>
      </w:r>
    </w:p>
    <w:p w14:paraId="63438A02" w14:textId="6CFD42CF" w:rsidR="008A13D5" w:rsidRPr="00341AB1" w:rsidRDefault="00F91C9F"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The prospect of new energy vehicles is very broad</w:t>
      </w:r>
      <w:r w:rsidR="007A060A" w:rsidRPr="00341AB1">
        <w:rPr>
          <w:rFonts w:ascii="Times New Roman" w:hAnsi="Times New Roman" w:cs="Times New Roman"/>
          <w:sz w:val="24"/>
          <w:szCs w:val="24"/>
        </w:rPr>
        <w:t xml:space="preserve">. At present, the market is still in a period of rapid growth, and the market is far from mature. </w:t>
      </w:r>
      <w:proofErr w:type="gramStart"/>
      <w:r w:rsidR="007A060A" w:rsidRPr="00341AB1">
        <w:rPr>
          <w:rFonts w:ascii="Times New Roman" w:hAnsi="Times New Roman" w:cs="Times New Roman"/>
          <w:sz w:val="24"/>
          <w:szCs w:val="24"/>
        </w:rPr>
        <w:t>So</w:t>
      </w:r>
      <w:proofErr w:type="gramEnd"/>
      <w:r w:rsidR="007A060A" w:rsidRPr="00341AB1">
        <w:rPr>
          <w:rFonts w:ascii="Times New Roman" w:hAnsi="Times New Roman" w:cs="Times New Roman"/>
          <w:sz w:val="24"/>
          <w:szCs w:val="24"/>
        </w:rPr>
        <w:t xml:space="preserve"> Daimler can use its global reputation and after-sales advantages to promote sales. Compared with some new electric vehicle brands, Daimler has strong capital and financing advantages, so Daimler can even seize the market share through the way of loss promotion, and then squeeze the automobile brands with weak internship out of the market.</w:t>
      </w:r>
    </w:p>
    <w:p w14:paraId="4B6E4A08" w14:textId="0F611949" w:rsidR="00A1716F" w:rsidRPr="00341AB1" w:rsidRDefault="00A1716F"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(2)</w:t>
      </w:r>
      <w:r w:rsidR="001127F4" w:rsidRPr="00341AB1">
        <w:rPr>
          <w:rFonts w:ascii="Times New Roman" w:hAnsi="Times New Roman" w:cs="Times New Roman"/>
          <w:kern w:val="0"/>
          <w:sz w:val="24"/>
          <w:szCs w:val="24"/>
        </w:rPr>
        <w:t xml:space="preserve"> Acquisition of upstream battery suppliers to stabilize battery supply</w:t>
      </w:r>
    </w:p>
    <w:p w14:paraId="0EB22885" w14:textId="5D56BCB6" w:rsidR="008D6365" w:rsidRPr="00341AB1" w:rsidRDefault="007A060A" w:rsidP="00264398">
      <w:pPr>
        <w:spacing w:line="480" w:lineRule="auto"/>
        <w:ind w:firstLineChars="200" w:firstLine="480"/>
        <w:rPr>
          <w:rFonts w:ascii="Times New Roman" w:hAnsi="Times New Roman" w:cs="Times New Roman" w:hint="eastAsia"/>
          <w:sz w:val="24"/>
          <w:szCs w:val="24"/>
        </w:rPr>
      </w:pPr>
      <w:r w:rsidRPr="00341AB1">
        <w:rPr>
          <w:rFonts w:ascii="Times New Roman" w:hAnsi="Times New Roman" w:cs="Times New Roman"/>
          <w:sz w:val="24"/>
          <w:szCs w:val="24"/>
        </w:rPr>
        <w:t>The demand for batteries is still expanding rapidly and the market is not mature. And the battery cost accounts for about 40% of the pure electric vehicle, so the supply of battery is very important. At this time, Daimler can acquire some upstream battery suppliers, on the one hand, it can obtain the dividend of battery development, on the other hand, it can stabilize the future battery supply and obtain the most advanced battery technology.</w:t>
      </w:r>
    </w:p>
    <w:p w14:paraId="4D74A5DD" w14:textId="4ECBA3FC" w:rsidR="00A1716F" w:rsidRPr="00341AB1" w:rsidRDefault="00305F25" w:rsidP="00EC3467">
      <w:pPr>
        <w:pStyle w:val="1"/>
        <w:spacing w:before="0" w:after="0" w:line="480" w:lineRule="auto"/>
        <w:rPr>
          <w:rFonts w:ascii="Times New Roman" w:hAnsi="Times New Roman" w:cs="Times New Roman"/>
          <w:sz w:val="24"/>
          <w:szCs w:val="24"/>
        </w:rPr>
      </w:pPr>
      <w:bookmarkStart w:id="16" w:name="_Toc58771701"/>
      <w:r w:rsidRPr="00341AB1">
        <w:rPr>
          <w:rFonts w:ascii="Times New Roman" w:hAnsi="Times New Roman" w:cs="Times New Roman"/>
          <w:sz w:val="24"/>
          <w:szCs w:val="24"/>
        </w:rPr>
        <w:t>R</w:t>
      </w:r>
      <w:r w:rsidR="00A1716F" w:rsidRPr="00341AB1">
        <w:rPr>
          <w:rFonts w:ascii="Times New Roman" w:hAnsi="Times New Roman" w:cs="Times New Roman"/>
          <w:sz w:val="24"/>
          <w:szCs w:val="24"/>
        </w:rPr>
        <w:t>eferences</w:t>
      </w:r>
      <w:bookmarkEnd w:id="16"/>
    </w:p>
    <w:p w14:paraId="740B0C9F" w14:textId="20A3A718" w:rsidR="00000526" w:rsidRPr="00341AB1" w:rsidRDefault="00AE787E" w:rsidP="00EC3467">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Daimler AG (2020) Annual Report, Available at </w:t>
      </w:r>
      <w:r w:rsidR="00000526" w:rsidRPr="00341AB1">
        <w:rPr>
          <w:rFonts w:ascii="Times New Roman" w:hAnsi="Times New Roman" w:cs="Times New Roman"/>
          <w:sz w:val="24"/>
          <w:szCs w:val="24"/>
        </w:rPr>
        <w:t>https://www.daimler.com/documents/investors/reports/annual-report/daimler/</w:t>
      </w:r>
    </w:p>
    <w:p w14:paraId="6971F630" w14:textId="10174E96" w:rsidR="008D0C4E" w:rsidRPr="00341AB1" w:rsidRDefault="008D0C4E" w:rsidP="00EC3467">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Daimler AG (2020) Management comment, Available at </w:t>
      </w:r>
      <w:r w:rsidR="00D25522" w:rsidRPr="00341AB1">
        <w:rPr>
          <w:rFonts w:ascii="Times New Roman" w:hAnsi="Times New Roman" w:cs="Times New Roman"/>
          <w:sz w:val="24"/>
          <w:szCs w:val="24"/>
        </w:rPr>
        <w:lastRenderedPageBreak/>
        <w:t>https://www.daimler.com/documents/investors/reports/annualreport/daimler/daimler-ir-annual-report-2019-incl-combined-management-report-daimler-ag.pdf</w:t>
      </w:r>
    </w:p>
    <w:p w14:paraId="16649A5B" w14:textId="18BE7F3A" w:rsidR="00DB0CC0" w:rsidRPr="00341AB1" w:rsidRDefault="00DB0CC0" w:rsidP="00EC3467">
      <w:pPr>
        <w:spacing w:line="480" w:lineRule="auto"/>
        <w:rPr>
          <w:rFonts w:ascii="Times New Roman" w:hAnsi="Times New Roman" w:cs="Times New Roman"/>
          <w:sz w:val="24"/>
          <w:szCs w:val="24"/>
        </w:rPr>
      </w:pPr>
      <w:proofErr w:type="spellStart"/>
      <w:r w:rsidRPr="00341AB1">
        <w:rPr>
          <w:rFonts w:ascii="Times New Roman" w:hAnsi="Times New Roman" w:cs="Times New Roman"/>
          <w:sz w:val="24"/>
          <w:szCs w:val="24"/>
        </w:rPr>
        <w:t>Dusha</w:t>
      </w:r>
      <w:proofErr w:type="spellEnd"/>
      <w:r w:rsidRPr="00341AB1">
        <w:rPr>
          <w:rFonts w:ascii="Times New Roman" w:hAnsi="Times New Roman" w:cs="Times New Roman"/>
          <w:sz w:val="24"/>
          <w:szCs w:val="24"/>
        </w:rPr>
        <w:t>, BMW, Volkswagen and other German car companies increase the layout of electrification. Automobile and accessories, 2019 (23): page 30-31</w:t>
      </w:r>
    </w:p>
    <w:p w14:paraId="4CACFE8A" w14:textId="14947EFB" w:rsidR="00DB0CC0" w:rsidRPr="00341AB1" w:rsidRDefault="00DB0CC0" w:rsidP="00EC3467">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Gan </w:t>
      </w:r>
      <w:proofErr w:type="spellStart"/>
      <w:r w:rsidRPr="00341AB1">
        <w:rPr>
          <w:rFonts w:ascii="Times New Roman" w:hAnsi="Times New Roman" w:cs="Times New Roman"/>
          <w:sz w:val="24"/>
          <w:szCs w:val="24"/>
        </w:rPr>
        <w:t>Qunfang</w:t>
      </w:r>
      <w:proofErr w:type="spellEnd"/>
      <w:r w:rsidRPr="00341AB1">
        <w:rPr>
          <w:rFonts w:ascii="Times New Roman" w:hAnsi="Times New Roman" w:cs="Times New Roman"/>
          <w:sz w:val="24"/>
          <w:szCs w:val="24"/>
        </w:rPr>
        <w:t xml:space="preserve">, Daimler shares in </w:t>
      </w:r>
      <w:proofErr w:type="spellStart"/>
      <w:r w:rsidRPr="00341AB1">
        <w:rPr>
          <w:rFonts w:ascii="Times New Roman" w:hAnsi="Times New Roman" w:cs="Times New Roman"/>
          <w:sz w:val="24"/>
          <w:szCs w:val="24"/>
        </w:rPr>
        <w:t>Funeng</w:t>
      </w:r>
      <w:proofErr w:type="spellEnd"/>
      <w:r w:rsidRPr="00341AB1">
        <w:rPr>
          <w:rFonts w:ascii="Times New Roman" w:hAnsi="Times New Roman" w:cs="Times New Roman"/>
          <w:sz w:val="24"/>
          <w:szCs w:val="24"/>
        </w:rPr>
        <w:t>: auto companies want to break the dominance of battery companies, in Economic Observer 2020, page 3</w:t>
      </w:r>
    </w:p>
    <w:p w14:paraId="623E0948" w14:textId="55DF8C62" w:rsidR="00DB0CC0" w:rsidRPr="00341AB1" w:rsidRDefault="00DB0CC0" w:rsidP="00EC3467">
      <w:pPr>
        <w:autoSpaceDE w:val="0"/>
        <w:autoSpaceDN w:val="0"/>
        <w:adjustRightInd w:val="0"/>
        <w:spacing w:line="480" w:lineRule="auto"/>
        <w:rPr>
          <w:rFonts w:ascii="Times New Roman" w:hAnsi="Times New Roman" w:cs="Times New Roman"/>
          <w:sz w:val="24"/>
          <w:szCs w:val="24"/>
        </w:rPr>
      </w:pPr>
      <w:proofErr w:type="spellStart"/>
      <w:r w:rsidRPr="00341AB1">
        <w:rPr>
          <w:rFonts w:ascii="Times New Roman" w:hAnsi="Times New Roman" w:cs="Times New Roman"/>
          <w:sz w:val="24"/>
          <w:szCs w:val="24"/>
        </w:rPr>
        <w:t>Guotai</w:t>
      </w:r>
      <w:proofErr w:type="spellEnd"/>
      <w:r w:rsidRPr="00341AB1">
        <w:rPr>
          <w:rFonts w:ascii="Times New Roman" w:hAnsi="Times New Roman" w:cs="Times New Roman"/>
          <w:sz w:val="24"/>
          <w:szCs w:val="24"/>
        </w:rPr>
        <w:t xml:space="preserve"> </w:t>
      </w:r>
      <w:proofErr w:type="spellStart"/>
      <w:r w:rsidRPr="00341AB1">
        <w:rPr>
          <w:rFonts w:ascii="Times New Roman" w:hAnsi="Times New Roman" w:cs="Times New Roman"/>
          <w:sz w:val="24"/>
          <w:szCs w:val="24"/>
        </w:rPr>
        <w:t>Junan</w:t>
      </w:r>
      <w:proofErr w:type="spellEnd"/>
      <w:r w:rsidRPr="00341AB1">
        <w:rPr>
          <w:rFonts w:ascii="Times New Roman" w:hAnsi="Times New Roman" w:cs="Times New Roman"/>
          <w:sz w:val="24"/>
          <w:szCs w:val="24"/>
        </w:rPr>
        <w:t xml:space="preserve"> </w:t>
      </w:r>
      <w:proofErr w:type="spellStart"/>
      <w:r w:rsidRPr="00341AB1">
        <w:rPr>
          <w:rFonts w:ascii="Times New Roman" w:hAnsi="Times New Roman" w:cs="Times New Roman"/>
          <w:sz w:val="24"/>
          <w:szCs w:val="24"/>
        </w:rPr>
        <w:t>Securitys</w:t>
      </w:r>
      <w:proofErr w:type="spellEnd"/>
      <w:r w:rsidRPr="00341AB1">
        <w:rPr>
          <w:rFonts w:ascii="Times New Roman" w:hAnsi="Times New Roman" w:cs="Times New Roman"/>
          <w:sz w:val="24"/>
          <w:szCs w:val="24"/>
        </w:rPr>
        <w:t xml:space="preserve"> for Wholesale and retail trade. (2017) world's big market capitalists: Zi Meng</w:t>
      </w:r>
    </w:p>
    <w:p w14:paraId="26B2322F" w14:textId="413431B9" w:rsidR="00DB0CC0" w:rsidRPr="00341AB1" w:rsidRDefault="00DB0CC0" w:rsidP="00EC3467">
      <w:pPr>
        <w:autoSpaceDE w:val="0"/>
        <w:autoSpaceDN w:val="0"/>
        <w:adjustRightInd w:val="0"/>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Soochow Securities for Electronic manufacturing. (2020) </w:t>
      </w:r>
      <w:proofErr w:type="spellStart"/>
      <w:r w:rsidRPr="00341AB1">
        <w:rPr>
          <w:rFonts w:ascii="Times New Roman" w:hAnsi="Times New Roman" w:cs="Times New Roman"/>
          <w:sz w:val="24"/>
          <w:szCs w:val="24"/>
        </w:rPr>
        <w:t>Anjie</w:t>
      </w:r>
      <w:proofErr w:type="spellEnd"/>
      <w:r w:rsidRPr="00341AB1">
        <w:rPr>
          <w:rFonts w:ascii="Times New Roman" w:hAnsi="Times New Roman" w:cs="Times New Roman"/>
          <w:sz w:val="24"/>
          <w:szCs w:val="24"/>
        </w:rPr>
        <w:t xml:space="preserve"> Technology: Wang </w:t>
      </w:r>
      <w:proofErr w:type="spellStart"/>
      <w:r w:rsidRPr="00341AB1">
        <w:rPr>
          <w:rFonts w:ascii="Times New Roman" w:hAnsi="Times New Roman" w:cs="Times New Roman"/>
          <w:sz w:val="24"/>
          <w:szCs w:val="24"/>
        </w:rPr>
        <w:t>Pingyang</w:t>
      </w:r>
      <w:proofErr w:type="spellEnd"/>
    </w:p>
    <w:p w14:paraId="1C585FA5" w14:textId="2DFB44AF" w:rsidR="00DB0CC0" w:rsidRPr="00341AB1" w:rsidRDefault="00DB0CC0" w:rsidP="00EC3467">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Zhao </w:t>
      </w:r>
      <w:proofErr w:type="spellStart"/>
      <w:r w:rsidRPr="00341AB1">
        <w:rPr>
          <w:rFonts w:ascii="Times New Roman" w:hAnsi="Times New Roman" w:cs="Times New Roman"/>
          <w:sz w:val="24"/>
          <w:szCs w:val="24"/>
        </w:rPr>
        <w:t>yanru</w:t>
      </w:r>
      <w:proofErr w:type="spellEnd"/>
      <w:r w:rsidRPr="00341AB1">
        <w:rPr>
          <w:rFonts w:ascii="Times New Roman" w:hAnsi="Times New Roman" w:cs="Times New Roman"/>
          <w:sz w:val="24"/>
          <w:szCs w:val="24"/>
        </w:rPr>
        <w:t xml:space="preserve">, research on synergy effect of Daimler cross border M &amp; A of </w:t>
      </w:r>
      <w:proofErr w:type="spellStart"/>
      <w:r w:rsidRPr="00341AB1">
        <w:rPr>
          <w:rFonts w:ascii="Times New Roman" w:hAnsi="Times New Roman" w:cs="Times New Roman"/>
          <w:sz w:val="24"/>
          <w:szCs w:val="24"/>
        </w:rPr>
        <w:t>Geely</w:t>
      </w:r>
      <w:proofErr w:type="spellEnd"/>
      <w:r w:rsidRPr="00341AB1">
        <w:rPr>
          <w:rFonts w:ascii="Times New Roman" w:hAnsi="Times New Roman" w:cs="Times New Roman"/>
          <w:sz w:val="24"/>
          <w:szCs w:val="24"/>
        </w:rPr>
        <w:t xml:space="preserve"> Automobile, 2020, East China </w:t>
      </w:r>
      <w:proofErr w:type="spellStart"/>
      <w:r w:rsidRPr="00341AB1">
        <w:rPr>
          <w:rFonts w:ascii="Times New Roman" w:hAnsi="Times New Roman" w:cs="Times New Roman"/>
          <w:sz w:val="24"/>
          <w:szCs w:val="24"/>
        </w:rPr>
        <w:t>Jiaotong</w:t>
      </w:r>
      <w:proofErr w:type="spellEnd"/>
      <w:r w:rsidRPr="00341AB1">
        <w:rPr>
          <w:rFonts w:ascii="Times New Roman" w:hAnsi="Times New Roman" w:cs="Times New Roman"/>
          <w:sz w:val="24"/>
          <w:szCs w:val="24"/>
        </w:rPr>
        <w:t xml:space="preserve"> University, P. 82</w:t>
      </w:r>
    </w:p>
    <w:p w14:paraId="0559F451" w14:textId="5F28074E" w:rsidR="00DB0CC0" w:rsidRPr="00341AB1" w:rsidRDefault="00DB0CC0" w:rsidP="00EC3467">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Zhang </w:t>
      </w:r>
      <w:proofErr w:type="spellStart"/>
      <w:r w:rsidRPr="00341AB1">
        <w:rPr>
          <w:rFonts w:ascii="Times New Roman" w:hAnsi="Times New Roman" w:cs="Times New Roman"/>
          <w:sz w:val="24"/>
          <w:szCs w:val="24"/>
        </w:rPr>
        <w:t>Yuanrui</w:t>
      </w:r>
      <w:proofErr w:type="spellEnd"/>
      <w:r w:rsidRPr="00341AB1">
        <w:rPr>
          <w:rFonts w:ascii="Times New Roman" w:hAnsi="Times New Roman" w:cs="Times New Roman"/>
          <w:sz w:val="24"/>
          <w:szCs w:val="24"/>
        </w:rPr>
        <w:t>, study on localization strategy of European multinational companies in China, 2018, Tianjin Commercial University, P. 42</w:t>
      </w:r>
    </w:p>
    <w:p w14:paraId="66FE83D1" w14:textId="120A72CB" w:rsidR="00DB0CC0" w:rsidRPr="00341AB1" w:rsidRDefault="00DB0CC0" w:rsidP="00EC3467">
      <w:pPr>
        <w:spacing w:line="480" w:lineRule="auto"/>
        <w:rPr>
          <w:rFonts w:ascii="Times New Roman" w:hAnsi="Times New Roman" w:cs="Times New Roman"/>
          <w:sz w:val="24"/>
          <w:szCs w:val="24"/>
        </w:rPr>
      </w:pPr>
      <w:r w:rsidRPr="00341AB1">
        <w:rPr>
          <w:rFonts w:ascii="Times New Roman" w:hAnsi="Times New Roman" w:cs="Times New Roman"/>
          <w:sz w:val="24"/>
          <w:szCs w:val="24"/>
        </w:rPr>
        <w:t>Zhu Lin, why Daimler and Toyota left Tesla. Operator (Automotive Business Review), 2020 (08): PP. 100-102</w:t>
      </w:r>
    </w:p>
    <w:p w14:paraId="4FDF487D" w14:textId="77777777" w:rsidR="00D25522" w:rsidRPr="00341AB1" w:rsidRDefault="00D25522" w:rsidP="008D0C4E">
      <w:pPr>
        <w:rPr>
          <w:rFonts w:ascii="Times New Roman" w:hAnsi="Times New Roman" w:cs="Times New Roman"/>
          <w:sz w:val="24"/>
          <w:szCs w:val="24"/>
        </w:rPr>
      </w:pPr>
    </w:p>
    <w:p w14:paraId="61C8CC27" w14:textId="77777777" w:rsidR="00000526" w:rsidRPr="00341AB1" w:rsidRDefault="00000526" w:rsidP="00310A5B">
      <w:pPr>
        <w:rPr>
          <w:rFonts w:ascii="Times New Roman" w:hAnsi="Times New Roman" w:cs="Times New Roman"/>
          <w:sz w:val="24"/>
          <w:szCs w:val="24"/>
        </w:rPr>
      </w:pPr>
    </w:p>
    <w:sectPr w:rsidR="00000526" w:rsidRPr="00341AB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6A303F" w14:textId="77777777" w:rsidR="005D2591" w:rsidRDefault="005D2591" w:rsidP="00475C22">
      <w:r>
        <w:separator/>
      </w:r>
    </w:p>
  </w:endnote>
  <w:endnote w:type="continuationSeparator" w:id="0">
    <w:p w14:paraId="4F54F480" w14:textId="77777777" w:rsidR="005D2591" w:rsidRDefault="005D2591" w:rsidP="00475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华文楷体">
    <w:panose1 w:val="02010600040101010101"/>
    <w:charset w:val="86"/>
    <w:family w:val="auto"/>
    <w:pitch w:val="variable"/>
    <w:sig w:usb0="00000287" w:usb1="080F0000" w:usb2="00000010" w:usb3="00000000" w:csb0="0004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C8660D" w14:textId="77777777" w:rsidR="005D2591" w:rsidRDefault="005D2591" w:rsidP="00475C22">
      <w:r>
        <w:separator/>
      </w:r>
    </w:p>
  </w:footnote>
  <w:footnote w:type="continuationSeparator" w:id="0">
    <w:p w14:paraId="5033E3AE" w14:textId="77777777" w:rsidR="005D2591" w:rsidRDefault="005D2591" w:rsidP="00475C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NE.Ref{B7EE4B32-C411-4610-BE0F-817B45466339}" w:val=" ADDIN NE.Ref.{B7EE4B32-C411-4610-BE0F-817B45466339}&lt;Citation&gt;&lt;Group&gt;&lt;References&gt;&lt;Item&gt;&lt;ID&gt;467&lt;/ID&gt;&lt;UID&gt;{03519348-7F64-438D-A6DF-0F364328E28F}&lt;/UID&gt;&lt;Title&gt;宝马、大众等德国车企加大布局电气化背后的逻辑&lt;/Title&gt;&lt;Template&gt;Journal Article&lt;/Template&gt;&lt;Star&gt;1&lt;/Star&gt;&lt;Tag&gt;0&lt;/Tag&gt;&lt;Author&gt;杜莎&lt;/Author&gt;&lt;Year&gt;2019&lt;/Year&gt;&lt;Details&gt;&lt;_accessed&gt;63612687&lt;/_accessed&gt;&lt;_created&gt;63612687&lt;/_created&gt;&lt;_date&gt;63089280&lt;/_date&gt;&lt;_db_provider&gt;CNKI: 期刊&lt;/_db_provider&gt;&lt;_db_updated&gt;CNKI - Reference&lt;/_db_updated&gt;&lt;_issue&gt;23&lt;/_issue&gt;&lt;_journal&gt;汽车与配件&lt;/_journal&gt;&lt;_keywords&gt;纯电动车;发动机;排放测试;乘用车;插电式混合动力;变速器;宁德时代;电气化;&lt;/_keywords&gt;&lt;_language&gt;Chinese&lt;/_language&gt;&lt;_modified&gt;63612692&lt;/_modified&gt;&lt;_pages&gt;30-31&lt;/_pages&gt;&lt;_url&gt;http://kns.cnki.net/KCMS/detail/detail.aspx?FileName=QCPJ201923035&amp;amp;DbName=CJFQ2019&lt;/_url&gt;&lt;_translated_author&gt;Du, Sha&lt;/_translated_author&gt;&lt;/Details&gt;&lt;Extra&gt;&lt;DBUID&gt;{F96A950B-833F-4880-A151-76DA2D6A2879}&lt;/DBUID&gt;&lt;/Extra&gt;&lt;/Item&gt;&lt;/References&gt;&lt;/Group&gt;&lt;Group&gt;&lt;References&gt;&lt;Item&gt;&lt;ID&gt;469&lt;/ID&gt;&lt;UID&gt;{812B2312-C2F0-44E1-A401-983C98367685}&lt;/UID&gt;&lt;Title&gt;戴姆勒入股孚能：车企欲破电池一家独大局面&lt;/Title&gt;&lt;Template&gt;Newspaper Article&lt;/Template&gt;&lt;Star&gt;1&lt;/Star&gt;&lt;Tag&gt;0&lt;/Tag&gt;&lt;Author&gt;本报记者干群芳&lt;/Author&gt;&lt;Year&gt;2020&lt;/Year&gt;&lt;Details&gt;&lt;_accessed&gt;63612687&lt;/_accessed&gt;&lt;_created&gt;63612687&lt;/_created&gt;&lt;_db_provider&gt;CNKI: 报纸&lt;/_db_provider&gt;&lt;_db_updated&gt;CNKI - Reference&lt;/_db_updated&gt;&lt;_language&gt;Chinese&lt;/_language&gt;&lt;_modified&gt;63612702&lt;/_modified&gt;&lt;_pages&gt;3&lt;/_pages&gt;&lt;_secondary_title&gt;经济观察报&lt;/_secondary_title&gt;&lt;_url&gt;http://kns.cnki.net/KCMS/detail/detail.aspx?FileName=JJGC202008030270&amp;amp;DbName=CCNDTEMP&lt;/_url&gt;&lt;_translated_author&gt;Ben, Baojizheganqunfang&lt;/_translated_author&gt;&lt;/Details&gt;&lt;Extra&gt;&lt;DBUID&gt;{F96A950B-833F-4880-A151-76DA2D6A2879}&lt;/DBUID&gt;&lt;/Extra&gt;&lt;/Item&gt;&lt;/References&gt;&lt;/Group&gt;&lt;Group&gt;&lt;References&gt;&lt;Item&gt;&lt;ID&gt;463&lt;/ID&gt;&lt;UID&gt;{C409A792-3D3A-4D01-BE62-B27CD76A54B7}&lt;/UID&gt;&lt;Title&gt;吉利汽车跨国并购戴姆勒协同效应研究&lt;/Title&gt;&lt;Template&gt;Thesis&lt;/Template&gt;&lt;Star&gt;0&lt;/Star&gt;&lt;Tag&gt;0&lt;/Tag&gt;&lt;Author&gt;赵艳茹&lt;/Author&gt;&lt;Year&gt;2020&lt;/Year&gt;&lt;Details&gt;&lt;_accessed&gt;63614626&lt;/_accessed&gt;&lt;_created&gt;63612687&lt;/_created&gt;&lt;_db_provider&gt;CNKI: 硕士&lt;/_db_provider&gt;&lt;_db_updated&gt;CNKI - Reference&lt;/_db_updated&gt;&lt;_keywords&gt;跨国并购;协同效应;吉利汽车&lt;/_keywords&gt;&lt;_modified&gt;63614626&lt;/_modified&gt;&lt;_pages&gt;82&lt;/_pages&gt;&lt;_publisher&gt;华东交通大学&lt;/_publisher&gt;&lt;_tertiary_author&gt;陶裕春;陈军昌&lt;/_tertiary_author&gt;&lt;_url&gt;http://kns.cnki.net/KCMS/detail/detail.aspx?FileName=1020360000.nh&amp;amp;DbName=CMFDTEMP&lt;/_url&gt;&lt;_volume&gt;硕士&lt;/_volume&gt;&lt;_translated_author&gt;Zhao, Yanru&lt;/_translated_author&gt;&lt;_translated_tertiary_author&gt;Tao, Yuchun;Chen, Junchang&lt;/_translated_tertiary_author&gt;&lt;/Details&gt;&lt;Extra&gt;&lt;DBUID&gt;{F96A950B-833F-4880-A151-76DA2D6A2879}&lt;/DBUID&gt;&lt;/Extra&gt;&lt;/Item&gt;&lt;/References&gt;&lt;/Group&gt;&lt;Group&gt;&lt;References&gt;&lt;Item&gt;&lt;ID&gt;464&lt;/ID&gt;&lt;UID&gt;{F15A9608-8080-4C2E-899F-0959DD4D5118}&lt;/UID&gt;&lt;Title&gt;欧洲跨国公司在华的本土化战略研究&lt;/Title&gt;&lt;Template&gt;Thesis&lt;/Template&gt;&lt;Star&gt;0&lt;/Star&gt;&lt;Tag&gt;0&lt;/Tag&gt;&lt;Author&gt;张媛瑞&lt;/Author&gt;&lt;Year&gt;2018&lt;/Year&gt;&lt;Details&gt;&lt;_accessed&gt;63612687&lt;/_accessed&gt;&lt;_created&gt;63612687&lt;/_created&gt;&lt;_db_provider&gt;CNKI: 硕士&lt;/_db_provider&gt;&lt;_db_updated&gt;CNKI - Reference&lt;/_db_updated&gt;&lt;_keywords&gt;跨国公司;对外直接投资;本土化战略;戴姆勒&lt;/_keywords&gt;&lt;_modified&gt;63612687&lt;/_modified&gt;&lt;_pages&gt;42&lt;/_pages&gt;&lt;_publisher&gt;天津商业大学&lt;/_publisher&gt;&lt;_tertiary_author&gt;王玉婧&lt;/_tertiary_author&gt;&lt;_url&gt;http://kns.cnki.net/KCMS/detail/detail.aspx?FileName=1018185979.nh&amp;amp;DbName=CMFD2018&lt;/_url&gt;&lt;_volume&gt;硕士&lt;/_volume&gt;&lt;_translated_author&gt;Zhang, Yuanrui&lt;/_translated_author&gt;&lt;_translated_tertiary_author&gt;Wang, Yujing&lt;/_translated_tertiary_author&gt;&lt;/Details&gt;&lt;Extra&gt;&lt;DBUID&gt;{F96A950B-833F-4880-A151-76DA2D6A2879}&lt;/DBUID&gt;&lt;/Extra&gt;&lt;/Item&gt;&lt;/References&gt;&lt;/Group&gt;&lt;Group&gt;&lt;References&gt;&lt;Item&gt;&lt;ID&gt;465&lt;/ID&gt;&lt;UID&gt;{D6B4DB43-2B45-49CD-AB88-BD61CF217F71}&lt;/UID&gt;&lt;Title&gt;为何戴姆勒和丰田离开特斯拉&lt;/Title&gt;&lt;Template&gt;Journal Article&lt;/Template&gt;&lt;Star&gt;0&lt;/Star&gt;&lt;Tag&gt;0&lt;/Tag&gt;&lt;Author&gt;朱琳&lt;/Author&gt;&lt;Year&gt;2020&lt;/Year&gt;&lt;Details&gt;&lt;_accessed&gt;63612687&lt;/_accessed&gt;&lt;_author_aff&gt;ABR;&lt;/_author_aff&gt;&lt;_created&gt;63612687&lt;/_created&gt;&lt;_date&gt;63440640&lt;/_date&gt;&lt;_db_provider&gt;CNKI: 期刊&lt;/_db_provider&gt;&lt;_db_updated&gt;CNKI - Reference&lt;/_db_updated&gt;&lt;_issue&gt;08&lt;/_issue&gt;&lt;_journal&gt;经营者(汽车商业评论)&lt;/_journal&gt;&lt;_keywords&gt;特斯拉;梅赛德斯;投资者;汽车制造商;&lt;/_keywords&gt;&lt;_language&gt;Chinese&lt;/_language&gt;&lt;_modified&gt;63612687&lt;/_modified&gt;&lt;_pages&gt;100-102&lt;/_pages&gt;&lt;_url&gt;http://kns.cnki.net/KCMS/detail/detail.aspx?FileName=QCSP202008032&amp;amp;DbName=CJFQ2020&lt;/_url&gt;&lt;_translated_author&gt;Zhu, Lin&lt;/_translated_author&gt;&lt;/Details&gt;&lt;Extra&gt;&lt;DBUID&gt;{F96A950B-833F-4880-A151-76DA2D6A2879}&lt;/DBUID&gt;&lt;/Extra&gt;&lt;/Item&gt;&lt;/References&gt;&lt;/Group&gt;&lt;/Citation&gt;_x000a_"/>
    <w:docVar w:name="NE.Ref{FC586548-B7C3-422F-B79A-7B794B2F253D}" w:val=" ADDIN NE.Ref.{FC586548-B7C3-422F-B79A-7B794B2F253D}&lt;Citation&gt;&lt;Group&gt;&lt;References&gt;&lt;Item&gt;&lt;ID&gt;466&lt;/ID&gt;&lt;UID&gt;{36DF8BD8-0555-47C8-9A66-F41C62186A78}&lt;/UID&gt;&lt;Title&gt;沃尔沃宣布与戴姆勒成立合资公司将大规模生产燃料电池&lt;/Title&gt;&lt;Template&gt;Journal Article&lt;/Template&gt;&lt;Star&gt;0&lt;/Star&gt;&lt;Tag&gt;0&lt;/Tag&gt;&lt;Author/&gt;&lt;Year&gt;0&lt;/Year&gt;&lt;Details&gt;&lt;_created&gt;63612687&lt;/_created&gt;&lt;_language&gt;Chinese&lt;/_language&gt;&lt;_modified&gt;63612687&lt;/_modified&gt;&lt;/Details&gt;&lt;Extra&gt;&lt;DBUID&gt;{F96A950B-833F-4880-A151-76DA2D6A2879}&lt;/DBUID&gt;&lt;/Extra&gt;&lt;/Item&gt;&lt;/References&gt;&lt;/Group&gt;&lt;/Citation&gt;_x000a_"/>
    <w:docVar w:name="ne_docsoft" w:val="MSWord"/>
    <w:docVar w:name="ne_docversion" w:val="NoteExpress 2.0"/>
    <w:docVar w:name="ne_stylename" w:val="Numbered(multilingual)"/>
  </w:docVars>
  <w:rsids>
    <w:rsidRoot w:val="008E62B9"/>
    <w:rsid w:val="00000526"/>
    <w:rsid w:val="00061C9C"/>
    <w:rsid w:val="0007610A"/>
    <w:rsid w:val="000A2074"/>
    <w:rsid w:val="000B1C72"/>
    <w:rsid w:val="000D0C22"/>
    <w:rsid w:val="000E5B51"/>
    <w:rsid w:val="000E635B"/>
    <w:rsid w:val="001127F4"/>
    <w:rsid w:val="001801BD"/>
    <w:rsid w:val="00185DF6"/>
    <w:rsid w:val="001E58D4"/>
    <w:rsid w:val="001F1CD8"/>
    <w:rsid w:val="00204891"/>
    <w:rsid w:val="0023093C"/>
    <w:rsid w:val="002334AC"/>
    <w:rsid w:val="002347FA"/>
    <w:rsid w:val="00236B7F"/>
    <w:rsid w:val="0025179C"/>
    <w:rsid w:val="0025276B"/>
    <w:rsid w:val="00264398"/>
    <w:rsid w:val="0027485E"/>
    <w:rsid w:val="002A6729"/>
    <w:rsid w:val="002A7108"/>
    <w:rsid w:val="002D1395"/>
    <w:rsid w:val="002D7CF3"/>
    <w:rsid w:val="002E71C0"/>
    <w:rsid w:val="00305F25"/>
    <w:rsid w:val="00310A5B"/>
    <w:rsid w:val="00323220"/>
    <w:rsid w:val="00327B2B"/>
    <w:rsid w:val="00334A13"/>
    <w:rsid w:val="00341AB1"/>
    <w:rsid w:val="003506DC"/>
    <w:rsid w:val="0036694F"/>
    <w:rsid w:val="00385762"/>
    <w:rsid w:val="004024F8"/>
    <w:rsid w:val="00415F6E"/>
    <w:rsid w:val="004256FA"/>
    <w:rsid w:val="00444389"/>
    <w:rsid w:val="00475C22"/>
    <w:rsid w:val="00484033"/>
    <w:rsid w:val="004B05D3"/>
    <w:rsid w:val="004B2DDF"/>
    <w:rsid w:val="004D56B3"/>
    <w:rsid w:val="004D796B"/>
    <w:rsid w:val="004E279F"/>
    <w:rsid w:val="004F6CFA"/>
    <w:rsid w:val="004F6E23"/>
    <w:rsid w:val="005023E4"/>
    <w:rsid w:val="005110EC"/>
    <w:rsid w:val="0052323C"/>
    <w:rsid w:val="00525BED"/>
    <w:rsid w:val="00531BB9"/>
    <w:rsid w:val="00531EFF"/>
    <w:rsid w:val="00540979"/>
    <w:rsid w:val="00541AD0"/>
    <w:rsid w:val="005672E2"/>
    <w:rsid w:val="005A5F85"/>
    <w:rsid w:val="005B1DCB"/>
    <w:rsid w:val="005B63DD"/>
    <w:rsid w:val="005C1976"/>
    <w:rsid w:val="005D2591"/>
    <w:rsid w:val="005F1D0E"/>
    <w:rsid w:val="00600465"/>
    <w:rsid w:val="00655257"/>
    <w:rsid w:val="00671001"/>
    <w:rsid w:val="006720BC"/>
    <w:rsid w:val="0067526C"/>
    <w:rsid w:val="0069194A"/>
    <w:rsid w:val="00696EB9"/>
    <w:rsid w:val="006A23F9"/>
    <w:rsid w:val="006E432A"/>
    <w:rsid w:val="006F705F"/>
    <w:rsid w:val="00702384"/>
    <w:rsid w:val="007059C0"/>
    <w:rsid w:val="00715CBA"/>
    <w:rsid w:val="00722484"/>
    <w:rsid w:val="00753460"/>
    <w:rsid w:val="00771289"/>
    <w:rsid w:val="0077147D"/>
    <w:rsid w:val="007A060A"/>
    <w:rsid w:val="007B0C4F"/>
    <w:rsid w:val="007C3D69"/>
    <w:rsid w:val="007D4FD0"/>
    <w:rsid w:val="007D78C0"/>
    <w:rsid w:val="007E3BE5"/>
    <w:rsid w:val="00812770"/>
    <w:rsid w:val="00816EE3"/>
    <w:rsid w:val="00822A26"/>
    <w:rsid w:val="00830E1F"/>
    <w:rsid w:val="00833017"/>
    <w:rsid w:val="00835C54"/>
    <w:rsid w:val="0086647F"/>
    <w:rsid w:val="0089478A"/>
    <w:rsid w:val="00895907"/>
    <w:rsid w:val="008A07A5"/>
    <w:rsid w:val="008A13D5"/>
    <w:rsid w:val="008D0C4E"/>
    <w:rsid w:val="008D6365"/>
    <w:rsid w:val="008E1AFF"/>
    <w:rsid w:val="008E62B9"/>
    <w:rsid w:val="008F5FAF"/>
    <w:rsid w:val="00904B87"/>
    <w:rsid w:val="009323CD"/>
    <w:rsid w:val="00954757"/>
    <w:rsid w:val="00982EF0"/>
    <w:rsid w:val="009910CC"/>
    <w:rsid w:val="009C037B"/>
    <w:rsid w:val="009D62D1"/>
    <w:rsid w:val="009E3DB9"/>
    <w:rsid w:val="00A15464"/>
    <w:rsid w:val="00A1716F"/>
    <w:rsid w:val="00A2358E"/>
    <w:rsid w:val="00A44BCA"/>
    <w:rsid w:val="00A52D2E"/>
    <w:rsid w:val="00A547BB"/>
    <w:rsid w:val="00A66270"/>
    <w:rsid w:val="00A70693"/>
    <w:rsid w:val="00AB0CC2"/>
    <w:rsid w:val="00AE787E"/>
    <w:rsid w:val="00AF5427"/>
    <w:rsid w:val="00B12A10"/>
    <w:rsid w:val="00B23ACB"/>
    <w:rsid w:val="00B4700F"/>
    <w:rsid w:val="00B577B6"/>
    <w:rsid w:val="00B8096B"/>
    <w:rsid w:val="00B80C21"/>
    <w:rsid w:val="00B8101B"/>
    <w:rsid w:val="00BA76F4"/>
    <w:rsid w:val="00BC7BC8"/>
    <w:rsid w:val="00C02F0F"/>
    <w:rsid w:val="00C04BD4"/>
    <w:rsid w:val="00C1381D"/>
    <w:rsid w:val="00C25913"/>
    <w:rsid w:val="00C4013D"/>
    <w:rsid w:val="00CA080F"/>
    <w:rsid w:val="00CA3454"/>
    <w:rsid w:val="00CA42F5"/>
    <w:rsid w:val="00CB6BB7"/>
    <w:rsid w:val="00CF2E39"/>
    <w:rsid w:val="00D07957"/>
    <w:rsid w:val="00D128AC"/>
    <w:rsid w:val="00D25522"/>
    <w:rsid w:val="00D53898"/>
    <w:rsid w:val="00D55895"/>
    <w:rsid w:val="00D63740"/>
    <w:rsid w:val="00D75891"/>
    <w:rsid w:val="00D94AE1"/>
    <w:rsid w:val="00DB0CC0"/>
    <w:rsid w:val="00DC1BC3"/>
    <w:rsid w:val="00DE3C2C"/>
    <w:rsid w:val="00DF62D3"/>
    <w:rsid w:val="00DF6F26"/>
    <w:rsid w:val="00E00C8B"/>
    <w:rsid w:val="00E11BF9"/>
    <w:rsid w:val="00E24F94"/>
    <w:rsid w:val="00E27971"/>
    <w:rsid w:val="00E65E3D"/>
    <w:rsid w:val="00E75733"/>
    <w:rsid w:val="00EA43C8"/>
    <w:rsid w:val="00EC0E4D"/>
    <w:rsid w:val="00EC3467"/>
    <w:rsid w:val="00ED1394"/>
    <w:rsid w:val="00EF35D1"/>
    <w:rsid w:val="00F03724"/>
    <w:rsid w:val="00F05BBA"/>
    <w:rsid w:val="00F06DF4"/>
    <w:rsid w:val="00F25F0F"/>
    <w:rsid w:val="00F34FC7"/>
    <w:rsid w:val="00F77E1D"/>
    <w:rsid w:val="00F824C8"/>
    <w:rsid w:val="00F83BBD"/>
    <w:rsid w:val="00F91C9F"/>
    <w:rsid w:val="00FD37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782B78"/>
  <w15:chartTrackingRefBased/>
  <w15:docId w15:val="{EFE6D828-DFF0-45A4-AB63-5199545DC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F05BBA"/>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F05BBA"/>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F05BBA"/>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171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sid w:val="00F05BBA"/>
    <w:rPr>
      <w:b/>
      <w:bCs/>
      <w:kern w:val="44"/>
      <w:sz w:val="44"/>
      <w:szCs w:val="44"/>
    </w:rPr>
  </w:style>
  <w:style w:type="paragraph" w:styleId="TOC">
    <w:name w:val="TOC Heading"/>
    <w:basedOn w:val="1"/>
    <w:next w:val="a"/>
    <w:uiPriority w:val="39"/>
    <w:unhideWhenUsed/>
    <w:qFormat/>
    <w:rsid w:val="00F05BBA"/>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20">
    <w:name w:val="标题 2 字符"/>
    <w:basedOn w:val="a0"/>
    <w:link w:val="2"/>
    <w:uiPriority w:val="9"/>
    <w:rsid w:val="00F05BBA"/>
    <w:rPr>
      <w:rFonts w:asciiTheme="majorHAnsi" w:eastAsiaTheme="majorEastAsia" w:hAnsiTheme="majorHAnsi" w:cstheme="majorBidi"/>
      <w:b/>
      <w:bCs/>
      <w:sz w:val="32"/>
      <w:szCs w:val="32"/>
    </w:rPr>
  </w:style>
  <w:style w:type="character" w:customStyle="1" w:styleId="30">
    <w:name w:val="标题 3 字符"/>
    <w:basedOn w:val="a0"/>
    <w:link w:val="3"/>
    <w:uiPriority w:val="9"/>
    <w:rsid w:val="00F05BBA"/>
    <w:rPr>
      <w:b/>
      <w:bCs/>
      <w:sz w:val="32"/>
      <w:szCs w:val="32"/>
    </w:rPr>
  </w:style>
  <w:style w:type="paragraph" w:styleId="TOC1">
    <w:name w:val="toc 1"/>
    <w:basedOn w:val="a"/>
    <w:next w:val="a"/>
    <w:autoRedefine/>
    <w:uiPriority w:val="39"/>
    <w:unhideWhenUsed/>
    <w:rsid w:val="002A6729"/>
  </w:style>
  <w:style w:type="paragraph" w:styleId="TOC2">
    <w:name w:val="toc 2"/>
    <w:basedOn w:val="a"/>
    <w:next w:val="a"/>
    <w:autoRedefine/>
    <w:uiPriority w:val="39"/>
    <w:unhideWhenUsed/>
    <w:rsid w:val="002A6729"/>
    <w:pPr>
      <w:ind w:leftChars="200" w:left="420"/>
    </w:pPr>
  </w:style>
  <w:style w:type="character" w:styleId="a4">
    <w:name w:val="Hyperlink"/>
    <w:basedOn w:val="a0"/>
    <w:uiPriority w:val="99"/>
    <w:unhideWhenUsed/>
    <w:rsid w:val="002A6729"/>
    <w:rPr>
      <w:color w:val="0563C1" w:themeColor="hyperlink"/>
      <w:u w:val="single"/>
    </w:rPr>
  </w:style>
  <w:style w:type="paragraph" w:styleId="a5">
    <w:name w:val="header"/>
    <w:basedOn w:val="a"/>
    <w:link w:val="a6"/>
    <w:uiPriority w:val="99"/>
    <w:unhideWhenUsed/>
    <w:rsid w:val="00475C22"/>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475C22"/>
    <w:rPr>
      <w:sz w:val="18"/>
      <w:szCs w:val="18"/>
    </w:rPr>
  </w:style>
  <w:style w:type="paragraph" w:styleId="a7">
    <w:name w:val="footer"/>
    <w:basedOn w:val="a"/>
    <w:link w:val="a8"/>
    <w:uiPriority w:val="99"/>
    <w:unhideWhenUsed/>
    <w:rsid w:val="00475C22"/>
    <w:pPr>
      <w:tabs>
        <w:tab w:val="center" w:pos="4153"/>
        <w:tab w:val="right" w:pos="8306"/>
      </w:tabs>
      <w:snapToGrid w:val="0"/>
      <w:jc w:val="left"/>
    </w:pPr>
    <w:rPr>
      <w:sz w:val="18"/>
      <w:szCs w:val="18"/>
    </w:rPr>
  </w:style>
  <w:style w:type="character" w:customStyle="1" w:styleId="a8">
    <w:name w:val="页脚 字符"/>
    <w:basedOn w:val="a0"/>
    <w:link w:val="a7"/>
    <w:uiPriority w:val="99"/>
    <w:rsid w:val="00475C22"/>
    <w:rPr>
      <w:sz w:val="18"/>
      <w:szCs w:val="18"/>
    </w:rPr>
  </w:style>
  <w:style w:type="paragraph" w:styleId="TOC3">
    <w:name w:val="toc 3"/>
    <w:basedOn w:val="a"/>
    <w:next w:val="a"/>
    <w:autoRedefine/>
    <w:uiPriority w:val="39"/>
    <w:unhideWhenUsed/>
    <w:rsid w:val="00822A26"/>
    <w:pPr>
      <w:widowControl/>
      <w:spacing w:after="100" w:line="259" w:lineRule="auto"/>
      <w:ind w:left="440"/>
      <w:jc w:val="left"/>
    </w:pPr>
    <w:rPr>
      <w:rFonts w:cs="Times New Roman"/>
      <w:kern w:val="0"/>
      <w:sz w:val="22"/>
    </w:rPr>
  </w:style>
  <w:style w:type="character" w:styleId="a9">
    <w:name w:val="Unresolved Mention"/>
    <w:basedOn w:val="a0"/>
    <w:uiPriority w:val="99"/>
    <w:semiHidden/>
    <w:unhideWhenUsed/>
    <w:rsid w:val="00000526"/>
    <w:rPr>
      <w:color w:val="605E5C"/>
      <w:shd w:val="clear" w:color="auto" w:fill="E1DFDD"/>
    </w:rPr>
  </w:style>
  <w:style w:type="paragraph" w:styleId="aa">
    <w:name w:val="Balloon Text"/>
    <w:basedOn w:val="a"/>
    <w:link w:val="ab"/>
    <w:uiPriority w:val="99"/>
    <w:semiHidden/>
    <w:unhideWhenUsed/>
    <w:rsid w:val="00444389"/>
    <w:rPr>
      <w:sz w:val="18"/>
      <w:szCs w:val="18"/>
    </w:rPr>
  </w:style>
  <w:style w:type="character" w:customStyle="1" w:styleId="ab">
    <w:name w:val="批注框文本 字符"/>
    <w:basedOn w:val="a0"/>
    <w:link w:val="aa"/>
    <w:uiPriority w:val="99"/>
    <w:semiHidden/>
    <w:rsid w:val="0044438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diagramQuickStyle" Target="diagrams/quickStyle1.xml"/><Relationship Id="rId18" Type="http://schemas.openxmlformats.org/officeDocument/2006/relationships/diagramLayout" Target="diagrams/layout2.xml"/><Relationship Id="rId26" Type="http://schemas.openxmlformats.org/officeDocument/2006/relationships/theme" Target="theme/theme1.xml"/><Relationship Id="rId3" Type="http://schemas.openxmlformats.org/officeDocument/2006/relationships/settings" Target="settings.xml"/><Relationship Id="rId21" Type="http://schemas.microsoft.com/office/2007/relationships/diagramDrawing" Target="diagrams/drawing2.xml"/><Relationship Id="rId7" Type="http://schemas.openxmlformats.org/officeDocument/2006/relationships/image" Target="media/image1.png"/><Relationship Id="rId12" Type="http://schemas.openxmlformats.org/officeDocument/2006/relationships/diagramLayout" Target="diagrams/layout1.xml"/><Relationship Id="rId17" Type="http://schemas.openxmlformats.org/officeDocument/2006/relationships/diagramData" Target="diagrams/data2.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hart" Target="charts/chart4.xml"/><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Data" Target="diagrams/data1.xml"/><Relationship Id="rId24" Type="http://schemas.openxmlformats.org/officeDocument/2006/relationships/chart" Target="charts/chart7.xml"/><Relationship Id="rId5"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chart" Target="charts/chart6.xml"/><Relationship Id="rId10" Type="http://schemas.openxmlformats.org/officeDocument/2006/relationships/chart" Target="charts/chart3.xml"/><Relationship Id="rId19" Type="http://schemas.openxmlformats.org/officeDocument/2006/relationships/diagramQuickStyle" Target="diagrams/quickStyle2.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diagramColors" Target="diagrams/colors1.xml"/><Relationship Id="rId22"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enovo\Desktop\&#33521;&#22269;&#23398;&#20064;\&#25140;&#22982;&#21202;\daimler%20fi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lenovo\Desktop\&#33521;&#22269;&#23398;&#20064;\&#25140;&#22982;&#21202;\daimler%20fig.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C:\Users\lenovo\Desktop\&#33521;&#22269;&#23398;&#20064;\&#25140;&#22982;&#21202;\daimler%20fig.xlsx"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1.bin"/></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lenovo\Desktop\&#33521;&#22269;&#23398;&#20064;\&#25140;&#22982;&#21202;\daimler%20fig.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zh-CN"/>
        </a:p>
      </c:txPr>
    </c:title>
    <c:autoTitleDeleted val="0"/>
    <c:plotArea>
      <c:layout/>
      <c:pieChart>
        <c:varyColors val="1"/>
        <c:ser>
          <c:idx val="0"/>
          <c:order val="0"/>
          <c:tx>
            <c:strRef>
              <c:f>Sheet1!$H$1</c:f>
              <c:strCache>
                <c:ptCount val="1"/>
                <c:pt idx="0">
                  <c:v>Revenue(billion euros)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3A4-4064-B81B-4576D620C6A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3A4-4064-B81B-4576D620C6A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3A4-4064-B81B-4576D620C6A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3A4-4064-B81B-4576D620C6A1}"/>
              </c:ext>
            </c:extLst>
          </c:dPt>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zh-CN"/>
              </a:p>
            </c:txP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Sheet1!$G$2:$G$5</c:f>
              <c:strCache>
                <c:ptCount val="4"/>
                <c:pt idx="0">
                  <c:v>Europe</c:v>
                </c:pt>
                <c:pt idx="1">
                  <c:v>NAFTA</c:v>
                </c:pt>
                <c:pt idx="2">
                  <c:v>Asia</c:v>
                </c:pt>
                <c:pt idx="3">
                  <c:v>Other markets</c:v>
                </c:pt>
              </c:strCache>
            </c:strRef>
          </c:cat>
          <c:val>
            <c:numRef>
              <c:f>Sheet1!$H$2:$H$5</c:f>
              <c:numCache>
                <c:formatCode>General</c:formatCode>
                <c:ptCount val="4"/>
                <c:pt idx="0">
                  <c:v>69.5</c:v>
                </c:pt>
                <c:pt idx="1">
                  <c:v>52.2</c:v>
                </c:pt>
                <c:pt idx="2">
                  <c:v>40.700000000000003</c:v>
                </c:pt>
                <c:pt idx="3">
                  <c:v>10.4</c:v>
                </c:pt>
              </c:numCache>
            </c:numRef>
          </c:val>
          <c:extLst>
            <c:ext xmlns:c16="http://schemas.microsoft.com/office/drawing/2014/chart" uri="{C3380CC4-5D6E-409C-BE32-E72D297353CC}">
              <c16:uniqueId val="{00000008-D3A4-4064-B81B-4576D620C6A1}"/>
            </c:ext>
          </c:extLst>
        </c:ser>
        <c:ser>
          <c:idx val="1"/>
          <c:order val="1"/>
          <c:tx>
            <c:strRef>
              <c:f>Sheet1!$I$1</c:f>
              <c:strCache>
                <c:ptCount val="1"/>
                <c:pt idx="0">
                  <c:v>propotion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A-D3A4-4064-B81B-4576D620C6A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C-D3A4-4064-B81B-4576D620C6A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E-D3A4-4064-B81B-4576D620C6A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0-D3A4-4064-B81B-4576D620C6A1}"/>
              </c:ext>
            </c:extLst>
          </c:dPt>
          <c:cat>
            <c:strRef>
              <c:f>Sheet1!$G$2:$G$5</c:f>
              <c:strCache>
                <c:ptCount val="4"/>
                <c:pt idx="0">
                  <c:v>Europe</c:v>
                </c:pt>
                <c:pt idx="1">
                  <c:v>NAFTA</c:v>
                </c:pt>
                <c:pt idx="2">
                  <c:v>Asia</c:v>
                </c:pt>
                <c:pt idx="3">
                  <c:v>Other markets</c:v>
                </c:pt>
              </c:strCache>
            </c:strRef>
          </c:cat>
          <c:val>
            <c:numRef>
              <c:f>Sheet1!$I$2:$I$5</c:f>
              <c:numCache>
                <c:formatCode>0.0%</c:formatCode>
                <c:ptCount val="4"/>
                <c:pt idx="0">
                  <c:v>0.40219907407407407</c:v>
                </c:pt>
                <c:pt idx="1">
                  <c:v>0.30208333333333331</c:v>
                </c:pt>
                <c:pt idx="2">
                  <c:v>0.23553240740740741</c:v>
                </c:pt>
                <c:pt idx="3">
                  <c:v>6.0185185185185182E-2</c:v>
                </c:pt>
              </c:numCache>
            </c:numRef>
          </c:val>
          <c:extLst>
            <c:ext xmlns:c16="http://schemas.microsoft.com/office/drawing/2014/chart" uri="{C3380CC4-5D6E-409C-BE32-E72D297353CC}">
              <c16:uniqueId val="{00000011-D3A4-4064-B81B-4576D620C6A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Arial" panose="020B0604020202020204" pitchFamily="34" charset="0"/>
          <a:cs typeface="Arial" panose="020B0604020202020204" pitchFamily="34" charset="0"/>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en-US"/>
              <a:t>Revenue ( billion euros )</a:t>
            </a:r>
          </a:p>
        </c:rich>
      </c:tx>
      <c:overlay val="0"/>
      <c:spPr>
        <a:noFill/>
        <a:ln>
          <a:noFill/>
        </a:ln>
        <a:effectLst/>
      </c:spPr>
    </c:title>
    <c:autoTitleDeleted val="0"/>
    <c:plotArea>
      <c:layout/>
      <c:pieChart>
        <c:varyColors val="1"/>
        <c:ser>
          <c:idx val="0"/>
          <c:order val="0"/>
          <c:tx>
            <c:strRef>
              <c:f>Sheet1!$B$1</c:f>
              <c:strCache>
                <c:ptCount val="1"/>
                <c:pt idx="0">
                  <c:v>revenue(billion euros)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7F8-448E-994D-D0C47358FC5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7F8-448E-994D-D0C47358FC5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7F8-448E-994D-D0C47358FC5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7F8-448E-994D-D0C47358FC5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7F8-448E-994D-D0C47358FC5B}"/>
              </c:ext>
            </c:extLst>
          </c:dPt>
          <c:dLbls>
            <c:spPr>
              <a:noFill/>
              <a:ln>
                <a:noFill/>
              </a:ln>
              <a:effectLst/>
            </c:spPr>
            <c:txPr>
              <a:bodyPr rot="0" vert="horz"/>
              <a:lstStyle/>
              <a:p>
                <a:pPr>
                  <a:defRPr/>
                </a:pPr>
                <a:endParaRPr lang="zh-CN"/>
              </a:p>
            </c:txPr>
            <c:showLegendKey val="0"/>
            <c:showVal val="1"/>
            <c:showCatName val="0"/>
            <c:showSerName val="0"/>
            <c:showPercent val="1"/>
            <c:showBubbleSize val="0"/>
            <c:showLeaderLines val="0"/>
            <c:extLst>
              <c:ext xmlns:c15="http://schemas.microsoft.com/office/drawing/2012/chart" uri="{CE6537A1-D6FC-4f65-9D91-7224C49458BB}"/>
            </c:extLst>
          </c:dLbls>
          <c:cat>
            <c:strRef>
              <c:f>Sheet1!$A$2:$A$6</c:f>
              <c:strCache>
                <c:ptCount val="5"/>
                <c:pt idx="0">
                  <c:v>MERCEDES BENZ CARS</c:v>
                </c:pt>
                <c:pt idx="1">
                  <c:v>DAIMLER TRUCKS</c:v>
                </c:pt>
                <c:pt idx="2">
                  <c:v>DAIMLER BUSES</c:v>
                </c:pt>
                <c:pt idx="3">
                  <c:v>DAIMLER MOBILITY</c:v>
                </c:pt>
                <c:pt idx="4">
                  <c:v>Mercedes Benz Vans</c:v>
                </c:pt>
              </c:strCache>
            </c:strRef>
          </c:cat>
          <c:val>
            <c:numRef>
              <c:f>Sheet1!$B$2:$B$6</c:f>
              <c:numCache>
                <c:formatCode>General</c:formatCode>
                <c:ptCount val="5"/>
                <c:pt idx="0">
                  <c:v>93.9</c:v>
                </c:pt>
                <c:pt idx="1">
                  <c:v>40.200000000000003</c:v>
                </c:pt>
                <c:pt idx="2">
                  <c:v>4.7</c:v>
                </c:pt>
                <c:pt idx="3">
                  <c:v>26.3</c:v>
                </c:pt>
                <c:pt idx="4">
                  <c:v>14.8</c:v>
                </c:pt>
              </c:numCache>
            </c:numRef>
          </c:val>
          <c:extLst>
            <c:ext xmlns:c16="http://schemas.microsoft.com/office/drawing/2014/chart" uri="{C3380CC4-5D6E-409C-BE32-E72D297353CC}">
              <c16:uniqueId val="{0000000A-47F8-448E-994D-D0C47358FC5B}"/>
            </c:ext>
          </c:extLst>
        </c:ser>
        <c:ser>
          <c:idx val="1"/>
          <c:order val="1"/>
          <c:tx>
            <c:strRef>
              <c:f>Sheet1!$C$1</c:f>
              <c:strCache>
                <c:ptCount val="1"/>
                <c:pt idx="0">
                  <c:v>propotion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C-47F8-448E-994D-D0C47358FC5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E-47F8-448E-994D-D0C47358FC5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0-47F8-448E-994D-D0C47358FC5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2-47F8-448E-994D-D0C47358FC5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4-47F8-448E-994D-D0C47358FC5B}"/>
              </c:ext>
            </c:extLst>
          </c:dPt>
          <c:cat>
            <c:strRef>
              <c:f>Sheet1!$A$2:$A$6</c:f>
              <c:strCache>
                <c:ptCount val="5"/>
                <c:pt idx="0">
                  <c:v>MERCEDES BENZ CARS</c:v>
                </c:pt>
                <c:pt idx="1">
                  <c:v>DAIMLER TRUCKS</c:v>
                </c:pt>
                <c:pt idx="2">
                  <c:v>DAIMLER BUSES</c:v>
                </c:pt>
                <c:pt idx="3">
                  <c:v>DAIMLER MOBILITY</c:v>
                </c:pt>
                <c:pt idx="4">
                  <c:v>Mercedes Benz Vans</c:v>
                </c:pt>
              </c:strCache>
            </c:strRef>
          </c:cat>
          <c:val>
            <c:numRef>
              <c:f>Sheet1!$C$2:$C$6</c:f>
              <c:numCache>
                <c:formatCode>0.0%</c:formatCode>
                <c:ptCount val="5"/>
                <c:pt idx="0">
                  <c:v>0.52195664257921059</c:v>
                </c:pt>
                <c:pt idx="1">
                  <c:v>0.2234574763757643</c:v>
                </c:pt>
                <c:pt idx="2">
                  <c:v>2.6125625347415228E-2</c:v>
                </c:pt>
                <c:pt idx="3">
                  <c:v>0.14619232907170648</c:v>
                </c:pt>
                <c:pt idx="4">
                  <c:v>8.2267926625903265E-2</c:v>
                </c:pt>
              </c:numCache>
            </c:numRef>
          </c:val>
          <c:extLst>
            <c:ext xmlns:c16="http://schemas.microsoft.com/office/drawing/2014/chart" uri="{C3380CC4-5D6E-409C-BE32-E72D297353CC}">
              <c16:uniqueId val="{00000015-47F8-448E-994D-D0C47358FC5B}"/>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vert="horz"/>
        <a:lstStyle/>
        <a:p>
          <a:pPr>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Arial" panose="020B0604020202020204" pitchFamily="34" charset="0"/>
          <a:cs typeface="Arial" panose="020B0604020202020204" pitchFamily="34" charset="0"/>
        </a:defRPr>
      </a:pPr>
      <a:endParaRPr lang="zh-CN"/>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EBIT of Segment (million</a:t>
            </a:r>
            <a:r>
              <a:rPr lang="en-US" altLang="zh-CN" baseline="0"/>
              <a:t> euros)</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Sheet1!$N$1</c:f>
              <c:strCache>
                <c:ptCount val="1"/>
                <c:pt idx="0">
                  <c:v>2018</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Sheet1!$M$2:$M$7</c:f>
              <c:strCache>
                <c:ptCount val="6"/>
                <c:pt idx="0">
                  <c:v>MERCEDES BENZ CARS</c:v>
                </c:pt>
                <c:pt idx="1">
                  <c:v>DAIMLER TRUCKS</c:v>
                </c:pt>
                <c:pt idx="2">
                  <c:v>DAIMLER BUSES</c:v>
                </c:pt>
                <c:pt idx="3">
                  <c:v>DAIMLER MOBILITY</c:v>
                </c:pt>
                <c:pt idx="4">
                  <c:v>Mercedes Benz Vans</c:v>
                </c:pt>
                <c:pt idx="5">
                  <c:v>Reconciliation</c:v>
                </c:pt>
              </c:strCache>
            </c:strRef>
          </c:cat>
          <c:val>
            <c:numRef>
              <c:f>Sheet1!$N$2:$N$7</c:f>
              <c:numCache>
                <c:formatCode>General</c:formatCode>
                <c:ptCount val="6"/>
                <c:pt idx="0">
                  <c:v>7216</c:v>
                </c:pt>
                <c:pt idx="1">
                  <c:v>2753</c:v>
                </c:pt>
                <c:pt idx="2">
                  <c:v>265</c:v>
                </c:pt>
                <c:pt idx="3">
                  <c:v>1384</c:v>
                </c:pt>
                <c:pt idx="4">
                  <c:v>312</c:v>
                </c:pt>
                <c:pt idx="5">
                  <c:v>-798</c:v>
                </c:pt>
              </c:numCache>
            </c:numRef>
          </c:val>
          <c:extLst>
            <c:ext xmlns:c16="http://schemas.microsoft.com/office/drawing/2014/chart" uri="{C3380CC4-5D6E-409C-BE32-E72D297353CC}">
              <c16:uniqueId val="{00000000-8A8C-4E0C-B011-15998D586CC4}"/>
            </c:ext>
          </c:extLst>
        </c:ser>
        <c:ser>
          <c:idx val="1"/>
          <c:order val="1"/>
          <c:tx>
            <c:strRef>
              <c:f>Sheet1!$O$1</c:f>
              <c:strCache>
                <c:ptCount val="1"/>
                <c:pt idx="0">
                  <c:v>2019</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Sheet1!$M$2:$M$7</c:f>
              <c:strCache>
                <c:ptCount val="6"/>
                <c:pt idx="0">
                  <c:v>MERCEDES BENZ CARS</c:v>
                </c:pt>
                <c:pt idx="1">
                  <c:v>DAIMLER TRUCKS</c:v>
                </c:pt>
                <c:pt idx="2">
                  <c:v>DAIMLER BUSES</c:v>
                </c:pt>
                <c:pt idx="3">
                  <c:v>DAIMLER MOBILITY</c:v>
                </c:pt>
                <c:pt idx="4">
                  <c:v>Mercedes Benz Vans</c:v>
                </c:pt>
                <c:pt idx="5">
                  <c:v>Reconciliation</c:v>
                </c:pt>
              </c:strCache>
            </c:strRef>
          </c:cat>
          <c:val>
            <c:numRef>
              <c:f>Sheet1!$O$2:$O$7</c:f>
              <c:numCache>
                <c:formatCode>General</c:formatCode>
                <c:ptCount val="6"/>
                <c:pt idx="0" formatCode="#,##0">
                  <c:v>3359</c:v>
                </c:pt>
                <c:pt idx="1">
                  <c:v>2463</c:v>
                </c:pt>
                <c:pt idx="2" formatCode="#,##0">
                  <c:v>283</c:v>
                </c:pt>
                <c:pt idx="3">
                  <c:v>2140</c:v>
                </c:pt>
                <c:pt idx="4">
                  <c:v>-3085</c:v>
                </c:pt>
                <c:pt idx="5">
                  <c:v>-831</c:v>
                </c:pt>
              </c:numCache>
            </c:numRef>
          </c:val>
          <c:extLst>
            <c:ext xmlns:c16="http://schemas.microsoft.com/office/drawing/2014/chart" uri="{C3380CC4-5D6E-409C-BE32-E72D297353CC}">
              <c16:uniqueId val="{00000001-8A8C-4E0C-B011-15998D586CC4}"/>
            </c:ext>
          </c:extLst>
        </c:ser>
        <c:dLbls>
          <c:showLegendKey val="0"/>
          <c:showVal val="0"/>
          <c:showCatName val="0"/>
          <c:showSerName val="0"/>
          <c:showPercent val="0"/>
          <c:showBubbleSize val="0"/>
        </c:dLbls>
        <c:gapWidth val="219"/>
        <c:overlap val="-27"/>
        <c:axId val="745325720"/>
        <c:axId val="745326048"/>
      </c:barChart>
      <c:catAx>
        <c:axId val="745325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745326048"/>
        <c:crosses val="autoZero"/>
        <c:auto val="1"/>
        <c:lblAlgn val="ctr"/>
        <c:lblOffset val="100"/>
        <c:noMultiLvlLbl val="0"/>
      </c:catAx>
      <c:valAx>
        <c:axId val="745326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745325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cap="none" spc="20" baseline="0">
                <a:solidFill>
                  <a:schemeClr val="tx1">
                    <a:lumMod val="50000"/>
                    <a:lumOff val="50000"/>
                  </a:schemeClr>
                </a:solidFill>
                <a:latin typeface="+mn-lt"/>
                <a:ea typeface="+mn-ea"/>
                <a:cs typeface="+mn-cs"/>
              </a:defRPr>
            </a:pPr>
            <a:r>
              <a:rPr lang="en-US" sz="1200"/>
              <a:t>Global sales of new energy vehicles(thousands)</a:t>
            </a:r>
            <a:endParaRPr lang="zh-CN" sz="1200"/>
          </a:p>
        </c:rich>
      </c:tx>
      <c:overlay val="0"/>
      <c:spPr>
        <a:noFill/>
        <a:ln>
          <a:noFill/>
        </a:ln>
        <a:effectLst/>
      </c:spPr>
      <c:txPr>
        <a:bodyPr rot="0" spcFirstLastPara="1" vertOverflow="ellipsis" vert="horz" wrap="square" anchor="ctr" anchorCtr="1"/>
        <a:lstStyle/>
        <a:p>
          <a:pPr>
            <a:defRPr sz="1200" b="0" i="0" u="none" strike="noStrike" kern="1200" cap="none" spc="20" baseline="0">
              <a:solidFill>
                <a:schemeClr val="tx1">
                  <a:lumMod val="50000"/>
                  <a:lumOff val="50000"/>
                </a:schemeClr>
              </a:solidFill>
              <a:latin typeface="+mn-lt"/>
              <a:ea typeface="+mn-ea"/>
              <a:cs typeface="+mn-cs"/>
            </a:defRPr>
          </a:pPr>
          <a:endParaRPr lang="zh-CN"/>
        </a:p>
      </c:txPr>
    </c:title>
    <c:autoTitleDeleted val="0"/>
    <c:plotArea>
      <c:layout/>
      <c:barChart>
        <c:barDir val="col"/>
        <c:grouping val="clustered"/>
        <c:varyColors val="0"/>
        <c:ser>
          <c:idx val="0"/>
          <c:order val="0"/>
          <c:tx>
            <c:strRef>
              <c:f>新能源汽车行业分析!$B$1</c:f>
              <c:strCache>
                <c:ptCount val="1"/>
                <c:pt idx="0">
                  <c:v>Global sales of new energy vehicles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numRef>
              <c:f>新能源汽车行业分析!$A$2:$A$6</c:f>
              <c:numCache>
                <c:formatCode>General</c:formatCode>
                <c:ptCount val="5"/>
                <c:pt idx="0">
                  <c:v>2015</c:v>
                </c:pt>
                <c:pt idx="1">
                  <c:v>2016</c:v>
                </c:pt>
                <c:pt idx="2">
                  <c:v>2017</c:v>
                </c:pt>
                <c:pt idx="3">
                  <c:v>2018</c:v>
                </c:pt>
                <c:pt idx="4">
                  <c:v>2019</c:v>
                </c:pt>
              </c:numCache>
            </c:numRef>
          </c:cat>
          <c:val>
            <c:numRef>
              <c:f>新能源汽车行业分析!$B$2:$B$6</c:f>
              <c:numCache>
                <c:formatCode>General</c:formatCode>
                <c:ptCount val="5"/>
                <c:pt idx="0">
                  <c:v>549</c:v>
                </c:pt>
                <c:pt idx="1">
                  <c:v>773.6</c:v>
                </c:pt>
                <c:pt idx="2">
                  <c:v>1223.5999999999999</c:v>
                </c:pt>
                <c:pt idx="3">
                  <c:v>2010</c:v>
                </c:pt>
                <c:pt idx="4">
                  <c:v>2210</c:v>
                </c:pt>
              </c:numCache>
            </c:numRef>
          </c:val>
          <c:extLst>
            <c:ext xmlns:c16="http://schemas.microsoft.com/office/drawing/2014/chart" uri="{C3380CC4-5D6E-409C-BE32-E72D297353CC}">
              <c16:uniqueId val="{00000000-E1D2-41A0-BB8B-129C73F47EFA}"/>
            </c:ext>
          </c:extLst>
        </c:ser>
        <c:dLbls>
          <c:showLegendKey val="0"/>
          <c:showVal val="0"/>
          <c:showCatName val="0"/>
          <c:showSerName val="0"/>
          <c:showPercent val="0"/>
          <c:showBubbleSize val="0"/>
        </c:dLbls>
        <c:gapWidth val="219"/>
        <c:overlap val="-27"/>
        <c:axId val="782829224"/>
        <c:axId val="782829552"/>
      </c:barChart>
      <c:lineChart>
        <c:grouping val="standard"/>
        <c:varyColors val="0"/>
        <c:ser>
          <c:idx val="1"/>
          <c:order val="1"/>
          <c:tx>
            <c:strRef>
              <c:f>新能源汽车行业分析!$C$1</c:f>
              <c:strCache>
                <c:ptCount val="1"/>
                <c:pt idx="0">
                  <c:v>yoy</c:v>
                </c:pt>
              </c:strCache>
            </c:strRef>
          </c:tx>
          <c:spPr>
            <a:ln w="15875" cap="rnd">
              <a:solidFill>
                <a:schemeClr val="accent2"/>
              </a:solidFill>
              <a:round/>
            </a:ln>
            <a:effectLst/>
          </c:spPr>
          <c:marker>
            <c:symbol val="none"/>
          </c:marker>
          <c:cat>
            <c:numRef>
              <c:f>新能源汽车行业分析!$A$2:$A$6</c:f>
              <c:numCache>
                <c:formatCode>General</c:formatCode>
                <c:ptCount val="5"/>
                <c:pt idx="0">
                  <c:v>2015</c:v>
                </c:pt>
                <c:pt idx="1">
                  <c:v>2016</c:v>
                </c:pt>
                <c:pt idx="2">
                  <c:v>2017</c:v>
                </c:pt>
                <c:pt idx="3">
                  <c:v>2018</c:v>
                </c:pt>
                <c:pt idx="4">
                  <c:v>2019</c:v>
                </c:pt>
              </c:numCache>
            </c:numRef>
          </c:cat>
          <c:val>
            <c:numRef>
              <c:f>新能源汽车行业分析!$C$2:$C$6</c:f>
              <c:numCache>
                <c:formatCode>0.0%</c:formatCode>
                <c:ptCount val="5"/>
                <c:pt idx="1">
                  <c:v>0.40910746812386156</c:v>
                </c:pt>
                <c:pt idx="2">
                  <c:v>0.58169596690796266</c:v>
                </c:pt>
                <c:pt idx="3">
                  <c:v>0.64269369074861071</c:v>
                </c:pt>
                <c:pt idx="4">
                  <c:v>9.9502487562189046E-2</c:v>
                </c:pt>
              </c:numCache>
            </c:numRef>
          </c:val>
          <c:smooth val="0"/>
          <c:extLst>
            <c:ext xmlns:c16="http://schemas.microsoft.com/office/drawing/2014/chart" uri="{C3380CC4-5D6E-409C-BE32-E72D297353CC}">
              <c16:uniqueId val="{00000001-E1D2-41A0-BB8B-129C73F47EFA}"/>
            </c:ext>
          </c:extLst>
        </c:ser>
        <c:dLbls>
          <c:showLegendKey val="0"/>
          <c:showVal val="0"/>
          <c:showCatName val="0"/>
          <c:showSerName val="0"/>
          <c:showPercent val="0"/>
          <c:showBubbleSize val="0"/>
        </c:dLbls>
        <c:marker val="1"/>
        <c:smooth val="0"/>
        <c:axId val="320699728"/>
        <c:axId val="320696448"/>
      </c:lineChart>
      <c:catAx>
        <c:axId val="782829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zh-CN"/>
          </a:p>
        </c:txPr>
        <c:crossAx val="782829552"/>
        <c:crosses val="autoZero"/>
        <c:auto val="1"/>
        <c:lblAlgn val="ctr"/>
        <c:lblOffset val="100"/>
        <c:noMultiLvlLbl val="0"/>
      </c:catAx>
      <c:valAx>
        <c:axId val="7828295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zh-CN"/>
          </a:p>
        </c:txPr>
        <c:crossAx val="782829224"/>
        <c:crosses val="autoZero"/>
        <c:crossBetween val="between"/>
      </c:valAx>
      <c:valAx>
        <c:axId val="320696448"/>
        <c:scaling>
          <c:orientation val="minMax"/>
        </c:scaling>
        <c:delete val="0"/>
        <c:axPos val="r"/>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zh-CN"/>
          </a:p>
        </c:txPr>
        <c:crossAx val="320699728"/>
        <c:crosses val="max"/>
        <c:crossBetween val="between"/>
      </c:valAx>
      <c:catAx>
        <c:axId val="320699728"/>
        <c:scaling>
          <c:orientation val="minMax"/>
        </c:scaling>
        <c:delete val="1"/>
        <c:axPos val="b"/>
        <c:numFmt formatCode="General" sourceLinked="1"/>
        <c:majorTickMark val="none"/>
        <c:minorTickMark val="none"/>
        <c:tickLblPos val="nextTo"/>
        <c:crossAx val="32069644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ltLang="zh-CN"/>
              <a:t>Market Share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zh-CN"/>
        </a:p>
      </c:txPr>
    </c:title>
    <c:autoTitleDeleted val="0"/>
    <c:plotArea>
      <c:layout/>
      <c:pieChart>
        <c:varyColors val="1"/>
        <c:ser>
          <c:idx val="0"/>
          <c:order val="0"/>
          <c:tx>
            <c:strRef>
              <c:f>新能源汽车行业分析!$I$1</c:f>
              <c:strCache>
                <c:ptCount val="1"/>
                <c:pt idx="0">
                  <c:v>market share</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5F7E-4B08-BEFC-B7E95F0E028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5F7E-4B08-BEFC-B7E95F0E028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5-5F7E-4B08-BEFC-B7E95F0E028B}"/>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7-5F7E-4B08-BEFC-B7E95F0E028B}"/>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extLst>
              <c:ext xmlns:c16="http://schemas.microsoft.com/office/drawing/2014/chart" uri="{C3380CC4-5D6E-409C-BE32-E72D297353CC}">
                <c16:uniqueId val="{00000009-5F7E-4B08-BEFC-B7E95F0E028B}"/>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extLst>
              <c:ext xmlns:c16="http://schemas.microsoft.com/office/drawing/2014/chart" uri="{C3380CC4-5D6E-409C-BE32-E72D297353CC}">
                <c16:uniqueId val="{0000000B-5F7E-4B08-BEFC-B7E95F0E028B}"/>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c:spPr>
            <c:extLst>
              <c:ext xmlns:c16="http://schemas.microsoft.com/office/drawing/2014/chart" uri="{C3380CC4-5D6E-409C-BE32-E72D297353CC}">
                <c16:uniqueId val="{0000000D-5F7E-4B08-BEFC-B7E95F0E028B}"/>
              </c:ext>
            </c:extLst>
          </c:dPt>
          <c:dPt>
            <c:idx val="7"/>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c:spPr>
            <c:extLst>
              <c:ext xmlns:c16="http://schemas.microsoft.com/office/drawing/2014/chart" uri="{C3380CC4-5D6E-409C-BE32-E72D297353CC}">
                <c16:uniqueId val="{0000000F-5F7E-4B08-BEFC-B7E95F0E028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zh-CN"/>
              </a:p>
            </c:txPr>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新能源汽车行业分析!$H$2:$H$9</c:f>
              <c:strCache>
                <c:ptCount val="8"/>
                <c:pt idx="0">
                  <c:v>Tesla</c:v>
                </c:pt>
                <c:pt idx="1">
                  <c:v>BYD</c:v>
                </c:pt>
                <c:pt idx="2">
                  <c:v>BAIC</c:v>
                </c:pt>
                <c:pt idx="3">
                  <c:v>SAIC</c:v>
                </c:pt>
                <c:pt idx="4">
                  <c:v>BMW</c:v>
                </c:pt>
                <c:pt idx="5">
                  <c:v>VOLKSWAGEN</c:v>
                </c:pt>
                <c:pt idx="6">
                  <c:v>Nissan</c:v>
                </c:pt>
                <c:pt idx="7">
                  <c:v>other</c:v>
                </c:pt>
              </c:strCache>
            </c:strRef>
          </c:cat>
          <c:val>
            <c:numRef>
              <c:f>新能源汽车行业分析!$I$2:$I$9</c:f>
              <c:numCache>
                <c:formatCode>0.00%</c:formatCode>
                <c:ptCount val="8"/>
                <c:pt idx="0">
                  <c:v>0.16600000000000001</c:v>
                </c:pt>
                <c:pt idx="1">
                  <c:v>0.104</c:v>
                </c:pt>
                <c:pt idx="2">
                  <c:v>7.2999999999999995E-2</c:v>
                </c:pt>
                <c:pt idx="3">
                  <c:v>6.2E-2</c:v>
                </c:pt>
                <c:pt idx="4">
                  <c:v>5.8000000000000003E-2</c:v>
                </c:pt>
                <c:pt idx="5">
                  <c:v>3.7999999999999999E-2</c:v>
                </c:pt>
                <c:pt idx="6">
                  <c:v>3.5999999999999997E-2</c:v>
                </c:pt>
                <c:pt idx="7">
                  <c:v>0.46200000000000002</c:v>
                </c:pt>
              </c:numCache>
            </c:numRef>
          </c:val>
          <c:extLst>
            <c:ext xmlns:c16="http://schemas.microsoft.com/office/drawing/2014/chart" uri="{C3380CC4-5D6E-409C-BE32-E72D297353CC}">
              <c16:uniqueId val="{00000010-5F7E-4B08-BEFC-B7E95F0E028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zh-CN"/>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新能源汽车行业分析!$O$1</c:f>
              <c:strCache>
                <c:ptCount val="1"/>
                <c:pt idx="0">
                  <c:v>Proportion of population over 60 years old</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新能源汽车行业分析!$N$2:$N$4</c:f>
              <c:numCache>
                <c:formatCode>General</c:formatCode>
                <c:ptCount val="3"/>
                <c:pt idx="0">
                  <c:v>2015</c:v>
                </c:pt>
                <c:pt idx="1">
                  <c:v>2030</c:v>
                </c:pt>
                <c:pt idx="2">
                  <c:v>2050</c:v>
                </c:pt>
              </c:numCache>
            </c:numRef>
          </c:cat>
          <c:val>
            <c:numRef>
              <c:f>新能源汽车行业分析!$O$2:$O$4</c:f>
              <c:numCache>
                <c:formatCode>0.00%</c:formatCode>
                <c:ptCount val="3"/>
                <c:pt idx="0">
                  <c:v>0.1227</c:v>
                </c:pt>
                <c:pt idx="1">
                  <c:v>0.16439999999999999</c:v>
                </c:pt>
                <c:pt idx="2">
                  <c:v>0.21290000000000001</c:v>
                </c:pt>
              </c:numCache>
            </c:numRef>
          </c:val>
          <c:extLst>
            <c:ext xmlns:c16="http://schemas.microsoft.com/office/drawing/2014/chart" uri="{C3380CC4-5D6E-409C-BE32-E72D297353CC}">
              <c16:uniqueId val="{00000000-DDC5-4B8A-A719-592AF88BB637}"/>
            </c:ext>
          </c:extLst>
        </c:ser>
        <c:dLbls>
          <c:showLegendKey val="0"/>
          <c:showVal val="0"/>
          <c:showCatName val="0"/>
          <c:showSerName val="0"/>
          <c:showPercent val="0"/>
          <c:showBubbleSize val="0"/>
        </c:dLbls>
        <c:gapWidth val="219"/>
        <c:overlap val="-27"/>
        <c:axId val="732526192"/>
        <c:axId val="732526520"/>
      </c:barChart>
      <c:catAx>
        <c:axId val="732526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732526520"/>
        <c:crosses val="autoZero"/>
        <c:auto val="1"/>
        <c:lblAlgn val="ctr"/>
        <c:lblOffset val="100"/>
        <c:noMultiLvlLbl val="0"/>
      </c:catAx>
      <c:valAx>
        <c:axId val="73252652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7325261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Sheet1!$R$32</c:f>
              <c:strCache>
                <c:ptCount val="1"/>
                <c:pt idx="0">
                  <c:v>R&amp;D expenditure(billion euros)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Sheet1!$Q$33:$Q$35</c:f>
              <c:strCache>
                <c:ptCount val="3"/>
                <c:pt idx="0">
                  <c:v>2018</c:v>
                </c:pt>
                <c:pt idx="1">
                  <c:v>2019</c:v>
                </c:pt>
                <c:pt idx="2">
                  <c:v>2020/2021</c:v>
                </c:pt>
              </c:strCache>
            </c:strRef>
          </c:cat>
          <c:val>
            <c:numRef>
              <c:f>Sheet1!$R$33:$R$35</c:f>
              <c:numCache>
                <c:formatCode>General</c:formatCode>
                <c:ptCount val="3"/>
                <c:pt idx="0">
                  <c:v>9.1</c:v>
                </c:pt>
                <c:pt idx="1">
                  <c:v>9.6999999999999993</c:v>
                </c:pt>
                <c:pt idx="2">
                  <c:v>9.4</c:v>
                </c:pt>
              </c:numCache>
            </c:numRef>
          </c:val>
          <c:extLst>
            <c:ext xmlns:c16="http://schemas.microsoft.com/office/drawing/2014/chart" uri="{C3380CC4-5D6E-409C-BE32-E72D297353CC}">
              <c16:uniqueId val="{00000000-67A2-487E-90C6-2581AE86845F}"/>
            </c:ext>
          </c:extLst>
        </c:ser>
        <c:dLbls>
          <c:showLegendKey val="0"/>
          <c:showVal val="0"/>
          <c:showCatName val="0"/>
          <c:showSerName val="0"/>
          <c:showPercent val="0"/>
          <c:showBubbleSize val="0"/>
        </c:dLbls>
        <c:gapWidth val="219"/>
        <c:overlap val="-27"/>
        <c:axId val="737500008"/>
        <c:axId val="737508208"/>
      </c:barChart>
      <c:catAx>
        <c:axId val="737500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737508208"/>
        <c:crosses val="autoZero"/>
        <c:auto val="1"/>
        <c:lblAlgn val="ctr"/>
        <c:lblOffset val="100"/>
        <c:noMultiLvlLbl val="0"/>
      </c:catAx>
      <c:valAx>
        <c:axId val="737508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7375000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496AB5B-75FA-4E3B-9A76-D61AC9F9065B}" type="doc">
      <dgm:prSet loTypeId="urn:microsoft.com/office/officeart/2009/3/layout/StepUpProcess" loCatId="process" qsTypeId="urn:microsoft.com/office/officeart/2005/8/quickstyle/simple1" qsCatId="simple" csTypeId="urn:microsoft.com/office/officeart/2005/8/colors/colorful3" csCatId="colorful" phldr="1"/>
      <dgm:spPr/>
      <dgm:t>
        <a:bodyPr/>
        <a:lstStyle/>
        <a:p>
          <a:endParaRPr lang="zh-CN" altLang="en-US"/>
        </a:p>
      </dgm:t>
    </dgm:pt>
    <dgm:pt modelId="{29DE1EDB-9ACA-4A53-B6AE-70A72E67CA49}">
      <dgm:prSet phldrT="[文本]"/>
      <dgm:spPr/>
      <dgm:t>
        <a:bodyPr/>
        <a:lstStyle/>
        <a:p>
          <a:r>
            <a:rPr lang="en-US" altLang="zh-CN"/>
            <a:t>2021</a:t>
          </a:r>
          <a:endParaRPr lang="zh-CN" altLang="en-US"/>
        </a:p>
      </dgm:t>
    </dgm:pt>
    <dgm:pt modelId="{DBB27570-59D8-435C-8CD0-6D8CC40EC4CB}" type="parTrans" cxnId="{A4FF9CC5-D8C3-494B-8CC5-5EA9C2DF4BA5}">
      <dgm:prSet/>
      <dgm:spPr/>
      <dgm:t>
        <a:bodyPr/>
        <a:lstStyle/>
        <a:p>
          <a:endParaRPr lang="zh-CN" altLang="en-US"/>
        </a:p>
      </dgm:t>
    </dgm:pt>
    <dgm:pt modelId="{5FB1210A-BB46-4546-803F-1F7FFFD7A9A4}" type="sibTrans" cxnId="{A4FF9CC5-D8C3-494B-8CC5-5EA9C2DF4BA5}">
      <dgm:prSet/>
      <dgm:spPr/>
      <dgm:t>
        <a:bodyPr/>
        <a:lstStyle/>
        <a:p>
          <a:endParaRPr lang="zh-CN" altLang="en-US"/>
        </a:p>
      </dgm:t>
    </dgm:pt>
    <dgm:pt modelId="{A7D405CB-E1A1-4E39-9AA0-89A6CFB011AE}">
      <dgm:prSet phldrT="[文本]"/>
      <dgm:spPr/>
      <dgm:t>
        <a:bodyPr/>
        <a:lstStyle/>
        <a:p>
          <a:r>
            <a:rPr lang="en-US" altLang="zh-CN"/>
            <a:t>2025</a:t>
          </a:r>
          <a:endParaRPr lang="zh-CN" altLang="en-US"/>
        </a:p>
      </dgm:t>
    </dgm:pt>
    <dgm:pt modelId="{4315DC9E-232E-4F94-9E9D-F452DC5FA85C}" type="parTrans" cxnId="{A2FB16E3-318E-435A-9583-B98F4D8029D7}">
      <dgm:prSet/>
      <dgm:spPr/>
      <dgm:t>
        <a:bodyPr/>
        <a:lstStyle/>
        <a:p>
          <a:endParaRPr lang="zh-CN" altLang="en-US"/>
        </a:p>
      </dgm:t>
    </dgm:pt>
    <dgm:pt modelId="{C1853768-056F-42A9-807F-F9A8F039CF24}" type="sibTrans" cxnId="{A2FB16E3-318E-435A-9583-B98F4D8029D7}">
      <dgm:prSet/>
      <dgm:spPr/>
      <dgm:t>
        <a:bodyPr/>
        <a:lstStyle/>
        <a:p>
          <a:endParaRPr lang="zh-CN" altLang="en-US"/>
        </a:p>
      </dgm:t>
    </dgm:pt>
    <dgm:pt modelId="{50087B57-126C-49D0-8CA6-27D1516D3C38}">
      <dgm:prSet phldrT="[文本]"/>
      <dgm:spPr/>
      <dgm:t>
        <a:bodyPr/>
        <a:lstStyle/>
        <a:p>
          <a:r>
            <a:rPr lang="en-US" altLang="zh-CN"/>
            <a:t>2030</a:t>
          </a:r>
          <a:endParaRPr lang="zh-CN" altLang="en-US"/>
        </a:p>
      </dgm:t>
    </dgm:pt>
    <dgm:pt modelId="{78A98CD2-E520-49F4-85BB-0F5DAB35D4E9}" type="parTrans" cxnId="{67E99F68-C3A1-4BDD-AB23-6B3BAE891697}">
      <dgm:prSet/>
      <dgm:spPr/>
      <dgm:t>
        <a:bodyPr/>
        <a:lstStyle/>
        <a:p>
          <a:endParaRPr lang="zh-CN" altLang="en-US"/>
        </a:p>
      </dgm:t>
    </dgm:pt>
    <dgm:pt modelId="{BF6A1D4E-0FF9-42AF-BEAB-DC3BA9D00E56}" type="sibTrans" cxnId="{67E99F68-C3A1-4BDD-AB23-6B3BAE891697}">
      <dgm:prSet/>
      <dgm:spPr/>
      <dgm:t>
        <a:bodyPr/>
        <a:lstStyle/>
        <a:p>
          <a:endParaRPr lang="zh-CN" altLang="en-US"/>
        </a:p>
      </dgm:t>
    </dgm:pt>
    <dgm:pt modelId="{E603468D-4E5D-46C7-A044-265FE4CD224B}" type="pres">
      <dgm:prSet presAssocID="{3496AB5B-75FA-4E3B-9A76-D61AC9F9065B}" presName="rootnode" presStyleCnt="0">
        <dgm:presLayoutVars>
          <dgm:chMax/>
          <dgm:chPref/>
          <dgm:dir/>
          <dgm:animLvl val="lvl"/>
        </dgm:presLayoutVars>
      </dgm:prSet>
      <dgm:spPr/>
    </dgm:pt>
    <dgm:pt modelId="{41437047-95A1-4212-A2CF-E610AB77799F}" type="pres">
      <dgm:prSet presAssocID="{29DE1EDB-9ACA-4A53-B6AE-70A72E67CA49}" presName="composite" presStyleCnt="0"/>
      <dgm:spPr/>
    </dgm:pt>
    <dgm:pt modelId="{B71AAA11-0AEA-4AB3-A60F-A73E6F20564A}" type="pres">
      <dgm:prSet presAssocID="{29DE1EDB-9ACA-4A53-B6AE-70A72E67CA49}" presName="LShape" presStyleLbl="alignNode1" presStyleIdx="0" presStyleCnt="5"/>
      <dgm:spPr/>
    </dgm:pt>
    <dgm:pt modelId="{50CC798E-86F5-424F-A1C5-4A89505048E1}" type="pres">
      <dgm:prSet presAssocID="{29DE1EDB-9ACA-4A53-B6AE-70A72E67CA49}" presName="ParentText" presStyleLbl="revTx" presStyleIdx="0" presStyleCnt="3" custLinFactNeighborX="448" custLinFactNeighborY="1068">
        <dgm:presLayoutVars>
          <dgm:chMax val="0"/>
          <dgm:chPref val="0"/>
          <dgm:bulletEnabled val="1"/>
        </dgm:presLayoutVars>
      </dgm:prSet>
      <dgm:spPr/>
    </dgm:pt>
    <dgm:pt modelId="{B8F8E69F-1BF3-4EBF-A2F4-61F71E658B1F}" type="pres">
      <dgm:prSet presAssocID="{29DE1EDB-9ACA-4A53-B6AE-70A72E67CA49}" presName="Triangle" presStyleLbl="alignNode1" presStyleIdx="1" presStyleCnt="5"/>
      <dgm:spPr/>
    </dgm:pt>
    <dgm:pt modelId="{4F8C021F-BA35-408B-820B-C5A0A9402461}" type="pres">
      <dgm:prSet presAssocID="{5FB1210A-BB46-4546-803F-1F7FFFD7A9A4}" presName="sibTrans" presStyleCnt="0"/>
      <dgm:spPr/>
    </dgm:pt>
    <dgm:pt modelId="{6C95CB1D-B8DD-4F07-B3BB-956989649906}" type="pres">
      <dgm:prSet presAssocID="{5FB1210A-BB46-4546-803F-1F7FFFD7A9A4}" presName="space" presStyleCnt="0"/>
      <dgm:spPr/>
    </dgm:pt>
    <dgm:pt modelId="{EE5CA343-C82A-4263-B88D-6B24DEC04B8A}" type="pres">
      <dgm:prSet presAssocID="{A7D405CB-E1A1-4E39-9AA0-89A6CFB011AE}" presName="composite" presStyleCnt="0"/>
      <dgm:spPr/>
    </dgm:pt>
    <dgm:pt modelId="{0EF50B4C-0DFF-4AAF-92D1-27CEA9E085D6}" type="pres">
      <dgm:prSet presAssocID="{A7D405CB-E1A1-4E39-9AA0-89A6CFB011AE}" presName="LShape" presStyleLbl="alignNode1" presStyleIdx="2" presStyleCnt="5"/>
      <dgm:spPr/>
    </dgm:pt>
    <dgm:pt modelId="{468AEB9B-968D-48E4-9BC6-879C14D064FF}" type="pres">
      <dgm:prSet presAssocID="{A7D405CB-E1A1-4E39-9AA0-89A6CFB011AE}" presName="ParentText" presStyleLbl="revTx" presStyleIdx="1" presStyleCnt="3">
        <dgm:presLayoutVars>
          <dgm:chMax val="0"/>
          <dgm:chPref val="0"/>
          <dgm:bulletEnabled val="1"/>
        </dgm:presLayoutVars>
      </dgm:prSet>
      <dgm:spPr/>
    </dgm:pt>
    <dgm:pt modelId="{309D74F0-D7E9-4A9F-B6B8-4455D2675432}" type="pres">
      <dgm:prSet presAssocID="{A7D405CB-E1A1-4E39-9AA0-89A6CFB011AE}" presName="Triangle" presStyleLbl="alignNode1" presStyleIdx="3" presStyleCnt="5"/>
      <dgm:spPr/>
    </dgm:pt>
    <dgm:pt modelId="{1BE28470-6F18-4DC9-B9AE-31254021A4DA}" type="pres">
      <dgm:prSet presAssocID="{C1853768-056F-42A9-807F-F9A8F039CF24}" presName="sibTrans" presStyleCnt="0"/>
      <dgm:spPr/>
    </dgm:pt>
    <dgm:pt modelId="{EC51572A-49C9-4EB6-A07B-FB539B9A177D}" type="pres">
      <dgm:prSet presAssocID="{C1853768-056F-42A9-807F-F9A8F039CF24}" presName="space" presStyleCnt="0"/>
      <dgm:spPr/>
    </dgm:pt>
    <dgm:pt modelId="{4078656F-B319-41E3-84EA-8DC4CA2A5C90}" type="pres">
      <dgm:prSet presAssocID="{50087B57-126C-49D0-8CA6-27D1516D3C38}" presName="composite" presStyleCnt="0"/>
      <dgm:spPr/>
    </dgm:pt>
    <dgm:pt modelId="{288EF708-C53A-4433-9C7A-166F9FC6773F}" type="pres">
      <dgm:prSet presAssocID="{50087B57-126C-49D0-8CA6-27D1516D3C38}" presName="LShape" presStyleLbl="alignNode1" presStyleIdx="4" presStyleCnt="5"/>
      <dgm:spPr/>
    </dgm:pt>
    <dgm:pt modelId="{55121CD0-3D98-4374-8612-179CE3E3BFA1}" type="pres">
      <dgm:prSet presAssocID="{50087B57-126C-49D0-8CA6-27D1516D3C38}" presName="ParentText" presStyleLbl="revTx" presStyleIdx="2" presStyleCnt="3">
        <dgm:presLayoutVars>
          <dgm:chMax val="0"/>
          <dgm:chPref val="0"/>
          <dgm:bulletEnabled val="1"/>
        </dgm:presLayoutVars>
      </dgm:prSet>
      <dgm:spPr/>
    </dgm:pt>
  </dgm:ptLst>
  <dgm:cxnLst>
    <dgm:cxn modelId="{67E99F68-C3A1-4BDD-AB23-6B3BAE891697}" srcId="{3496AB5B-75FA-4E3B-9A76-D61AC9F9065B}" destId="{50087B57-126C-49D0-8CA6-27D1516D3C38}" srcOrd="2" destOrd="0" parTransId="{78A98CD2-E520-49F4-85BB-0F5DAB35D4E9}" sibTransId="{BF6A1D4E-0FF9-42AF-BEAB-DC3BA9D00E56}"/>
    <dgm:cxn modelId="{E222C996-16C3-4343-B0CB-B7AB2059B174}" type="presOf" srcId="{A7D405CB-E1A1-4E39-9AA0-89A6CFB011AE}" destId="{468AEB9B-968D-48E4-9BC6-879C14D064FF}" srcOrd="0" destOrd="0" presId="urn:microsoft.com/office/officeart/2009/3/layout/StepUpProcess"/>
    <dgm:cxn modelId="{A37CC8B9-70E4-4AAE-ACEE-8FF6657D1028}" type="presOf" srcId="{3496AB5B-75FA-4E3B-9A76-D61AC9F9065B}" destId="{E603468D-4E5D-46C7-A044-265FE4CD224B}" srcOrd="0" destOrd="0" presId="urn:microsoft.com/office/officeart/2009/3/layout/StepUpProcess"/>
    <dgm:cxn modelId="{F5DE60C1-42DF-4554-8739-067EB6166EC9}" type="presOf" srcId="{29DE1EDB-9ACA-4A53-B6AE-70A72E67CA49}" destId="{50CC798E-86F5-424F-A1C5-4A89505048E1}" srcOrd="0" destOrd="0" presId="urn:microsoft.com/office/officeart/2009/3/layout/StepUpProcess"/>
    <dgm:cxn modelId="{A4FF9CC5-D8C3-494B-8CC5-5EA9C2DF4BA5}" srcId="{3496AB5B-75FA-4E3B-9A76-D61AC9F9065B}" destId="{29DE1EDB-9ACA-4A53-B6AE-70A72E67CA49}" srcOrd="0" destOrd="0" parTransId="{DBB27570-59D8-435C-8CD0-6D8CC40EC4CB}" sibTransId="{5FB1210A-BB46-4546-803F-1F7FFFD7A9A4}"/>
    <dgm:cxn modelId="{A2FB16E3-318E-435A-9583-B98F4D8029D7}" srcId="{3496AB5B-75FA-4E3B-9A76-D61AC9F9065B}" destId="{A7D405CB-E1A1-4E39-9AA0-89A6CFB011AE}" srcOrd="1" destOrd="0" parTransId="{4315DC9E-232E-4F94-9E9D-F452DC5FA85C}" sibTransId="{C1853768-056F-42A9-807F-F9A8F039CF24}"/>
    <dgm:cxn modelId="{6C9580ED-96E3-4A60-B645-C1AEBAC4F19A}" type="presOf" srcId="{50087B57-126C-49D0-8CA6-27D1516D3C38}" destId="{55121CD0-3D98-4374-8612-179CE3E3BFA1}" srcOrd="0" destOrd="0" presId="urn:microsoft.com/office/officeart/2009/3/layout/StepUpProcess"/>
    <dgm:cxn modelId="{2B274836-197D-4520-B95E-C8E19D8FC235}" type="presParOf" srcId="{E603468D-4E5D-46C7-A044-265FE4CD224B}" destId="{41437047-95A1-4212-A2CF-E610AB77799F}" srcOrd="0" destOrd="0" presId="urn:microsoft.com/office/officeart/2009/3/layout/StepUpProcess"/>
    <dgm:cxn modelId="{6BDB8A14-F779-4124-849B-119F38441B35}" type="presParOf" srcId="{41437047-95A1-4212-A2CF-E610AB77799F}" destId="{B71AAA11-0AEA-4AB3-A60F-A73E6F20564A}" srcOrd="0" destOrd="0" presId="urn:microsoft.com/office/officeart/2009/3/layout/StepUpProcess"/>
    <dgm:cxn modelId="{32713A96-687C-4E4D-A8FE-43540DE61813}" type="presParOf" srcId="{41437047-95A1-4212-A2CF-E610AB77799F}" destId="{50CC798E-86F5-424F-A1C5-4A89505048E1}" srcOrd="1" destOrd="0" presId="urn:microsoft.com/office/officeart/2009/3/layout/StepUpProcess"/>
    <dgm:cxn modelId="{C7D0B52A-4179-454F-8F9A-BD09C88FD636}" type="presParOf" srcId="{41437047-95A1-4212-A2CF-E610AB77799F}" destId="{B8F8E69F-1BF3-4EBF-A2F4-61F71E658B1F}" srcOrd="2" destOrd="0" presId="urn:microsoft.com/office/officeart/2009/3/layout/StepUpProcess"/>
    <dgm:cxn modelId="{68F5661F-C6B7-4E15-8309-2DB6BE1DE001}" type="presParOf" srcId="{E603468D-4E5D-46C7-A044-265FE4CD224B}" destId="{4F8C021F-BA35-408B-820B-C5A0A9402461}" srcOrd="1" destOrd="0" presId="urn:microsoft.com/office/officeart/2009/3/layout/StepUpProcess"/>
    <dgm:cxn modelId="{E408E82A-6DDF-46D8-ACDB-A371DEC3FB00}" type="presParOf" srcId="{4F8C021F-BA35-408B-820B-C5A0A9402461}" destId="{6C95CB1D-B8DD-4F07-B3BB-956989649906}" srcOrd="0" destOrd="0" presId="urn:microsoft.com/office/officeart/2009/3/layout/StepUpProcess"/>
    <dgm:cxn modelId="{131263AB-8ED3-4F42-9353-1DFEDC6E47C7}" type="presParOf" srcId="{E603468D-4E5D-46C7-A044-265FE4CD224B}" destId="{EE5CA343-C82A-4263-B88D-6B24DEC04B8A}" srcOrd="2" destOrd="0" presId="urn:microsoft.com/office/officeart/2009/3/layout/StepUpProcess"/>
    <dgm:cxn modelId="{2C6D82BB-1187-4A67-8F71-32D5B13C7E73}" type="presParOf" srcId="{EE5CA343-C82A-4263-B88D-6B24DEC04B8A}" destId="{0EF50B4C-0DFF-4AAF-92D1-27CEA9E085D6}" srcOrd="0" destOrd="0" presId="urn:microsoft.com/office/officeart/2009/3/layout/StepUpProcess"/>
    <dgm:cxn modelId="{E036C4BB-5D2A-4416-B608-BBB12DFF1F2A}" type="presParOf" srcId="{EE5CA343-C82A-4263-B88D-6B24DEC04B8A}" destId="{468AEB9B-968D-48E4-9BC6-879C14D064FF}" srcOrd="1" destOrd="0" presId="urn:microsoft.com/office/officeart/2009/3/layout/StepUpProcess"/>
    <dgm:cxn modelId="{DA9BB46C-51BB-463D-859B-7BD896936A98}" type="presParOf" srcId="{EE5CA343-C82A-4263-B88D-6B24DEC04B8A}" destId="{309D74F0-D7E9-4A9F-B6B8-4455D2675432}" srcOrd="2" destOrd="0" presId="urn:microsoft.com/office/officeart/2009/3/layout/StepUpProcess"/>
    <dgm:cxn modelId="{47935261-D291-48F9-BF73-8C7C5966BA90}" type="presParOf" srcId="{E603468D-4E5D-46C7-A044-265FE4CD224B}" destId="{1BE28470-6F18-4DC9-B9AE-31254021A4DA}" srcOrd="3" destOrd="0" presId="urn:microsoft.com/office/officeart/2009/3/layout/StepUpProcess"/>
    <dgm:cxn modelId="{7D37548B-A983-4C47-805D-E4B65B460808}" type="presParOf" srcId="{1BE28470-6F18-4DC9-B9AE-31254021A4DA}" destId="{EC51572A-49C9-4EB6-A07B-FB539B9A177D}" srcOrd="0" destOrd="0" presId="urn:microsoft.com/office/officeart/2009/3/layout/StepUpProcess"/>
    <dgm:cxn modelId="{CE00475A-4190-4143-933C-801CF36B39C5}" type="presParOf" srcId="{E603468D-4E5D-46C7-A044-265FE4CD224B}" destId="{4078656F-B319-41E3-84EA-8DC4CA2A5C90}" srcOrd="4" destOrd="0" presId="urn:microsoft.com/office/officeart/2009/3/layout/StepUpProcess"/>
    <dgm:cxn modelId="{5FC90FB5-5CD8-4E46-BED4-CA97241DC550}" type="presParOf" srcId="{4078656F-B319-41E3-84EA-8DC4CA2A5C90}" destId="{288EF708-C53A-4433-9C7A-166F9FC6773F}" srcOrd="0" destOrd="0" presId="urn:microsoft.com/office/officeart/2009/3/layout/StepUpProcess"/>
    <dgm:cxn modelId="{02269CF7-F8A5-4C23-BCAA-0F99E66595CC}" type="presParOf" srcId="{4078656F-B319-41E3-84EA-8DC4CA2A5C90}" destId="{55121CD0-3D98-4374-8612-179CE3E3BFA1}" srcOrd="1" destOrd="0" presId="urn:microsoft.com/office/officeart/2009/3/layout/StepUpProcess"/>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2310CBD-CD7F-4436-847C-A0D85CAB068F}" type="doc">
      <dgm:prSet loTypeId="urn:microsoft.com/office/officeart/2005/8/layout/chevron1" loCatId="process" qsTypeId="urn:microsoft.com/office/officeart/2005/8/quickstyle/simple2" qsCatId="simple" csTypeId="urn:microsoft.com/office/officeart/2005/8/colors/colorful2" csCatId="colorful" phldr="1"/>
      <dgm:spPr/>
      <dgm:t>
        <a:bodyPr/>
        <a:lstStyle/>
        <a:p>
          <a:endParaRPr lang="zh-CN" altLang="en-US"/>
        </a:p>
      </dgm:t>
    </dgm:pt>
    <dgm:pt modelId="{8CB85C72-DCE5-4369-9ED6-4EFF4D154AA1}">
      <dgm:prSet phldrT="[文本]" custT="1"/>
      <dgm:spPr/>
      <dgm:t>
        <a:bodyPr/>
        <a:lstStyle/>
        <a:p>
          <a:pPr algn="ctr"/>
          <a:r>
            <a:rPr lang="en-US" altLang="zh-CN" sz="900">
              <a:latin typeface="华文楷体" panose="02010600040101010101" pitchFamily="2" charset="-122"/>
              <a:ea typeface="华文楷体" panose="02010600040101010101" pitchFamily="2" charset="-122"/>
            </a:rPr>
            <a:t>2020</a:t>
          </a:r>
          <a:endParaRPr lang="zh-CN" altLang="en-US" sz="900">
            <a:latin typeface="华文楷体" panose="02010600040101010101" pitchFamily="2" charset="-122"/>
            <a:ea typeface="华文楷体" panose="02010600040101010101" pitchFamily="2" charset="-122"/>
          </a:endParaRPr>
        </a:p>
      </dgm:t>
    </dgm:pt>
    <dgm:pt modelId="{EDA92639-859E-400B-A45D-9FCAE732883D}" type="parTrans" cxnId="{C36FD702-7124-40E4-94C0-1DF77465E32D}">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54200660-12DE-425D-8BA6-9FB0D5859B1D}" type="sibTrans" cxnId="{C36FD702-7124-40E4-94C0-1DF77465E32D}">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D56340F1-2BE4-4BD2-9A41-7227DA416650}">
      <dgm:prSet phldrT="[文本]" custT="1"/>
      <dgm:spPr/>
      <dgm:t>
        <a:bodyPr/>
        <a:lstStyle/>
        <a:p>
          <a:pPr algn="ctr"/>
          <a:r>
            <a:rPr lang="en-US" altLang="zh-CN" sz="900">
              <a:latin typeface="华文楷体" panose="02010600040101010101" pitchFamily="2" charset="-122"/>
              <a:ea typeface="华文楷体" panose="02010600040101010101" pitchFamily="2" charset="-122"/>
            </a:rPr>
            <a:t>7million</a:t>
          </a:r>
          <a:endParaRPr lang="zh-CN" altLang="en-US" sz="900">
            <a:latin typeface="华文楷体" panose="02010600040101010101" pitchFamily="2" charset="-122"/>
            <a:ea typeface="华文楷体" panose="02010600040101010101" pitchFamily="2" charset="-122"/>
          </a:endParaRPr>
        </a:p>
      </dgm:t>
    </dgm:pt>
    <dgm:pt modelId="{C35C0632-B510-43B2-B3B3-BFA92B53C135}" type="parTrans" cxnId="{D7C2EF6E-92FF-4447-AEED-8476AC5EC804}">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26FD4B8C-5464-4909-B23B-881EA16A78B8}" type="sibTrans" cxnId="{D7C2EF6E-92FF-4447-AEED-8476AC5EC804}">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E1F47D49-C96E-4C32-B3FB-B5BBCA6A5AB6}">
      <dgm:prSet phldrT="[文本]" custT="1"/>
      <dgm:spPr/>
      <dgm:t>
        <a:bodyPr/>
        <a:lstStyle/>
        <a:p>
          <a:pPr algn="ctr"/>
          <a:r>
            <a:rPr lang="en-US" altLang="en-US" sz="900">
              <a:latin typeface="华文楷体" panose="02010600040101010101" pitchFamily="2" charset="-122"/>
              <a:ea typeface="华文楷体" panose="02010600040101010101" pitchFamily="2" charset="-122"/>
            </a:rPr>
            <a:t>9% permeability</a:t>
          </a:r>
          <a:endParaRPr lang="zh-CN" altLang="en-US" sz="900">
            <a:latin typeface="华文楷体" panose="02010600040101010101" pitchFamily="2" charset="-122"/>
            <a:ea typeface="华文楷体" panose="02010600040101010101" pitchFamily="2" charset="-122"/>
          </a:endParaRPr>
        </a:p>
      </dgm:t>
    </dgm:pt>
    <dgm:pt modelId="{7B4A61F0-64FF-4F26-952F-B41EF3BC8106}" type="parTrans" cxnId="{86277DD5-DFC9-4B77-84C8-73B530544DF0}">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FD779B1D-61C0-4068-B474-DC79337B4AE9}" type="sibTrans" cxnId="{86277DD5-DFC9-4B77-84C8-73B530544DF0}">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D9121C66-AF56-4C89-B3B7-962AB934A80B}">
      <dgm:prSet phldrT="[文本]" custT="1"/>
      <dgm:spPr/>
      <dgm:t>
        <a:bodyPr/>
        <a:lstStyle/>
        <a:p>
          <a:pPr algn="ctr"/>
          <a:r>
            <a:rPr lang="en-US" altLang="zh-CN" sz="900">
              <a:latin typeface="华文楷体" panose="02010600040101010101" pitchFamily="2" charset="-122"/>
              <a:ea typeface="华文楷体" panose="02010600040101010101" pitchFamily="2" charset="-122"/>
            </a:rPr>
            <a:t>2030</a:t>
          </a:r>
          <a:endParaRPr lang="zh-CN" altLang="en-US" sz="900">
            <a:latin typeface="华文楷体" panose="02010600040101010101" pitchFamily="2" charset="-122"/>
            <a:ea typeface="华文楷体" panose="02010600040101010101" pitchFamily="2" charset="-122"/>
          </a:endParaRPr>
        </a:p>
      </dgm:t>
    </dgm:pt>
    <dgm:pt modelId="{5D704EA5-A7B1-48E4-B1C7-D6E3C22C40A4}" type="parTrans" cxnId="{8E15DD2B-5B22-423F-96CC-44855F0A57C9}">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608C0E21-D667-4E2F-A9D8-71C6A45B35FE}" type="sibTrans" cxnId="{8E15DD2B-5B22-423F-96CC-44855F0A57C9}">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3752A117-DD66-43CB-9E54-E415EDEB4CD5}">
      <dgm:prSet phldrT="[文本]" custT="1"/>
      <dgm:spPr/>
      <dgm:t>
        <a:bodyPr/>
        <a:lstStyle/>
        <a:p>
          <a:pPr algn="ctr"/>
          <a:r>
            <a:rPr lang="en-US" altLang="zh-CN" sz="900">
              <a:latin typeface="华文楷体" panose="02010600040101010101" pitchFamily="2" charset="-122"/>
              <a:ea typeface="华文楷体" panose="02010600040101010101" pitchFamily="2" charset="-122"/>
            </a:rPr>
            <a:t>30million</a:t>
          </a:r>
          <a:endParaRPr lang="zh-CN" altLang="en-US" sz="900">
            <a:latin typeface="华文楷体" panose="02010600040101010101" pitchFamily="2" charset="-122"/>
            <a:ea typeface="华文楷体" panose="02010600040101010101" pitchFamily="2" charset="-122"/>
          </a:endParaRPr>
        </a:p>
      </dgm:t>
    </dgm:pt>
    <dgm:pt modelId="{B9A14F1A-DDA1-4B75-90E6-305A00808745}" type="parTrans" cxnId="{AC11C53A-99DC-4A7F-A98E-6F506847606F}">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FBAEB927-C14F-49BB-A8AB-418E362BCA9F}" type="sibTrans" cxnId="{AC11C53A-99DC-4A7F-A98E-6F506847606F}">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A41470B3-7656-4DF5-9FCF-83B1A10C2E9C}">
      <dgm:prSet phldrT="[文本]" custT="1"/>
      <dgm:spPr/>
      <dgm:t>
        <a:bodyPr/>
        <a:lstStyle/>
        <a:p>
          <a:pPr algn="ctr"/>
          <a:r>
            <a:rPr lang="en-US" altLang="zh-CN" sz="900">
              <a:latin typeface="华文楷体" panose="02010600040101010101" pitchFamily="2" charset="-122"/>
              <a:ea typeface="华文楷体" panose="02010600040101010101" pitchFamily="2" charset="-122"/>
            </a:rPr>
            <a:t>30% permeability</a:t>
          </a:r>
          <a:endParaRPr lang="zh-CN" altLang="en-US" sz="900">
            <a:latin typeface="华文楷体" panose="02010600040101010101" pitchFamily="2" charset="-122"/>
            <a:ea typeface="华文楷体" panose="02010600040101010101" pitchFamily="2" charset="-122"/>
          </a:endParaRPr>
        </a:p>
      </dgm:t>
    </dgm:pt>
    <dgm:pt modelId="{1ED35211-3120-4564-8FA2-BB76C5FBA672}" type="parTrans" cxnId="{42E2668C-CEA8-48CA-8D2F-B3D46869D32F}">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06D6E189-5506-43C7-B0DE-99CED4E37AE9}" type="sibTrans" cxnId="{42E2668C-CEA8-48CA-8D2F-B3D46869D32F}">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918C7A03-FDB0-4BF5-99B3-A800C59B883C}">
      <dgm:prSet phldrT="[文本]" custT="1"/>
      <dgm:spPr/>
      <dgm:t>
        <a:bodyPr/>
        <a:lstStyle/>
        <a:p>
          <a:pPr algn="ctr"/>
          <a:r>
            <a:rPr lang="en-US" altLang="zh-CN" sz="900">
              <a:latin typeface="华文楷体" panose="02010600040101010101" pitchFamily="2" charset="-122"/>
              <a:ea typeface="华文楷体" panose="02010600040101010101" pitchFamily="2" charset="-122"/>
            </a:rPr>
            <a:t>2040</a:t>
          </a:r>
          <a:endParaRPr lang="zh-CN" altLang="en-US" sz="900">
            <a:latin typeface="华文楷体" panose="02010600040101010101" pitchFamily="2" charset="-122"/>
            <a:ea typeface="华文楷体" panose="02010600040101010101" pitchFamily="2" charset="-122"/>
          </a:endParaRPr>
        </a:p>
      </dgm:t>
    </dgm:pt>
    <dgm:pt modelId="{76970DE5-7606-4BDC-BCB3-9D46976F50E9}" type="parTrans" cxnId="{05285801-C453-4E2A-8AC2-7B55DBCC614C}">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B4A4DC7B-394A-4348-8E6B-168A9F2512AA}" type="sibTrans" cxnId="{05285801-C453-4E2A-8AC2-7B55DBCC614C}">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AC54D33B-4920-4E17-A5AC-7C49395722BC}">
      <dgm:prSet phldrT="[文本]" custT="1"/>
      <dgm:spPr/>
      <dgm:t>
        <a:bodyPr/>
        <a:lstStyle/>
        <a:p>
          <a:pPr algn="ctr"/>
          <a:r>
            <a:rPr lang="en-US" altLang="zh-CN" sz="900">
              <a:latin typeface="华文楷体" panose="02010600040101010101" pitchFamily="2" charset="-122"/>
              <a:ea typeface="华文楷体" panose="02010600040101010101" pitchFamily="2" charset="-122"/>
            </a:rPr>
            <a:t>70million</a:t>
          </a:r>
          <a:endParaRPr lang="zh-CN" altLang="en-US" sz="900">
            <a:latin typeface="华文楷体" panose="02010600040101010101" pitchFamily="2" charset="-122"/>
            <a:ea typeface="华文楷体" panose="02010600040101010101" pitchFamily="2" charset="-122"/>
          </a:endParaRPr>
        </a:p>
      </dgm:t>
    </dgm:pt>
    <dgm:pt modelId="{47DE1750-A23E-4CF5-85E3-1173BC022B5F}" type="parTrans" cxnId="{0FD48163-C216-4FE6-A968-CF35FF2C0270}">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0B3F9048-BBFC-407B-B222-8E2A70335DFE}" type="sibTrans" cxnId="{0FD48163-C216-4FE6-A968-CF35FF2C0270}">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A9226DBD-2CD6-4EF6-A27F-2DE2D5D307D3}">
      <dgm:prSet phldrT="[文本]" custT="1"/>
      <dgm:spPr/>
      <dgm:t>
        <a:bodyPr/>
        <a:lstStyle/>
        <a:p>
          <a:pPr algn="ctr"/>
          <a:r>
            <a:rPr lang="en-US" altLang="zh-CN" sz="900">
              <a:latin typeface="华文楷体" panose="02010600040101010101" pitchFamily="2" charset="-122"/>
              <a:ea typeface="华文楷体" panose="02010600040101010101" pitchFamily="2" charset="-122"/>
            </a:rPr>
            <a:t>45% permeability</a:t>
          </a:r>
          <a:endParaRPr lang="zh-CN" altLang="en-US" sz="900">
            <a:latin typeface="华文楷体" panose="02010600040101010101" pitchFamily="2" charset="-122"/>
            <a:ea typeface="华文楷体" panose="02010600040101010101" pitchFamily="2" charset="-122"/>
          </a:endParaRPr>
        </a:p>
      </dgm:t>
    </dgm:pt>
    <dgm:pt modelId="{A649CEC5-3E6C-4B85-8206-0CDA42F0AE75}" type="parTrans" cxnId="{3AA317AE-9A92-424C-A25B-40183866F9E5}">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3820A6EC-8919-4762-8B6D-521010D1FCF3}" type="sibTrans" cxnId="{3AA317AE-9A92-424C-A25B-40183866F9E5}">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020DD713-B7AE-44BE-81B1-D7384D943BA6}">
      <dgm:prSet custT="1"/>
      <dgm:spPr/>
      <dgm:t>
        <a:bodyPr/>
        <a:lstStyle/>
        <a:p>
          <a:pPr algn="ctr"/>
          <a:r>
            <a:rPr lang="en-US" altLang="zh-CN" sz="900">
              <a:latin typeface="华文楷体" panose="02010600040101010101" pitchFamily="2" charset="-122"/>
              <a:ea typeface="华文楷体" panose="02010600040101010101" pitchFamily="2" charset="-122"/>
            </a:rPr>
            <a:t>2050</a:t>
          </a:r>
          <a:endParaRPr lang="zh-CN" altLang="en-US" sz="900">
            <a:latin typeface="华文楷体" panose="02010600040101010101" pitchFamily="2" charset="-122"/>
            <a:ea typeface="华文楷体" panose="02010600040101010101" pitchFamily="2" charset="-122"/>
          </a:endParaRPr>
        </a:p>
      </dgm:t>
    </dgm:pt>
    <dgm:pt modelId="{049CCC1D-F671-4017-A437-16443229AB7F}" type="parTrans" cxnId="{366B5D70-66EB-4E3D-B97E-3DA1514A4ED4}">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0715763B-7A40-4181-B53F-E2EAA2C4360C}" type="sibTrans" cxnId="{366B5D70-66EB-4E3D-B97E-3DA1514A4ED4}">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0083CC4D-BBC6-43DC-8E5D-257EDD5B96D5}">
      <dgm:prSet phldrT="[文本]" custT="1"/>
      <dgm:spPr/>
      <dgm:t>
        <a:bodyPr/>
        <a:lstStyle/>
        <a:p>
          <a:pPr algn="ctr"/>
          <a:r>
            <a:rPr lang="en-US" altLang="zh-CN" sz="900">
              <a:latin typeface="华文楷体" panose="02010600040101010101" pitchFamily="2" charset="-122"/>
              <a:ea typeface="华文楷体" panose="02010600040101010101" pitchFamily="2" charset="-122"/>
            </a:rPr>
            <a:t>100million</a:t>
          </a:r>
          <a:endParaRPr lang="zh-CN" altLang="en-US" sz="900">
            <a:latin typeface="华文楷体" panose="02010600040101010101" pitchFamily="2" charset="-122"/>
            <a:ea typeface="华文楷体" panose="02010600040101010101" pitchFamily="2" charset="-122"/>
          </a:endParaRPr>
        </a:p>
      </dgm:t>
    </dgm:pt>
    <dgm:pt modelId="{26079237-762A-4E39-AEC9-E4D2A7414B68}" type="parTrans" cxnId="{CFBE62A1-2759-483C-AE5C-1CAA38B7C15B}">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913560D7-EA0F-4BDD-8EB8-22D1E45DABC5}" type="sibTrans" cxnId="{CFBE62A1-2759-483C-AE5C-1CAA38B7C15B}">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FC29C58D-72E3-43E3-BB38-80CBD985438F}">
      <dgm:prSet phldrT="[文本]" custT="1"/>
      <dgm:spPr/>
      <dgm:t>
        <a:bodyPr/>
        <a:lstStyle/>
        <a:p>
          <a:pPr algn="ctr"/>
          <a:r>
            <a:rPr lang="en-US" altLang="zh-CN" sz="900">
              <a:latin typeface="华文楷体" panose="02010600040101010101" pitchFamily="2" charset="-122"/>
              <a:ea typeface="华文楷体" panose="02010600040101010101" pitchFamily="2" charset="-122"/>
            </a:rPr>
            <a:t>60% permeability</a:t>
          </a:r>
          <a:endParaRPr lang="zh-CN" altLang="en-US" sz="900">
            <a:latin typeface="华文楷体" panose="02010600040101010101" pitchFamily="2" charset="-122"/>
            <a:ea typeface="华文楷体" panose="02010600040101010101" pitchFamily="2" charset="-122"/>
          </a:endParaRPr>
        </a:p>
      </dgm:t>
    </dgm:pt>
    <dgm:pt modelId="{B34EFF90-0A28-41AB-8EA6-1169F580E9B0}" type="parTrans" cxnId="{F9C103FB-8405-4D2E-9461-EF03F9243673}">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4DDC82D2-9885-427B-BA9B-18AB960197FF}" type="sibTrans" cxnId="{F9C103FB-8405-4D2E-9461-EF03F9243673}">
      <dgm:prSet/>
      <dgm:spPr/>
      <dgm:t>
        <a:bodyPr/>
        <a:lstStyle/>
        <a:p>
          <a:pPr algn="ctr"/>
          <a:endParaRPr lang="zh-CN" altLang="en-US" sz="900">
            <a:latin typeface="华文楷体" panose="02010600040101010101" pitchFamily="2" charset="-122"/>
            <a:ea typeface="华文楷体" panose="02010600040101010101" pitchFamily="2" charset="-122"/>
          </a:endParaRPr>
        </a:p>
      </dgm:t>
    </dgm:pt>
    <dgm:pt modelId="{969EA0A7-8148-4EF7-9D27-AE8DE632CA3F}" type="pres">
      <dgm:prSet presAssocID="{E2310CBD-CD7F-4436-847C-A0D85CAB068F}" presName="Name0" presStyleCnt="0">
        <dgm:presLayoutVars>
          <dgm:dir/>
          <dgm:animLvl val="lvl"/>
          <dgm:resizeHandles val="exact"/>
        </dgm:presLayoutVars>
      </dgm:prSet>
      <dgm:spPr/>
    </dgm:pt>
    <dgm:pt modelId="{01E8A195-5961-4B1B-899D-40603CE5A043}" type="pres">
      <dgm:prSet presAssocID="{8CB85C72-DCE5-4369-9ED6-4EFF4D154AA1}" presName="composite" presStyleCnt="0"/>
      <dgm:spPr/>
    </dgm:pt>
    <dgm:pt modelId="{7DC1EE88-AAAE-4F85-B555-83B9A2C06827}" type="pres">
      <dgm:prSet presAssocID="{8CB85C72-DCE5-4369-9ED6-4EFF4D154AA1}" presName="parTx" presStyleLbl="node1" presStyleIdx="0" presStyleCnt="4">
        <dgm:presLayoutVars>
          <dgm:chMax val="0"/>
          <dgm:chPref val="0"/>
          <dgm:bulletEnabled val="1"/>
        </dgm:presLayoutVars>
      </dgm:prSet>
      <dgm:spPr/>
    </dgm:pt>
    <dgm:pt modelId="{A8833FA4-7F90-4FB7-9D18-3090CD3293B4}" type="pres">
      <dgm:prSet presAssocID="{8CB85C72-DCE5-4369-9ED6-4EFF4D154AA1}" presName="desTx" presStyleLbl="revTx" presStyleIdx="0" presStyleCnt="4">
        <dgm:presLayoutVars>
          <dgm:bulletEnabled val="1"/>
        </dgm:presLayoutVars>
      </dgm:prSet>
      <dgm:spPr/>
    </dgm:pt>
    <dgm:pt modelId="{E5240D74-5BF2-4DFB-901C-E1815F510B10}" type="pres">
      <dgm:prSet presAssocID="{54200660-12DE-425D-8BA6-9FB0D5859B1D}" presName="space" presStyleCnt="0"/>
      <dgm:spPr/>
    </dgm:pt>
    <dgm:pt modelId="{AAEA4772-0743-4116-B1DD-03CF8722ABE6}" type="pres">
      <dgm:prSet presAssocID="{D9121C66-AF56-4C89-B3B7-962AB934A80B}" presName="composite" presStyleCnt="0"/>
      <dgm:spPr/>
    </dgm:pt>
    <dgm:pt modelId="{8897C447-ED48-4012-934A-0C1A61291C6F}" type="pres">
      <dgm:prSet presAssocID="{D9121C66-AF56-4C89-B3B7-962AB934A80B}" presName="parTx" presStyleLbl="node1" presStyleIdx="1" presStyleCnt="4">
        <dgm:presLayoutVars>
          <dgm:chMax val="0"/>
          <dgm:chPref val="0"/>
          <dgm:bulletEnabled val="1"/>
        </dgm:presLayoutVars>
      </dgm:prSet>
      <dgm:spPr/>
    </dgm:pt>
    <dgm:pt modelId="{640A951B-A537-4079-A00A-0A152E0170D5}" type="pres">
      <dgm:prSet presAssocID="{D9121C66-AF56-4C89-B3B7-962AB934A80B}" presName="desTx" presStyleLbl="revTx" presStyleIdx="1" presStyleCnt="4">
        <dgm:presLayoutVars>
          <dgm:bulletEnabled val="1"/>
        </dgm:presLayoutVars>
      </dgm:prSet>
      <dgm:spPr/>
    </dgm:pt>
    <dgm:pt modelId="{0B4D65C7-6D79-4A06-840A-71C2F65ED5B5}" type="pres">
      <dgm:prSet presAssocID="{608C0E21-D667-4E2F-A9D8-71C6A45B35FE}" presName="space" presStyleCnt="0"/>
      <dgm:spPr/>
    </dgm:pt>
    <dgm:pt modelId="{B57DC2BD-4640-4DFA-93B1-D56A411A25CD}" type="pres">
      <dgm:prSet presAssocID="{918C7A03-FDB0-4BF5-99B3-A800C59B883C}" presName="composite" presStyleCnt="0"/>
      <dgm:spPr/>
    </dgm:pt>
    <dgm:pt modelId="{7A50D566-8193-45C6-847F-30DF7C402444}" type="pres">
      <dgm:prSet presAssocID="{918C7A03-FDB0-4BF5-99B3-A800C59B883C}" presName="parTx" presStyleLbl="node1" presStyleIdx="2" presStyleCnt="4">
        <dgm:presLayoutVars>
          <dgm:chMax val="0"/>
          <dgm:chPref val="0"/>
          <dgm:bulletEnabled val="1"/>
        </dgm:presLayoutVars>
      </dgm:prSet>
      <dgm:spPr/>
    </dgm:pt>
    <dgm:pt modelId="{B4EEACE1-4099-4F7F-8F1B-668B9B11B5C3}" type="pres">
      <dgm:prSet presAssocID="{918C7A03-FDB0-4BF5-99B3-A800C59B883C}" presName="desTx" presStyleLbl="revTx" presStyleIdx="2" presStyleCnt="4">
        <dgm:presLayoutVars>
          <dgm:bulletEnabled val="1"/>
        </dgm:presLayoutVars>
      </dgm:prSet>
      <dgm:spPr/>
    </dgm:pt>
    <dgm:pt modelId="{92AD4355-631D-4C90-B39D-60005F909A9F}" type="pres">
      <dgm:prSet presAssocID="{B4A4DC7B-394A-4348-8E6B-168A9F2512AA}" presName="space" presStyleCnt="0"/>
      <dgm:spPr/>
    </dgm:pt>
    <dgm:pt modelId="{D8415149-3BEC-42DC-90F8-8D11F52DCA87}" type="pres">
      <dgm:prSet presAssocID="{020DD713-B7AE-44BE-81B1-D7384D943BA6}" presName="composite" presStyleCnt="0"/>
      <dgm:spPr/>
    </dgm:pt>
    <dgm:pt modelId="{E1A26684-9232-4EE9-A3F9-BB3ECB31ACE9}" type="pres">
      <dgm:prSet presAssocID="{020DD713-B7AE-44BE-81B1-D7384D943BA6}" presName="parTx" presStyleLbl="node1" presStyleIdx="3" presStyleCnt="4">
        <dgm:presLayoutVars>
          <dgm:chMax val="0"/>
          <dgm:chPref val="0"/>
          <dgm:bulletEnabled val="1"/>
        </dgm:presLayoutVars>
      </dgm:prSet>
      <dgm:spPr/>
    </dgm:pt>
    <dgm:pt modelId="{635512B2-FC50-4141-9500-75358ACBF982}" type="pres">
      <dgm:prSet presAssocID="{020DD713-B7AE-44BE-81B1-D7384D943BA6}" presName="desTx" presStyleLbl="revTx" presStyleIdx="3" presStyleCnt="4">
        <dgm:presLayoutVars>
          <dgm:bulletEnabled val="1"/>
        </dgm:presLayoutVars>
      </dgm:prSet>
      <dgm:spPr/>
    </dgm:pt>
  </dgm:ptLst>
  <dgm:cxnLst>
    <dgm:cxn modelId="{05285801-C453-4E2A-8AC2-7B55DBCC614C}" srcId="{E2310CBD-CD7F-4436-847C-A0D85CAB068F}" destId="{918C7A03-FDB0-4BF5-99B3-A800C59B883C}" srcOrd="2" destOrd="0" parTransId="{76970DE5-7606-4BDC-BCB3-9D46976F50E9}" sibTransId="{B4A4DC7B-394A-4348-8E6B-168A9F2512AA}"/>
    <dgm:cxn modelId="{C36FD702-7124-40E4-94C0-1DF77465E32D}" srcId="{E2310CBD-CD7F-4436-847C-A0D85CAB068F}" destId="{8CB85C72-DCE5-4369-9ED6-4EFF4D154AA1}" srcOrd="0" destOrd="0" parTransId="{EDA92639-859E-400B-A45D-9FCAE732883D}" sibTransId="{54200660-12DE-425D-8BA6-9FB0D5859B1D}"/>
    <dgm:cxn modelId="{8E15DD2B-5B22-423F-96CC-44855F0A57C9}" srcId="{E2310CBD-CD7F-4436-847C-A0D85CAB068F}" destId="{D9121C66-AF56-4C89-B3B7-962AB934A80B}" srcOrd="1" destOrd="0" parTransId="{5D704EA5-A7B1-48E4-B1C7-D6E3C22C40A4}" sibTransId="{608C0E21-D667-4E2F-A9D8-71C6A45B35FE}"/>
    <dgm:cxn modelId="{562B2630-BC80-4080-ABF7-079F04048EFE}" type="presOf" srcId="{A41470B3-7656-4DF5-9FCF-83B1A10C2E9C}" destId="{640A951B-A537-4079-A00A-0A152E0170D5}" srcOrd="0" destOrd="1" presId="urn:microsoft.com/office/officeart/2005/8/layout/chevron1"/>
    <dgm:cxn modelId="{7AE02035-3CE8-4916-A113-AD1245231D31}" type="presOf" srcId="{D56340F1-2BE4-4BD2-9A41-7227DA416650}" destId="{A8833FA4-7F90-4FB7-9D18-3090CD3293B4}" srcOrd="0" destOrd="0" presId="urn:microsoft.com/office/officeart/2005/8/layout/chevron1"/>
    <dgm:cxn modelId="{AC11C53A-99DC-4A7F-A98E-6F506847606F}" srcId="{D9121C66-AF56-4C89-B3B7-962AB934A80B}" destId="{3752A117-DD66-43CB-9E54-E415EDEB4CD5}" srcOrd="0" destOrd="0" parTransId="{B9A14F1A-DDA1-4B75-90E6-305A00808745}" sibTransId="{FBAEB927-C14F-49BB-A8AB-418E362BCA9F}"/>
    <dgm:cxn modelId="{604B123C-D2A6-438D-B7F2-F9C8728236A7}" type="presOf" srcId="{AC54D33B-4920-4E17-A5AC-7C49395722BC}" destId="{B4EEACE1-4099-4F7F-8F1B-668B9B11B5C3}" srcOrd="0" destOrd="0" presId="urn:microsoft.com/office/officeart/2005/8/layout/chevron1"/>
    <dgm:cxn modelId="{1A2BC05B-94F1-4EB6-881C-F6CE650091A9}" type="presOf" srcId="{D9121C66-AF56-4C89-B3B7-962AB934A80B}" destId="{8897C447-ED48-4012-934A-0C1A61291C6F}" srcOrd="0" destOrd="0" presId="urn:microsoft.com/office/officeart/2005/8/layout/chevron1"/>
    <dgm:cxn modelId="{0FD48163-C216-4FE6-A968-CF35FF2C0270}" srcId="{918C7A03-FDB0-4BF5-99B3-A800C59B883C}" destId="{AC54D33B-4920-4E17-A5AC-7C49395722BC}" srcOrd="0" destOrd="0" parTransId="{47DE1750-A23E-4CF5-85E3-1173BC022B5F}" sibTransId="{0B3F9048-BBFC-407B-B222-8E2A70335DFE}"/>
    <dgm:cxn modelId="{5E6E654A-66C2-4F42-8B01-F876DFF8E3D4}" type="presOf" srcId="{8CB85C72-DCE5-4369-9ED6-4EFF4D154AA1}" destId="{7DC1EE88-AAAE-4F85-B555-83B9A2C06827}" srcOrd="0" destOrd="0" presId="urn:microsoft.com/office/officeart/2005/8/layout/chevron1"/>
    <dgm:cxn modelId="{E555896B-15E7-4209-B76E-105866A6B763}" type="presOf" srcId="{918C7A03-FDB0-4BF5-99B3-A800C59B883C}" destId="{7A50D566-8193-45C6-847F-30DF7C402444}" srcOrd="0" destOrd="0" presId="urn:microsoft.com/office/officeart/2005/8/layout/chevron1"/>
    <dgm:cxn modelId="{D7C2EF6E-92FF-4447-AEED-8476AC5EC804}" srcId="{8CB85C72-DCE5-4369-9ED6-4EFF4D154AA1}" destId="{D56340F1-2BE4-4BD2-9A41-7227DA416650}" srcOrd="0" destOrd="0" parTransId="{C35C0632-B510-43B2-B3B3-BFA92B53C135}" sibTransId="{26FD4B8C-5464-4909-B23B-881EA16A78B8}"/>
    <dgm:cxn modelId="{366B5D70-66EB-4E3D-B97E-3DA1514A4ED4}" srcId="{E2310CBD-CD7F-4436-847C-A0D85CAB068F}" destId="{020DD713-B7AE-44BE-81B1-D7384D943BA6}" srcOrd="3" destOrd="0" parTransId="{049CCC1D-F671-4017-A437-16443229AB7F}" sibTransId="{0715763B-7A40-4181-B53F-E2EAA2C4360C}"/>
    <dgm:cxn modelId="{58950980-9667-4026-B081-3C7DFBC6339F}" type="presOf" srcId="{A9226DBD-2CD6-4EF6-A27F-2DE2D5D307D3}" destId="{B4EEACE1-4099-4F7F-8F1B-668B9B11B5C3}" srcOrd="0" destOrd="1" presId="urn:microsoft.com/office/officeart/2005/8/layout/chevron1"/>
    <dgm:cxn modelId="{42E2668C-CEA8-48CA-8D2F-B3D46869D32F}" srcId="{D9121C66-AF56-4C89-B3B7-962AB934A80B}" destId="{A41470B3-7656-4DF5-9FCF-83B1A10C2E9C}" srcOrd="1" destOrd="0" parTransId="{1ED35211-3120-4564-8FA2-BB76C5FBA672}" sibTransId="{06D6E189-5506-43C7-B0DE-99CED4E37AE9}"/>
    <dgm:cxn modelId="{CFBE62A1-2759-483C-AE5C-1CAA38B7C15B}" srcId="{020DD713-B7AE-44BE-81B1-D7384D943BA6}" destId="{0083CC4D-BBC6-43DC-8E5D-257EDD5B96D5}" srcOrd="0" destOrd="0" parTransId="{26079237-762A-4E39-AEC9-E4D2A7414B68}" sibTransId="{913560D7-EA0F-4BDD-8EB8-22D1E45DABC5}"/>
    <dgm:cxn modelId="{3AA317AE-9A92-424C-A25B-40183866F9E5}" srcId="{918C7A03-FDB0-4BF5-99B3-A800C59B883C}" destId="{A9226DBD-2CD6-4EF6-A27F-2DE2D5D307D3}" srcOrd="1" destOrd="0" parTransId="{A649CEC5-3E6C-4B85-8206-0CDA42F0AE75}" sibTransId="{3820A6EC-8919-4762-8B6D-521010D1FCF3}"/>
    <dgm:cxn modelId="{6379FAC8-620F-44FE-A9DC-D4A0EFC437AE}" type="presOf" srcId="{E2310CBD-CD7F-4436-847C-A0D85CAB068F}" destId="{969EA0A7-8148-4EF7-9D27-AE8DE632CA3F}" srcOrd="0" destOrd="0" presId="urn:microsoft.com/office/officeart/2005/8/layout/chevron1"/>
    <dgm:cxn modelId="{86277DD5-DFC9-4B77-84C8-73B530544DF0}" srcId="{8CB85C72-DCE5-4369-9ED6-4EFF4D154AA1}" destId="{E1F47D49-C96E-4C32-B3FB-B5BBCA6A5AB6}" srcOrd="1" destOrd="0" parTransId="{7B4A61F0-64FF-4F26-952F-B41EF3BC8106}" sibTransId="{FD779B1D-61C0-4068-B474-DC79337B4AE9}"/>
    <dgm:cxn modelId="{956CE6E3-9A06-4D4C-87EF-878B147355F9}" type="presOf" srcId="{0083CC4D-BBC6-43DC-8E5D-257EDD5B96D5}" destId="{635512B2-FC50-4141-9500-75358ACBF982}" srcOrd="0" destOrd="0" presId="urn:microsoft.com/office/officeart/2005/8/layout/chevron1"/>
    <dgm:cxn modelId="{13EE18E8-8C5D-4740-81F3-0240AD82D9ED}" type="presOf" srcId="{E1F47D49-C96E-4C32-B3FB-B5BBCA6A5AB6}" destId="{A8833FA4-7F90-4FB7-9D18-3090CD3293B4}" srcOrd="0" destOrd="1" presId="urn:microsoft.com/office/officeart/2005/8/layout/chevron1"/>
    <dgm:cxn modelId="{02B73BF5-12A4-496D-A082-1A4D2CB8F403}" type="presOf" srcId="{020DD713-B7AE-44BE-81B1-D7384D943BA6}" destId="{E1A26684-9232-4EE9-A3F9-BB3ECB31ACE9}" srcOrd="0" destOrd="0" presId="urn:microsoft.com/office/officeart/2005/8/layout/chevron1"/>
    <dgm:cxn modelId="{D2F144F9-A0C8-4F9F-A5FF-938378E20E7C}" type="presOf" srcId="{3752A117-DD66-43CB-9E54-E415EDEB4CD5}" destId="{640A951B-A537-4079-A00A-0A152E0170D5}" srcOrd="0" destOrd="0" presId="urn:microsoft.com/office/officeart/2005/8/layout/chevron1"/>
    <dgm:cxn modelId="{F9C103FB-8405-4D2E-9461-EF03F9243673}" srcId="{020DD713-B7AE-44BE-81B1-D7384D943BA6}" destId="{FC29C58D-72E3-43E3-BB38-80CBD985438F}" srcOrd="1" destOrd="0" parTransId="{B34EFF90-0A28-41AB-8EA6-1169F580E9B0}" sibTransId="{4DDC82D2-9885-427B-BA9B-18AB960197FF}"/>
    <dgm:cxn modelId="{F02111FE-463A-451E-847E-9701266BBD6A}" type="presOf" srcId="{FC29C58D-72E3-43E3-BB38-80CBD985438F}" destId="{635512B2-FC50-4141-9500-75358ACBF982}" srcOrd="0" destOrd="1" presId="urn:microsoft.com/office/officeart/2005/8/layout/chevron1"/>
    <dgm:cxn modelId="{56C5D5F9-2B27-4596-B1B8-9E4996C99275}" type="presParOf" srcId="{969EA0A7-8148-4EF7-9D27-AE8DE632CA3F}" destId="{01E8A195-5961-4B1B-899D-40603CE5A043}" srcOrd="0" destOrd="0" presId="urn:microsoft.com/office/officeart/2005/8/layout/chevron1"/>
    <dgm:cxn modelId="{443D66E0-283A-402D-9A4A-263305EBFC4C}" type="presParOf" srcId="{01E8A195-5961-4B1B-899D-40603CE5A043}" destId="{7DC1EE88-AAAE-4F85-B555-83B9A2C06827}" srcOrd="0" destOrd="0" presId="urn:microsoft.com/office/officeart/2005/8/layout/chevron1"/>
    <dgm:cxn modelId="{824DC130-9BAA-4BDA-A90E-6952EC4521D9}" type="presParOf" srcId="{01E8A195-5961-4B1B-899D-40603CE5A043}" destId="{A8833FA4-7F90-4FB7-9D18-3090CD3293B4}" srcOrd="1" destOrd="0" presId="urn:microsoft.com/office/officeart/2005/8/layout/chevron1"/>
    <dgm:cxn modelId="{56BF540F-CC21-4A51-AEFF-336E517FD3E5}" type="presParOf" srcId="{969EA0A7-8148-4EF7-9D27-AE8DE632CA3F}" destId="{E5240D74-5BF2-4DFB-901C-E1815F510B10}" srcOrd="1" destOrd="0" presId="urn:microsoft.com/office/officeart/2005/8/layout/chevron1"/>
    <dgm:cxn modelId="{97576995-6858-448F-96C1-D01649C8B14E}" type="presParOf" srcId="{969EA0A7-8148-4EF7-9D27-AE8DE632CA3F}" destId="{AAEA4772-0743-4116-B1DD-03CF8722ABE6}" srcOrd="2" destOrd="0" presId="urn:microsoft.com/office/officeart/2005/8/layout/chevron1"/>
    <dgm:cxn modelId="{16E7F89E-913C-4DC0-8BC9-AE5E5260E5B2}" type="presParOf" srcId="{AAEA4772-0743-4116-B1DD-03CF8722ABE6}" destId="{8897C447-ED48-4012-934A-0C1A61291C6F}" srcOrd="0" destOrd="0" presId="urn:microsoft.com/office/officeart/2005/8/layout/chevron1"/>
    <dgm:cxn modelId="{A7BD9CBF-E085-4AE2-B115-6ADC6F8E75E8}" type="presParOf" srcId="{AAEA4772-0743-4116-B1DD-03CF8722ABE6}" destId="{640A951B-A537-4079-A00A-0A152E0170D5}" srcOrd="1" destOrd="0" presId="urn:microsoft.com/office/officeart/2005/8/layout/chevron1"/>
    <dgm:cxn modelId="{D217C582-9F3C-499B-B74C-E1937EE6ED47}" type="presParOf" srcId="{969EA0A7-8148-4EF7-9D27-AE8DE632CA3F}" destId="{0B4D65C7-6D79-4A06-840A-71C2F65ED5B5}" srcOrd="3" destOrd="0" presId="urn:microsoft.com/office/officeart/2005/8/layout/chevron1"/>
    <dgm:cxn modelId="{432CAB8D-DF80-4CB8-AF41-6455CAC56088}" type="presParOf" srcId="{969EA0A7-8148-4EF7-9D27-AE8DE632CA3F}" destId="{B57DC2BD-4640-4DFA-93B1-D56A411A25CD}" srcOrd="4" destOrd="0" presId="urn:microsoft.com/office/officeart/2005/8/layout/chevron1"/>
    <dgm:cxn modelId="{6B9BE990-CA84-4317-A764-EC79BE6CB898}" type="presParOf" srcId="{B57DC2BD-4640-4DFA-93B1-D56A411A25CD}" destId="{7A50D566-8193-45C6-847F-30DF7C402444}" srcOrd="0" destOrd="0" presId="urn:microsoft.com/office/officeart/2005/8/layout/chevron1"/>
    <dgm:cxn modelId="{F9287C47-FC52-4783-BA5E-931807E3E53A}" type="presParOf" srcId="{B57DC2BD-4640-4DFA-93B1-D56A411A25CD}" destId="{B4EEACE1-4099-4F7F-8F1B-668B9B11B5C3}" srcOrd="1" destOrd="0" presId="urn:microsoft.com/office/officeart/2005/8/layout/chevron1"/>
    <dgm:cxn modelId="{99BD0CAC-2DBC-4964-B8BD-E1A23463733B}" type="presParOf" srcId="{969EA0A7-8148-4EF7-9D27-AE8DE632CA3F}" destId="{92AD4355-631D-4C90-B39D-60005F909A9F}" srcOrd="5" destOrd="0" presId="urn:microsoft.com/office/officeart/2005/8/layout/chevron1"/>
    <dgm:cxn modelId="{BC917DEB-A723-4AC3-AE61-96349B4CA172}" type="presParOf" srcId="{969EA0A7-8148-4EF7-9D27-AE8DE632CA3F}" destId="{D8415149-3BEC-42DC-90F8-8D11F52DCA87}" srcOrd="6" destOrd="0" presId="urn:microsoft.com/office/officeart/2005/8/layout/chevron1"/>
    <dgm:cxn modelId="{0B3E0E9E-5B42-4D33-AC52-34C6E31EE878}" type="presParOf" srcId="{D8415149-3BEC-42DC-90F8-8D11F52DCA87}" destId="{E1A26684-9232-4EE9-A3F9-BB3ECB31ACE9}" srcOrd="0" destOrd="0" presId="urn:microsoft.com/office/officeart/2005/8/layout/chevron1"/>
    <dgm:cxn modelId="{209A7837-B862-41BC-829D-B15D4C210F5A}" type="presParOf" srcId="{D8415149-3BEC-42DC-90F8-8D11F52DCA87}" destId="{635512B2-FC50-4141-9500-75358ACBF982}" srcOrd="1" destOrd="0" presId="urn:microsoft.com/office/officeart/2005/8/layout/chevron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1AAA11-0AEA-4AB3-A60F-A73E6F20564A}">
      <dsp:nvSpPr>
        <dsp:cNvPr id="0" name=""/>
        <dsp:cNvSpPr/>
      </dsp:nvSpPr>
      <dsp:spPr>
        <a:xfrm rot="5400000">
          <a:off x="314328" y="727767"/>
          <a:ext cx="946659" cy="1575219"/>
        </a:xfrm>
        <a:prstGeom prst="corner">
          <a:avLst>
            <a:gd name="adj1" fmla="val 16120"/>
            <a:gd name="adj2" fmla="val 16110"/>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0CC798E-86F5-424F-A1C5-4A89505048E1}">
      <dsp:nvSpPr>
        <dsp:cNvPr id="0" name=""/>
        <dsp:cNvSpPr/>
      </dsp:nvSpPr>
      <dsp:spPr>
        <a:xfrm>
          <a:off x="162678" y="1211731"/>
          <a:ext cx="1422117" cy="12465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6210" tIns="156210" rIns="156210" bIns="156210" numCol="1" spcCol="1270" anchor="t" anchorCtr="0">
          <a:noAutofit/>
        </a:bodyPr>
        <a:lstStyle/>
        <a:p>
          <a:pPr marL="0" lvl="0" indent="0" algn="l" defTabSz="1822450">
            <a:lnSpc>
              <a:spcPct val="90000"/>
            </a:lnSpc>
            <a:spcBef>
              <a:spcPct val="0"/>
            </a:spcBef>
            <a:spcAft>
              <a:spcPct val="35000"/>
            </a:spcAft>
            <a:buNone/>
          </a:pPr>
          <a:r>
            <a:rPr lang="en-US" altLang="zh-CN" sz="4100" kern="1200"/>
            <a:t>2021</a:t>
          </a:r>
          <a:endParaRPr lang="zh-CN" altLang="en-US" sz="4100" kern="1200"/>
        </a:p>
      </dsp:txBody>
      <dsp:txXfrm>
        <a:off x="162678" y="1211731"/>
        <a:ext cx="1422117" cy="1246569"/>
      </dsp:txXfrm>
    </dsp:sp>
    <dsp:sp modelId="{B8F8E69F-1BF3-4EBF-A2F4-61F71E658B1F}">
      <dsp:nvSpPr>
        <dsp:cNvPr id="0" name=""/>
        <dsp:cNvSpPr/>
      </dsp:nvSpPr>
      <dsp:spPr>
        <a:xfrm>
          <a:off x="1310101" y="611797"/>
          <a:ext cx="268324" cy="268324"/>
        </a:xfrm>
        <a:prstGeom prst="triangle">
          <a:avLst>
            <a:gd name="adj" fmla="val 100000"/>
          </a:avLst>
        </a:prstGeom>
        <a:solidFill>
          <a:schemeClr val="accent3">
            <a:hueOff val="677650"/>
            <a:satOff val="25000"/>
            <a:lumOff val="-3676"/>
            <a:alphaOff val="0"/>
          </a:schemeClr>
        </a:solidFill>
        <a:ln w="12700" cap="flat" cmpd="sng" algn="ctr">
          <a:solidFill>
            <a:schemeClr val="accent3">
              <a:hueOff val="677650"/>
              <a:satOff val="25000"/>
              <a:lumOff val="-3676"/>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EF50B4C-0DFF-4AAF-92D1-27CEA9E085D6}">
      <dsp:nvSpPr>
        <dsp:cNvPr id="0" name=""/>
        <dsp:cNvSpPr/>
      </dsp:nvSpPr>
      <dsp:spPr>
        <a:xfrm rot="5400000">
          <a:off x="2055278" y="296967"/>
          <a:ext cx="946659" cy="1575219"/>
        </a:xfrm>
        <a:prstGeom prst="corner">
          <a:avLst>
            <a:gd name="adj1" fmla="val 16120"/>
            <a:gd name="adj2" fmla="val 16110"/>
          </a:avLst>
        </a:prstGeom>
        <a:solidFill>
          <a:schemeClr val="accent3">
            <a:hueOff val="1355300"/>
            <a:satOff val="50000"/>
            <a:lumOff val="-7353"/>
            <a:alphaOff val="0"/>
          </a:schemeClr>
        </a:solidFill>
        <a:ln w="12700" cap="flat" cmpd="sng" algn="ctr">
          <a:solidFill>
            <a:schemeClr val="accent3">
              <a:hueOff val="1355300"/>
              <a:satOff val="50000"/>
              <a:lumOff val="-735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68AEB9B-968D-48E4-9BC6-879C14D064FF}">
      <dsp:nvSpPr>
        <dsp:cNvPr id="0" name=""/>
        <dsp:cNvSpPr/>
      </dsp:nvSpPr>
      <dsp:spPr>
        <a:xfrm>
          <a:off x="1897257" y="767618"/>
          <a:ext cx="1422117" cy="12465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6210" tIns="156210" rIns="156210" bIns="156210" numCol="1" spcCol="1270" anchor="t" anchorCtr="0">
          <a:noAutofit/>
        </a:bodyPr>
        <a:lstStyle/>
        <a:p>
          <a:pPr marL="0" lvl="0" indent="0" algn="l" defTabSz="1822450">
            <a:lnSpc>
              <a:spcPct val="90000"/>
            </a:lnSpc>
            <a:spcBef>
              <a:spcPct val="0"/>
            </a:spcBef>
            <a:spcAft>
              <a:spcPct val="35000"/>
            </a:spcAft>
            <a:buNone/>
          </a:pPr>
          <a:r>
            <a:rPr lang="en-US" altLang="zh-CN" sz="4100" kern="1200"/>
            <a:t>2025</a:t>
          </a:r>
          <a:endParaRPr lang="zh-CN" altLang="en-US" sz="4100" kern="1200"/>
        </a:p>
      </dsp:txBody>
      <dsp:txXfrm>
        <a:off x="1897257" y="767618"/>
        <a:ext cx="1422117" cy="1246569"/>
      </dsp:txXfrm>
    </dsp:sp>
    <dsp:sp modelId="{309D74F0-D7E9-4A9F-B6B8-4455D2675432}">
      <dsp:nvSpPr>
        <dsp:cNvPr id="0" name=""/>
        <dsp:cNvSpPr/>
      </dsp:nvSpPr>
      <dsp:spPr>
        <a:xfrm>
          <a:off x="3051050" y="180998"/>
          <a:ext cx="268324" cy="268324"/>
        </a:xfrm>
        <a:prstGeom prst="triangle">
          <a:avLst>
            <a:gd name="adj" fmla="val 100000"/>
          </a:avLst>
        </a:prstGeom>
        <a:solidFill>
          <a:schemeClr val="accent3">
            <a:hueOff val="2032949"/>
            <a:satOff val="75000"/>
            <a:lumOff val="-11029"/>
            <a:alphaOff val="0"/>
          </a:schemeClr>
        </a:solidFill>
        <a:ln w="12700" cap="flat" cmpd="sng" algn="ctr">
          <a:solidFill>
            <a:schemeClr val="accent3">
              <a:hueOff val="2032949"/>
              <a:satOff val="75000"/>
              <a:lumOff val="-11029"/>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88EF708-C53A-4433-9C7A-166F9FC6773F}">
      <dsp:nvSpPr>
        <dsp:cNvPr id="0" name=""/>
        <dsp:cNvSpPr/>
      </dsp:nvSpPr>
      <dsp:spPr>
        <a:xfrm rot="5400000">
          <a:off x="3796227" y="-133832"/>
          <a:ext cx="946659" cy="1575219"/>
        </a:xfrm>
        <a:prstGeom prst="corner">
          <a:avLst>
            <a:gd name="adj1" fmla="val 16120"/>
            <a:gd name="adj2" fmla="val 16110"/>
          </a:avLst>
        </a:prstGeom>
        <a:solidFill>
          <a:schemeClr val="accent3">
            <a:hueOff val="2710599"/>
            <a:satOff val="100000"/>
            <a:lumOff val="-14706"/>
            <a:alphaOff val="0"/>
          </a:schemeClr>
        </a:solidFill>
        <a:ln w="12700" cap="flat" cmpd="sng" algn="ctr">
          <a:solidFill>
            <a:schemeClr val="accent3">
              <a:hueOff val="2710599"/>
              <a:satOff val="100000"/>
              <a:lumOff val="-14706"/>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5121CD0-3D98-4374-8612-179CE3E3BFA1}">
      <dsp:nvSpPr>
        <dsp:cNvPr id="0" name=""/>
        <dsp:cNvSpPr/>
      </dsp:nvSpPr>
      <dsp:spPr>
        <a:xfrm>
          <a:off x="3638206" y="336819"/>
          <a:ext cx="1422117" cy="12465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6210" tIns="156210" rIns="156210" bIns="156210" numCol="1" spcCol="1270" anchor="t" anchorCtr="0">
          <a:noAutofit/>
        </a:bodyPr>
        <a:lstStyle/>
        <a:p>
          <a:pPr marL="0" lvl="0" indent="0" algn="l" defTabSz="1822450">
            <a:lnSpc>
              <a:spcPct val="90000"/>
            </a:lnSpc>
            <a:spcBef>
              <a:spcPct val="0"/>
            </a:spcBef>
            <a:spcAft>
              <a:spcPct val="35000"/>
            </a:spcAft>
            <a:buNone/>
          </a:pPr>
          <a:r>
            <a:rPr lang="en-US" altLang="zh-CN" sz="4100" kern="1200"/>
            <a:t>2030</a:t>
          </a:r>
          <a:endParaRPr lang="zh-CN" altLang="en-US" sz="4100" kern="1200"/>
        </a:p>
      </dsp:txBody>
      <dsp:txXfrm>
        <a:off x="3638206" y="336819"/>
        <a:ext cx="1422117" cy="124656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C1EE88-AAAE-4F85-B555-83B9A2C06827}">
      <dsp:nvSpPr>
        <dsp:cNvPr id="0" name=""/>
        <dsp:cNvSpPr/>
      </dsp:nvSpPr>
      <dsp:spPr>
        <a:xfrm>
          <a:off x="4657" y="4283"/>
          <a:ext cx="1478248" cy="591299"/>
        </a:xfrm>
        <a:prstGeom prst="chevron">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US" altLang="zh-CN" sz="900" kern="1200">
              <a:latin typeface="华文楷体" panose="02010600040101010101" pitchFamily="2" charset="-122"/>
              <a:ea typeface="华文楷体" panose="02010600040101010101" pitchFamily="2" charset="-122"/>
            </a:rPr>
            <a:t>2020</a:t>
          </a:r>
          <a:endParaRPr lang="zh-CN" altLang="en-US" sz="900" kern="1200">
            <a:latin typeface="华文楷体" panose="02010600040101010101" pitchFamily="2" charset="-122"/>
            <a:ea typeface="华文楷体" panose="02010600040101010101" pitchFamily="2" charset="-122"/>
          </a:endParaRPr>
        </a:p>
      </dsp:txBody>
      <dsp:txXfrm>
        <a:off x="300307" y="4283"/>
        <a:ext cx="886949" cy="591299"/>
      </dsp:txXfrm>
    </dsp:sp>
    <dsp:sp modelId="{A8833FA4-7F90-4FB7-9D18-3090CD3293B4}">
      <dsp:nvSpPr>
        <dsp:cNvPr id="0" name=""/>
        <dsp:cNvSpPr/>
      </dsp:nvSpPr>
      <dsp:spPr>
        <a:xfrm>
          <a:off x="4657" y="669496"/>
          <a:ext cx="1182599" cy="540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57150" lvl="1" indent="-57150" algn="ctr" defTabSz="400050">
            <a:lnSpc>
              <a:spcPct val="90000"/>
            </a:lnSpc>
            <a:spcBef>
              <a:spcPct val="0"/>
            </a:spcBef>
            <a:spcAft>
              <a:spcPct val="15000"/>
            </a:spcAft>
            <a:buChar char="•"/>
          </a:pPr>
          <a:r>
            <a:rPr lang="en-US" altLang="zh-CN" sz="900" kern="1200">
              <a:latin typeface="华文楷体" panose="02010600040101010101" pitchFamily="2" charset="-122"/>
              <a:ea typeface="华文楷体" panose="02010600040101010101" pitchFamily="2" charset="-122"/>
            </a:rPr>
            <a:t>7million</a:t>
          </a:r>
          <a:endParaRPr lang="zh-CN" altLang="en-US" sz="900" kern="1200">
            <a:latin typeface="华文楷体" panose="02010600040101010101" pitchFamily="2" charset="-122"/>
            <a:ea typeface="华文楷体" panose="02010600040101010101" pitchFamily="2" charset="-122"/>
          </a:endParaRPr>
        </a:p>
        <a:p>
          <a:pPr marL="57150" lvl="1" indent="-57150" algn="ctr" defTabSz="400050">
            <a:lnSpc>
              <a:spcPct val="90000"/>
            </a:lnSpc>
            <a:spcBef>
              <a:spcPct val="0"/>
            </a:spcBef>
            <a:spcAft>
              <a:spcPct val="15000"/>
            </a:spcAft>
            <a:buChar char="•"/>
          </a:pPr>
          <a:r>
            <a:rPr lang="en-US" altLang="en-US" sz="900" kern="1200">
              <a:latin typeface="华文楷体" panose="02010600040101010101" pitchFamily="2" charset="-122"/>
              <a:ea typeface="华文楷体" panose="02010600040101010101" pitchFamily="2" charset="-122"/>
            </a:rPr>
            <a:t>9% permeability</a:t>
          </a:r>
          <a:endParaRPr lang="zh-CN" altLang="en-US" sz="900" kern="1200">
            <a:latin typeface="华文楷体" panose="02010600040101010101" pitchFamily="2" charset="-122"/>
            <a:ea typeface="华文楷体" panose="02010600040101010101" pitchFamily="2" charset="-122"/>
          </a:endParaRPr>
        </a:p>
      </dsp:txBody>
      <dsp:txXfrm>
        <a:off x="4657" y="669496"/>
        <a:ext cx="1182599" cy="540000"/>
      </dsp:txXfrm>
    </dsp:sp>
    <dsp:sp modelId="{8897C447-ED48-4012-934A-0C1A61291C6F}">
      <dsp:nvSpPr>
        <dsp:cNvPr id="0" name=""/>
        <dsp:cNvSpPr/>
      </dsp:nvSpPr>
      <dsp:spPr>
        <a:xfrm>
          <a:off x="1266906" y="4283"/>
          <a:ext cx="1478248" cy="591299"/>
        </a:xfrm>
        <a:prstGeom prst="chevron">
          <a:avLst/>
        </a:prstGeom>
        <a:solidFill>
          <a:schemeClr val="accent2">
            <a:hueOff val="-485121"/>
            <a:satOff val="-27976"/>
            <a:lumOff val="2876"/>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US" altLang="zh-CN" sz="900" kern="1200">
              <a:latin typeface="华文楷体" panose="02010600040101010101" pitchFamily="2" charset="-122"/>
              <a:ea typeface="华文楷体" panose="02010600040101010101" pitchFamily="2" charset="-122"/>
            </a:rPr>
            <a:t>2030</a:t>
          </a:r>
          <a:endParaRPr lang="zh-CN" altLang="en-US" sz="900" kern="1200">
            <a:latin typeface="华文楷体" panose="02010600040101010101" pitchFamily="2" charset="-122"/>
            <a:ea typeface="华文楷体" panose="02010600040101010101" pitchFamily="2" charset="-122"/>
          </a:endParaRPr>
        </a:p>
      </dsp:txBody>
      <dsp:txXfrm>
        <a:off x="1562556" y="4283"/>
        <a:ext cx="886949" cy="591299"/>
      </dsp:txXfrm>
    </dsp:sp>
    <dsp:sp modelId="{640A951B-A537-4079-A00A-0A152E0170D5}">
      <dsp:nvSpPr>
        <dsp:cNvPr id="0" name=""/>
        <dsp:cNvSpPr/>
      </dsp:nvSpPr>
      <dsp:spPr>
        <a:xfrm>
          <a:off x="1266906" y="669496"/>
          <a:ext cx="1182599" cy="540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57150" lvl="1" indent="-57150" algn="ctr" defTabSz="400050">
            <a:lnSpc>
              <a:spcPct val="90000"/>
            </a:lnSpc>
            <a:spcBef>
              <a:spcPct val="0"/>
            </a:spcBef>
            <a:spcAft>
              <a:spcPct val="15000"/>
            </a:spcAft>
            <a:buChar char="•"/>
          </a:pPr>
          <a:r>
            <a:rPr lang="en-US" altLang="zh-CN" sz="900" kern="1200">
              <a:latin typeface="华文楷体" panose="02010600040101010101" pitchFamily="2" charset="-122"/>
              <a:ea typeface="华文楷体" panose="02010600040101010101" pitchFamily="2" charset="-122"/>
            </a:rPr>
            <a:t>30million</a:t>
          </a:r>
          <a:endParaRPr lang="zh-CN" altLang="en-US" sz="900" kern="1200">
            <a:latin typeface="华文楷体" panose="02010600040101010101" pitchFamily="2" charset="-122"/>
            <a:ea typeface="华文楷体" panose="02010600040101010101" pitchFamily="2" charset="-122"/>
          </a:endParaRPr>
        </a:p>
        <a:p>
          <a:pPr marL="57150" lvl="1" indent="-57150" algn="ctr" defTabSz="400050">
            <a:lnSpc>
              <a:spcPct val="90000"/>
            </a:lnSpc>
            <a:spcBef>
              <a:spcPct val="0"/>
            </a:spcBef>
            <a:spcAft>
              <a:spcPct val="15000"/>
            </a:spcAft>
            <a:buChar char="•"/>
          </a:pPr>
          <a:r>
            <a:rPr lang="en-US" altLang="zh-CN" sz="900" kern="1200">
              <a:latin typeface="华文楷体" panose="02010600040101010101" pitchFamily="2" charset="-122"/>
              <a:ea typeface="华文楷体" panose="02010600040101010101" pitchFamily="2" charset="-122"/>
            </a:rPr>
            <a:t>30% permeability</a:t>
          </a:r>
          <a:endParaRPr lang="zh-CN" altLang="en-US" sz="900" kern="1200">
            <a:latin typeface="华文楷体" panose="02010600040101010101" pitchFamily="2" charset="-122"/>
            <a:ea typeface="华文楷体" panose="02010600040101010101" pitchFamily="2" charset="-122"/>
          </a:endParaRPr>
        </a:p>
      </dsp:txBody>
      <dsp:txXfrm>
        <a:off x="1266906" y="669496"/>
        <a:ext cx="1182599" cy="540000"/>
      </dsp:txXfrm>
    </dsp:sp>
    <dsp:sp modelId="{7A50D566-8193-45C6-847F-30DF7C402444}">
      <dsp:nvSpPr>
        <dsp:cNvPr id="0" name=""/>
        <dsp:cNvSpPr/>
      </dsp:nvSpPr>
      <dsp:spPr>
        <a:xfrm>
          <a:off x="2529155" y="4283"/>
          <a:ext cx="1478248" cy="591299"/>
        </a:xfrm>
        <a:prstGeom prst="chevron">
          <a:avLst/>
        </a:prstGeom>
        <a:solidFill>
          <a:schemeClr val="accent2">
            <a:hueOff val="-970242"/>
            <a:satOff val="-55952"/>
            <a:lumOff val="5752"/>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US" altLang="zh-CN" sz="900" kern="1200">
              <a:latin typeface="华文楷体" panose="02010600040101010101" pitchFamily="2" charset="-122"/>
              <a:ea typeface="华文楷体" panose="02010600040101010101" pitchFamily="2" charset="-122"/>
            </a:rPr>
            <a:t>2040</a:t>
          </a:r>
          <a:endParaRPr lang="zh-CN" altLang="en-US" sz="900" kern="1200">
            <a:latin typeface="华文楷体" panose="02010600040101010101" pitchFamily="2" charset="-122"/>
            <a:ea typeface="华文楷体" panose="02010600040101010101" pitchFamily="2" charset="-122"/>
          </a:endParaRPr>
        </a:p>
      </dsp:txBody>
      <dsp:txXfrm>
        <a:off x="2824805" y="4283"/>
        <a:ext cx="886949" cy="591299"/>
      </dsp:txXfrm>
    </dsp:sp>
    <dsp:sp modelId="{B4EEACE1-4099-4F7F-8F1B-668B9B11B5C3}">
      <dsp:nvSpPr>
        <dsp:cNvPr id="0" name=""/>
        <dsp:cNvSpPr/>
      </dsp:nvSpPr>
      <dsp:spPr>
        <a:xfrm>
          <a:off x="2529155" y="669496"/>
          <a:ext cx="1182599" cy="540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57150" lvl="1" indent="-57150" algn="ctr" defTabSz="400050">
            <a:lnSpc>
              <a:spcPct val="90000"/>
            </a:lnSpc>
            <a:spcBef>
              <a:spcPct val="0"/>
            </a:spcBef>
            <a:spcAft>
              <a:spcPct val="15000"/>
            </a:spcAft>
            <a:buChar char="•"/>
          </a:pPr>
          <a:r>
            <a:rPr lang="en-US" altLang="zh-CN" sz="900" kern="1200">
              <a:latin typeface="华文楷体" panose="02010600040101010101" pitchFamily="2" charset="-122"/>
              <a:ea typeface="华文楷体" panose="02010600040101010101" pitchFamily="2" charset="-122"/>
            </a:rPr>
            <a:t>70million</a:t>
          </a:r>
          <a:endParaRPr lang="zh-CN" altLang="en-US" sz="900" kern="1200">
            <a:latin typeface="华文楷体" panose="02010600040101010101" pitchFamily="2" charset="-122"/>
            <a:ea typeface="华文楷体" panose="02010600040101010101" pitchFamily="2" charset="-122"/>
          </a:endParaRPr>
        </a:p>
        <a:p>
          <a:pPr marL="57150" lvl="1" indent="-57150" algn="ctr" defTabSz="400050">
            <a:lnSpc>
              <a:spcPct val="90000"/>
            </a:lnSpc>
            <a:spcBef>
              <a:spcPct val="0"/>
            </a:spcBef>
            <a:spcAft>
              <a:spcPct val="15000"/>
            </a:spcAft>
            <a:buChar char="•"/>
          </a:pPr>
          <a:r>
            <a:rPr lang="en-US" altLang="zh-CN" sz="900" kern="1200">
              <a:latin typeface="华文楷体" panose="02010600040101010101" pitchFamily="2" charset="-122"/>
              <a:ea typeface="华文楷体" panose="02010600040101010101" pitchFamily="2" charset="-122"/>
            </a:rPr>
            <a:t>45% permeability</a:t>
          </a:r>
          <a:endParaRPr lang="zh-CN" altLang="en-US" sz="900" kern="1200">
            <a:latin typeface="华文楷体" panose="02010600040101010101" pitchFamily="2" charset="-122"/>
            <a:ea typeface="华文楷体" panose="02010600040101010101" pitchFamily="2" charset="-122"/>
          </a:endParaRPr>
        </a:p>
      </dsp:txBody>
      <dsp:txXfrm>
        <a:off x="2529155" y="669496"/>
        <a:ext cx="1182599" cy="540000"/>
      </dsp:txXfrm>
    </dsp:sp>
    <dsp:sp modelId="{E1A26684-9232-4EE9-A3F9-BB3ECB31ACE9}">
      <dsp:nvSpPr>
        <dsp:cNvPr id="0" name=""/>
        <dsp:cNvSpPr/>
      </dsp:nvSpPr>
      <dsp:spPr>
        <a:xfrm>
          <a:off x="3791403" y="4283"/>
          <a:ext cx="1478248" cy="591299"/>
        </a:xfrm>
        <a:prstGeom prst="chevron">
          <a:avLst/>
        </a:prstGeom>
        <a:solidFill>
          <a:schemeClr val="accent2">
            <a:hueOff val="-1455363"/>
            <a:satOff val="-83928"/>
            <a:lumOff val="8628"/>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US" altLang="zh-CN" sz="900" kern="1200">
              <a:latin typeface="华文楷体" panose="02010600040101010101" pitchFamily="2" charset="-122"/>
              <a:ea typeface="华文楷体" panose="02010600040101010101" pitchFamily="2" charset="-122"/>
            </a:rPr>
            <a:t>2050</a:t>
          </a:r>
          <a:endParaRPr lang="zh-CN" altLang="en-US" sz="900" kern="1200">
            <a:latin typeface="华文楷体" panose="02010600040101010101" pitchFamily="2" charset="-122"/>
            <a:ea typeface="华文楷体" panose="02010600040101010101" pitchFamily="2" charset="-122"/>
          </a:endParaRPr>
        </a:p>
      </dsp:txBody>
      <dsp:txXfrm>
        <a:off x="4087053" y="4283"/>
        <a:ext cx="886949" cy="591299"/>
      </dsp:txXfrm>
    </dsp:sp>
    <dsp:sp modelId="{635512B2-FC50-4141-9500-75358ACBF982}">
      <dsp:nvSpPr>
        <dsp:cNvPr id="0" name=""/>
        <dsp:cNvSpPr/>
      </dsp:nvSpPr>
      <dsp:spPr>
        <a:xfrm>
          <a:off x="3791403" y="669496"/>
          <a:ext cx="1182599" cy="540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57150" lvl="1" indent="-57150" algn="ctr" defTabSz="400050">
            <a:lnSpc>
              <a:spcPct val="90000"/>
            </a:lnSpc>
            <a:spcBef>
              <a:spcPct val="0"/>
            </a:spcBef>
            <a:spcAft>
              <a:spcPct val="15000"/>
            </a:spcAft>
            <a:buChar char="•"/>
          </a:pPr>
          <a:r>
            <a:rPr lang="en-US" altLang="zh-CN" sz="900" kern="1200">
              <a:latin typeface="华文楷体" panose="02010600040101010101" pitchFamily="2" charset="-122"/>
              <a:ea typeface="华文楷体" panose="02010600040101010101" pitchFamily="2" charset="-122"/>
            </a:rPr>
            <a:t>100million</a:t>
          </a:r>
          <a:endParaRPr lang="zh-CN" altLang="en-US" sz="900" kern="1200">
            <a:latin typeface="华文楷体" panose="02010600040101010101" pitchFamily="2" charset="-122"/>
            <a:ea typeface="华文楷体" panose="02010600040101010101" pitchFamily="2" charset="-122"/>
          </a:endParaRPr>
        </a:p>
        <a:p>
          <a:pPr marL="57150" lvl="1" indent="-57150" algn="ctr" defTabSz="400050">
            <a:lnSpc>
              <a:spcPct val="90000"/>
            </a:lnSpc>
            <a:spcBef>
              <a:spcPct val="0"/>
            </a:spcBef>
            <a:spcAft>
              <a:spcPct val="15000"/>
            </a:spcAft>
            <a:buChar char="•"/>
          </a:pPr>
          <a:r>
            <a:rPr lang="en-US" altLang="zh-CN" sz="900" kern="1200">
              <a:latin typeface="华文楷体" panose="02010600040101010101" pitchFamily="2" charset="-122"/>
              <a:ea typeface="华文楷体" panose="02010600040101010101" pitchFamily="2" charset="-122"/>
            </a:rPr>
            <a:t>60% permeability</a:t>
          </a:r>
          <a:endParaRPr lang="zh-CN" altLang="en-US" sz="900" kern="1200">
            <a:latin typeface="华文楷体" panose="02010600040101010101" pitchFamily="2" charset="-122"/>
            <a:ea typeface="华文楷体" panose="02010600040101010101" pitchFamily="2" charset="-122"/>
          </a:endParaRPr>
        </a:p>
      </dsp:txBody>
      <dsp:txXfrm>
        <a:off x="3791403" y="669496"/>
        <a:ext cx="1182599" cy="540000"/>
      </dsp:txXfrm>
    </dsp:sp>
  </dsp:spTree>
</dsp:drawing>
</file>

<file path=word/diagrams/layout1.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E2C50-B35C-4112-94CC-B079BDF1E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630</TotalTime>
  <Pages>28</Pages>
  <Words>5425</Words>
  <Characters>30929</Characters>
  <Application>Microsoft Office Word</Application>
  <DocSecurity>0</DocSecurity>
  <Lines>257</Lines>
  <Paragraphs>72</Paragraphs>
  <ScaleCrop>false</ScaleCrop>
  <Company/>
  <LinksUpToDate>false</LinksUpToDate>
  <CharactersWithSpaces>36282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杜 君振</dc:creator>
  <cp:keywords/>
  <dc:description>NE.Bib</dc:description>
  <cp:lastModifiedBy>杜 君振</cp:lastModifiedBy>
  <cp:revision>131</cp:revision>
  <dcterms:created xsi:type="dcterms:W3CDTF">2020-12-12T03:11:00Z</dcterms:created>
  <dcterms:modified xsi:type="dcterms:W3CDTF">2020-12-17T12:13:00Z</dcterms:modified>
</cp:coreProperties>
</file>