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BCAAF" w14:textId="77777777" w:rsidR="003E0776" w:rsidRDefault="003E0776" w:rsidP="003E0776">
      <w:pPr>
        <w:spacing w:line="360" w:lineRule="auto"/>
        <w:jc w:val="center"/>
        <w:rPr>
          <w:rFonts w:ascii="Aptos" w:hAnsi="Aptos" w:cs="Arial"/>
          <w:b/>
          <w:bCs/>
          <w:sz w:val="28"/>
          <w:szCs w:val="28"/>
        </w:rPr>
      </w:pPr>
      <w:r>
        <w:rPr>
          <w:rFonts w:ascii="Aptos" w:hAnsi="Aptos" w:cs="Arial"/>
          <w:b/>
          <w:bCs/>
          <w:sz w:val="28"/>
          <w:szCs w:val="28"/>
        </w:rPr>
        <w:t>Course: BSc (Hons) Health and Social Care</w:t>
      </w:r>
    </w:p>
    <w:p w14:paraId="0CCB8228" w14:textId="77777777" w:rsidR="003E0776" w:rsidRDefault="003E0776" w:rsidP="003E0776">
      <w:pPr>
        <w:spacing w:line="360" w:lineRule="auto"/>
        <w:jc w:val="center"/>
        <w:rPr>
          <w:rFonts w:ascii="Aptos" w:hAnsi="Aptos" w:cs="Arial"/>
          <w:b/>
          <w:bCs/>
          <w:sz w:val="28"/>
          <w:szCs w:val="28"/>
        </w:rPr>
      </w:pPr>
      <w:r>
        <w:rPr>
          <w:rFonts w:ascii="Aptos" w:hAnsi="Aptos" w:cs="Arial"/>
          <w:b/>
          <w:bCs/>
          <w:sz w:val="28"/>
          <w:szCs w:val="28"/>
        </w:rPr>
        <w:t>Module: Independent Project (BMHP6020_BIRM)</w:t>
      </w:r>
    </w:p>
    <w:p w14:paraId="764CDF31" w14:textId="77777777" w:rsidR="003E0776" w:rsidRDefault="003E0776" w:rsidP="003E0776">
      <w:pPr>
        <w:spacing w:line="360" w:lineRule="auto"/>
        <w:jc w:val="center"/>
        <w:rPr>
          <w:rFonts w:ascii="Aptos" w:hAnsi="Aptos" w:cs="Arial"/>
          <w:sz w:val="28"/>
          <w:szCs w:val="28"/>
        </w:rPr>
      </w:pPr>
    </w:p>
    <w:p w14:paraId="7E1B5082" w14:textId="77777777" w:rsidR="003E0776" w:rsidRDefault="003E0776" w:rsidP="003E0776">
      <w:pPr>
        <w:spacing w:line="360" w:lineRule="auto"/>
        <w:jc w:val="center"/>
        <w:rPr>
          <w:rFonts w:ascii="Aptos" w:hAnsi="Aptos" w:cs="Arial"/>
          <w:b/>
          <w:bCs/>
          <w:sz w:val="28"/>
          <w:szCs w:val="28"/>
        </w:rPr>
      </w:pPr>
      <w:r>
        <w:rPr>
          <w:rFonts w:ascii="Aptos" w:hAnsi="Aptos" w:cs="Arial"/>
          <w:b/>
          <w:bCs/>
          <w:sz w:val="28"/>
          <w:szCs w:val="28"/>
        </w:rPr>
        <w:t xml:space="preserve">Component 1: </w:t>
      </w:r>
      <w:r>
        <w:rPr>
          <w:rFonts w:ascii="Aptos" w:hAnsi="Aptos" w:cs="Arial"/>
          <w:sz w:val="28"/>
          <w:szCs w:val="28"/>
        </w:rPr>
        <w:t xml:space="preserve">Element 1 - Project Proposal </w:t>
      </w:r>
    </w:p>
    <w:p w14:paraId="78EC9936" w14:textId="77777777" w:rsidR="003E0776" w:rsidRDefault="003E0776" w:rsidP="003E0776">
      <w:pPr>
        <w:spacing w:line="360" w:lineRule="auto"/>
        <w:rPr>
          <w:rFonts w:ascii="Aptos" w:hAnsi="Aptos" w:cs="Arial"/>
          <w:sz w:val="28"/>
          <w:szCs w:val="28"/>
        </w:rPr>
      </w:pPr>
    </w:p>
    <w:p w14:paraId="27BEB4EA" w14:textId="77777777" w:rsidR="003E0776" w:rsidRDefault="003E0776" w:rsidP="003E0776">
      <w:pPr>
        <w:spacing w:line="360" w:lineRule="auto"/>
        <w:rPr>
          <w:rFonts w:ascii="Aptos" w:hAnsi="Aptos" w:cs="Arial"/>
          <w:sz w:val="28"/>
          <w:szCs w:val="28"/>
        </w:rPr>
      </w:pPr>
    </w:p>
    <w:p w14:paraId="5A2F3811" w14:textId="3F0B229E" w:rsidR="003E0776" w:rsidRDefault="003E0776" w:rsidP="003E0776">
      <w:pPr>
        <w:spacing w:line="360" w:lineRule="auto"/>
        <w:rPr>
          <w:rFonts w:ascii="Aptos" w:hAnsi="Aptos" w:cs="Arial"/>
          <w:sz w:val="28"/>
          <w:szCs w:val="28"/>
        </w:rPr>
      </w:pPr>
      <w:r>
        <w:rPr>
          <w:rFonts w:ascii="Aptos" w:hAnsi="Aptos" w:cs="Arial"/>
          <w:b/>
          <w:bCs/>
          <w:sz w:val="28"/>
          <w:szCs w:val="28"/>
        </w:rPr>
        <w:t>Student ID</w:t>
      </w:r>
      <w:r>
        <w:rPr>
          <w:rFonts w:ascii="Aptos" w:hAnsi="Aptos" w:cs="Arial"/>
          <w:sz w:val="28"/>
          <w:szCs w:val="28"/>
        </w:rPr>
        <w:t xml:space="preserve">: </w:t>
      </w:r>
      <w:r>
        <w:rPr>
          <w:rFonts w:ascii="Aptos" w:hAnsi="Aptos" w:cs="Arial"/>
          <w:sz w:val="28"/>
          <w:szCs w:val="28"/>
        </w:rPr>
        <w:t>2309622</w:t>
      </w:r>
    </w:p>
    <w:p w14:paraId="6086D3D1" w14:textId="77777777" w:rsidR="003E0776" w:rsidRDefault="003E0776" w:rsidP="003E0776">
      <w:pPr>
        <w:spacing w:line="360" w:lineRule="auto"/>
        <w:rPr>
          <w:rFonts w:ascii="Aptos" w:hAnsi="Aptos" w:cs="Arial"/>
          <w:sz w:val="28"/>
          <w:szCs w:val="28"/>
        </w:rPr>
      </w:pPr>
    </w:p>
    <w:p w14:paraId="2F78EB7E" w14:textId="717DC54F" w:rsidR="003E0776" w:rsidRDefault="003E0776" w:rsidP="003E0776">
      <w:pPr>
        <w:spacing w:line="360" w:lineRule="auto"/>
        <w:rPr>
          <w:rFonts w:ascii="Aptos" w:hAnsi="Aptos" w:cs="Arial"/>
          <w:sz w:val="28"/>
          <w:szCs w:val="28"/>
        </w:rPr>
      </w:pPr>
      <w:r>
        <w:rPr>
          <w:rFonts w:ascii="Aptos" w:hAnsi="Aptos" w:cs="Arial"/>
          <w:b/>
          <w:bCs/>
          <w:sz w:val="28"/>
          <w:szCs w:val="28"/>
        </w:rPr>
        <w:t>Student Name</w:t>
      </w:r>
      <w:r>
        <w:rPr>
          <w:rFonts w:ascii="Aptos" w:hAnsi="Aptos" w:cs="Arial"/>
          <w:sz w:val="28"/>
          <w:szCs w:val="28"/>
        </w:rPr>
        <w:t xml:space="preserve">: </w:t>
      </w:r>
      <w:r>
        <w:rPr>
          <w:rFonts w:ascii="Aptos" w:hAnsi="Aptos" w:cs="Arial"/>
          <w:sz w:val="28"/>
          <w:szCs w:val="28"/>
        </w:rPr>
        <w:t>Tina Carpenter</w:t>
      </w:r>
    </w:p>
    <w:p w14:paraId="4CEF1032" w14:textId="77777777" w:rsidR="003E0776" w:rsidRDefault="003E0776" w:rsidP="003E0776">
      <w:pPr>
        <w:spacing w:line="360" w:lineRule="auto"/>
        <w:rPr>
          <w:rFonts w:ascii="Aptos" w:hAnsi="Aptos" w:cs="Arial"/>
          <w:sz w:val="28"/>
          <w:szCs w:val="28"/>
        </w:rPr>
      </w:pPr>
    </w:p>
    <w:p w14:paraId="0A4D3CB0" w14:textId="77777777" w:rsidR="003E0776" w:rsidRDefault="003E0776" w:rsidP="003E0776">
      <w:pPr>
        <w:spacing w:line="360" w:lineRule="auto"/>
        <w:rPr>
          <w:rFonts w:ascii="Aptos" w:hAnsi="Aptos" w:cs="Arial"/>
        </w:rPr>
      </w:pPr>
    </w:p>
    <w:p w14:paraId="501DDC57" w14:textId="77777777" w:rsidR="003E0776" w:rsidRDefault="003E0776" w:rsidP="003E0776">
      <w:pPr>
        <w:spacing w:line="360" w:lineRule="auto"/>
        <w:rPr>
          <w:rFonts w:ascii="Aptos" w:hAnsi="Aptos" w:cs="Arial"/>
        </w:rPr>
      </w:pPr>
      <w:r>
        <w:rPr>
          <w:rFonts w:ascii="Aptos" w:hAnsi="Aptos" w:cs="Arial"/>
        </w:rPr>
        <w:br w:type="page"/>
      </w:r>
    </w:p>
    <w:p w14:paraId="249ADC7C" w14:textId="77777777" w:rsidR="003E0776" w:rsidRPr="003E0776" w:rsidRDefault="003E0776" w:rsidP="003E0776">
      <w:pPr>
        <w:pStyle w:val="Heading1"/>
        <w:rPr>
          <w:rFonts w:ascii="Aptos" w:hAnsi="Aptos"/>
          <w:color w:val="auto"/>
        </w:rPr>
      </w:pPr>
      <w:r w:rsidRPr="003E0776">
        <w:rPr>
          <w:rFonts w:ascii="Aptos" w:hAnsi="Aptos"/>
          <w:color w:val="auto"/>
        </w:rPr>
        <w:lastRenderedPageBreak/>
        <w:t>Element 1 - Project Proposal</w:t>
      </w:r>
    </w:p>
    <w:p w14:paraId="24C0EAFA" w14:textId="778198E7" w:rsidR="003E0776" w:rsidRDefault="003E0776" w:rsidP="003E0776">
      <w:pPr>
        <w:pStyle w:val="Heading2"/>
        <w:rPr>
          <w:rFonts w:ascii="Aptos" w:hAnsi="Aptos" w:cs="Arial"/>
        </w:rPr>
      </w:pPr>
    </w:p>
    <w:p w14:paraId="4A29DB20"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1. Research Title</w:t>
      </w:r>
    </w:p>
    <w:p w14:paraId="42C83E48"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b/>
          <w:bCs/>
          <w:szCs w:val="24"/>
          <w:lang w:eastAsia="en-GB"/>
          <w14:ligatures w14:val="none"/>
        </w:rPr>
        <w:t>Alcohol Misuse Beyond Retirement Age: Exploring the Impact and Barriers to Support in Birmingham, UK (2015–2025)</w:t>
      </w:r>
    </w:p>
    <w:p w14:paraId="170A19F7" w14:textId="1000129F" w:rsidR="003E0776" w:rsidRPr="003E0776" w:rsidRDefault="003E0776" w:rsidP="003E0776">
      <w:pPr>
        <w:spacing w:after="0" w:line="240" w:lineRule="auto"/>
        <w:rPr>
          <w:rFonts w:eastAsia="Times New Roman" w:cs="Times New Roman"/>
          <w:szCs w:val="24"/>
          <w:lang w:eastAsia="en-GB"/>
          <w14:ligatures w14:val="none"/>
        </w:rPr>
      </w:pPr>
    </w:p>
    <w:p w14:paraId="7992C8FB"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2. Research Aim</w:t>
      </w:r>
    </w:p>
    <w:p w14:paraId="0F35447D"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The aim of this study is to explore the impact of alcohol misuse among adults aged 65 and over in Birmingham, UK, over the past ten years (2015–2025), and to examine the barriers that prevent this population from accessing appropriate health and social care support.</w:t>
      </w:r>
    </w:p>
    <w:p w14:paraId="09913A44" w14:textId="6DD71AAD" w:rsidR="003E0776" w:rsidRPr="003E0776" w:rsidRDefault="003E0776" w:rsidP="003E0776">
      <w:pPr>
        <w:spacing w:after="0" w:line="240" w:lineRule="auto"/>
        <w:rPr>
          <w:rFonts w:eastAsia="Times New Roman" w:cs="Times New Roman"/>
          <w:szCs w:val="24"/>
          <w:lang w:eastAsia="en-GB"/>
          <w14:ligatures w14:val="none"/>
        </w:rPr>
      </w:pPr>
    </w:p>
    <w:p w14:paraId="237507CA"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3. Research Objectives</w:t>
      </w:r>
    </w:p>
    <w:p w14:paraId="5BB895FD" w14:textId="77777777" w:rsidR="003E0776" w:rsidRPr="003E0776" w:rsidRDefault="003E0776" w:rsidP="003E0776">
      <w:pPr>
        <w:numPr>
          <w:ilvl w:val="0"/>
          <w:numId w:val="2"/>
        </w:num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To analyse trends in alcohol-related harm among adults aged 65+ in Birmingham between 2015 and 2025.</w:t>
      </w:r>
    </w:p>
    <w:p w14:paraId="535F014C" w14:textId="77777777" w:rsidR="003E0776" w:rsidRPr="003E0776" w:rsidRDefault="003E0776" w:rsidP="003E0776">
      <w:pPr>
        <w:numPr>
          <w:ilvl w:val="0"/>
          <w:numId w:val="2"/>
        </w:num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To examine the physical, psychological, and social impacts of alcohol misuse in older adults.</w:t>
      </w:r>
    </w:p>
    <w:p w14:paraId="7EC19A25" w14:textId="77777777" w:rsidR="003E0776" w:rsidRPr="003E0776" w:rsidRDefault="003E0776" w:rsidP="003E0776">
      <w:pPr>
        <w:numPr>
          <w:ilvl w:val="0"/>
          <w:numId w:val="2"/>
        </w:num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To identify structural, social, and individual barriers limiting access to alcohol support services.</w:t>
      </w:r>
    </w:p>
    <w:p w14:paraId="64437FF7" w14:textId="77777777" w:rsidR="003E0776" w:rsidRPr="003E0776" w:rsidRDefault="003E0776" w:rsidP="003E0776">
      <w:pPr>
        <w:numPr>
          <w:ilvl w:val="0"/>
          <w:numId w:val="2"/>
        </w:num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To review current UK policies and local interventions addressing alcohol misuse in later life.</w:t>
      </w:r>
    </w:p>
    <w:p w14:paraId="0C9110C2" w14:textId="70275289" w:rsidR="003E0776" w:rsidRPr="003E0776" w:rsidRDefault="003E0776" w:rsidP="003E0776">
      <w:pPr>
        <w:spacing w:after="0" w:line="240" w:lineRule="auto"/>
        <w:rPr>
          <w:rFonts w:eastAsia="Times New Roman" w:cs="Times New Roman"/>
          <w:szCs w:val="24"/>
          <w:lang w:eastAsia="en-GB"/>
          <w14:ligatures w14:val="none"/>
        </w:rPr>
      </w:pPr>
    </w:p>
    <w:p w14:paraId="343C96C7"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4. Background &amp; Rationale</w:t>
      </w:r>
    </w:p>
    <w:p w14:paraId="137121E5"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Alcohol misuse is frequently associated with younger adults; however, evidence indicates rising alcohol-related hospital admissions among older populations in England (NHS Digital, 2023). Ageing increases physiological sensitivity to alcohol due to slower metabolism, comorbidities, and interactions with prescribed medications, meaning that even lower levels of consumption can result in significant harm (Royal College of Psychiatrists, 2018).</w:t>
      </w:r>
    </w:p>
    <w:p w14:paraId="762DFA3F"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Older adults may experience alcohol misuse due to bereavement, loneliness, retirement-related identity loss, or chronic pain (Drinkaware, 2022). Social isolation and changing life circumstances can increase vulnerability in later life, particularly in urban areas with socioeconomic inequalities such as Birmingham. Furthermore, alcohol misuse among older adults is frequently underdiagnosed, as symptoms may be misattributed to ageing, depression, or cognitive decline (Crome and Rao, 2011).</w:t>
      </w:r>
    </w:p>
    <w:p w14:paraId="5CE63B98"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lastRenderedPageBreak/>
        <w:t>Despite growing concern, alcohol services are often designed around younger populations, with limited age-specific screening or tailored interventions (Public Health England, 2018). Stigma, generational attitudes towards drinking, reduced mobility, and limited awareness of available services may further prevent older adults from seeking help (Royal College of Psychiatrists, 2018).</w:t>
      </w:r>
    </w:p>
    <w:p w14:paraId="0789280A"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Within Health and Social Care, untreated alcohol misuse in later life contributes to increased risks of falls, frailty, hospital admissions, and alcohol-specific mortality (Office for National Statistics, 2022). Alcohol-related harm therefore presents a significant burden on NHS services and social care provision. While national data outline overall trends, there is limited focused analysis exploring the specific impact and barriers within Birmingham over the past decade. This study seeks to address this gap by synthesising secondary evidence within a defined geographical and temporal framework.</w:t>
      </w:r>
    </w:p>
    <w:p w14:paraId="33D1B7BD" w14:textId="2F963CFE" w:rsidR="003E0776" w:rsidRPr="003E0776" w:rsidRDefault="003E0776" w:rsidP="003E0776">
      <w:pPr>
        <w:spacing w:after="0" w:line="240" w:lineRule="auto"/>
        <w:rPr>
          <w:rFonts w:eastAsia="Times New Roman" w:cs="Times New Roman"/>
          <w:szCs w:val="24"/>
          <w:lang w:eastAsia="en-GB"/>
          <w14:ligatures w14:val="none"/>
        </w:rPr>
      </w:pPr>
    </w:p>
    <w:p w14:paraId="0F8298AB"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5. Research Methods</w:t>
      </w:r>
    </w:p>
    <w:p w14:paraId="202784C8"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This study will adopt a secondary research design using a structured literature review and analysis of publicly available statistical data. Academic sources will be accessed through Google Scholar, PubMed, and UWTSD Library databases. Government and public health reports will be obtained from NHS Digital, the Office for National Statistics (ONS), and Public Health England.</w:t>
      </w:r>
    </w:p>
    <w:p w14:paraId="271DAA06"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Inclusion criteria will focus on UK-based research published between 2015 and 2025 relating to adults aged 65 and over. Statistical trends in alcohol-related hospital admissions and mortality will be examined (NHS Digital, 2023; Office for National Statistics, 2022). Thematic analysis will be applied to identify recurring barriers and impacts highlighted within the literature. This method is appropriate as it enables comprehensive analysis of existing evidence within the timeframe and ethical boundaries of the module.</w:t>
      </w:r>
    </w:p>
    <w:p w14:paraId="381078F4" w14:textId="31AEB36B" w:rsidR="003E0776" w:rsidRPr="003E0776" w:rsidRDefault="003E0776" w:rsidP="003E0776">
      <w:pPr>
        <w:spacing w:after="0" w:line="240" w:lineRule="auto"/>
        <w:rPr>
          <w:rFonts w:eastAsia="Times New Roman" w:cs="Times New Roman"/>
          <w:szCs w:val="24"/>
          <w:lang w:eastAsia="en-GB"/>
          <w14:ligatures w14:val="none"/>
        </w:rPr>
      </w:pPr>
    </w:p>
    <w:p w14:paraId="6AFCFB22"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6. Ethical Considerations</w:t>
      </w:r>
    </w:p>
    <w:p w14:paraId="063B4709"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As this study relies exclusively on secondary data, no direct participant involvement is required. All information will be obtained from publicly accessible and reputable sources. Harvard referencing will be applied consistently to avoid plagiarism and maintain academic integrity. Sources will be critically evaluated to minimise bias and ensure accurate representation of findings (Public Health England, 2018).</w:t>
      </w:r>
    </w:p>
    <w:p w14:paraId="2B20C52A" w14:textId="1625CCDE" w:rsidR="003E0776" w:rsidRPr="003E0776" w:rsidRDefault="003E0776" w:rsidP="003E0776">
      <w:pPr>
        <w:spacing w:after="0" w:line="240" w:lineRule="auto"/>
        <w:rPr>
          <w:rFonts w:eastAsia="Times New Roman" w:cs="Times New Roman"/>
          <w:szCs w:val="24"/>
          <w:lang w:eastAsia="en-GB"/>
          <w14:ligatures w14:val="none"/>
        </w:rPr>
      </w:pPr>
    </w:p>
    <w:p w14:paraId="2338AC22"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7. Resources</w:t>
      </w:r>
    </w:p>
    <w:p w14:paraId="50305FF4"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Key resources include UWTSD Library databases, Google Scholar, PubMed, NHS Digital datasets, ONS statistics, and national public health reports. Sufficient literature exists to support the feasibility of this study.</w:t>
      </w:r>
    </w:p>
    <w:p w14:paraId="6ADDF80B" w14:textId="43310E94" w:rsidR="003E0776" w:rsidRPr="003E0776" w:rsidRDefault="003E0776" w:rsidP="003E0776">
      <w:pPr>
        <w:spacing w:after="0" w:line="240" w:lineRule="auto"/>
        <w:rPr>
          <w:rFonts w:eastAsia="Times New Roman" w:cs="Times New Roman"/>
          <w:szCs w:val="24"/>
          <w:lang w:eastAsia="en-GB"/>
          <w14:ligatures w14:val="none"/>
        </w:rPr>
      </w:pPr>
    </w:p>
    <w:p w14:paraId="6081A71E"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8. Research Timeline</w:t>
      </w:r>
    </w:p>
    <w:p w14:paraId="68F5241B"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Weeks 1–2: Literature search and data collection</w:t>
      </w:r>
      <w:r w:rsidRPr="003E0776">
        <w:rPr>
          <w:rFonts w:eastAsia="Times New Roman" w:cs="Times New Roman"/>
          <w:szCs w:val="24"/>
          <w:lang w:eastAsia="en-GB"/>
          <w14:ligatures w14:val="none"/>
        </w:rPr>
        <w:br/>
        <w:t>Weeks 3–4: Data analysis and thematic review</w:t>
      </w:r>
      <w:r w:rsidRPr="003E0776">
        <w:rPr>
          <w:rFonts w:eastAsia="Times New Roman" w:cs="Times New Roman"/>
          <w:szCs w:val="24"/>
          <w:lang w:eastAsia="en-GB"/>
          <w14:ligatures w14:val="none"/>
        </w:rPr>
        <w:br/>
        <w:t>Week 5: Draft drafting and structuring</w:t>
      </w:r>
      <w:r w:rsidRPr="003E0776">
        <w:rPr>
          <w:rFonts w:eastAsia="Times New Roman" w:cs="Times New Roman"/>
          <w:szCs w:val="24"/>
          <w:lang w:eastAsia="en-GB"/>
          <w14:ligatures w14:val="none"/>
        </w:rPr>
        <w:br/>
        <w:t>Week 6: Editing, proofreading, and Turnitin similarity check</w:t>
      </w:r>
    </w:p>
    <w:p w14:paraId="147E3BEB" w14:textId="77777777" w:rsidR="00AD1D3D" w:rsidRPr="00AD1D3D" w:rsidRDefault="00AD1D3D" w:rsidP="00AD1D3D">
      <w:pPr>
        <w:spacing w:before="100" w:beforeAutospacing="1" w:after="100" w:afterAutospacing="1" w:line="240" w:lineRule="auto"/>
        <w:outlineLvl w:val="1"/>
        <w:rPr>
          <w:rFonts w:eastAsia="Times New Roman" w:cs="Times New Roman"/>
          <w:b/>
          <w:bCs/>
          <w:sz w:val="36"/>
          <w:szCs w:val="36"/>
          <w:lang w:eastAsia="en-GB"/>
          <w14:ligatures w14:val="none"/>
        </w:rPr>
      </w:pPr>
      <w:r w:rsidRPr="00AD1D3D">
        <w:rPr>
          <w:rFonts w:eastAsia="Times New Roman" w:cs="Times New Roman"/>
          <w:b/>
          <w:bCs/>
          <w:sz w:val="36"/>
          <w:szCs w:val="36"/>
          <w:lang w:eastAsia="en-GB"/>
          <w14:ligatures w14:val="none"/>
        </w:rPr>
        <w:t>Self-Reflection</w:t>
      </w:r>
    </w:p>
    <w:p w14:paraId="49CD5A39" w14:textId="77777777" w:rsidR="00AD1D3D" w:rsidRPr="00AD1D3D" w:rsidRDefault="00AD1D3D" w:rsidP="00AD1D3D">
      <w:pPr>
        <w:spacing w:before="100" w:beforeAutospacing="1" w:after="100" w:afterAutospacing="1" w:line="240" w:lineRule="auto"/>
        <w:rPr>
          <w:rFonts w:eastAsia="Times New Roman" w:cs="Times New Roman"/>
          <w:szCs w:val="24"/>
          <w:lang w:eastAsia="en-GB"/>
          <w14:ligatures w14:val="none"/>
        </w:rPr>
      </w:pPr>
      <w:r w:rsidRPr="00AD1D3D">
        <w:rPr>
          <w:rFonts w:eastAsia="Times New Roman" w:cs="Times New Roman"/>
          <w:szCs w:val="24"/>
          <w:lang w:eastAsia="en-GB"/>
          <w14:ligatures w14:val="none"/>
        </w:rPr>
        <w:t>A key strength of this proposal is the clear focus on a defined population, timeframe, and geographical area, enhancing feasibility. However, a potential challenge may be limited Birmingham-specific data on older adults, requiring careful synthesis of national and local evidence to maintain relevance and analytical depth.</w:t>
      </w:r>
    </w:p>
    <w:p w14:paraId="1F770377" w14:textId="4C092ADE" w:rsidR="003E0776" w:rsidRPr="003E0776" w:rsidRDefault="003E0776" w:rsidP="003E0776">
      <w:pPr>
        <w:spacing w:after="0" w:line="240" w:lineRule="auto"/>
        <w:rPr>
          <w:rFonts w:eastAsia="Times New Roman" w:cs="Times New Roman"/>
          <w:szCs w:val="24"/>
          <w:lang w:eastAsia="en-GB"/>
          <w14:ligatures w14:val="none"/>
        </w:rPr>
      </w:pPr>
    </w:p>
    <w:p w14:paraId="33CCB609" w14:textId="77777777" w:rsidR="003E0776" w:rsidRPr="003E0776" w:rsidRDefault="003E0776" w:rsidP="003E0776">
      <w:pPr>
        <w:spacing w:before="100" w:beforeAutospacing="1" w:after="100" w:afterAutospacing="1" w:line="240" w:lineRule="auto"/>
        <w:outlineLvl w:val="1"/>
        <w:rPr>
          <w:rFonts w:eastAsia="Times New Roman" w:cs="Times New Roman"/>
          <w:b/>
          <w:bCs/>
          <w:sz w:val="36"/>
          <w:szCs w:val="36"/>
          <w:lang w:eastAsia="en-GB"/>
          <w14:ligatures w14:val="none"/>
        </w:rPr>
      </w:pPr>
      <w:r w:rsidRPr="003E0776">
        <w:rPr>
          <w:rFonts w:eastAsia="Times New Roman" w:cs="Times New Roman"/>
          <w:b/>
          <w:bCs/>
          <w:sz w:val="36"/>
          <w:szCs w:val="36"/>
          <w:lang w:eastAsia="en-GB"/>
          <w14:ligatures w14:val="none"/>
        </w:rPr>
        <w:t>References</w:t>
      </w:r>
    </w:p>
    <w:p w14:paraId="4F704DE3"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Crome, I. and Rao, T. (2011) </w:t>
      </w:r>
      <w:r w:rsidRPr="003E0776">
        <w:rPr>
          <w:rFonts w:eastAsia="Times New Roman" w:cs="Times New Roman"/>
          <w:i/>
          <w:iCs/>
          <w:szCs w:val="24"/>
          <w:lang w:eastAsia="en-GB"/>
          <w14:ligatures w14:val="none"/>
        </w:rPr>
        <w:t>Substance use and older people</w:t>
      </w:r>
      <w:r w:rsidRPr="003E0776">
        <w:rPr>
          <w:rFonts w:eastAsia="Times New Roman" w:cs="Times New Roman"/>
          <w:szCs w:val="24"/>
          <w:lang w:eastAsia="en-GB"/>
          <w14:ligatures w14:val="none"/>
        </w:rPr>
        <w:t>. Oxford: Wiley-Blackwell.</w:t>
      </w:r>
    </w:p>
    <w:p w14:paraId="2268D668"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Drinkaware (2022) </w:t>
      </w:r>
      <w:r w:rsidRPr="003E0776">
        <w:rPr>
          <w:rFonts w:eastAsia="Times New Roman" w:cs="Times New Roman"/>
          <w:i/>
          <w:iCs/>
          <w:szCs w:val="24"/>
          <w:lang w:eastAsia="en-GB"/>
          <w14:ligatures w14:val="none"/>
        </w:rPr>
        <w:t>Alcohol and older people</w:t>
      </w:r>
      <w:r w:rsidRPr="003E0776">
        <w:rPr>
          <w:rFonts w:eastAsia="Times New Roman" w:cs="Times New Roman"/>
          <w:szCs w:val="24"/>
          <w:lang w:eastAsia="en-GB"/>
          <w14:ligatures w14:val="none"/>
        </w:rPr>
        <w:t>. London: Drinkaware.</w:t>
      </w:r>
    </w:p>
    <w:p w14:paraId="2AF61E90"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NHS Digital (2023) </w:t>
      </w:r>
      <w:r w:rsidRPr="003E0776">
        <w:rPr>
          <w:rFonts w:eastAsia="Times New Roman" w:cs="Times New Roman"/>
          <w:i/>
          <w:iCs/>
          <w:szCs w:val="24"/>
          <w:lang w:eastAsia="en-GB"/>
          <w14:ligatures w14:val="none"/>
        </w:rPr>
        <w:t>Statistics on alcohol, England 2023</w:t>
      </w:r>
      <w:r w:rsidRPr="003E0776">
        <w:rPr>
          <w:rFonts w:eastAsia="Times New Roman" w:cs="Times New Roman"/>
          <w:szCs w:val="24"/>
          <w:lang w:eastAsia="en-GB"/>
          <w14:ligatures w14:val="none"/>
        </w:rPr>
        <w:t>. Leeds: NHS Digital.</w:t>
      </w:r>
    </w:p>
    <w:p w14:paraId="3EFF386E"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Office for National Statistics (2022) </w:t>
      </w:r>
      <w:r w:rsidRPr="003E0776">
        <w:rPr>
          <w:rFonts w:eastAsia="Times New Roman" w:cs="Times New Roman"/>
          <w:i/>
          <w:iCs/>
          <w:szCs w:val="24"/>
          <w:lang w:eastAsia="en-GB"/>
          <w14:ligatures w14:val="none"/>
        </w:rPr>
        <w:t>Alcohol-specific deaths in the UK</w:t>
      </w:r>
      <w:r w:rsidRPr="003E0776">
        <w:rPr>
          <w:rFonts w:eastAsia="Times New Roman" w:cs="Times New Roman"/>
          <w:szCs w:val="24"/>
          <w:lang w:eastAsia="en-GB"/>
          <w14:ligatures w14:val="none"/>
        </w:rPr>
        <w:t>. London: ONS.</w:t>
      </w:r>
    </w:p>
    <w:p w14:paraId="60249DB0"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Public Health England (2018) </w:t>
      </w:r>
      <w:r w:rsidRPr="003E0776">
        <w:rPr>
          <w:rFonts w:eastAsia="Times New Roman" w:cs="Times New Roman"/>
          <w:i/>
          <w:iCs/>
          <w:szCs w:val="24"/>
          <w:lang w:eastAsia="en-GB"/>
          <w14:ligatures w14:val="none"/>
        </w:rPr>
        <w:t>Alcohol dependence and treatment in England 2018</w:t>
      </w:r>
      <w:r w:rsidRPr="003E0776">
        <w:rPr>
          <w:rFonts w:eastAsia="Times New Roman" w:cs="Times New Roman"/>
          <w:szCs w:val="24"/>
          <w:lang w:eastAsia="en-GB"/>
          <w14:ligatures w14:val="none"/>
        </w:rPr>
        <w:t>. London: PHE.</w:t>
      </w:r>
    </w:p>
    <w:p w14:paraId="77C25EF2"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r w:rsidRPr="003E0776">
        <w:rPr>
          <w:rFonts w:eastAsia="Times New Roman" w:cs="Times New Roman"/>
          <w:szCs w:val="24"/>
          <w:lang w:eastAsia="en-GB"/>
          <w14:ligatures w14:val="none"/>
        </w:rPr>
        <w:t xml:space="preserve">Royal College of Psychiatrists (2018) </w:t>
      </w:r>
      <w:r w:rsidRPr="003E0776">
        <w:rPr>
          <w:rFonts w:eastAsia="Times New Roman" w:cs="Times New Roman"/>
          <w:i/>
          <w:iCs/>
          <w:szCs w:val="24"/>
          <w:lang w:eastAsia="en-GB"/>
          <w14:ligatures w14:val="none"/>
        </w:rPr>
        <w:t>Our invisible addicts: First report of the Older Persons’ Substance Misuse Working Group</w:t>
      </w:r>
      <w:r w:rsidRPr="003E0776">
        <w:rPr>
          <w:rFonts w:eastAsia="Times New Roman" w:cs="Times New Roman"/>
          <w:szCs w:val="24"/>
          <w:lang w:eastAsia="en-GB"/>
          <w14:ligatures w14:val="none"/>
        </w:rPr>
        <w:t xml:space="preserve">. London: </w:t>
      </w:r>
      <w:proofErr w:type="spellStart"/>
      <w:r w:rsidRPr="003E0776">
        <w:rPr>
          <w:rFonts w:eastAsia="Times New Roman" w:cs="Times New Roman"/>
          <w:szCs w:val="24"/>
          <w:lang w:eastAsia="en-GB"/>
          <w14:ligatures w14:val="none"/>
        </w:rPr>
        <w:t>RCPsych</w:t>
      </w:r>
      <w:proofErr w:type="spellEnd"/>
      <w:r w:rsidRPr="003E0776">
        <w:rPr>
          <w:rFonts w:eastAsia="Times New Roman" w:cs="Times New Roman"/>
          <w:szCs w:val="24"/>
          <w:lang w:eastAsia="en-GB"/>
          <w14:ligatures w14:val="none"/>
        </w:rPr>
        <w:t>.</w:t>
      </w:r>
    </w:p>
    <w:p w14:paraId="76C16D56" w14:textId="5658D9FD" w:rsidR="003E0776" w:rsidRPr="003E0776" w:rsidRDefault="003E0776" w:rsidP="003E0776">
      <w:pPr>
        <w:spacing w:after="0" w:line="240" w:lineRule="auto"/>
        <w:rPr>
          <w:rFonts w:eastAsia="Times New Roman" w:cs="Times New Roman"/>
          <w:szCs w:val="24"/>
          <w:lang w:eastAsia="en-GB"/>
          <w14:ligatures w14:val="none"/>
        </w:rPr>
      </w:pPr>
    </w:p>
    <w:p w14:paraId="27448D8C" w14:textId="2C19016F" w:rsidR="003E0776" w:rsidRPr="003E0776" w:rsidRDefault="003E0776" w:rsidP="00B51AC5">
      <w:pPr>
        <w:spacing w:before="100" w:beforeAutospacing="1" w:after="100" w:afterAutospacing="1" w:line="240" w:lineRule="auto"/>
        <w:rPr>
          <w:rFonts w:ascii="Arial" w:eastAsia="Times New Roman" w:hAnsi="Arial" w:cs="Arial"/>
          <w:vanish/>
          <w:sz w:val="16"/>
          <w:szCs w:val="16"/>
          <w:lang w:eastAsia="en-GB"/>
          <w14:ligatures w14:val="none"/>
        </w:rPr>
      </w:pPr>
      <w:r w:rsidRPr="003E0776">
        <w:rPr>
          <w:rFonts w:ascii="Arial" w:eastAsia="Times New Roman" w:hAnsi="Arial" w:cs="Arial"/>
          <w:vanish/>
          <w:sz w:val="16"/>
          <w:szCs w:val="16"/>
          <w:lang w:eastAsia="en-GB"/>
          <w14:ligatures w14:val="none"/>
        </w:rPr>
        <w:t>Top of Form</w:t>
      </w:r>
    </w:p>
    <w:p w14:paraId="0BF6EAA3" w14:textId="77777777" w:rsidR="003E0776" w:rsidRPr="003E0776" w:rsidRDefault="003E0776" w:rsidP="003E0776">
      <w:pPr>
        <w:spacing w:before="100" w:beforeAutospacing="1" w:after="100" w:afterAutospacing="1" w:line="240" w:lineRule="auto"/>
        <w:rPr>
          <w:rFonts w:eastAsia="Times New Roman" w:cs="Times New Roman"/>
          <w:szCs w:val="24"/>
          <w:lang w:eastAsia="en-GB"/>
          <w14:ligatures w14:val="none"/>
        </w:rPr>
      </w:pPr>
    </w:p>
    <w:p w14:paraId="1A941A3A" w14:textId="77777777" w:rsidR="003E0776" w:rsidRPr="003E0776" w:rsidRDefault="003E0776" w:rsidP="003E0776">
      <w:pPr>
        <w:pBdr>
          <w:top w:val="single" w:sz="6" w:space="1" w:color="auto"/>
        </w:pBdr>
        <w:spacing w:after="0" w:line="240" w:lineRule="auto"/>
        <w:jc w:val="center"/>
        <w:rPr>
          <w:rFonts w:ascii="Arial" w:eastAsia="Times New Roman" w:hAnsi="Arial" w:cs="Arial"/>
          <w:vanish/>
          <w:sz w:val="16"/>
          <w:szCs w:val="16"/>
          <w:lang w:eastAsia="en-GB"/>
          <w14:ligatures w14:val="none"/>
        </w:rPr>
      </w:pPr>
      <w:r w:rsidRPr="003E0776">
        <w:rPr>
          <w:rFonts w:ascii="Arial" w:eastAsia="Times New Roman" w:hAnsi="Arial" w:cs="Arial"/>
          <w:vanish/>
          <w:sz w:val="16"/>
          <w:szCs w:val="16"/>
          <w:lang w:eastAsia="en-GB"/>
          <w14:ligatures w14:val="none"/>
        </w:rPr>
        <w:t>Bottom of Form</w:t>
      </w:r>
    </w:p>
    <w:p w14:paraId="136636CD" w14:textId="00F8306D" w:rsidR="003E0776" w:rsidRPr="003E0776" w:rsidRDefault="003E0776" w:rsidP="003E0776">
      <w:pPr>
        <w:spacing w:line="360" w:lineRule="auto"/>
        <w:rPr>
          <w:rFonts w:ascii="Aptos" w:hAnsi="Aptos" w:cs="Arial"/>
        </w:rPr>
      </w:pPr>
    </w:p>
    <w:p w14:paraId="5E3A58A5" w14:textId="77777777" w:rsidR="007A6FA0" w:rsidRDefault="007A6FA0"/>
    <w:sectPr w:rsidR="007A6F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C7B1A"/>
    <w:multiLevelType w:val="multilevel"/>
    <w:tmpl w:val="AAEA4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31421260">
    <w:abstractNumId w:val="1"/>
    <w:lvlOverride w:ilvl="0"/>
    <w:lvlOverride w:ilvl="1"/>
    <w:lvlOverride w:ilvl="2"/>
    <w:lvlOverride w:ilvl="3"/>
    <w:lvlOverride w:ilvl="4"/>
    <w:lvlOverride w:ilvl="5"/>
    <w:lvlOverride w:ilvl="6"/>
    <w:lvlOverride w:ilvl="7"/>
    <w:lvlOverride w:ilvl="8"/>
  </w:num>
  <w:num w:numId="2" w16cid:durableId="635839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E0776"/>
    <w:rsid w:val="002F0625"/>
    <w:rsid w:val="003331E6"/>
    <w:rsid w:val="003E0776"/>
    <w:rsid w:val="007A6FA0"/>
    <w:rsid w:val="00815CAB"/>
    <w:rsid w:val="00A607A8"/>
    <w:rsid w:val="00AD1D3D"/>
    <w:rsid w:val="00B51AC5"/>
    <w:rsid w:val="00BC2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9F75A"/>
  <w15:chartTrackingRefBased/>
  <w15:docId w15:val="{13E679A7-7E09-4A03-B648-5FB165DBD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776"/>
    <w:pPr>
      <w:spacing w:line="256" w:lineRule="auto"/>
    </w:pPr>
    <w:rPr>
      <w:rFonts w:ascii="Times New Roman" w:hAnsi="Times New Roman"/>
      <w:kern w:val="0"/>
      <w:sz w:val="24"/>
    </w:rPr>
  </w:style>
  <w:style w:type="paragraph" w:styleId="Heading1">
    <w:name w:val="heading 1"/>
    <w:basedOn w:val="Normal"/>
    <w:next w:val="Normal"/>
    <w:link w:val="Heading1Char"/>
    <w:uiPriority w:val="9"/>
    <w:qFormat/>
    <w:rsid w:val="003E07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E07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07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07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07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07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7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7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7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7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E07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07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07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07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0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776"/>
    <w:rPr>
      <w:rFonts w:eastAsiaTheme="majorEastAsia" w:cstheme="majorBidi"/>
      <w:color w:val="272727" w:themeColor="text1" w:themeTint="D8"/>
    </w:rPr>
  </w:style>
  <w:style w:type="paragraph" w:styleId="Title">
    <w:name w:val="Title"/>
    <w:basedOn w:val="Normal"/>
    <w:next w:val="Normal"/>
    <w:link w:val="TitleChar"/>
    <w:uiPriority w:val="10"/>
    <w:qFormat/>
    <w:rsid w:val="003E07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7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776"/>
    <w:pPr>
      <w:spacing w:before="160"/>
      <w:jc w:val="center"/>
    </w:pPr>
    <w:rPr>
      <w:i/>
      <w:iCs/>
      <w:color w:val="404040" w:themeColor="text1" w:themeTint="BF"/>
    </w:rPr>
  </w:style>
  <w:style w:type="character" w:customStyle="1" w:styleId="QuoteChar">
    <w:name w:val="Quote Char"/>
    <w:basedOn w:val="DefaultParagraphFont"/>
    <w:link w:val="Quote"/>
    <w:uiPriority w:val="29"/>
    <w:rsid w:val="003E0776"/>
    <w:rPr>
      <w:i/>
      <w:iCs/>
      <w:color w:val="404040" w:themeColor="text1" w:themeTint="BF"/>
    </w:rPr>
  </w:style>
  <w:style w:type="paragraph" w:styleId="ListParagraph">
    <w:name w:val="List Paragraph"/>
    <w:basedOn w:val="Normal"/>
    <w:uiPriority w:val="34"/>
    <w:qFormat/>
    <w:rsid w:val="003E0776"/>
    <w:pPr>
      <w:ind w:left="720"/>
      <w:contextualSpacing/>
    </w:pPr>
  </w:style>
  <w:style w:type="character" w:styleId="IntenseEmphasis">
    <w:name w:val="Intense Emphasis"/>
    <w:basedOn w:val="DefaultParagraphFont"/>
    <w:uiPriority w:val="21"/>
    <w:qFormat/>
    <w:rsid w:val="003E0776"/>
    <w:rPr>
      <w:i/>
      <w:iCs/>
      <w:color w:val="2F5496" w:themeColor="accent1" w:themeShade="BF"/>
    </w:rPr>
  </w:style>
  <w:style w:type="paragraph" w:styleId="IntenseQuote">
    <w:name w:val="Intense Quote"/>
    <w:basedOn w:val="Normal"/>
    <w:next w:val="Normal"/>
    <w:link w:val="IntenseQuoteChar"/>
    <w:uiPriority w:val="30"/>
    <w:qFormat/>
    <w:rsid w:val="003E07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0776"/>
    <w:rPr>
      <w:i/>
      <w:iCs/>
      <w:color w:val="2F5496" w:themeColor="accent1" w:themeShade="BF"/>
    </w:rPr>
  </w:style>
  <w:style w:type="character" w:styleId="IntenseReference">
    <w:name w:val="Intense Reference"/>
    <w:basedOn w:val="DefaultParagraphFont"/>
    <w:uiPriority w:val="32"/>
    <w:qFormat/>
    <w:rsid w:val="003E077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856</Words>
  <Characters>4883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Tina Carpenter</cp:lastModifiedBy>
  <cp:revision>2</cp:revision>
  <dcterms:created xsi:type="dcterms:W3CDTF">2026-02-20T21:54:00Z</dcterms:created>
  <dcterms:modified xsi:type="dcterms:W3CDTF">2026-02-20T21:54:00Z</dcterms:modified>
</cp:coreProperties>
</file>