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BB7" w:rsidRDefault="00625BB7" w:rsidP="00625BB7">
      <w:pPr>
        <w:jc w:val="center"/>
        <w:rPr>
          <w:rStyle w:val="IntenseEmphasis"/>
          <w:rFonts w:cs="Times New Roman"/>
          <w:b/>
          <w:bCs/>
          <w:i w:val="0"/>
          <w:iCs w:val="0"/>
          <w:color w:val="000000" w:themeColor="text1"/>
          <w:sz w:val="36"/>
          <w:szCs w:val="36"/>
        </w:rPr>
      </w:pPr>
    </w:p>
    <w:p w:rsidR="00625BB7" w:rsidRDefault="00625BB7" w:rsidP="00625BB7">
      <w:pPr>
        <w:rPr>
          <w:rStyle w:val="IntenseEmphasis"/>
          <w:rFonts w:cs="Times New Roman"/>
          <w:b/>
          <w:bCs/>
          <w:i w:val="0"/>
          <w:iCs w:val="0"/>
          <w:color w:val="000000" w:themeColor="text1"/>
          <w:sz w:val="36"/>
          <w:szCs w:val="36"/>
        </w:rPr>
      </w:pPr>
    </w:p>
    <w:p w:rsidR="00625BB7" w:rsidRDefault="00625BB7" w:rsidP="00625BB7">
      <w:pPr>
        <w:jc w:val="center"/>
        <w:rPr>
          <w:rStyle w:val="IntenseEmphasis"/>
          <w:rFonts w:cs="Times New Roman"/>
          <w:b/>
          <w:bCs/>
          <w:i w:val="0"/>
          <w:iCs w:val="0"/>
          <w:color w:val="000000" w:themeColor="text1"/>
          <w:sz w:val="36"/>
          <w:szCs w:val="36"/>
        </w:rPr>
      </w:pPr>
    </w:p>
    <w:p w:rsidR="00625BB7" w:rsidRDefault="00625BB7" w:rsidP="00625BB7">
      <w:pPr>
        <w:jc w:val="center"/>
        <w:rPr>
          <w:rStyle w:val="IntenseEmphasis"/>
          <w:rFonts w:cs="Times New Roman"/>
          <w:b/>
          <w:bCs/>
          <w:i w:val="0"/>
          <w:iCs w:val="0"/>
          <w:color w:val="000000" w:themeColor="text1"/>
          <w:sz w:val="36"/>
          <w:szCs w:val="36"/>
        </w:rPr>
      </w:pPr>
    </w:p>
    <w:p w:rsidR="00625BB7" w:rsidRDefault="00625BB7" w:rsidP="00625BB7">
      <w:pPr>
        <w:jc w:val="center"/>
        <w:rPr>
          <w:rStyle w:val="IntenseEmphasis"/>
          <w:rFonts w:cs="Times New Roman"/>
          <w:b/>
          <w:bCs/>
          <w:i w:val="0"/>
          <w:iCs w:val="0"/>
          <w:color w:val="000000" w:themeColor="text1"/>
          <w:sz w:val="36"/>
          <w:szCs w:val="36"/>
        </w:rPr>
      </w:pPr>
    </w:p>
    <w:p w:rsidR="00625BB7" w:rsidRDefault="00625BB7" w:rsidP="00625BB7">
      <w:pPr>
        <w:jc w:val="center"/>
        <w:rPr>
          <w:rStyle w:val="IntenseEmphasis"/>
          <w:rFonts w:cs="Times New Roman"/>
          <w:b/>
          <w:bCs/>
          <w:i w:val="0"/>
          <w:iCs w:val="0"/>
          <w:color w:val="000000" w:themeColor="text1"/>
          <w:sz w:val="36"/>
          <w:szCs w:val="36"/>
        </w:rPr>
      </w:pPr>
    </w:p>
    <w:p w:rsidR="00625BB7" w:rsidRDefault="00625BB7" w:rsidP="00625BB7">
      <w:pPr>
        <w:jc w:val="center"/>
        <w:rPr>
          <w:rStyle w:val="IntenseEmphasis"/>
          <w:rFonts w:cs="Times New Roman"/>
          <w:b/>
          <w:bCs/>
          <w:i w:val="0"/>
          <w:iCs w:val="0"/>
          <w:color w:val="000000" w:themeColor="text1"/>
          <w:sz w:val="36"/>
          <w:szCs w:val="36"/>
        </w:rPr>
      </w:pPr>
      <w:r w:rsidRPr="00C13C98">
        <w:rPr>
          <w:rStyle w:val="IntenseEmphasis"/>
          <w:rFonts w:cs="Times New Roman"/>
          <w:b/>
          <w:bCs/>
          <w:color w:val="000000" w:themeColor="text1"/>
          <w:sz w:val="36"/>
          <w:szCs w:val="36"/>
        </w:rPr>
        <w:t>Promoting Environmental Awareness and Sustainability:</w:t>
      </w:r>
      <w:r w:rsidRPr="00C13C98">
        <w:rPr>
          <w:b/>
          <w:bCs/>
          <w:sz w:val="36"/>
          <w:szCs w:val="32"/>
        </w:rPr>
        <w:t xml:space="preserve"> </w:t>
      </w:r>
      <w:r w:rsidRPr="00C13C98">
        <w:rPr>
          <w:rStyle w:val="IntenseEmphasis"/>
          <w:rFonts w:cs="Times New Roman"/>
          <w:b/>
          <w:bCs/>
          <w:color w:val="000000" w:themeColor="text1"/>
          <w:sz w:val="36"/>
          <w:szCs w:val="36"/>
        </w:rPr>
        <w:t>Community Engagement</w:t>
      </w:r>
    </w:p>
    <w:p w:rsidR="00625BB7" w:rsidRDefault="00625BB7" w:rsidP="00625BB7">
      <w:pPr>
        <w:jc w:val="center"/>
        <w:rPr>
          <w:b/>
          <w:bCs/>
          <w:sz w:val="36"/>
          <w:szCs w:val="36"/>
        </w:rPr>
      </w:pPr>
    </w:p>
    <w:p w:rsidR="00625BB7" w:rsidRDefault="00625BB7" w:rsidP="00625BB7">
      <w:pPr>
        <w:jc w:val="center"/>
        <w:rPr>
          <w:b/>
          <w:bCs/>
          <w:sz w:val="36"/>
          <w:szCs w:val="36"/>
        </w:rPr>
      </w:pPr>
    </w:p>
    <w:p w:rsidR="00625BB7" w:rsidRDefault="00625BB7" w:rsidP="00625BB7">
      <w:pPr>
        <w:jc w:val="center"/>
        <w:rPr>
          <w:b/>
          <w:bCs/>
          <w:sz w:val="36"/>
          <w:szCs w:val="36"/>
        </w:rPr>
      </w:pPr>
    </w:p>
    <w:tbl>
      <w:tblPr>
        <w:tblStyle w:val="GridTable5DarkAccent5"/>
        <w:tblpPr w:leftFromText="180" w:rightFromText="180" w:vertAnchor="text" w:horzAnchor="margin" w:tblpY="-1"/>
        <w:tblW w:w="9226" w:type="dxa"/>
        <w:tblLook w:val="04A0" w:firstRow="1" w:lastRow="0" w:firstColumn="1" w:lastColumn="0" w:noHBand="0" w:noVBand="1"/>
      </w:tblPr>
      <w:tblGrid>
        <w:gridCol w:w="4613"/>
        <w:gridCol w:w="4613"/>
      </w:tblGrid>
      <w:tr w:rsidR="00625BB7" w:rsidTr="009933E5">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bottom w:val="single" w:sz="4" w:space="0" w:color="FFFFFF"/>
              <w:right w:val="single" w:sz="4" w:space="0" w:color="FFFFFF"/>
            </w:tcBorders>
            <w:shd w:val="clear" w:color="auto" w:fill="A8D08D"/>
            <w:hideMark/>
          </w:tcPr>
          <w:p w:rsidR="00625BB7" w:rsidRPr="00B26F45" w:rsidRDefault="00625BB7" w:rsidP="009933E5">
            <w:pPr>
              <w:rPr>
                <w:rFonts w:ascii="Arial Black" w:hAnsi="Arial Black"/>
                <w:color w:val="1D1B11" w:themeColor="background2" w:themeShade="1A"/>
                <w:szCs w:val="24"/>
              </w:rPr>
            </w:pPr>
            <w:r w:rsidRPr="00B26F45">
              <w:rPr>
                <w:color w:val="1D1B11" w:themeColor="background2" w:themeShade="1A"/>
                <w:szCs w:val="24"/>
              </w:rPr>
              <w:t>Title</w:t>
            </w:r>
          </w:p>
        </w:tc>
        <w:tc>
          <w:tcPr>
            <w:tcW w:w="4613" w:type="dxa"/>
            <w:tcBorders>
              <w:left w:val="single" w:sz="4" w:space="0" w:color="FFFFFF"/>
              <w:bottom w:val="single" w:sz="4" w:space="0" w:color="FFFFFF"/>
            </w:tcBorders>
            <w:shd w:val="clear" w:color="auto" w:fill="A8D08D"/>
            <w:hideMark/>
          </w:tcPr>
          <w:p w:rsidR="00625BB7" w:rsidRPr="00B26F45" w:rsidRDefault="00625BB7" w:rsidP="009933E5">
            <w:pPr>
              <w:cnfStyle w:val="100000000000" w:firstRow="1" w:lastRow="0" w:firstColumn="0" w:lastColumn="0" w:oddVBand="0" w:evenVBand="0" w:oddHBand="0" w:evenHBand="0" w:firstRowFirstColumn="0" w:firstRowLastColumn="0" w:lastRowFirstColumn="0" w:lastRowLastColumn="0"/>
              <w:rPr>
                <w:rFonts w:ascii="Arial Black" w:hAnsi="Arial Black"/>
                <w:color w:val="1D1B11" w:themeColor="background2" w:themeShade="1A"/>
              </w:rPr>
            </w:pPr>
            <w:r>
              <w:rPr>
                <w:color w:val="1D1B11" w:themeColor="background2" w:themeShade="1A"/>
              </w:rPr>
              <w:t>Community Engagement-2</w:t>
            </w:r>
          </w:p>
        </w:tc>
      </w:tr>
      <w:tr w:rsidR="00625BB7" w:rsidTr="009933E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BDD6EE"/>
            <w:hideMark/>
          </w:tcPr>
          <w:p w:rsidR="00625BB7" w:rsidRPr="00B26F45" w:rsidRDefault="00625BB7" w:rsidP="009933E5">
            <w:pPr>
              <w:rPr>
                <w:rFonts w:ascii="Arial Black" w:hAnsi="Arial Black"/>
                <w:color w:val="1D1B11" w:themeColor="background2" w:themeShade="1A"/>
                <w:szCs w:val="24"/>
              </w:rPr>
            </w:pPr>
            <w:r w:rsidRPr="00B26F45">
              <w:rPr>
                <w:b w:val="0"/>
                <w:bCs w:val="0"/>
                <w:color w:val="1D1B11" w:themeColor="background2" w:themeShade="1A"/>
                <w:szCs w:val="24"/>
              </w:rPr>
              <w:t>Module Name</w:t>
            </w:r>
          </w:p>
        </w:tc>
        <w:tc>
          <w:tcPr>
            <w:tcW w:w="4613" w:type="dxa"/>
            <w:tcBorders>
              <w:top w:val="single" w:sz="4" w:space="0" w:color="FFFFFF"/>
              <w:left w:val="single" w:sz="4" w:space="0" w:color="FFFFFF"/>
              <w:bottom w:val="single" w:sz="4" w:space="0" w:color="FFFFFF"/>
              <w:right w:val="single" w:sz="4" w:space="0" w:color="FFFFFF"/>
            </w:tcBorders>
          </w:tcPr>
          <w:p w:rsidR="00625BB7" w:rsidRDefault="00625BB7" w:rsidP="009933E5">
            <w:pPr>
              <w:cnfStyle w:val="000000100000" w:firstRow="0" w:lastRow="0" w:firstColumn="0" w:lastColumn="0" w:oddVBand="0" w:evenVBand="0" w:oddHBand="1" w:evenHBand="0" w:firstRowFirstColumn="0" w:firstRowLastColumn="0" w:lastRowFirstColumn="0" w:lastRowLastColumn="0"/>
              <w:rPr>
                <w:rFonts w:ascii="Arial Black" w:hAnsi="Arial Black"/>
                <w:color w:val="000000"/>
              </w:rPr>
            </w:pPr>
            <w:r>
              <w:t>Community Engagement</w:t>
            </w:r>
          </w:p>
        </w:tc>
      </w:tr>
      <w:tr w:rsidR="00625BB7" w:rsidTr="009933E5">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F2F2F2"/>
            <w:hideMark/>
          </w:tcPr>
          <w:p w:rsidR="00625BB7" w:rsidRPr="00B26F45" w:rsidRDefault="00625BB7" w:rsidP="009933E5">
            <w:pPr>
              <w:rPr>
                <w:rFonts w:ascii="Arial Black" w:hAnsi="Arial Black"/>
                <w:color w:val="1D1B11" w:themeColor="background2" w:themeShade="1A"/>
                <w:szCs w:val="24"/>
              </w:rPr>
            </w:pPr>
            <w:r w:rsidRPr="00B26F45">
              <w:rPr>
                <w:b w:val="0"/>
                <w:bCs w:val="0"/>
                <w:color w:val="1D1B11" w:themeColor="background2" w:themeShade="1A"/>
                <w:szCs w:val="24"/>
              </w:rPr>
              <w:t>Module Code</w:t>
            </w:r>
          </w:p>
        </w:tc>
        <w:tc>
          <w:tcPr>
            <w:tcW w:w="4613" w:type="dxa"/>
            <w:tcBorders>
              <w:top w:val="single" w:sz="4" w:space="0" w:color="FFFFFF"/>
              <w:left w:val="single" w:sz="4" w:space="0" w:color="FFFFFF"/>
              <w:bottom w:val="single" w:sz="4" w:space="0" w:color="FFFFFF"/>
              <w:right w:val="single" w:sz="4" w:space="0" w:color="FFFFFF"/>
            </w:tcBorders>
            <w:shd w:val="clear" w:color="auto" w:fill="F2F2F2"/>
            <w:hideMark/>
          </w:tcPr>
          <w:p w:rsidR="00625BB7" w:rsidRDefault="00625BB7" w:rsidP="009933E5">
            <w:pPr>
              <w:cnfStyle w:val="000000000000" w:firstRow="0" w:lastRow="0" w:firstColumn="0" w:lastColumn="0" w:oddVBand="0" w:evenVBand="0" w:oddHBand="0" w:evenHBand="0" w:firstRowFirstColumn="0" w:firstRowLastColumn="0" w:lastRowFirstColumn="0" w:lastRowLastColumn="0"/>
              <w:rPr>
                <w:rFonts w:ascii="Arial Black" w:hAnsi="Arial Black"/>
                <w:color w:val="000000"/>
              </w:rPr>
            </w:pPr>
            <w:r>
              <w:t>LCBB4002</w:t>
            </w:r>
          </w:p>
        </w:tc>
      </w:tr>
      <w:tr w:rsidR="00625BB7" w:rsidTr="009933E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BFBFBF"/>
            <w:hideMark/>
          </w:tcPr>
          <w:p w:rsidR="00625BB7" w:rsidRPr="00B26F45" w:rsidRDefault="00625BB7" w:rsidP="009933E5">
            <w:pPr>
              <w:rPr>
                <w:rFonts w:ascii="Arial Black" w:hAnsi="Arial Black"/>
                <w:color w:val="1D1B11" w:themeColor="background2" w:themeShade="1A"/>
                <w:szCs w:val="24"/>
              </w:rPr>
            </w:pPr>
            <w:r w:rsidRPr="00B26F45">
              <w:rPr>
                <w:b w:val="0"/>
                <w:bCs w:val="0"/>
                <w:color w:val="1D1B11" w:themeColor="background2" w:themeShade="1A"/>
                <w:szCs w:val="24"/>
              </w:rPr>
              <w:t>Student Name</w:t>
            </w:r>
          </w:p>
        </w:tc>
        <w:tc>
          <w:tcPr>
            <w:tcW w:w="4613" w:type="dxa"/>
            <w:tcBorders>
              <w:top w:val="single" w:sz="4" w:space="0" w:color="FFFFFF"/>
              <w:left w:val="single" w:sz="4" w:space="0" w:color="FFFFFF"/>
              <w:bottom w:val="single" w:sz="4" w:space="0" w:color="FFFFFF"/>
              <w:right w:val="single" w:sz="4" w:space="0" w:color="FFFFFF"/>
            </w:tcBorders>
            <w:shd w:val="clear" w:color="auto" w:fill="BFBFBF"/>
          </w:tcPr>
          <w:p w:rsidR="00625BB7" w:rsidRDefault="00625BB7" w:rsidP="009933E5">
            <w:pPr>
              <w:cnfStyle w:val="000000100000" w:firstRow="0" w:lastRow="0" w:firstColumn="0" w:lastColumn="0" w:oddVBand="0" w:evenVBand="0" w:oddHBand="1" w:evenHBand="0" w:firstRowFirstColumn="0" w:firstRowLastColumn="0" w:lastRowFirstColumn="0" w:lastRowLastColumn="0"/>
              <w:rPr>
                <w:rFonts w:ascii="Arial Black" w:hAnsi="Arial Black"/>
                <w:color w:val="000000"/>
              </w:rPr>
            </w:pPr>
            <w:proofErr w:type="spellStart"/>
            <w:r>
              <w:rPr>
                <w:rFonts w:asciiTheme="minorHAnsi" w:hAnsiTheme="minorHAnsi" w:cstheme="minorHAnsi"/>
              </w:rPr>
              <w:t>Md</w:t>
            </w:r>
            <w:proofErr w:type="spellEnd"/>
            <w:r>
              <w:rPr>
                <w:rFonts w:asciiTheme="minorHAnsi" w:hAnsiTheme="minorHAnsi" w:cstheme="minorHAnsi"/>
              </w:rPr>
              <w:t xml:space="preserve"> Abidur Rahman</w:t>
            </w:r>
          </w:p>
        </w:tc>
      </w:tr>
      <w:tr w:rsidR="00625BB7" w:rsidTr="009933E5">
        <w:trPr>
          <w:trHeight w:val="344"/>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F2F2F2"/>
            <w:hideMark/>
          </w:tcPr>
          <w:p w:rsidR="00625BB7" w:rsidRPr="00B26F45" w:rsidRDefault="00625BB7" w:rsidP="009933E5">
            <w:pPr>
              <w:rPr>
                <w:rFonts w:ascii="Arial Black" w:hAnsi="Arial Black"/>
                <w:color w:val="1D1B11" w:themeColor="background2" w:themeShade="1A"/>
                <w:szCs w:val="24"/>
              </w:rPr>
            </w:pPr>
            <w:r w:rsidRPr="00B26F45">
              <w:rPr>
                <w:b w:val="0"/>
                <w:bCs w:val="0"/>
                <w:color w:val="1D1B11" w:themeColor="background2" w:themeShade="1A"/>
                <w:szCs w:val="24"/>
              </w:rPr>
              <w:t xml:space="preserve">Student </w:t>
            </w:r>
            <w:r>
              <w:rPr>
                <w:b w:val="0"/>
                <w:bCs w:val="0"/>
                <w:color w:val="1D1B11" w:themeColor="background2" w:themeShade="1A"/>
                <w:szCs w:val="24"/>
              </w:rPr>
              <w:t xml:space="preserve"> Number</w:t>
            </w:r>
          </w:p>
        </w:tc>
        <w:tc>
          <w:tcPr>
            <w:tcW w:w="4613" w:type="dxa"/>
            <w:tcBorders>
              <w:top w:val="single" w:sz="4" w:space="0" w:color="FFFFFF"/>
              <w:left w:val="single" w:sz="4" w:space="0" w:color="FFFFFF"/>
              <w:bottom w:val="single" w:sz="4" w:space="0" w:color="FFFFFF"/>
              <w:right w:val="single" w:sz="4" w:space="0" w:color="FFFFFF"/>
            </w:tcBorders>
            <w:shd w:val="clear" w:color="auto" w:fill="F2F2F2"/>
          </w:tcPr>
          <w:p w:rsidR="00625BB7" w:rsidRPr="00B26F45" w:rsidRDefault="00625BB7" w:rsidP="009933E5">
            <w:pPr>
              <w:cnfStyle w:val="000000000000" w:firstRow="0" w:lastRow="0" w:firstColumn="0" w:lastColumn="0" w:oddVBand="0" w:evenVBand="0" w:oddHBand="0" w:evenHBand="0" w:firstRowFirstColumn="0" w:firstRowLastColumn="0" w:lastRowFirstColumn="0" w:lastRowLastColumn="0"/>
              <w:rPr>
                <w:rFonts w:ascii="Arial Black" w:hAnsi="Arial Black"/>
                <w:color w:val="1D1B11" w:themeColor="background2" w:themeShade="1A"/>
              </w:rPr>
            </w:pPr>
            <w:r>
              <w:rPr>
                <w:rFonts w:asciiTheme="minorHAnsi" w:hAnsiTheme="minorHAnsi" w:cstheme="minorHAnsi"/>
              </w:rPr>
              <w:t>1815081</w:t>
            </w:r>
          </w:p>
        </w:tc>
      </w:tr>
      <w:tr w:rsidR="00625BB7" w:rsidTr="009933E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right w:val="single" w:sz="4" w:space="0" w:color="FFFFFF"/>
            </w:tcBorders>
            <w:shd w:val="clear" w:color="auto" w:fill="BDD6EE"/>
            <w:hideMark/>
          </w:tcPr>
          <w:p w:rsidR="00625BB7" w:rsidRPr="00B26F45" w:rsidRDefault="00625BB7" w:rsidP="009933E5">
            <w:pPr>
              <w:rPr>
                <w:rFonts w:ascii="Arial Black" w:hAnsi="Arial Black"/>
                <w:b w:val="0"/>
                <w:color w:val="1D1B11" w:themeColor="background2" w:themeShade="1A"/>
                <w:szCs w:val="24"/>
              </w:rPr>
            </w:pPr>
            <w:r w:rsidRPr="00B26F45">
              <w:rPr>
                <w:b w:val="0"/>
                <w:color w:val="1D1B11" w:themeColor="background2" w:themeShade="1A"/>
              </w:rPr>
              <w:t>Lecturer Name</w:t>
            </w:r>
          </w:p>
        </w:tc>
        <w:tc>
          <w:tcPr>
            <w:tcW w:w="4613" w:type="dxa"/>
            <w:tcBorders>
              <w:top w:val="single" w:sz="4" w:space="0" w:color="FFFFFF"/>
              <w:left w:val="single" w:sz="4" w:space="0" w:color="FFFFFF"/>
              <w:bottom w:val="single" w:sz="4" w:space="0" w:color="FFFFFF"/>
              <w:right w:val="single" w:sz="4" w:space="0" w:color="FFFFFF"/>
            </w:tcBorders>
          </w:tcPr>
          <w:p w:rsidR="00625BB7" w:rsidRDefault="00625BB7" w:rsidP="009933E5">
            <w:pPr>
              <w:cnfStyle w:val="000000100000" w:firstRow="0" w:lastRow="0" w:firstColumn="0" w:lastColumn="0" w:oddVBand="0" w:evenVBand="0" w:oddHBand="1" w:evenHBand="0" w:firstRowFirstColumn="0" w:firstRowLastColumn="0" w:lastRowFirstColumn="0" w:lastRowLastColumn="0"/>
              <w:rPr>
                <w:rFonts w:ascii="Arial Black" w:hAnsi="Arial Black"/>
                <w:color w:val="000000"/>
              </w:rPr>
            </w:pPr>
            <w:r>
              <w:t xml:space="preserve">Zahra </w:t>
            </w:r>
            <w:proofErr w:type="spellStart"/>
            <w:r>
              <w:t>Mohammadnazari</w:t>
            </w:r>
            <w:proofErr w:type="spellEnd"/>
          </w:p>
        </w:tc>
      </w:tr>
    </w:tbl>
    <w:p w:rsidR="00625BB7" w:rsidRPr="00C13C98" w:rsidRDefault="00625BB7" w:rsidP="00625BB7">
      <w:pPr>
        <w:jc w:val="center"/>
        <w:rPr>
          <w:rStyle w:val="IntenseEmphasis"/>
          <w:rFonts w:cs="Times New Roman"/>
          <w:b/>
          <w:bCs/>
          <w:i w:val="0"/>
          <w:iCs w:val="0"/>
          <w:color w:val="000000" w:themeColor="text1"/>
          <w:sz w:val="36"/>
          <w:szCs w:val="36"/>
        </w:rPr>
      </w:pPr>
    </w:p>
    <w:sdt>
      <w:sdtPr>
        <w:rPr>
          <w:rFonts w:ascii="Times New Roman" w:eastAsiaTheme="minorHAnsi" w:hAnsi="Times New Roman" w:cstheme="minorBidi"/>
          <w:color w:val="auto"/>
          <w:sz w:val="24"/>
          <w:szCs w:val="22"/>
        </w:rPr>
        <w:id w:val="-243498326"/>
        <w:docPartObj>
          <w:docPartGallery w:val="Table of Contents"/>
          <w:docPartUnique/>
        </w:docPartObj>
      </w:sdtPr>
      <w:sdtEndPr>
        <w:rPr>
          <w:b/>
          <w:bCs/>
          <w:noProof/>
        </w:rPr>
      </w:sdtEndPr>
      <w:sdtContent>
        <w:p w:rsidR="00625BB7" w:rsidRPr="00C13C98" w:rsidRDefault="00625BB7" w:rsidP="00625BB7">
          <w:pPr>
            <w:pStyle w:val="TOCHeading"/>
            <w:jc w:val="center"/>
            <w:rPr>
              <w:rFonts w:ascii="Times New Roman" w:hAnsi="Times New Roman" w:cs="Times New Roman"/>
              <w:b/>
              <w:bCs/>
            </w:rPr>
          </w:pPr>
          <w:r w:rsidRPr="00C13C98">
            <w:rPr>
              <w:rFonts w:ascii="Times New Roman" w:hAnsi="Times New Roman" w:cs="Times New Roman"/>
              <w:b/>
              <w:bCs/>
            </w:rPr>
            <w:t>Table of Contents</w:t>
          </w:r>
        </w:p>
        <w:p w:rsidR="00625BB7" w:rsidRDefault="00625BB7" w:rsidP="00625BB7">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1578933" w:history="1">
            <w:r w:rsidRPr="008F14D7">
              <w:rPr>
                <w:rStyle w:val="Hyperlink"/>
                <w:noProof/>
              </w:rPr>
              <w:t>Introduction</w:t>
            </w:r>
            <w:r>
              <w:rPr>
                <w:noProof/>
                <w:webHidden/>
              </w:rPr>
              <w:tab/>
            </w:r>
            <w:r>
              <w:rPr>
                <w:noProof/>
                <w:webHidden/>
              </w:rPr>
              <w:fldChar w:fldCharType="begin"/>
            </w:r>
            <w:r>
              <w:rPr>
                <w:noProof/>
                <w:webHidden/>
              </w:rPr>
              <w:instrText xml:space="preserve"> PAGEREF _Toc151578933 \h </w:instrText>
            </w:r>
            <w:r>
              <w:rPr>
                <w:noProof/>
                <w:webHidden/>
              </w:rPr>
            </w:r>
            <w:r>
              <w:rPr>
                <w:noProof/>
                <w:webHidden/>
              </w:rPr>
              <w:fldChar w:fldCharType="separate"/>
            </w:r>
            <w:r>
              <w:rPr>
                <w:noProof/>
                <w:webHidden/>
              </w:rPr>
              <w:t>1</w:t>
            </w:r>
            <w:r>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4" w:history="1">
            <w:r w:rsidR="00625BB7" w:rsidRPr="008F14D7">
              <w:rPr>
                <w:rStyle w:val="Hyperlink"/>
                <w:noProof/>
              </w:rPr>
              <w:t>Principles</w:t>
            </w:r>
            <w:r w:rsidR="00625BB7">
              <w:rPr>
                <w:noProof/>
                <w:webHidden/>
              </w:rPr>
              <w:tab/>
            </w:r>
            <w:r w:rsidR="00625BB7">
              <w:rPr>
                <w:noProof/>
                <w:webHidden/>
              </w:rPr>
              <w:fldChar w:fldCharType="begin"/>
            </w:r>
            <w:r w:rsidR="00625BB7">
              <w:rPr>
                <w:noProof/>
                <w:webHidden/>
              </w:rPr>
              <w:instrText xml:space="preserve"> PAGEREF _Toc151578934 \h </w:instrText>
            </w:r>
            <w:r w:rsidR="00625BB7">
              <w:rPr>
                <w:noProof/>
                <w:webHidden/>
              </w:rPr>
            </w:r>
            <w:r w:rsidR="00625BB7">
              <w:rPr>
                <w:noProof/>
                <w:webHidden/>
              </w:rPr>
              <w:fldChar w:fldCharType="separate"/>
            </w:r>
            <w:r w:rsidR="00625BB7">
              <w:rPr>
                <w:noProof/>
                <w:webHidden/>
              </w:rPr>
              <w:t>2</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5" w:history="1">
            <w:r w:rsidR="00625BB7" w:rsidRPr="008F14D7">
              <w:rPr>
                <w:rStyle w:val="Hyperlink"/>
                <w:noProof/>
              </w:rPr>
              <w:t>Design Process</w:t>
            </w:r>
            <w:r w:rsidR="00625BB7">
              <w:rPr>
                <w:noProof/>
                <w:webHidden/>
              </w:rPr>
              <w:tab/>
            </w:r>
            <w:r w:rsidR="00625BB7">
              <w:rPr>
                <w:noProof/>
                <w:webHidden/>
              </w:rPr>
              <w:fldChar w:fldCharType="begin"/>
            </w:r>
            <w:r w:rsidR="00625BB7">
              <w:rPr>
                <w:noProof/>
                <w:webHidden/>
              </w:rPr>
              <w:instrText xml:space="preserve"> PAGEREF _Toc151578935 \h </w:instrText>
            </w:r>
            <w:r w:rsidR="00625BB7">
              <w:rPr>
                <w:noProof/>
                <w:webHidden/>
              </w:rPr>
            </w:r>
            <w:r w:rsidR="00625BB7">
              <w:rPr>
                <w:noProof/>
                <w:webHidden/>
              </w:rPr>
              <w:fldChar w:fldCharType="separate"/>
            </w:r>
            <w:r w:rsidR="00625BB7">
              <w:rPr>
                <w:noProof/>
                <w:webHidden/>
              </w:rPr>
              <w:t>3</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6" w:history="1">
            <w:r w:rsidR="00625BB7" w:rsidRPr="008F14D7">
              <w:rPr>
                <w:rStyle w:val="Hyperlink"/>
                <w:noProof/>
              </w:rPr>
              <w:t>Standards</w:t>
            </w:r>
            <w:r w:rsidR="00625BB7">
              <w:rPr>
                <w:noProof/>
                <w:webHidden/>
              </w:rPr>
              <w:tab/>
            </w:r>
            <w:r w:rsidR="00625BB7">
              <w:rPr>
                <w:noProof/>
                <w:webHidden/>
              </w:rPr>
              <w:fldChar w:fldCharType="begin"/>
            </w:r>
            <w:r w:rsidR="00625BB7">
              <w:rPr>
                <w:noProof/>
                <w:webHidden/>
              </w:rPr>
              <w:instrText xml:space="preserve"> PAGEREF _Toc151578936 \h </w:instrText>
            </w:r>
            <w:r w:rsidR="00625BB7">
              <w:rPr>
                <w:noProof/>
                <w:webHidden/>
              </w:rPr>
            </w:r>
            <w:r w:rsidR="00625BB7">
              <w:rPr>
                <w:noProof/>
                <w:webHidden/>
              </w:rPr>
              <w:fldChar w:fldCharType="separate"/>
            </w:r>
            <w:r w:rsidR="00625BB7">
              <w:rPr>
                <w:noProof/>
                <w:webHidden/>
              </w:rPr>
              <w:t>4</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7" w:history="1">
            <w:r w:rsidR="00625BB7" w:rsidRPr="008F14D7">
              <w:rPr>
                <w:rStyle w:val="Hyperlink"/>
                <w:noProof/>
              </w:rPr>
              <w:t>Evaluation Methods</w:t>
            </w:r>
            <w:r w:rsidR="00625BB7">
              <w:rPr>
                <w:noProof/>
                <w:webHidden/>
              </w:rPr>
              <w:tab/>
            </w:r>
            <w:r w:rsidR="00625BB7">
              <w:rPr>
                <w:noProof/>
                <w:webHidden/>
              </w:rPr>
              <w:fldChar w:fldCharType="begin"/>
            </w:r>
            <w:r w:rsidR="00625BB7">
              <w:rPr>
                <w:noProof/>
                <w:webHidden/>
              </w:rPr>
              <w:instrText xml:space="preserve"> PAGEREF _Toc151578937 \h </w:instrText>
            </w:r>
            <w:r w:rsidR="00625BB7">
              <w:rPr>
                <w:noProof/>
                <w:webHidden/>
              </w:rPr>
            </w:r>
            <w:r w:rsidR="00625BB7">
              <w:rPr>
                <w:noProof/>
                <w:webHidden/>
              </w:rPr>
              <w:fldChar w:fldCharType="separate"/>
            </w:r>
            <w:r w:rsidR="00625BB7">
              <w:rPr>
                <w:noProof/>
                <w:webHidden/>
              </w:rPr>
              <w:t>4</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8" w:history="1">
            <w:r w:rsidR="00625BB7" w:rsidRPr="008F14D7">
              <w:rPr>
                <w:rStyle w:val="Hyperlink"/>
                <w:noProof/>
              </w:rPr>
              <w:t>Best Practices</w:t>
            </w:r>
            <w:r w:rsidR="00625BB7">
              <w:rPr>
                <w:noProof/>
                <w:webHidden/>
              </w:rPr>
              <w:tab/>
            </w:r>
            <w:r w:rsidR="00625BB7">
              <w:rPr>
                <w:noProof/>
                <w:webHidden/>
              </w:rPr>
              <w:fldChar w:fldCharType="begin"/>
            </w:r>
            <w:r w:rsidR="00625BB7">
              <w:rPr>
                <w:noProof/>
                <w:webHidden/>
              </w:rPr>
              <w:instrText xml:space="preserve"> PAGEREF _Toc151578938 \h </w:instrText>
            </w:r>
            <w:r w:rsidR="00625BB7">
              <w:rPr>
                <w:noProof/>
                <w:webHidden/>
              </w:rPr>
            </w:r>
            <w:r w:rsidR="00625BB7">
              <w:rPr>
                <w:noProof/>
                <w:webHidden/>
              </w:rPr>
              <w:fldChar w:fldCharType="separate"/>
            </w:r>
            <w:r w:rsidR="00625BB7">
              <w:rPr>
                <w:noProof/>
                <w:webHidden/>
              </w:rPr>
              <w:t>5</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39" w:history="1">
            <w:r w:rsidR="00625BB7" w:rsidRPr="008F14D7">
              <w:rPr>
                <w:rStyle w:val="Hyperlink"/>
                <w:noProof/>
              </w:rPr>
              <w:t>Impact Analysis</w:t>
            </w:r>
            <w:r w:rsidR="00625BB7">
              <w:rPr>
                <w:noProof/>
                <w:webHidden/>
              </w:rPr>
              <w:tab/>
            </w:r>
            <w:r w:rsidR="00625BB7">
              <w:rPr>
                <w:noProof/>
                <w:webHidden/>
              </w:rPr>
              <w:fldChar w:fldCharType="begin"/>
            </w:r>
            <w:r w:rsidR="00625BB7">
              <w:rPr>
                <w:noProof/>
                <w:webHidden/>
              </w:rPr>
              <w:instrText xml:space="preserve"> PAGEREF _Toc151578939 \h </w:instrText>
            </w:r>
            <w:r w:rsidR="00625BB7">
              <w:rPr>
                <w:noProof/>
                <w:webHidden/>
              </w:rPr>
            </w:r>
            <w:r w:rsidR="00625BB7">
              <w:rPr>
                <w:noProof/>
                <w:webHidden/>
              </w:rPr>
              <w:fldChar w:fldCharType="separate"/>
            </w:r>
            <w:r w:rsidR="00625BB7">
              <w:rPr>
                <w:noProof/>
                <w:webHidden/>
              </w:rPr>
              <w:t>6</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40" w:history="1">
            <w:r w:rsidR="00625BB7" w:rsidRPr="008F14D7">
              <w:rPr>
                <w:rStyle w:val="Hyperlink"/>
                <w:noProof/>
              </w:rPr>
              <w:t>Conclusion</w:t>
            </w:r>
            <w:r w:rsidR="00625BB7">
              <w:rPr>
                <w:noProof/>
                <w:webHidden/>
              </w:rPr>
              <w:tab/>
            </w:r>
            <w:r w:rsidR="00625BB7">
              <w:rPr>
                <w:noProof/>
                <w:webHidden/>
              </w:rPr>
              <w:fldChar w:fldCharType="begin"/>
            </w:r>
            <w:r w:rsidR="00625BB7">
              <w:rPr>
                <w:noProof/>
                <w:webHidden/>
              </w:rPr>
              <w:instrText xml:space="preserve"> PAGEREF _Toc151578940 \h </w:instrText>
            </w:r>
            <w:r w:rsidR="00625BB7">
              <w:rPr>
                <w:noProof/>
                <w:webHidden/>
              </w:rPr>
            </w:r>
            <w:r w:rsidR="00625BB7">
              <w:rPr>
                <w:noProof/>
                <w:webHidden/>
              </w:rPr>
              <w:fldChar w:fldCharType="separate"/>
            </w:r>
            <w:r w:rsidR="00625BB7">
              <w:rPr>
                <w:noProof/>
                <w:webHidden/>
              </w:rPr>
              <w:t>7</w:t>
            </w:r>
            <w:r w:rsidR="00625BB7">
              <w:rPr>
                <w:noProof/>
                <w:webHidden/>
              </w:rPr>
              <w:fldChar w:fldCharType="end"/>
            </w:r>
          </w:hyperlink>
        </w:p>
        <w:p w:rsidR="00625BB7" w:rsidRDefault="005E632E" w:rsidP="00625BB7">
          <w:pPr>
            <w:pStyle w:val="TOC1"/>
            <w:tabs>
              <w:tab w:val="right" w:leader="dot" w:pos="9350"/>
            </w:tabs>
            <w:rPr>
              <w:rFonts w:asciiTheme="minorHAnsi" w:eastAsiaTheme="minorEastAsia" w:hAnsiTheme="minorHAnsi"/>
              <w:noProof/>
              <w:sz w:val="22"/>
              <w:lang w:val="en-GB" w:eastAsia="en-GB"/>
            </w:rPr>
          </w:pPr>
          <w:hyperlink w:anchor="_Toc151578941" w:history="1">
            <w:r w:rsidR="00625BB7" w:rsidRPr="008F14D7">
              <w:rPr>
                <w:rStyle w:val="Hyperlink"/>
                <w:noProof/>
              </w:rPr>
              <w:t>References</w:t>
            </w:r>
            <w:r w:rsidR="00625BB7">
              <w:rPr>
                <w:noProof/>
                <w:webHidden/>
              </w:rPr>
              <w:tab/>
            </w:r>
            <w:r w:rsidR="00625BB7">
              <w:rPr>
                <w:noProof/>
                <w:webHidden/>
              </w:rPr>
              <w:fldChar w:fldCharType="begin"/>
            </w:r>
            <w:r w:rsidR="00625BB7">
              <w:rPr>
                <w:noProof/>
                <w:webHidden/>
              </w:rPr>
              <w:instrText xml:space="preserve"> PAGEREF _Toc151578941 \h </w:instrText>
            </w:r>
            <w:r w:rsidR="00625BB7">
              <w:rPr>
                <w:noProof/>
                <w:webHidden/>
              </w:rPr>
            </w:r>
            <w:r w:rsidR="00625BB7">
              <w:rPr>
                <w:noProof/>
                <w:webHidden/>
              </w:rPr>
              <w:fldChar w:fldCharType="separate"/>
            </w:r>
            <w:r w:rsidR="00625BB7">
              <w:rPr>
                <w:noProof/>
                <w:webHidden/>
              </w:rPr>
              <w:t>8</w:t>
            </w:r>
            <w:r w:rsidR="00625BB7">
              <w:rPr>
                <w:noProof/>
                <w:webHidden/>
              </w:rPr>
              <w:fldChar w:fldCharType="end"/>
            </w:r>
          </w:hyperlink>
        </w:p>
        <w:p w:rsidR="00625BB7" w:rsidRDefault="00625BB7" w:rsidP="00625BB7">
          <w:r>
            <w:rPr>
              <w:b/>
              <w:bCs/>
              <w:noProof/>
            </w:rPr>
            <w:fldChar w:fldCharType="end"/>
          </w:r>
        </w:p>
      </w:sdtContent>
    </w:sdt>
    <w:p w:rsidR="00625BB7" w:rsidRDefault="00625BB7" w:rsidP="00625BB7">
      <w:pPr>
        <w:spacing w:line="259" w:lineRule="auto"/>
        <w:jc w:val="left"/>
        <w:rPr>
          <w:rStyle w:val="IntenseEmphasis"/>
          <w:rFonts w:cs="Times New Roman"/>
          <w:i w:val="0"/>
          <w:iCs w:val="0"/>
          <w:color w:val="000000" w:themeColor="text1"/>
          <w:szCs w:val="24"/>
        </w:rPr>
      </w:pPr>
      <w:r>
        <w:rPr>
          <w:rStyle w:val="IntenseEmphasis"/>
          <w:rFonts w:cs="Times New Roman"/>
          <w:color w:val="000000" w:themeColor="text1"/>
          <w:szCs w:val="24"/>
        </w:rPr>
        <w:br w:type="page"/>
      </w:r>
    </w:p>
    <w:p w:rsidR="00625BB7" w:rsidRDefault="00625BB7" w:rsidP="00625BB7">
      <w:pPr>
        <w:pStyle w:val="Heading1"/>
        <w:sectPr w:rsidR="00625BB7">
          <w:headerReference w:type="default" r:id="rId8"/>
          <w:pgSz w:w="12240" w:h="15840"/>
          <w:pgMar w:top="1440" w:right="1440" w:bottom="1440" w:left="1440" w:header="720" w:footer="720" w:gutter="0"/>
          <w:cols w:space="720"/>
          <w:docGrid w:linePitch="360"/>
        </w:sectPr>
      </w:pPr>
    </w:p>
    <w:p w:rsidR="00625BB7" w:rsidRPr="00C13C98" w:rsidRDefault="00625BB7" w:rsidP="00625BB7">
      <w:pPr>
        <w:pStyle w:val="Heading1"/>
      </w:pPr>
      <w:bookmarkStart w:id="0" w:name="_Toc151578933"/>
      <w:r w:rsidRPr="00C13C98">
        <w:lastRenderedPageBreak/>
        <w:t>Introduction</w:t>
      </w:r>
      <w:bookmarkEnd w:id="0"/>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color w:val="000000" w:themeColor="text1"/>
          <w:sz w:val="22"/>
        </w:rPr>
        <w:t xml:space="preserve">Facilitating effective community engagement is paramount for nurturing inclusive and cohesive communities. The active participation of a diverse range of stakeholders in decision-making processes empowers individuals and groups, fostering a sense of ownership and enabling them to contribute meaningfully to positive community transformations (Too,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2015).</w:t>
      </w:r>
      <w:proofErr w:type="gramEnd"/>
      <w:r w:rsidRPr="00670EDB">
        <w:rPr>
          <w:rStyle w:val="IntenseEmphasis"/>
          <w:rFonts w:ascii="Arial" w:hAnsi="Arial" w:cs="Arial"/>
          <w:color w:val="000000" w:themeColor="text1"/>
          <w:sz w:val="22"/>
        </w:rPr>
        <w:t xml:space="preserve"> The reflection on Scope UK's Community Engagement </w:t>
      </w:r>
      <w:proofErr w:type="spellStart"/>
      <w:r w:rsidRPr="00670EDB">
        <w:rPr>
          <w:rStyle w:val="IntenseEmphasis"/>
          <w:rFonts w:ascii="Arial" w:hAnsi="Arial" w:cs="Arial"/>
          <w:color w:val="000000" w:themeColor="text1"/>
          <w:sz w:val="22"/>
        </w:rPr>
        <w:t>Programme</w:t>
      </w:r>
      <w:proofErr w:type="spellEnd"/>
      <w:r w:rsidRPr="00670EDB">
        <w:rPr>
          <w:rStyle w:val="IntenseEmphasis"/>
          <w:rFonts w:ascii="Arial" w:hAnsi="Arial" w:cs="Arial"/>
          <w:color w:val="000000" w:themeColor="text1"/>
          <w:sz w:val="22"/>
        </w:rPr>
        <w:t xml:space="preserve"> serves as an inspiration, notably due to its unwavering commitment to collaboration, inclusivity, and thorough evaluation.</w:t>
      </w:r>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color w:val="000000" w:themeColor="text1"/>
          <w:sz w:val="22"/>
        </w:rPr>
        <w:t xml:space="preserve">In envisioning the future, my aspiration is to lead a community engagement </w:t>
      </w:r>
      <w:proofErr w:type="spellStart"/>
      <w:r w:rsidRPr="00670EDB">
        <w:rPr>
          <w:rStyle w:val="IntenseEmphasis"/>
          <w:rFonts w:ascii="Arial" w:hAnsi="Arial" w:cs="Arial"/>
          <w:color w:val="000000" w:themeColor="text1"/>
          <w:sz w:val="22"/>
        </w:rPr>
        <w:t>programme</w:t>
      </w:r>
      <w:proofErr w:type="spellEnd"/>
      <w:r w:rsidRPr="00670EDB">
        <w:rPr>
          <w:rStyle w:val="IntenseEmphasis"/>
          <w:rFonts w:ascii="Arial" w:hAnsi="Arial" w:cs="Arial"/>
          <w:color w:val="000000" w:themeColor="text1"/>
          <w:sz w:val="22"/>
        </w:rPr>
        <w:t xml:space="preserve"> that embraces these core principles</w:t>
      </w:r>
      <w:bookmarkStart w:id="1" w:name="_GoBack"/>
      <w:bookmarkEnd w:id="1"/>
      <w:r w:rsidRPr="00670EDB">
        <w:rPr>
          <w:rStyle w:val="IntenseEmphasis"/>
          <w:rFonts w:ascii="Arial" w:hAnsi="Arial" w:cs="Arial"/>
          <w:color w:val="000000" w:themeColor="text1"/>
          <w:sz w:val="22"/>
        </w:rPr>
        <w:t xml:space="preserve">. This future initiative aims to be a catalyst for change, specifically tailored to address the unique needs and aspirations of underserved communities. By drawing upon the valuable lessons from Scope UK's program, the goal is to create a platform that not only promotes active participation but also ensures that the voices of marginalized individuals are heard and respected. Through this, the community engagement </w:t>
      </w:r>
      <w:proofErr w:type="spellStart"/>
      <w:r w:rsidRPr="00670EDB">
        <w:rPr>
          <w:rStyle w:val="IntenseEmphasis"/>
          <w:rFonts w:ascii="Arial" w:hAnsi="Arial" w:cs="Arial"/>
          <w:color w:val="000000" w:themeColor="text1"/>
          <w:sz w:val="22"/>
        </w:rPr>
        <w:t>programme</w:t>
      </w:r>
      <w:proofErr w:type="spellEnd"/>
      <w:r w:rsidRPr="00670EDB">
        <w:rPr>
          <w:rStyle w:val="IntenseEmphasis"/>
          <w:rFonts w:ascii="Arial" w:hAnsi="Arial" w:cs="Arial"/>
          <w:color w:val="000000" w:themeColor="text1"/>
          <w:sz w:val="22"/>
        </w:rPr>
        <w:t xml:space="preserve"> seeks to build resilient communities where every member feels valued, included, and empowered to contribute to positive and sustainable developments</w:t>
      </w:r>
      <w:r w:rsidRPr="00670EDB">
        <w:rPr>
          <w:rFonts w:ascii="Arial" w:hAnsi="Arial" w:cs="Arial"/>
          <w:sz w:val="22"/>
        </w:rPr>
        <w:t xml:space="preserve">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Tilbury</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2015).</w:t>
      </w:r>
      <w:proofErr w:type="gramEnd"/>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color w:val="000000" w:themeColor="text1"/>
          <w:sz w:val="22"/>
        </w:rPr>
        <w:t xml:space="preserve">In my envisioned community engagement project, the primary focus will be on promoting environmental awareness and sustainability within a low-income </w:t>
      </w:r>
      <w:proofErr w:type="spellStart"/>
      <w:r w:rsidRPr="00670EDB">
        <w:rPr>
          <w:rStyle w:val="IntenseEmphasis"/>
          <w:rFonts w:ascii="Arial" w:hAnsi="Arial" w:cs="Arial"/>
          <w:color w:val="000000" w:themeColor="text1"/>
          <w:sz w:val="22"/>
        </w:rPr>
        <w:t>neighbourhood</w:t>
      </w:r>
      <w:proofErr w:type="spellEnd"/>
      <w:r w:rsidRPr="00670EDB">
        <w:rPr>
          <w:rStyle w:val="IntenseEmphasis"/>
          <w:rFonts w:ascii="Arial" w:hAnsi="Arial" w:cs="Arial"/>
          <w:color w:val="000000" w:themeColor="text1"/>
          <w:sz w:val="22"/>
        </w:rPr>
        <w:t>. The overarching goal of this initiative is to empower community members by fostering a collective commitment to eco-friendly practices. By encouraging the adoption of sustainable habits, the project aims to reduce the environmental impact of daily activities within the community. With the help of targeted educational programs, community events, and workshops residents will be equipped with the knowledge and tools needed to make environmental awareness choices. The ultimate aspiration is to cultivate a sense of environmental responsibility, contributing to the creation of a healthier, more sustainable, as well as resilient community that actively participates in protecting the welfare of the planet.</w:t>
      </w:r>
    </w:p>
    <w:p w:rsidR="00625BB7" w:rsidRPr="00670EDB" w:rsidRDefault="00625BB7" w:rsidP="00670EDB">
      <w:pPr>
        <w:rPr>
          <w:rStyle w:val="IntenseEmphasis"/>
          <w:rFonts w:ascii="Arial" w:hAnsi="Arial" w:cs="Arial"/>
          <w:b/>
          <w:bCs/>
          <w:i w:val="0"/>
          <w:iCs w:val="0"/>
          <w:color w:val="000000" w:themeColor="text1"/>
          <w:sz w:val="22"/>
        </w:rPr>
      </w:pPr>
      <w:r w:rsidRPr="00670EDB">
        <w:rPr>
          <w:rStyle w:val="IntenseEmphasis"/>
          <w:rFonts w:ascii="Arial" w:hAnsi="Arial" w:cs="Arial"/>
          <w:b/>
          <w:bCs/>
          <w:color w:val="000000" w:themeColor="text1"/>
          <w:sz w:val="22"/>
        </w:rPr>
        <w:t>Principles, Design Processes, Standards, and Evaluation Methods</w:t>
      </w:r>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color w:val="000000" w:themeColor="text1"/>
          <w:sz w:val="22"/>
        </w:rPr>
        <w:t>I will employ the following principles, design processes, standards, and evaluation methods to effectively coordinate this project, drawing upon the concepts learned in this module:</w:t>
      </w:r>
    </w:p>
    <w:p w:rsidR="00625BB7" w:rsidRPr="00670EDB" w:rsidRDefault="00625BB7" w:rsidP="00670EDB">
      <w:pPr>
        <w:pStyle w:val="Heading1"/>
        <w:rPr>
          <w:rFonts w:ascii="Arial" w:hAnsi="Arial" w:cs="Arial"/>
          <w:sz w:val="22"/>
          <w:szCs w:val="22"/>
        </w:rPr>
      </w:pPr>
      <w:bookmarkStart w:id="2" w:name="_Toc151578934"/>
      <w:r w:rsidRPr="00670EDB">
        <w:rPr>
          <w:rFonts w:ascii="Arial" w:hAnsi="Arial" w:cs="Arial"/>
          <w:sz w:val="22"/>
          <w:szCs w:val="22"/>
        </w:rPr>
        <w:t>Principles</w:t>
      </w:r>
      <w:bookmarkEnd w:id="2"/>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b/>
          <w:bCs/>
          <w:color w:val="000000" w:themeColor="text1"/>
          <w:sz w:val="22"/>
        </w:rPr>
        <w:t>Collaboration:</w:t>
      </w:r>
      <w:r w:rsidRPr="00670EDB">
        <w:rPr>
          <w:rStyle w:val="IntenseEmphasis"/>
          <w:rFonts w:ascii="Arial" w:hAnsi="Arial" w:cs="Arial"/>
          <w:color w:val="000000" w:themeColor="text1"/>
          <w:sz w:val="22"/>
        </w:rPr>
        <w:t xml:space="preserve"> </w:t>
      </w:r>
      <w:r w:rsidRPr="00670EDB">
        <w:rPr>
          <w:rStyle w:val="Emphasis"/>
          <w:rFonts w:ascii="Arial" w:hAnsi="Arial" w:cs="Arial"/>
          <w:color w:val="000000" w:themeColor="text1"/>
          <w:sz w:val="22"/>
        </w:rPr>
        <w:t xml:space="preserve">Collaboration is central point for the success of the upcoming environmental sustainability project, marking a departure from the narrower collaboration in </w:t>
      </w:r>
      <w:r w:rsidRPr="00670EDB">
        <w:rPr>
          <w:rFonts w:ascii="Arial" w:hAnsi="Arial" w:cs="Arial"/>
          <w:sz w:val="22"/>
        </w:rPr>
        <w:t xml:space="preserve">disabled aged 18 </w:t>
      </w:r>
      <w:r w:rsidRPr="00670EDB">
        <w:rPr>
          <w:rFonts w:ascii="Arial" w:hAnsi="Arial" w:cs="Arial"/>
          <w:sz w:val="22"/>
        </w:rPr>
        <w:lastRenderedPageBreak/>
        <w:t xml:space="preserve">and over, families, parents, and unpaid </w:t>
      </w:r>
      <w:proofErr w:type="spellStart"/>
      <w:r w:rsidRPr="00670EDB">
        <w:rPr>
          <w:rFonts w:ascii="Arial" w:hAnsi="Arial" w:cs="Arial"/>
          <w:sz w:val="22"/>
        </w:rPr>
        <w:t>carers</w:t>
      </w:r>
      <w:proofErr w:type="spellEnd"/>
      <w:r w:rsidRPr="00670EDB">
        <w:rPr>
          <w:rFonts w:ascii="Arial" w:hAnsi="Arial" w:cs="Arial"/>
          <w:sz w:val="22"/>
        </w:rPr>
        <w:t xml:space="preserve"> of disabled children initiative</w:t>
      </w:r>
      <w:r w:rsidRPr="00670EDB">
        <w:rPr>
          <w:rStyle w:val="Emphasis"/>
          <w:rFonts w:ascii="Arial" w:hAnsi="Arial" w:cs="Arial"/>
          <w:color w:val="000000" w:themeColor="text1"/>
          <w:sz w:val="22"/>
        </w:rPr>
        <w:t xml:space="preserve"> of Assignment 1. While the project </w:t>
      </w:r>
      <w:r w:rsidRPr="00670EDB">
        <w:rPr>
          <w:rFonts w:ascii="Arial" w:hAnsi="Arial" w:cs="Arial"/>
          <w:sz w:val="22"/>
        </w:rPr>
        <w:t>engaged with the lives of disabled people and their families,</w:t>
      </w:r>
      <w:r w:rsidRPr="00670EDB">
        <w:rPr>
          <w:rStyle w:val="Emphasis"/>
          <w:rFonts w:ascii="Arial" w:hAnsi="Arial" w:cs="Arial"/>
          <w:color w:val="000000" w:themeColor="text1"/>
          <w:sz w:val="22"/>
        </w:rPr>
        <w:t xml:space="preserve"> the environmental project widens its scope to involve local organizations, and environmental experts. This inclusive collaboration recognizes the complexity of sustainability, confirming a more comprehensive understanding of environmental challenges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Wibeck</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2008)</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Aligned with best practices, this participatory model cherishes shared responsibility, a crucial prospect for community engagement success. Reflecting on past experiences, a more expansive collaboration strategy in could have enhanced its effectiveness. The importance of collaboration lies in leveraging diverse skills and knowledge, crucial for addressing the multifaceted challenges of environmental sustainability.</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Inclusivity:</w:t>
      </w:r>
      <w:r w:rsidRPr="00670EDB">
        <w:rPr>
          <w:rStyle w:val="Emphasis"/>
          <w:rFonts w:ascii="Arial" w:hAnsi="Arial" w:cs="Arial"/>
          <w:color w:val="000000" w:themeColor="text1"/>
          <w:sz w:val="22"/>
        </w:rPr>
        <w:t xml:space="preserve"> Inclusivity, a foundational principle, acknowledges and identifies the diverse needs, cultural backgrounds, and perspectives, within the community in the envisioned environmental sustainability project. Unlike the strategies employed in the </w:t>
      </w:r>
      <w:r w:rsidRPr="00670EDB">
        <w:rPr>
          <w:rFonts w:ascii="Arial" w:hAnsi="Arial" w:cs="Arial"/>
          <w:sz w:val="22"/>
        </w:rPr>
        <w:t xml:space="preserve">disabled people and their </w:t>
      </w:r>
      <w:proofErr w:type="gramStart"/>
      <w:r w:rsidRPr="00670EDB">
        <w:rPr>
          <w:rFonts w:ascii="Arial" w:hAnsi="Arial" w:cs="Arial"/>
          <w:sz w:val="22"/>
        </w:rPr>
        <w:t>families</w:t>
      </w:r>
      <w:proofErr w:type="gramEnd"/>
      <w:r w:rsidRPr="00670EDB">
        <w:rPr>
          <w:rStyle w:val="Emphasis"/>
          <w:rFonts w:ascii="Arial" w:hAnsi="Arial" w:cs="Arial"/>
          <w:color w:val="000000" w:themeColor="text1"/>
          <w:sz w:val="22"/>
        </w:rPr>
        <w:t xml:space="preserve"> project of Assignment 1, where inclusivity focuses on certain communities, the future project takes a more expansive approach. It actively considers the unique challenges encountered by individuals from several backgrounds, cherishing a sense of belonging and ownership within the community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Creating an environment where all community members feel valued and </w:t>
      </w:r>
      <w:proofErr w:type="gramStart"/>
      <w:r w:rsidRPr="00670EDB">
        <w:rPr>
          <w:rStyle w:val="Emphasis"/>
          <w:rFonts w:ascii="Arial" w:hAnsi="Arial" w:cs="Arial"/>
          <w:color w:val="000000" w:themeColor="text1"/>
          <w:sz w:val="22"/>
        </w:rPr>
        <w:t>heard,</w:t>
      </w:r>
      <w:proofErr w:type="gramEnd"/>
      <w:r w:rsidRPr="00670EDB">
        <w:rPr>
          <w:rStyle w:val="Emphasis"/>
          <w:rFonts w:ascii="Arial" w:hAnsi="Arial" w:cs="Arial"/>
          <w:color w:val="000000" w:themeColor="text1"/>
          <w:sz w:val="22"/>
        </w:rPr>
        <w:t xml:space="preserve"> inclusivity transcends mere representation. This principle is integral for confirming that the future project's strategies and initiatives resonate with the community, resulting in more sustainable and culturally sensitive outcomes.</w:t>
      </w:r>
    </w:p>
    <w:p w:rsidR="00625BB7" w:rsidRPr="00670EDB" w:rsidRDefault="00625BB7" w:rsidP="00670EDB">
      <w:pPr>
        <w:rPr>
          <w:rStyle w:val="IntenseEmphasis"/>
          <w:rFonts w:ascii="Arial" w:hAnsi="Arial" w:cs="Arial"/>
          <w:i w:val="0"/>
          <w:iCs w:val="0"/>
          <w:color w:val="000000" w:themeColor="text1"/>
          <w:sz w:val="22"/>
        </w:rPr>
      </w:pPr>
      <w:r w:rsidRPr="00670EDB">
        <w:rPr>
          <w:rStyle w:val="Emphasis"/>
          <w:rFonts w:ascii="Arial" w:hAnsi="Arial" w:cs="Arial"/>
          <w:b/>
          <w:bCs/>
          <w:color w:val="000000" w:themeColor="text1"/>
          <w:sz w:val="22"/>
        </w:rPr>
        <w:t>Transparency</w:t>
      </w:r>
      <w:r w:rsidRPr="00670EDB">
        <w:rPr>
          <w:rStyle w:val="Emphasis"/>
          <w:rFonts w:ascii="Arial" w:hAnsi="Arial" w:cs="Arial"/>
          <w:color w:val="000000" w:themeColor="text1"/>
          <w:sz w:val="22"/>
        </w:rPr>
        <w:t xml:space="preserve">: Transparency, which is a cornerstone principle, is essential for cultivating trust and sustaining open communication channels in the envisioned environmental sustainability project. Diverging from the strategies applied in the disabled people and their </w:t>
      </w:r>
      <w:proofErr w:type="gramStart"/>
      <w:r w:rsidRPr="00670EDB">
        <w:rPr>
          <w:rStyle w:val="Emphasis"/>
          <w:rFonts w:ascii="Arial" w:hAnsi="Arial" w:cs="Arial"/>
          <w:color w:val="000000" w:themeColor="text1"/>
          <w:sz w:val="22"/>
        </w:rPr>
        <w:t>families</w:t>
      </w:r>
      <w:proofErr w:type="gramEnd"/>
      <w:r w:rsidRPr="00670EDB">
        <w:rPr>
          <w:rStyle w:val="Emphasis"/>
          <w:rFonts w:ascii="Arial" w:hAnsi="Arial" w:cs="Arial"/>
          <w:color w:val="000000" w:themeColor="text1"/>
          <w:sz w:val="22"/>
        </w:rPr>
        <w:t xml:space="preserve"> project of Assignment 1, where transparency was limited to specific project aspects, the future project adopts a more comprehensive approach. Transparency, in this context, involves openly and regularly disseminating information about project goals, activities, and outcomes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Zelenika</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2014)</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This extends to include decision-making processes, budget allocations, and the overarching project trajectory. By openly analyzing and discussing project developments, the community is kept informed and engaged, fostering a collaborative atmosphere and allowing for constructive feedback.</w:t>
      </w:r>
    </w:p>
    <w:p w:rsidR="00625BB7" w:rsidRPr="00670EDB" w:rsidRDefault="00625BB7" w:rsidP="00670EDB">
      <w:pPr>
        <w:pStyle w:val="Heading1"/>
        <w:rPr>
          <w:rFonts w:ascii="Arial" w:hAnsi="Arial" w:cs="Arial"/>
          <w:sz w:val="22"/>
          <w:szCs w:val="22"/>
        </w:rPr>
      </w:pPr>
      <w:bookmarkStart w:id="3" w:name="_Toc151578935"/>
      <w:r w:rsidRPr="00670EDB">
        <w:rPr>
          <w:rFonts w:ascii="Arial" w:hAnsi="Arial" w:cs="Arial"/>
          <w:sz w:val="22"/>
          <w:szCs w:val="22"/>
        </w:rPr>
        <w:t>Design Process</w:t>
      </w:r>
      <w:bookmarkEnd w:id="3"/>
    </w:p>
    <w:p w:rsidR="00625BB7" w:rsidRPr="00670EDB" w:rsidRDefault="00625BB7" w:rsidP="00670EDB">
      <w:pPr>
        <w:rPr>
          <w:rStyle w:val="Emphasis"/>
          <w:rFonts w:ascii="Arial" w:hAnsi="Arial" w:cs="Arial"/>
          <w:i w:val="0"/>
          <w:iCs w:val="0"/>
          <w:color w:val="000000" w:themeColor="text1"/>
          <w:sz w:val="22"/>
        </w:rPr>
      </w:pPr>
      <w:r w:rsidRPr="00670EDB">
        <w:rPr>
          <w:rStyle w:val="IntenseEmphasis"/>
          <w:rFonts w:ascii="Arial" w:hAnsi="Arial" w:cs="Arial"/>
          <w:b/>
          <w:bCs/>
          <w:color w:val="000000" w:themeColor="text1"/>
          <w:sz w:val="22"/>
        </w:rPr>
        <w:t>Needs Assessment</w:t>
      </w:r>
      <w:r w:rsidRPr="00670EDB">
        <w:rPr>
          <w:rStyle w:val="Emphasis"/>
          <w:rFonts w:ascii="Arial" w:hAnsi="Arial" w:cs="Arial"/>
          <w:color w:val="000000" w:themeColor="text1"/>
          <w:sz w:val="22"/>
        </w:rPr>
        <w:t xml:space="preserve">: A comprehensive needs assessment is an essential element in the future project's design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It systematically collects information to understand </w:t>
      </w:r>
      <w:r w:rsidRPr="00670EDB">
        <w:rPr>
          <w:rStyle w:val="Emphasis"/>
          <w:rFonts w:ascii="Arial" w:hAnsi="Arial" w:cs="Arial"/>
          <w:color w:val="000000" w:themeColor="text1"/>
          <w:sz w:val="22"/>
        </w:rPr>
        <w:lastRenderedPageBreak/>
        <w:t>specific environmental concerns in the community. Addressing exclusive needs permit the project to tailor initiatives directly, confirming relevance and effect. This proactive approach lays the groundwork for a sustainable and community-driven environmental initiative, distinguishing it from strategies in the project of Assignment 1. The future project's emphasis on a more thorough needs assessment reflects a commitment to targeted and impactful community engagement practices.</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Community Mapping:</w:t>
      </w:r>
      <w:r w:rsidRPr="00670EDB">
        <w:rPr>
          <w:rStyle w:val="Emphasis"/>
          <w:rFonts w:ascii="Arial" w:hAnsi="Arial" w:cs="Arial"/>
          <w:color w:val="000000" w:themeColor="text1"/>
          <w:sz w:val="22"/>
        </w:rPr>
        <w:t xml:space="preserve"> In the future project's design, community mapping addresses current environmental resources and expertise within the community. This step is essential for leveraging local knowledge and building on strengths </w:t>
      </w:r>
      <w:r w:rsidRPr="00670EDB">
        <w:rPr>
          <w:rStyle w:val="IntenseEmphasis"/>
          <w:rFonts w:ascii="Arial" w:hAnsi="Arial" w:cs="Arial"/>
          <w:color w:val="000000" w:themeColor="text1"/>
          <w:sz w:val="22"/>
        </w:rPr>
        <w:t xml:space="preserve">(Too,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2015)</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Creating a resource map permits strategic collaboration with stakeholders, strengthening the overall effect of environmental sustainability initiatives. This approach contrasts with the disabled people and their family awareness project in Assignment 1, showcasing a more extensive and inclusive community engagement strategy in the future project.</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Stakeholder Engagement:</w:t>
      </w:r>
      <w:r w:rsidRPr="00670EDB">
        <w:rPr>
          <w:rStyle w:val="Emphasis"/>
          <w:rFonts w:ascii="Arial" w:hAnsi="Arial" w:cs="Arial"/>
          <w:color w:val="000000" w:themeColor="text1"/>
          <w:sz w:val="22"/>
        </w:rPr>
        <w:t xml:space="preserve"> In the future project's design, stakeholder engagement emphasizes including community members, local organizations, and environmental experts in decision-making. This collaborative approach confirms alignment with community needs, cherishing ownership and sustained involvement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Contrasting with the more limited engagement in the project of Assignment 1, the future project adopts a more inclusive and comprehensive strategy for community involvement.</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Implementation:</w:t>
      </w:r>
      <w:r w:rsidRPr="00670EDB">
        <w:rPr>
          <w:rStyle w:val="Emphasis"/>
          <w:rFonts w:ascii="Arial" w:hAnsi="Arial" w:cs="Arial"/>
          <w:color w:val="000000" w:themeColor="text1"/>
          <w:sz w:val="22"/>
        </w:rPr>
        <w:t xml:space="preserve"> The implementation phase translates in-depth from the needs assessment, community mapping, and stakeholder engagement into action </w:t>
      </w:r>
      <w:r w:rsidRPr="00670EDB">
        <w:rPr>
          <w:rStyle w:val="IntenseEmphasis"/>
          <w:rFonts w:ascii="Arial" w:hAnsi="Arial" w:cs="Arial"/>
          <w:color w:val="000000" w:themeColor="text1"/>
          <w:sz w:val="22"/>
        </w:rPr>
        <w:t xml:space="preserve">(Jenkins,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2014)</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Executing the plan systematically enables progress assessment and adjustments. Unlike the more limited approach in Assignment 1, the future project adopts an iterative strategy, confirming responsiveness to community dynamics. Implementation becomes the tangible manifestation of the project's design, actively contributing to the positive transformation of the community toward greater environmental sustainability.</w:t>
      </w:r>
    </w:p>
    <w:p w:rsidR="00625BB7" w:rsidRPr="00670EDB" w:rsidRDefault="00625BB7" w:rsidP="00670EDB">
      <w:pPr>
        <w:pStyle w:val="Heading1"/>
        <w:rPr>
          <w:rFonts w:ascii="Arial" w:hAnsi="Arial" w:cs="Arial"/>
          <w:sz w:val="22"/>
          <w:szCs w:val="22"/>
        </w:rPr>
      </w:pPr>
      <w:bookmarkStart w:id="4" w:name="_Toc151578936"/>
      <w:r w:rsidRPr="00670EDB">
        <w:rPr>
          <w:rFonts w:ascii="Arial" w:hAnsi="Arial" w:cs="Arial"/>
          <w:sz w:val="22"/>
          <w:szCs w:val="22"/>
        </w:rPr>
        <w:t>Standards</w:t>
      </w:r>
      <w:bookmarkEnd w:id="4"/>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National Standards for Community Engagement:</w:t>
      </w:r>
      <w:r w:rsidRPr="00670EDB">
        <w:rPr>
          <w:rStyle w:val="Emphasis"/>
          <w:rFonts w:ascii="Arial" w:hAnsi="Arial" w:cs="Arial"/>
          <w:color w:val="000000" w:themeColor="text1"/>
          <w:sz w:val="22"/>
        </w:rPr>
        <w:t xml:space="preserve"> For a high-quality and structured engagement process, adhering to these standards is foundational. Unlike the more localized and project-specific approaches in the Assignment 1’s project, aligning with national standards in the future project confirms a systematic, transparent, and inclusive community engagement strategy. This adherence contributes to project credibility, emphasizing a commitment, and </w:t>
      </w:r>
      <w:r w:rsidRPr="00670EDB">
        <w:rPr>
          <w:rStyle w:val="Emphasis"/>
          <w:rFonts w:ascii="Arial" w:hAnsi="Arial" w:cs="Arial"/>
          <w:color w:val="000000" w:themeColor="text1"/>
          <w:sz w:val="22"/>
        </w:rPr>
        <w:lastRenderedPageBreak/>
        <w:t xml:space="preserve">building trust among stakeholders to best practices in community engagement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Accessibility:</w:t>
      </w:r>
      <w:r w:rsidRPr="00670EDB">
        <w:rPr>
          <w:rStyle w:val="Emphasis"/>
          <w:rFonts w:ascii="Arial" w:hAnsi="Arial" w:cs="Arial"/>
          <w:color w:val="000000" w:themeColor="text1"/>
          <w:sz w:val="22"/>
        </w:rPr>
        <w:t xml:space="preserve"> The emphasis on accessibility highlights the commitment of the project to making all activities and materials inclusive for individuals with disabilities. Unlike the more localized focus of the Assignment 1’ project, this standard in the future environmental sustainability project aligns with larger inclusivity goals. Identifying physical and digital barriers confirms that individuals with disabilities can actively participate. Beyond legal and ethical considerations, this commitment reinforces the project's dedication to creating an environment where everyone, regardless of ability, can engage and benefit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Cultural Sensitivity Standard:</w:t>
      </w:r>
      <w:r w:rsidRPr="00670EDB">
        <w:rPr>
          <w:rStyle w:val="Emphasis"/>
          <w:rFonts w:ascii="Arial" w:hAnsi="Arial" w:cs="Arial"/>
          <w:color w:val="000000" w:themeColor="text1"/>
          <w:sz w:val="22"/>
        </w:rPr>
        <w:t xml:space="preserve"> The cultural sensitivity standard underscores the project's commitment to respecting and incorporating the diverse cultural values and traditions of the community. Unlike the more specific focus of the project in Assignment 1, this standard in the future environmental sustainability project acknowledges the need for cultural competence in engagement. Thorough cultural assessments, community involvement in decision-making, and initiatives tailored to cultural values are essential to meet this standard. A sense of belonging, and enhances the success of sustainability initiatives by integrating cultural awareness, the project fosters trust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Kanemoto</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2022)</w:t>
      </w:r>
      <w:r w:rsidRPr="00670EDB">
        <w:rPr>
          <w:rStyle w:val="Emphasis"/>
          <w:rFonts w:ascii="Arial" w:hAnsi="Arial" w:cs="Arial"/>
          <w:color w:val="000000" w:themeColor="text1"/>
          <w:sz w:val="22"/>
        </w:rPr>
        <w:t>.</w:t>
      </w:r>
      <w:proofErr w:type="gramEnd"/>
    </w:p>
    <w:p w:rsidR="00625BB7" w:rsidRPr="00670EDB" w:rsidRDefault="00625BB7" w:rsidP="00670EDB">
      <w:pPr>
        <w:pStyle w:val="Heading1"/>
        <w:rPr>
          <w:rFonts w:ascii="Arial" w:hAnsi="Arial" w:cs="Arial"/>
          <w:sz w:val="22"/>
          <w:szCs w:val="22"/>
        </w:rPr>
      </w:pPr>
      <w:bookmarkStart w:id="5" w:name="_Toc151578937"/>
      <w:r w:rsidRPr="00670EDB">
        <w:rPr>
          <w:rFonts w:ascii="Arial" w:hAnsi="Arial" w:cs="Arial"/>
          <w:sz w:val="22"/>
          <w:szCs w:val="22"/>
        </w:rPr>
        <w:t>Evaluation Methods</w:t>
      </w:r>
      <w:bookmarkEnd w:id="5"/>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Quantitative and Qualitative Method:</w:t>
      </w:r>
      <w:r w:rsidRPr="00670EDB">
        <w:rPr>
          <w:rStyle w:val="Emphasis"/>
          <w:rFonts w:ascii="Arial" w:hAnsi="Arial" w:cs="Arial"/>
          <w:color w:val="000000" w:themeColor="text1"/>
          <w:sz w:val="22"/>
        </w:rPr>
        <w:t xml:space="preserve"> In the environmental sustainability project, quantitative evaluation methods include systematically gathering numerical data to objectively measure effect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In contrast to the project in Assignment 1, which primarily focused on qualitative insights, the future project emphasizes tracking participation rates, documenting </w:t>
      </w:r>
      <w:proofErr w:type="spellStart"/>
      <w:r w:rsidRPr="00670EDB">
        <w:rPr>
          <w:rStyle w:val="Emphasis"/>
          <w:rFonts w:ascii="Arial" w:hAnsi="Arial" w:cs="Arial"/>
          <w:color w:val="000000" w:themeColor="text1"/>
          <w:sz w:val="22"/>
        </w:rPr>
        <w:t>behaviour</w:t>
      </w:r>
      <w:proofErr w:type="spellEnd"/>
      <w:r w:rsidRPr="00670EDB">
        <w:rPr>
          <w:rStyle w:val="Emphasis"/>
          <w:rFonts w:ascii="Arial" w:hAnsi="Arial" w:cs="Arial"/>
          <w:color w:val="000000" w:themeColor="text1"/>
          <w:sz w:val="22"/>
        </w:rPr>
        <w:t xml:space="preserve"> changes, as well as monitoring environmental effect indicators numerically. This shift permits for tangible and measurable evidence of effectiveness, advocating data-driven decision-making and delivering clear insights into obtained outcomes, offering a more comprehensive and objective assessment approach.</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Feedback Mechanisms:</w:t>
      </w:r>
      <w:r w:rsidRPr="00670EDB">
        <w:rPr>
          <w:rStyle w:val="Emphasis"/>
          <w:rFonts w:ascii="Arial" w:hAnsi="Arial" w:cs="Arial"/>
          <w:color w:val="000000" w:themeColor="text1"/>
          <w:sz w:val="22"/>
        </w:rPr>
        <w:t xml:space="preserve"> In the envisioned environmental sustainability project, feedback mechanisms play a crucial role in ceaseless improvement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Aboelata</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2011)</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This unlike with the previous project in Assignment 1, where feedback collection was less structured. Regularly distributed surveys and direct platforms such as suggestion boxes enable stakeholders to share perspectives and recommendations. The future project places a robust emphasis on these </w:t>
      </w:r>
      <w:proofErr w:type="spellStart"/>
      <w:r w:rsidRPr="00670EDB">
        <w:rPr>
          <w:rStyle w:val="Emphasis"/>
          <w:rFonts w:ascii="Arial" w:hAnsi="Arial" w:cs="Arial"/>
          <w:color w:val="000000" w:themeColor="text1"/>
          <w:sz w:val="22"/>
        </w:rPr>
        <w:t>casesless</w:t>
      </w:r>
      <w:proofErr w:type="spellEnd"/>
      <w:r w:rsidRPr="00670EDB">
        <w:rPr>
          <w:rStyle w:val="Emphasis"/>
          <w:rFonts w:ascii="Arial" w:hAnsi="Arial" w:cs="Arial"/>
          <w:color w:val="000000" w:themeColor="text1"/>
          <w:sz w:val="22"/>
        </w:rPr>
        <w:t xml:space="preserve"> feedback loops, confirming agility and responsiveness to evolving </w:t>
      </w:r>
      <w:r w:rsidRPr="00670EDB">
        <w:rPr>
          <w:rStyle w:val="Emphasis"/>
          <w:rFonts w:ascii="Arial" w:hAnsi="Arial" w:cs="Arial"/>
          <w:color w:val="000000" w:themeColor="text1"/>
          <w:sz w:val="22"/>
        </w:rPr>
        <w:lastRenderedPageBreak/>
        <w:t>community needs. The environmental sustainability initiative aims for iterative improvements, fostering sustained community involvement and enhancing overall effectiveness by learning from the past project's feedback approach.</w:t>
      </w:r>
    </w:p>
    <w:p w:rsidR="00625BB7" w:rsidRPr="00670EDB" w:rsidRDefault="00625BB7" w:rsidP="000751B8">
      <w:pPr>
        <w:pStyle w:val="Heading1"/>
        <w:tabs>
          <w:tab w:val="left" w:pos="2554"/>
        </w:tabs>
        <w:rPr>
          <w:rStyle w:val="IntenseEmphasis"/>
          <w:rFonts w:ascii="Arial" w:hAnsi="Arial" w:cs="Arial"/>
          <w:i w:val="0"/>
          <w:iCs w:val="0"/>
          <w:sz w:val="22"/>
          <w:szCs w:val="22"/>
        </w:rPr>
      </w:pPr>
      <w:bookmarkStart w:id="6" w:name="_Toc151578938"/>
      <w:r w:rsidRPr="00670EDB">
        <w:rPr>
          <w:rFonts w:ascii="Arial" w:hAnsi="Arial" w:cs="Arial"/>
          <w:sz w:val="22"/>
          <w:szCs w:val="22"/>
        </w:rPr>
        <w:t>Best Practices</w:t>
      </w:r>
      <w:bookmarkEnd w:id="6"/>
      <w:r w:rsidR="000751B8">
        <w:rPr>
          <w:rFonts w:ascii="Arial" w:hAnsi="Arial" w:cs="Arial"/>
          <w:sz w:val="22"/>
          <w:szCs w:val="22"/>
        </w:rPr>
        <w:tab/>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Active Consultation Best Practice:</w:t>
      </w:r>
      <w:r w:rsidRPr="00670EDB">
        <w:rPr>
          <w:rStyle w:val="Emphasis"/>
          <w:rFonts w:ascii="Arial" w:hAnsi="Arial" w:cs="Arial"/>
          <w:color w:val="000000" w:themeColor="text1"/>
          <w:sz w:val="22"/>
        </w:rPr>
        <w:t xml:space="preserve"> Active consultation is a central best practice that emphasizes continuous engagement with community members throughout the environmental sustainability project </w:t>
      </w:r>
      <w:r w:rsidRPr="00670EDB">
        <w:rPr>
          <w:rStyle w:val="IntenseEmphasis"/>
          <w:rFonts w:ascii="Arial" w:hAnsi="Arial" w:cs="Arial"/>
          <w:color w:val="000000" w:themeColor="text1"/>
          <w:sz w:val="22"/>
        </w:rPr>
        <w:t xml:space="preserve">(Johnson,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2010)</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In contrast to the more limited engagement in the project in Assignment 1, this principle ensures ongoing dialogue and active participation in decision-making processes. By valuing and incorporating local knowledge, the project identifies nuanced needs, fostering shared ownership. This approach enhances the relevance and impact of sustainability initiatives and reflects a commitment to responsive and inclusive community engagement.</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Effective Communication Best Practice:</w:t>
      </w:r>
      <w:r w:rsidRPr="00670EDB">
        <w:rPr>
          <w:rStyle w:val="Emphasis"/>
          <w:rFonts w:ascii="Arial" w:hAnsi="Arial" w:cs="Arial"/>
          <w:color w:val="000000" w:themeColor="text1"/>
          <w:sz w:val="22"/>
        </w:rPr>
        <w:t xml:space="preserve"> Effective communication, a foundational best practice, involves employing diverse channels to engage a broader audience in the environmental sustainability project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Konsti-Laakso</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2018)</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In contrast to the primarily university-focused communication in the mental health awareness project in Assignment 1, the multi-channel approach includes face-to-face meetings, real-time social media interactions, and multilingual materials. Recognizing diverse preferences and access to information, this approach fosters ongoing dialogue, ensuring community members are well-informed and actively participate in the sustainability initiative. The shift towards a more inclusive communication strategy reflects an enhanced commitment to engaging the broader community.</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Stakeholders' Participation Best Practice:</w:t>
      </w:r>
      <w:r w:rsidRPr="00670EDB">
        <w:rPr>
          <w:rStyle w:val="Emphasis"/>
          <w:rFonts w:ascii="Arial" w:hAnsi="Arial" w:cs="Arial"/>
          <w:color w:val="000000" w:themeColor="text1"/>
          <w:sz w:val="22"/>
        </w:rPr>
        <w:t xml:space="preserve"> Stakeholders' participation is a vital best practice, emphasizing the active involvement of community members, local organizations, and environmental experts in decision-making processes </w:t>
      </w:r>
      <w:r w:rsidRPr="00670EDB">
        <w:rPr>
          <w:rStyle w:val="IntenseEmphasis"/>
          <w:rFonts w:ascii="Arial" w:hAnsi="Arial" w:cs="Arial"/>
          <w:color w:val="000000" w:themeColor="text1"/>
          <w:sz w:val="22"/>
        </w:rPr>
        <w:t xml:space="preserve">(Hartman,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2014)</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In contrast to the more confined collaboration within the university community in the project in Assignment 1, stakeholders' participation in the future environmental sustainability project seeks to foster a sense of ownership and shared responsibility. This inclusive approach ensures alignment with community needs and priorities, transcending token representation to embrace diverse perspectives, thereby enhancing decision-making quality and community empowerment. The shift towards broader stakeholder engagement reflects a commitment to a more inclusive and collaborative community approach.</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lastRenderedPageBreak/>
        <w:t>Inclusion Best Practice:</w:t>
      </w:r>
      <w:r w:rsidRPr="00670EDB">
        <w:rPr>
          <w:rStyle w:val="Emphasis"/>
          <w:rFonts w:ascii="Arial" w:hAnsi="Arial" w:cs="Arial"/>
          <w:color w:val="000000" w:themeColor="text1"/>
          <w:sz w:val="22"/>
        </w:rPr>
        <w:t xml:space="preserve"> Inclusion, a key best practice, </w:t>
      </w:r>
      <w:proofErr w:type="spellStart"/>
      <w:r w:rsidRPr="00670EDB">
        <w:rPr>
          <w:rStyle w:val="Emphasis"/>
          <w:rFonts w:ascii="Arial" w:hAnsi="Arial" w:cs="Arial"/>
          <w:color w:val="000000" w:themeColor="text1"/>
          <w:sz w:val="22"/>
        </w:rPr>
        <w:t>centres</w:t>
      </w:r>
      <w:proofErr w:type="spellEnd"/>
      <w:r w:rsidRPr="00670EDB">
        <w:rPr>
          <w:rStyle w:val="Emphasis"/>
          <w:rFonts w:ascii="Arial" w:hAnsi="Arial" w:cs="Arial"/>
          <w:color w:val="000000" w:themeColor="text1"/>
          <w:sz w:val="22"/>
        </w:rPr>
        <w:t xml:space="preserve"> on embracing diversity and ensuring equal opportunities for community members' participation </w:t>
      </w:r>
      <w:r w:rsidRPr="00670EDB">
        <w:rPr>
          <w:rStyle w:val="IntenseEmphasis"/>
          <w:rFonts w:ascii="Arial" w:hAnsi="Arial" w:cs="Arial"/>
          <w:color w:val="000000" w:themeColor="text1"/>
          <w:sz w:val="22"/>
        </w:rPr>
        <w:t>(</w:t>
      </w:r>
      <w:proofErr w:type="spellStart"/>
      <w:r w:rsidRPr="00670EDB">
        <w:rPr>
          <w:rStyle w:val="IntenseEmphasis"/>
          <w:rFonts w:ascii="Arial" w:hAnsi="Arial" w:cs="Arial"/>
          <w:color w:val="000000" w:themeColor="text1"/>
          <w:sz w:val="22"/>
        </w:rPr>
        <w:t>Stellefson</w:t>
      </w:r>
      <w:proofErr w:type="spell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2015)</w:t>
      </w:r>
      <w:r w:rsidRPr="00670EDB">
        <w:rPr>
          <w:rStyle w:val="Emphasis"/>
          <w:rFonts w:ascii="Arial" w:hAnsi="Arial" w:cs="Arial"/>
          <w:color w:val="000000" w:themeColor="text1"/>
          <w:sz w:val="22"/>
        </w:rPr>
        <w:t>.</w:t>
      </w:r>
      <w:proofErr w:type="gramEnd"/>
      <w:r w:rsidRPr="00670EDB">
        <w:rPr>
          <w:rStyle w:val="Emphasis"/>
          <w:rFonts w:ascii="Arial" w:hAnsi="Arial" w:cs="Arial"/>
          <w:color w:val="000000" w:themeColor="text1"/>
          <w:sz w:val="22"/>
        </w:rPr>
        <w:t xml:space="preserve"> Unlike the more confined collaboration in the project of Assignment 1, inclusion in the future environmental sustainability project actively dismantles barriers to participation, creating an environment where individuals from diverse backgrounds feel genuinely welcome. Recognizing unique needs and perspectives within different community groups, intentional design promotes a sense of belonging, fostering unity and cohesion. The shift towards broader inclusion reflects a commitment to a more equitable and united community approach.</w:t>
      </w:r>
    </w:p>
    <w:p w:rsidR="00625BB7" w:rsidRPr="00670EDB" w:rsidRDefault="00625BB7" w:rsidP="00670EDB">
      <w:pPr>
        <w:pStyle w:val="Heading1"/>
        <w:rPr>
          <w:rFonts w:ascii="Arial" w:hAnsi="Arial" w:cs="Arial"/>
          <w:sz w:val="22"/>
          <w:szCs w:val="22"/>
        </w:rPr>
      </w:pPr>
      <w:bookmarkStart w:id="7" w:name="_Toc151578939"/>
      <w:r w:rsidRPr="00670EDB">
        <w:rPr>
          <w:rFonts w:ascii="Arial" w:hAnsi="Arial" w:cs="Arial"/>
          <w:sz w:val="22"/>
          <w:szCs w:val="22"/>
        </w:rPr>
        <w:t>Impact Analysis</w:t>
      </w:r>
      <w:bookmarkEnd w:id="7"/>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Measure Environmental Impact:</w:t>
      </w:r>
      <w:r w:rsidRPr="00670EDB">
        <w:rPr>
          <w:rStyle w:val="Emphasis"/>
          <w:rFonts w:ascii="Arial" w:hAnsi="Arial" w:cs="Arial"/>
          <w:color w:val="000000" w:themeColor="text1"/>
          <w:sz w:val="22"/>
        </w:rPr>
        <w:t xml:space="preserve"> In the envisioned environmental sustainability project, impact analysis emphasizes quantitative measurement, especially in tracking changes in waste generation, energy consumption, and water usage. This contrasts with the project in Assignment 1, where environmental impact was not a primary focus. Establishing baseline data and monitoring variations over time enables an objective assessment of the project's influence on sustainable practices. The future initiative aims for quantifiable evidence of its contributions to reducing the community's ecological footprint, guiding strategic adjustments for enhanced environmental benefits by learning from the past project.</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Evaluate Behavior Change:</w:t>
      </w:r>
      <w:r w:rsidRPr="00670EDB">
        <w:rPr>
          <w:rStyle w:val="Emphasis"/>
          <w:rFonts w:ascii="Arial" w:hAnsi="Arial" w:cs="Arial"/>
          <w:color w:val="000000" w:themeColor="text1"/>
          <w:sz w:val="22"/>
        </w:rPr>
        <w:t xml:space="preserve"> An essential facet of impact analysis includes qualitatively assessing shifts in community members' environmental attitudes and practices in the upcoming environmental sustainability project. This is unlike with the project in Assignment 1, where </w:t>
      </w:r>
      <w:proofErr w:type="spellStart"/>
      <w:r w:rsidRPr="00670EDB">
        <w:rPr>
          <w:rStyle w:val="Emphasis"/>
          <w:rFonts w:ascii="Arial" w:hAnsi="Arial" w:cs="Arial"/>
          <w:color w:val="000000" w:themeColor="text1"/>
          <w:sz w:val="22"/>
        </w:rPr>
        <w:t>behaviour</w:t>
      </w:r>
      <w:proofErr w:type="spellEnd"/>
      <w:r w:rsidRPr="00670EDB">
        <w:rPr>
          <w:rStyle w:val="Emphasis"/>
          <w:rFonts w:ascii="Arial" w:hAnsi="Arial" w:cs="Arial"/>
          <w:color w:val="000000" w:themeColor="text1"/>
          <w:sz w:val="22"/>
        </w:rPr>
        <w:t xml:space="preserve"> change was evaluated more tangentially. Through surveys, interviews, and focus groups, the project seeks to capture different narratives of personal growth, consciousness, and shifts in community attitudes. Assessing </w:t>
      </w:r>
      <w:proofErr w:type="spellStart"/>
      <w:r w:rsidRPr="00670EDB">
        <w:rPr>
          <w:rStyle w:val="Emphasis"/>
          <w:rFonts w:ascii="Arial" w:hAnsi="Arial" w:cs="Arial"/>
          <w:color w:val="000000" w:themeColor="text1"/>
          <w:sz w:val="22"/>
        </w:rPr>
        <w:t>behaviour</w:t>
      </w:r>
      <w:proofErr w:type="spellEnd"/>
      <w:r w:rsidRPr="00670EDB">
        <w:rPr>
          <w:rStyle w:val="Emphasis"/>
          <w:rFonts w:ascii="Arial" w:hAnsi="Arial" w:cs="Arial"/>
          <w:color w:val="000000" w:themeColor="text1"/>
          <w:sz w:val="22"/>
        </w:rPr>
        <w:t xml:space="preserve"> change gives invaluable insights into the societal impact of the project, contributing to a more nuanced understanding of its role in fostering an environmentally conscious community.</w:t>
      </w:r>
    </w:p>
    <w:p w:rsidR="00625BB7" w:rsidRPr="00670EDB" w:rsidRDefault="00625BB7" w:rsidP="00670EDB">
      <w:pPr>
        <w:rPr>
          <w:rStyle w:val="Emphasis"/>
          <w:rFonts w:ascii="Arial" w:hAnsi="Arial" w:cs="Arial"/>
          <w:i w:val="0"/>
          <w:iCs w:val="0"/>
          <w:color w:val="000000" w:themeColor="text1"/>
          <w:sz w:val="22"/>
        </w:rPr>
      </w:pPr>
      <w:r w:rsidRPr="00670EDB">
        <w:rPr>
          <w:rStyle w:val="Emphasis"/>
          <w:rFonts w:ascii="Arial" w:hAnsi="Arial" w:cs="Arial"/>
          <w:b/>
          <w:bCs/>
          <w:color w:val="000000" w:themeColor="text1"/>
          <w:sz w:val="22"/>
        </w:rPr>
        <w:t>Measure Community Satisfaction:</w:t>
      </w:r>
      <w:r w:rsidRPr="00670EDB">
        <w:rPr>
          <w:rStyle w:val="Emphasis"/>
          <w:rFonts w:ascii="Arial" w:hAnsi="Arial" w:cs="Arial"/>
          <w:color w:val="000000" w:themeColor="text1"/>
          <w:sz w:val="22"/>
        </w:rPr>
        <w:t xml:space="preserve"> In the environmental sustainability project, evaluating community satisfaction is a crucial prospect of impact analysis. This is unlike with the project in Assignment 1, where satisfaction measurement was less emphasized. Surveys and focus groups give direct channels for collecting qualitative feedback on community satisfaction with the project's outcomes. This subjective data offers insights into whether the project aligns with community expectations and needs. Positive feedback identifies strengths, while constructive criticism guides refinements for enhanced community engagement and satisfaction, contributing to the project's continuous improvement.</w:t>
      </w:r>
    </w:p>
    <w:p w:rsidR="00625BB7" w:rsidRPr="00670EDB" w:rsidRDefault="00625BB7" w:rsidP="00670EDB">
      <w:pPr>
        <w:rPr>
          <w:rFonts w:ascii="Arial" w:hAnsi="Arial" w:cs="Arial"/>
          <w:sz w:val="22"/>
        </w:rPr>
      </w:pPr>
    </w:p>
    <w:p w:rsidR="00625BB7" w:rsidRPr="00670EDB" w:rsidRDefault="00625BB7" w:rsidP="00670EDB">
      <w:pPr>
        <w:pStyle w:val="Heading1"/>
        <w:rPr>
          <w:rFonts w:ascii="Arial" w:hAnsi="Arial" w:cs="Arial"/>
          <w:sz w:val="22"/>
          <w:szCs w:val="22"/>
        </w:rPr>
      </w:pPr>
      <w:bookmarkStart w:id="8" w:name="_Toc151578940"/>
      <w:r w:rsidRPr="00670EDB">
        <w:rPr>
          <w:rFonts w:ascii="Arial" w:hAnsi="Arial" w:cs="Arial"/>
          <w:sz w:val="22"/>
          <w:szCs w:val="22"/>
        </w:rPr>
        <w:t>Conclusion</w:t>
      </w:r>
      <w:bookmarkEnd w:id="8"/>
    </w:p>
    <w:p w:rsidR="00625BB7" w:rsidRPr="00670EDB" w:rsidRDefault="00625BB7" w:rsidP="00670EDB">
      <w:pPr>
        <w:rPr>
          <w:rStyle w:val="IntenseEmphasis"/>
          <w:rFonts w:ascii="Arial" w:hAnsi="Arial" w:cs="Arial"/>
          <w:i w:val="0"/>
          <w:iCs w:val="0"/>
          <w:color w:val="000000" w:themeColor="text1"/>
          <w:sz w:val="22"/>
        </w:rPr>
      </w:pPr>
      <w:r w:rsidRPr="00670EDB">
        <w:rPr>
          <w:rStyle w:val="IntenseEmphasis"/>
          <w:rFonts w:ascii="Arial" w:hAnsi="Arial" w:cs="Arial"/>
          <w:color w:val="000000" w:themeColor="text1"/>
          <w:sz w:val="22"/>
        </w:rPr>
        <w:t xml:space="preserve">Effective community engagement is a continuous process that requires ongoing commitment, flexibility, and adaptation (South, </w:t>
      </w:r>
      <w:proofErr w:type="gramStart"/>
      <w:r w:rsidRPr="00670EDB">
        <w:rPr>
          <w:rStyle w:val="IntenseEmphasis"/>
          <w:rFonts w:ascii="Arial" w:hAnsi="Arial" w:cs="Arial"/>
          <w:color w:val="000000" w:themeColor="text1"/>
          <w:sz w:val="22"/>
        </w:rPr>
        <w:t>et</w:t>
      </w:r>
      <w:proofErr w:type="gramEnd"/>
      <w:r w:rsidRPr="00670EDB">
        <w:rPr>
          <w:rStyle w:val="IntenseEmphasis"/>
          <w:rFonts w:ascii="Arial" w:hAnsi="Arial" w:cs="Arial"/>
          <w:color w:val="000000" w:themeColor="text1"/>
          <w:sz w:val="22"/>
        </w:rPr>
        <w:t xml:space="preserve">. </w:t>
      </w:r>
      <w:proofErr w:type="gramStart"/>
      <w:r w:rsidRPr="00670EDB">
        <w:rPr>
          <w:rStyle w:val="IntenseEmphasis"/>
          <w:rFonts w:ascii="Arial" w:hAnsi="Arial" w:cs="Arial"/>
          <w:color w:val="000000" w:themeColor="text1"/>
          <w:sz w:val="22"/>
        </w:rPr>
        <w:t>Al., 2014).</w:t>
      </w:r>
      <w:proofErr w:type="gramEnd"/>
      <w:r w:rsidRPr="00670EDB">
        <w:rPr>
          <w:rStyle w:val="IntenseEmphasis"/>
          <w:rFonts w:ascii="Arial" w:hAnsi="Arial" w:cs="Arial"/>
          <w:color w:val="000000" w:themeColor="text1"/>
          <w:sz w:val="22"/>
        </w:rPr>
        <w:t xml:space="preserve"> By incorporating the principles, design processes, standards, and evaluation methods outlined above, I can effectively coordinate a community engagement </w:t>
      </w:r>
      <w:proofErr w:type="spellStart"/>
      <w:r w:rsidRPr="00670EDB">
        <w:rPr>
          <w:rStyle w:val="IntenseEmphasis"/>
          <w:rFonts w:ascii="Arial" w:hAnsi="Arial" w:cs="Arial"/>
          <w:color w:val="000000" w:themeColor="text1"/>
          <w:sz w:val="22"/>
        </w:rPr>
        <w:t>programme</w:t>
      </w:r>
      <w:proofErr w:type="spellEnd"/>
      <w:r w:rsidRPr="00670EDB">
        <w:rPr>
          <w:rStyle w:val="IntenseEmphasis"/>
          <w:rFonts w:ascii="Arial" w:hAnsi="Arial" w:cs="Arial"/>
          <w:color w:val="000000" w:themeColor="text1"/>
          <w:sz w:val="22"/>
        </w:rPr>
        <w:t xml:space="preserve"> that empowers individuals, promotes social cohesion, and contributes to a more sustainable future for all.</w:t>
      </w:r>
    </w:p>
    <w:p w:rsidR="00625BB7" w:rsidRDefault="00625BB7" w:rsidP="00670EDB">
      <w:pPr>
        <w:rPr>
          <w:rStyle w:val="IntenseEmphasis"/>
          <w:rFonts w:cs="Times New Roman"/>
          <w:i w:val="0"/>
          <w:iCs w:val="0"/>
          <w:color w:val="000000" w:themeColor="text1"/>
          <w:szCs w:val="24"/>
        </w:rPr>
      </w:pPr>
      <w:r w:rsidRPr="00670EDB">
        <w:rPr>
          <w:rStyle w:val="IntenseEmphasis"/>
          <w:rFonts w:ascii="Arial" w:hAnsi="Arial" w:cs="Arial"/>
          <w:color w:val="000000" w:themeColor="text1"/>
          <w:sz w:val="22"/>
        </w:rPr>
        <w:br w:type="page"/>
      </w:r>
    </w:p>
    <w:p w:rsidR="00625BB7" w:rsidRPr="00F773DA" w:rsidRDefault="00625BB7" w:rsidP="00625BB7">
      <w:pPr>
        <w:pStyle w:val="Heading1"/>
      </w:pPr>
      <w:bookmarkStart w:id="9" w:name="_Toc151578941"/>
      <w:r w:rsidRPr="00F773DA">
        <w:rPr>
          <w:rStyle w:val="IntenseEmphasis"/>
        </w:rPr>
        <w:lastRenderedPageBreak/>
        <w:t>References</w:t>
      </w:r>
      <w:bookmarkEnd w:id="9"/>
    </w:p>
    <w:p w:rsidR="00625BB7" w:rsidRPr="000167E5" w:rsidRDefault="00625BB7" w:rsidP="00625BB7">
      <w:pPr>
        <w:ind w:left="720" w:hanging="720"/>
        <w:rPr>
          <w:color w:val="000000" w:themeColor="text1"/>
          <w:shd w:val="clear" w:color="auto" w:fill="FFFFFF"/>
        </w:rPr>
      </w:pPr>
      <w:proofErr w:type="gramStart"/>
      <w:r w:rsidRPr="000167E5">
        <w:rPr>
          <w:color w:val="000000" w:themeColor="text1"/>
          <w:shd w:val="clear" w:color="auto" w:fill="FFFFFF"/>
        </w:rPr>
        <w:t xml:space="preserve">Too, L. and </w:t>
      </w:r>
      <w:proofErr w:type="spellStart"/>
      <w:r w:rsidRPr="000167E5">
        <w:rPr>
          <w:color w:val="000000" w:themeColor="text1"/>
          <w:shd w:val="clear" w:color="auto" w:fill="FFFFFF"/>
        </w:rPr>
        <w:t>Bajracharya</w:t>
      </w:r>
      <w:proofErr w:type="spellEnd"/>
      <w:r w:rsidRPr="000167E5">
        <w:rPr>
          <w:color w:val="000000" w:themeColor="text1"/>
          <w:shd w:val="clear" w:color="auto" w:fill="FFFFFF"/>
        </w:rPr>
        <w:t>, B., 2015.</w:t>
      </w:r>
      <w:proofErr w:type="gramEnd"/>
      <w:r w:rsidRPr="000167E5">
        <w:rPr>
          <w:color w:val="000000" w:themeColor="text1"/>
          <w:shd w:val="clear" w:color="auto" w:fill="FFFFFF"/>
        </w:rPr>
        <w:t xml:space="preserve"> Sustainable campus: engaging the community in sustainability. </w:t>
      </w:r>
      <w:proofErr w:type="gramStart"/>
      <w:r w:rsidRPr="000167E5">
        <w:rPr>
          <w:i/>
          <w:iCs/>
          <w:color w:val="000000" w:themeColor="text1"/>
          <w:shd w:val="clear" w:color="auto" w:fill="FFFFFF"/>
        </w:rPr>
        <w:t>International Journal of Sustainability in Higher Education</w:t>
      </w:r>
      <w:r w:rsidRPr="000167E5">
        <w:rPr>
          <w:color w:val="000000" w:themeColor="text1"/>
          <w:shd w:val="clear" w:color="auto" w:fill="FFFFFF"/>
        </w:rPr>
        <w:t>, </w:t>
      </w:r>
      <w:r w:rsidRPr="000167E5">
        <w:rPr>
          <w:i/>
          <w:iCs/>
          <w:color w:val="000000" w:themeColor="text1"/>
          <w:shd w:val="clear" w:color="auto" w:fill="FFFFFF"/>
        </w:rPr>
        <w:t>16</w:t>
      </w:r>
      <w:r w:rsidRPr="000167E5">
        <w:rPr>
          <w:color w:val="000000" w:themeColor="text1"/>
          <w:shd w:val="clear" w:color="auto" w:fill="FFFFFF"/>
        </w:rPr>
        <w:t>(1), pp.57-71.</w:t>
      </w:r>
      <w:proofErr w:type="gramEnd"/>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Tilbury</w:t>
      </w:r>
      <w:proofErr w:type="spellEnd"/>
      <w:r w:rsidRPr="000167E5">
        <w:rPr>
          <w:color w:val="000000" w:themeColor="text1"/>
          <w:shd w:val="clear" w:color="auto" w:fill="FFFFFF"/>
        </w:rPr>
        <w:t xml:space="preserve">, D. and </w:t>
      </w:r>
      <w:proofErr w:type="spellStart"/>
      <w:r w:rsidRPr="000167E5">
        <w:rPr>
          <w:color w:val="000000" w:themeColor="text1"/>
          <w:shd w:val="clear" w:color="auto" w:fill="FFFFFF"/>
        </w:rPr>
        <w:t>Wortman</w:t>
      </w:r>
      <w:proofErr w:type="spellEnd"/>
      <w:r w:rsidRPr="000167E5">
        <w:rPr>
          <w:color w:val="000000" w:themeColor="text1"/>
          <w:shd w:val="clear" w:color="auto" w:fill="FFFFFF"/>
        </w:rPr>
        <w:t>, D., 2008.</w:t>
      </w:r>
      <w:proofErr w:type="gramEnd"/>
      <w:r w:rsidRPr="000167E5">
        <w:rPr>
          <w:color w:val="000000" w:themeColor="text1"/>
          <w:shd w:val="clear" w:color="auto" w:fill="FFFFFF"/>
        </w:rPr>
        <w:t xml:space="preserve"> How is community education contributing to sustainability in practice</w:t>
      </w:r>
      <w:proofErr w:type="gramStart"/>
      <w:r w:rsidRPr="000167E5">
        <w:rPr>
          <w:color w:val="000000" w:themeColor="text1"/>
          <w:shd w:val="clear" w:color="auto" w:fill="FFFFFF"/>
        </w:rPr>
        <w:t>?.</w:t>
      </w:r>
      <w:proofErr w:type="gramEnd"/>
      <w:r w:rsidRPr="000167E5">
        <w:rPr>
          <w:color w:val="000000" w:themeColor="text1"/>
          <w:shd w:val="clear" w:color="auto" w:fill="FFFFFF"/>
        </w:rPr>
        <w:t> </w:t>
      </w:r>
      <w:proofErr w:type="gramStart"/>
      <w:r w:rsidRPr="000167E5">
        <w:rPr>
          <w:i/>
          <w:iCs/>
          <w:color w:val="000000" w:themeColor="text1"/>
          <w:shd w:val="clear" w:color="auto" w:fill="FFFFFF"/>
        </w:rPr>
        <w:t>Applied Environmental education and communication</w:t>
      </w:r>
      <w:r w:rsidRPr="000167E5">
        <w:rPr>
          <w:color w:val="000000" w:themeColor="text1"/>
          <w:shd w:val="clear" w:color="auto" w:fill="FFFFFF"/>
        </w:rPr>
        <w:t>, </w:t>
      </w:r>
      <w:r w:rsidRPr="000167E5">
        <w:rPr>
          <w:i/>
          <w:iCs/>
          <w:color w:val="000000" w:themeColor="text1"/>
          <w:shd w:val="clear" w:color="auto" w:fill="FFFFFF"/>
        </w:rPr>
        <w:t>7</w:t>
      </w:r>
      <w:r w:rsidRPr="000167E5">
        <w:rPr>
          <w:color w:val="000000" w:themeColor="text1"/>
          <w:shd w:val="clear" w:color="auto" w:fill="FFFFFF"/>
        </w:rPr>
        <w:t>(3), pp.83-93.</w:t>
      </w:r>
      <w:proofErr w:type="gramEnd"/>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Wibeck</w:t>
      </w:r>
      <w:proofErr w:type="spellEnd"/>
      <w:r w:rsidRPr="000167E5">
        <w:rPr>
          <w:color w:val="000000" w:themeColor="text1"/>
          <w:shd w:val="clear" w:color="auto" w:fill="FFFFFF"/>
        </w:rPr>
        <w:t>, V., 2014.</w:t>
      </w:r>
      <w:proofErr w:type="gramEnd"/>
      <w:r w:rsidRPr="000167E5">
        <w:rPr>
          <w:color w:val="000000" w:themeColor="text1"/>
          <w:shd w:val="clear" w:color="auto" w:fill="FFFFFF"/>
        </w:rPr>
        <w:t xml:space="preserve"> </w:t>
      </w:r>
      <w:proofErr w:type="gramStart"/>
      <w:r w:rsidRPr="000167E5">
        <w:rPr>
          <w:color w:val="000000" w:themeColor="text1"/>
          <w:shd w:val="clear" w:color="auto" w:fill="FFFFFF"/>
        </w:rPr>
        <w:t>Enhancing learning, communication and public engagement about climate change–some lessons from recent literature.</w:t>
      </w:r>
      <w:proofErr w:type="gramEnd"/>
      <w:r w:rsidRPr="000167E5">
        <w:rPr>
          <w:color w:val="000000" w:themeColor="text1"/>
          <w:shd w:val="clear" w:color="auto" w:fill="FFFFFF"/>
        </w:rPr>
        <w:t> </w:t>
      </w:r>
      <w:r w:rsidRPr="000167E5">
        <w:rPr>
          <w:i/>
          <w:iCs/>
          <w:color w:val="000000" w:themeColor="text1"/>
          <w:shd w:val="clear" w:color="auto" w:fill="FFFFFF"/>
        </w:rPr>
        <w:t>Environmental education research</w:t>
      </w:r>
      <w:r w:rsidRPr="000167E5">
        <w:rPr>
          <w:color w:val="000000" w:themeColor="text1"/>
          <w:shd w:val="clear" w:color="auto" w:fill="FFFFFF"/>
        </w:rPr>
        <w:t>, </w:t>
      </w:r>
      <w:r w:rsidRPr="000167E5">
        <w:rPr>
          <w:i/>
          <w:iCs/>
          <w:color w:val="000000" w:themeColor="text1"/>
          <w:shd w:val="clear" w:color="auto" w:fill="FFFFFF"/>
        </w:rPr>
        <w:t>20</w:t>
      </w:r>
      <w:r w:rsidRPr="000167E5">
        <w:rPr>
          <w:color w:val="000000" w:themeColor="text1"/>
          <w:shd w:val="clear" w:color="auto" w:fill="FFFFFF"/>
        </w:rPr>
        <w:t>(3), pp.387-411.</w:t>
      </w:r>
    </w:p>
    <w:p w:rsidR="00625BB7" w:rsidRPr="000167E5" w:rsidRDefault="00625BB7" w:rsidP="00625BB7">
      <w:pPr>
        <w:ind w:left="720" w:hanging="720"/>
        <w:rPr>
          <w:color w:val="000000" w:themeColor="text1"/>
          <w:shd w:val="clear" w:color="auto" w:fill="FFFFFF"/>
        </w:rPr>
      </w:pPr>
      <w:proofErr w:type="gramStart"/>
      <w:r w:rsidRPr="000167E5">
        <w:rPr>
          <w:color w:val="000000" w:themeColor="text1"/>
          <w:shd w:val="clear" w:color="auto" w:fill="FFFFFF"/>
        </w:rPr>
        <w:t>Johnson, T., 2010.</w:t>
      </w:r>
      <w:proofErr w:type="gramEnd"/>
      <w:r w:rsidRPr="000167E5">
        <w:rPr>
          <w:color w:val="000000" w:themeColor="text1"/>
          <w:shd w:val="clear" w:color="auto" w:fill="FFFFFF"/>
        </w:rPr>
        <w:t xml:space="preserve"> Environmentalism and </w:t>
      </w:r>
      <w:proofErr w:type="spellStart"/>
      <w:r w:rsidRPr="000167E5">
        <w:rPr>
          <w:color w:val="000000" w:themeColor="text1"/>
          <w:shd w:val="clear" w:color="auto" w:fill="FFFFFF"/>
        </w:rPr>
        <w:t>NIMBYism</w:t>
      </w:r>
      <w:proofErr w:type="spellEnd"/>
      <w:r w:rsidRPr="000167E5">
        <w:rPr>
          <w:color w:val="000000" w:themeColor="text1"/>
          <w:shd w:val="clear" w:color="auto" w:fill="FFFFFF"/>
        </w:rPr>
        <w:t xml:space="preserve"> in China: Promoting a rules-based approach to public participation. </w:t>
      </w:r>
      <w:proofErr w:type="gramStart"/>
      <w:r w:rsidRPr="000167E5">
        <w:rPr>
          <w:i/>
          <w:iCs/>
          <w:color w:val="000000" w:themeColor="text1"/>
          <w:shd w:val="clear" w:color="auto" w:fill="FFFFFF"/>
        </w:rPr>
        <w:t>Environmental Politics</w:t>
      </w:r>
      <w:r w:rsidRPr="000167E5">
        <w:rPr>
          <w:color w:val="000000" w:themeColor="text1"/>
          <w:shd w:val="clear" w:color="auto" w:fill="FFFFFF"/>
        </w:rPr>
        <w:t>, </w:t>
      </w:r>
      <w:r w:rsidRPr="000167E5">
        <w:rPr>
          <w:i/>
          <w:iCs/>
          <w:color w:val="000000" w:themeColor="text1"/>
          <w:shd w:val="clear" w:color="auto" w:fill="FFFFFF"/>
        </w:rPr>
        <w:t>19</w:t>
      </w:r>
      <w:r w:rsidRPr="000167E5">
        <w:rPr>
          <w:color w:val="000000" w:themeColor="text1"/>
          <w:shd w:val="clear" w:color="auto" w:fill="FFFFFF"/>
        </w:rPr>
        <w:t>(3), pp.430-448.</w:t>
      </w:r>
      <w:proofErr w:type="gramEnd"/>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Zelenika</w:t>
      </w:r>
      <w:proofErr w:type="spellEnd"/>
      <w:r w:rsidRPr="000167E5">
        <w:rPr>
          <w:color w:val="000000" w:themeColor="text1"/>
          <w:shd w:val="clear" w:color="auto" w:fill="FFFFFF"/>
        </w:rPr>
        <w:t>, I., Moreau, T., Lane, O. and Zhao, J., 2018.</w:t>
      </w:r>
      <w:proofErr w:type="gramEnd"/>
      <w:r w:rsidRPr="000167E5">
        <w:rPr>
          <w:color w:val="000000" w:themeColor="text1"/>
          <w:shd w:val="clear" w:color="auto" w:fill="FFFFFF"/>
        </w:rPr>
        <w:t xml:space="preserve"> Sustainability education in a botanical garden promotes environmental knowledge, attitudes and willingness to act. </w:t>
      </w:r>
      <w:proofErr w:type="gramStart"/>
      <w:r w:rsidRPr="000167E5">
        <w:rPr>
          <w:i/>
          <w:iCs/>
          <w:color w:val="000000" w:themeColor="text1"/>
          <w:shd w:val="clear" w:color="auto" w:fill="FFFFFF"/>
        </w:rPr>
        <w:t>Environmental education research</w:t>
      </w:r>
      <w:r w:rsidRPr="000167E5">
        <w:rPr>
          <w:color w:val="000000" w:themeColor="text1"/>
          <w:shd w:val="clear" w:color="auto" w:fill="FFFFFF"/>
        </w:rPr>
        <w:t>, </w:t>
      </w:r>
      <w:r w:rsidRPr="000167E5">
        <w:rPr>
          <w:i/>
          <w:iCs/>
          <w:color w:val="000000" w:themeColor="text1"/>
          <w:shd w:val="clear" w:color="auto" w:fill="FFFFFF"/>
        </w:rPr>
        <w:t>24</w:t>
      </w:r>
      <w:r w:rsidRPr="000167E5">
        <w:rPr>
          <w:color w:val="000000" w:themeColor="text1"/>
          <w:shd w:val="clear" w:color="auto" w:fill="FFFFFF"/>
        </w:rPr>
        <w:t>(11), pp.1581-1596.</w:t>
      </w:r>
      <w:proofErr w:type="gramEnd"/>
    </w:p>
    <w:p w:rsidR="00625BB7" w:rsidRPr="000167E5" w:rsidRDefault="00625BB7" w:rsidP="00625BB7">
      <w:pPr>
        <w:ind w:left="720" w:hanging="720"/>
        <w:rPr>
          <w:color w:val="000000" w:themeColor="text1"/>
          <w:shd w:val="clear" w:color="auto" w:fill="FFFFFF"/>
        </w:rPr>
      </w:pPr>
      <w:r w:rsidRPr="000167E5">
        <w:rPr>
          <w:color w:val="000000" w:themeColor="text1"/>
          <w:shd w:val="clear" w:color="auto" w:fill="FFFFFF"/>
        </w:rPr>
        <w:t>Jenkins, B. and Henley, G., 2014. Collaborative management: community engagement as the decision-making process. </w:t>
      </w:r>
      <w:proofErr w:type="gramStart"/>
      <w:r w:rsidRPr="000167E5">
        <w:rPr>
          <w:i/>
          <w:iCs/>
          <w:color w:val="000000" w:themeColor="text1"/>
          <w:shd w:val="clear" w:color="auto" w:fill="FFFFFF"/>
        </w:rPr>
        <w:t>Australasian Journal of Natural Resources Law and Policy</w:t>
      </w:r>
      <w:r w:rsidRPr="000167E5">
        <w:rPr>
          <w:color w:val="000000" w:themeColor="text1"/>
          <w:shd w:val="clear" w:color="auto" w:fill="FFFFFF"/>
        </w:rPr>
        <w:t>, </w:t>
      </w:r>
      <w:r w:rsidRPr="000167E5">
        <w:rPr>
          <w:i/>
          <w:iCs/>
          <w:color w:val="000000" w:themeColor="text1"/>
          <w:shd w:val="clear" w:color="auto" w:fill="FFFFFF"/>
        </w:rPr>
        <w:t>17</w:t>
      </w:r>
      <w:r w:rsidRPr="000167E5">
        <w:rPr>
          <w:color w:val="000000" w:themeColor="text1"/>
          <w:shd w:val="clear" w:color="auto" w:fill="FFFFFF"/>
        </w:rPr>
        <w:t>(2), pp.135-152.</w:t>
      </w:r>
      <w:proofErr w:type="gramEnd"/>
    </w:p>
    <w:p w:rsidR="00625BB7" w:rsidRPr="000167E5" w:rsidRDefault="00625BB7" w:rsidP="00625BB7">
      <w:pPr>
        <w:ind w:left="720" w:hanging="720"/>
        <w:rPr>
          <w:color w:val="000000" w:themeColor="text1"/>
          <w:shd w:val="clear" w:color="auto" w:fill="FFFFFF"/>
        </w:rPr>
      </w:pPr>
      <w:proofErr w:type="gramStart"/>
      <w:r w:rsidRPr="000167E5">
        <w:rPr>
          <w:color w:val="000000" w:themeColor="text1"/>
          <w:shd w:val="clear" w:color="auto" w:fill="FFFFFF"/>
        </w:rPr>
        <w:t xml:space="preserve">Goodman, M.S., Thompson, V.L.S., Arroyo Johnson, C., </w:t>
      </w:r>
      <w:proofErr w:type="spellStart"/>
      <w:r w:rsidRPr="000167E5">
        <w:rPr>
          <w:color w:val="000000" w:themeColor="text1"/>
          <w:shd w:val="clear" w:color="auto" w:fill="FFFFFF"/>
        </w:rPr>
        <w:t>Gennarelli</w:t>
      </w:r>
      <w:proofErr w:type="spellEnd"/>
      <w:r w:rsidRPr="000167E5">
        <w:rPr>
          <w:color w:val="000000" w:themeColor="text1"/>
          <w:shd w:val="clear" w:color="auto" w:fill="FFFFFF"/>
        </w:rPr>
        <w:t xml:space="preserve">, R., Drake, B.F., </w:t>
      </w:r>
      <w:proofErr w:type="spellStart"/>
      <w:r w:rsidRPr="000167E5">
        <w:rPr>
          <w:color w:val="000000" w:themeColor="text1"/>
          <w:shd w:val="clear" w:color="auto" w:fill="FFFFFF"/>
        </w:rPr>
        <w:t>Bajwa</w:t>
      </w:r>
      <w:proofErr w:type="spellEnd"/>
      <w:r w:rsidRPr="000167E5">
        <w:rPr>
          <w:color w:val="000000" w:themeColor="text1"/>
          <w:shd w:val="clear" w:color="auto" w:fill="FFFFFF"/>
        </w:rPr>
        <w:t>, P., Witherspoon, M. and Bowen, D., 2017.</w:t>
      </w:r>
      <w:proofErr w:type="gramEnd"/>
      <w:r w:rsidRPr="000167E5">
        <w:rPr>
          <w:color w:val="000000" w:themeColor="text1"/>
          <w:shd w:val="clear" w:color="auto" w:fill="FFFFFF"/>
        </w:rPr>
        <w:t xml:space="preserve"> </w:t>
      </w:r>
      <w:proofErr w:type="gramStart"/>
      <w:r w:rsidRPr="000167E5">
        <w:rPr>
          <w:color w:val="000000" w:themeColor="text1"/>
          <w:shd w:val="clear" w:color="auto" w:fill="FFFFFF"/>
        </w:rPr>
        <w:t>Evaluating community engagement in research: quantitative measure development.</w:t>
      </w:r>
      <w:proofErr w:type="gramEnd"/>
      <w:r w:rsidRPr="000167E5">
        <w:rPr>
          <w:color w:val="000000" w:themeColor="text1"/>
          <w:shd w:val="clear" w:color="auto" w:fill="FFFFFF"/>
        </w:rPr>
        <w:t> </w:t>
      </w:r>
      <w:proofErr w:type="gramStart"/>
      <w:r w:rsidRPr="000167E5">
        <w:rPr>
          <w:i/>
          <w:iCs/>
          <w:color w:val="000000" w:themeColor="text1"/>
          <w:shd w:val="clear" w:color="auto" w:fill="FFFFFF"/>
        </w:rPr>
        <w:t>Journal of community psychology</w:t>
      </w:r>
      <w:r w:rsidRPr="000167E5">
        <w:rPr>
          <w:color w:val="000000" w:themeColor="text1"/>
          <w:shd w:val="clear" w:color="auto" w:fill="FFFFFF"/>
        </w:rPr>
        <w:t>, </w:t>
      </w:r>
      <w:r w:rsidRPr="000167E5">
        <w:rPr>
          <w:i/>
          <w:iCs/>
          <w:color w:val="000000" w:themeColor="text1"/>
          <w:shd w:val="clear" w:color="auto" w:fill="FFFFFF"/>
        </w:rPr>
        <w:t>45</w:t>
      </w:r>
      <w:r w:rsidRPr="000167E5">
        <w:rPr>
          <w:color w:val="000000" w:themeColor="text1"/>
          <w:shd w:val="clear" w:color="auto" w:fill="FFFFFF"/>
        </w:rPr>
        <w:t>(1), pp.17-32.</w:t>
      </w:r>
      <w:proofErr w:type="gramEnd"/>
    </w:p>
    <w:p w:rsidR="00625BB7" w:rsidRPr="000167E5" w:rsidRDefault="00625BB7" w:rsidP="00625BB7">
      <w:pPr>
        <w:ind w:left="720" w:hanging="720"/>
        <w:rPr>
          <w:color w:val="000000" w:themeColor="text1"/>
          <w:shd w:val="clear" w:color="auto" w:fill="FFFFFF"/>
        </w:rPr>
      </w:pPr>
      <w:proofErr w:type="spellStart"/>
      <w:r w:rsidRPr="000167E5">
        <w:rPr>
          <w:color w:val="000000" w:themeColor="text1"/>
          <w:shd w:val="clear" w:color="auto" w:fill="FFFFFF"/>
        </w:rPr>
        <w:t>Kanemoto</w:t>
      </w:r>
      <w:proofErr w:type="spellEnd"/>
      <w:r w:rsidRPr="000167E5">
        <w:rPr>
          <w:color w:val="000000" w:themeColor="text1"/>
          <w:shd w:val="clear" w:color="auto" w:fill="FFFFFF"/>
        </w:rPr>
        <w:t xml:space="preserve">, E., </w:t>
      </w:r>
      <w:proofErr w:type="spellStart"/>
      <w:r w:rsidRPr="000167E5">
        <w:rPr>
          <w:color w:val="000000" w:themeColor="text1"/>
          <w:shd w:val="clear" w:color="auto" w:fill="FFFFFF"/>
        </w:rPr>
        <w:t>Routenberg</w:t>
      </w:r>
      <w:proofErr w:type="spellEnd"/>
      <w:r w:rsidRPr="000167E5">
        <w:rPr>
          <w:color w:val="000000" w:themeColor="text1"/>
          <w:shd w:val="clear" w:color="auto" w:fill="FFFFFF"/>
        </w:rPr>
        <w:t>, R. and Piazza, S., 2022. Semester-long inclusivity project: Using our voices at community engagement. </w:t>
      </w:r>
      <w:proofErr w:type="gramStart"/>
      <w:r w:rsidRPr="000167E5">
        <w:rPr>
          <w:i/>
          <w:iCs/>
          <w:color w:val="000000" w:themeColor="text1"/>
          <w:shd w:val="clear" w:color="auto" w:fill="FFFFFF"/>
        </w:rPr>
        <w:t>Communication Teacher</w:t>
      </w:r>
      <w:r w:rsidRPr="000167E5">
        <w:rPr>
          <w:color w:val="000000" w:themeColor="text1"/>
          <w:shd w:val="clear" w:color="auto" w:fill="FFFFFF"/>
        </w:rPr>
        <w:t>, </w:t>
      </w:r>
      <w:r w:rsidRPr="000167E5">
        <w:rPr>
          <w:i/>
          <w:iCs/>
          <w:color w:val="000000" w:themeColor="text1"/>
          <w:shd w:val="clear" w:color="auto" w:fill="FFFFFF"/>
        </w:rPr>
        <w:t>36</w:t>
      </w:r>
      <w:r w:rsidRPr="000167E5">
        <w:rPr>
          <w:color w:val="000000" w:themeColor="text1"/>
          <w:shd w:val="clear" w:color="auto" w:fill="FFFFFF"/>
        </w:rPr>
        <w:t>(1), pp.38-46.</w:t>
      </w:r>
      <w:proofErr w:type="gramEnd"/>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McMaughan</w:t>
      </w:r>
      <w:proofErr w:type="spellEnd"/>
      <w:r w:rsidRPr="000167E5">
        <w:rPr>
          <w:color w:val="000000" w:themeColor="text1"/>
          <w:shd w:val="clear" w:color="auto" w:fill="FFFFFF"/>
        </w:rPr>
        <w:t xml:space="preserve">, D.J., </w:t>
      </w:r>
      <w:proofErr w:type="spellStart"/>
      <w:r w:rsidRPr="000167E5">
        <w:rPr>
          <w:color w:val="000000" w:themeColor="text1"/>
          <w:shd w:val="clear" w:color="auto" w:fill="FFFFFF"/>
        </w:rPr>
        <w:t>Grieb</w:t>
      </w:r>
      <w:proofErr w:type="spellEnd"/>
      <w:r w:rsidRPr="000167E5">
        <w:rPr>
          <w:color w:val="000000" w:themeColor="text1"/>
          <w:shd w:val="clear" w:color="auto" w:fill="FFFFFF"/>
        </w:rPr>
        <w:t xml:space="preserve">, S.M.D., </w:t>
      </w:r>
      <w:proofErr w:type="spellStart"/>
      <w:r w:rsidRPr="000167E5">
        <w:rPr>
          <w:color w:val="000000" w:themeColor="text1"/>
          <w:shd w:val="clear" w:color="auto" w:fill="FFFFFF"/>
        </w:rPr>
        <w:t>Kteily-Hawa</w:t>
      </w:r>
      <w:proofErr w:type="spellEnd"/>
      <w:r w:rsidRPr="000167E5">
        <w:rPr>
          <w:color w:val="000000" w:themeColor="text1"/>
          <w:shd w:val="clear" w:color="auto" w:fill="FFFFFF"/>
        </w:rPr>
        <w:t>, R. and Key, K.D., 2021.</w:t>
      </w:r>
      <w:proofErr w:type="gramEnd"/>
      <w:r w:rsidRPr="000167E5">
        <w:rPr>
          <w:color w:val="000000" w:themeColor="text1"/>
          <w:shd w:val="clear" w:color="auto" w:fill="FFFFFF"/>
        </w:rPr>
        <w:t xml:space="preserve"> Promoting and advocating for ethical community engagement: transparency in the community-engaged research spectrum. </w:t>
      </w:r>
      <w:r w:rsidRPr="000167E5">
        <w:rPr>
          <w:i/>
          <w:iCs/>
          <w:color w:val="000000" w:themeColor="text1"/>
          <w:shd w:val="clear" w:color="auto" w:fill="FFFFFF"/>
        </w:rPr>
        <w:t>Progress in Community Health Partnerships: Research, Education, and Action</w:t>
      </w:r>
      <w:r w:rsidRPr="000167E5">
        <w:rPr>
          <w:color w:val="000000" w:themeColor="text1"/>
          <w:shd w:val="clear" w:color="auto" w:fill="FFFFFF"/>
        </w:rPr>
        <w:t>, </w:t>
      </w:r>
      <w:r w:rsidRPr="000167E5">
        <w:rPr>
          <w:i/>
          <w:iCs/>
          <w:color w:val="000000" w:themeColor="text1"/>
          <w:shd w:val="clear" w:color="auto" w:fill="FFFFFF"/>
        </w:rPr>
        <w:t>15</w:t>
      </w:r>
      <w:r w:rsidRPr="000167E5">
        <w:rPr>
          <w:color w:val="000000" w:themeColor="text1"/>
          <w:shd w:val="clear" w:color="auto" w:fill="FFFFFF"/>
        </w:rPr>
        <w:t>(4), pp.419-424.</w:t>
      </w:r>
    </w:p>
    <w:p w:rsidR="00625BB7" w:rsidRPr="000167E5" w:rsidRDefault="00625BB7" w:rsidP="00625BB7">
      <w:pPr>
        <w:ind w:left="720" w:hanging="720"/>
        <w:rPr>
          <w:color w:val="000000" w:themeColor="text1"/>
          <w:shd w:val="clear" w:color="auto" w:fill="FFFFFF"/>
        </w:rPr>
      </w:pPr>
      <w:proofErr w:type="spellStart"/>
      <w:r w:rsidRPr="000167E5">
        <w:rPr>
          <w:color w:val="000000" w:themeColor="text1"/>
          <w:shd w:val="clear" w:color="auto" w:fill="FFFFFF"/>
        </w:rPr>
        <w:lastRenderedPageBreak/>
        <w:t>Aboelata</w:t>
      </w:r>
      <w:proofErr w:type="spellEnd"/>
      <w:r w:rsidRPr="000167E5">
        <w:rPr>
          <w:color w:val="000000" w:themeColor="text1"/>
          <w:shd w:val="clear" w:color="auto" w:fill="FFFFFF"/>
        </w:rPr>
        <w:t xml:space="preserve">, M.J., </w:t>
      </w:r>
      <w:proofErr w:type="spellStart"/>
      <w:r w:rsidRPr="000167E5">
        <w:rPr>
          <w:color w:val="000000" w:themeColor="text1"/>
          <w:shd w:val="clear" w:color="auto" w:fill="FFFFFF"/>
        </w:rPr>
        <w:t>Ersoylu</w:t>
      </w:r>
      <w:proofErr w:type="spellEnd"/>
      <w:r w:rsidRPr="000167E5">
        <w:rPr>
          <w:color w:val="000000" w:themeColor="text1"/>
          <w:shd w:val="clear" w:color="auto" w:fill="FFFFFF"/>
        </w:rPr>
        <w:t xml:space="preserve">, L. and Cohen, L., 2011. </w:t>
      </w:r>
      <w:proofErr w:type="gramStart"/>
      <w:r w:rsidRPr="000167E5">
        <w:rPr>
          <w:color w:val="000000" w:themeColor="text1"/>
          <w:shd w:val="clear" w:color="auto" w:fill="FFFFFF"/>
        </w:rPr>
        <w:t>Community engagement in design and planning.</w:t>
      </w:r>
      <w:proofErr w:type="gramEnd"/>
      <w:r w:rsidRPr="000167E5">
        <w:rPr>
          <w:color w:val="000000" w:themeColor="text1"/>
          <w:shd w:val="clear" w:color="auto" w:fill="FFFFFF"/>
        </w:rPr>
        <w:t> </w:t>
      </w:r>
      <w:r w:rsidRPr="000167E5">
        <w:rPr>
          <w:i/>
          <w:iCs/>
          <w:color w:val="000000" w:themeColor="text1"/>
          <w:shd w:val="clear" w:color="auto" w:fill="FFFFFF"/>
        </w:rPr>
        <w:t>Making Healthy Places: Designing and Building for Health, Well-being, and Sustainability</w:t>
      </w:r>
      <w:r w:rsidRPr="000167E5">
        <w:rPr>
          <w:color w:val="000000" w:themeColor="text1"/>
          <w:shd w:val="clear" w:color="auto" w:fill="FFFFFF"/>
        </w:rPr>
        <w:t>, pp.287-302.</w:t>
      </w:r>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Konsti-Laakso</w:t>
      </w:r>
      <w:proofErr w:type="spellEnd"/>
      <w:r w:rsidRPr="000167E5">
        <w:rPr>
          <w:color w:val="000000" w:themeColor="text1"/>
          <w:shd w:val="clear" w:color="auto" w:fill="FFFFFF"/>
        </w:rPr>
        <w:t xml:space="preserve">, S. and </w:t>
      </w:r>
      <w:proofErr w:type="spellStart"/>
      <w:r w:rsidRPr="000167E5">
        <w:rPr>
          <w:color w:val="000000" w:themeColor="text1"/>
          <w:shd w:val="clear" w:color="auto" w:fill="FFFFFF"/>
        </w:rPr>
        <w:t>Rantala</w:t>
      </w:r>
      <w:proofErr w:type="spellEnd"/>
      <w:r w:rsidRPr="000167E5">
        <w:rPr>
          <w:color w:val="000000" w:themeColor="text1"/>
          <w:shd w:val="clear" w:color="auto" w:fill="FFFFFF"/>
        </w:rPr>
        <w:t>, T., 2018.</w:t>
      </w:r>
      <w:proofErr w:type="gramEnd"/>
      <w:r w:rsidRPr="000167E5">
        <w:rPr>
          <w:color w:val="000000" w:themeColor="text1"/>
          <w:shd w:val="clear" w:color="auto" w:fill="FFFFFF"/>
        </w:rPr>
        <w:t xml:space="preserve"> Managing community engagement: A process model for urban planning. </w:t>
      </w:r>
      <w:proofErr w:type="gramStart"/>
      <w:r w:rsidRPr="000167E5">
        <w:rPr>
          <w:i/>
          <w:iCs/>
          <w:color w:val="000000" w:themeColor="text1"/>
          <w:shd w:val="clear" w:color="auto" w:fill="FFFFFF"/>
        </w:rPr>
        <w:t>European Journal of Operational Research</w:t>
      </w:r>
      <w:r w:rsidRPr="000167E5">
        <w:rPr>
          <w:color w:val="000000" w:themeColor="text1"/>
          <w:shd w:val="clear" w:color="auto" w:fill="FFFFFF"/>
        </w:rPr>
        <w:t>, </w:t>
      </w:r>
      <w:r w:rsidRPr="000167E5">
        <w:rPr>
          <w:i/>
          <w:iCs/>
          <w:color w:val="000000" w:themeColor="text1"/>
          <w:shd w:val="clear" w:color="auto" w:fill="FFFFFF"/>
        </w:rPr>
        <w:t>268</w:t>
      </w:r>
      <w:r w:rsidRPr="000167E5">
        <w:rPr>
          <w:color w:val="000000" w:themeColor="text1"/>
          <w:shd w:val="clear" w:color="auto" w:fill="FFFFFF"/>
        </w:rPr>
        <w:t>(3), pp.1040-1049.</w:t>
      </w:r>
      <w:proofErr w:type="gramEnd"/>
    </w:p>
    <w:p w:rsidR="00625BB7" w:rsidRPr="000167E5" w:rsidRDefault="00625BB7" w:rsidP="00625BB7">
      <w:pPr>
        <w:ind w:left="720" w:hanging="720"/>
        <w:rPr>
          <w:color w:val="000000" w:themeColor="text1"/>
          <w:shd w:val="clear" w:color="auto" w:fill="FFFFFF"/>
        </w:rPr>
      </w:pPr>
      <w:proofErr w:type="gramStart"/>
      <w:r w:rsidRPr="000167E5">
        <w:rPr>
          <w:color w:val="000000" w:themeColor="text1"/>
          <w:shd w:val="clear" w:color="auto" w:fill="FFFFFF"/>
        </w:rPr>
        <w:t xml:space="preserve">Hartman, E., Paris, C.M. and </w:t>
      </w:r>
      <w:proofErr w:type="spellStart"/>
      <w:r w:rsidRPr="000167E5">
        <w:rPr>
          <w:color w:val="000000" w:themeColor="text1"/>
          <w:shd w:val="clear" w:color="auto" w:fill="FFFFFF"/>
        </w:rPr>
        <w:t>Blache</w:t>
      </w:r>
      <w:proofErr w:type="spellEnd"/>
      <w:r w:rsidRPr="000167E5">
        <w:rPr>
          <w:color w:val="000000" w:themeColor="text1"/>
          <w:shd w:val="clear" w:color="auto" w:fill="FFFFFF"/>
        </w:rPr>
        <w:t>-Cohen, B., 2014.</w:t>
      </w:r>
      <w:proofErr w:type="gramEnd"/>
      <w:r w:rsidRPr="000167E5">
        <w:rPr>
          <w:color w:val="000000" w:themeColor="text1"/>
          <w:shd w:val="clear" w:color="auto" w:fill="FFFFFF"/>
        </w:rPr>
        <w:t xml:space="preserve"> Fair trade learning: Ethical standards for community-engaged international volunteer tourism. </w:t>
      </w:r>
      <w:proofErr w:type="gramStart"/>
      <w:r w:rsidRPr="000167E5">
        <w:rPr>
          <w:i/>
          <w:iCs/>
          <w:color w:val="000000" w:themeColor="text1"/>
          <w:shd w:val="clear" w:color="auto" w:fill="FFFFFF"/>
        </w:rPr>
        <w:t>Tourism and Hospitality Research</w:t>
      </w:r>
      <w:r w:rsidRPr="000167E5">
        <w:rPr>
          <w:color w:val="000000" w:themeColor="text1"/>
          <w:shd w:val="clear" w:color="auto" w:fill="FFFFFF"/>
        </w:rPr>
        <w:t>, </w:t>
      </w:r>
      <w:r w:rsidRPr="000167E5">
        <w:rPr>
          <w:i/>
          <w:iCs/>
          <w:color w:val="000000" w:themeColor="text1"/>
          <w:shd w:val="clear" w:color="auto" w:fill="FFFFFF"/>
        </w:rPr>
        <w:t>14</w:t>
      </w:r>
      <w:r w:rsidRPr="000167E5">
        <w:rPr>
          <w:color w:val="000000" w:themeColor="text1"/>
          <w:shd w:val="clear" w:color="auto" w:fill="FFFFFF"/>
        </w:rPr>
        <w:t>(1-2), pp.108-116.</w:t>
      </w:r>
      <w:proofErr w:type="gramEnd"/>
    </w:p>
    <w:p w:rsidR="00625BB7" w:rsidRPr="000167E5" w:rsidRDefault="00625BB7" w:rsidP="00625BB7">
      <w:pPr>
        <w:ind w:left="720" w:hanging="720"/>
        <w:rPr>
          <w:color w:val="000000" w:themeColor="text1"/>
          <w:shd w:val="clear" w:color="auto" w:fill="FFFFFF"/>
        </w:rPr>
      </w:pPr>
      <w:proofErr w:type="spellStart"/>
      <w:proofErr w:type="gramStart"/>
      <w:r w:rsidRPr="000167E5">
        <w:rPr>
          <w:color w:val="000000" w:themeColor="text1"/>
          <w:shd w:val="clear" w:color="auto" w:fill="FFFFFF"/>
        </w:rPr>
        <w:t>Stellefson</w:t>
      </w:r>
      <w:proofErr w:type="spellEnd"/>
      <w:r w:rsidRPr="000167E5">
        <w:rPr>
          <w:color w:val="000000" w:themeColor="text1"/>
          <w:shd w:val="clear" w:color="auto" w:fill="FFFFFF"/>
        </w:rPr>
        <w:t xml:space="preserve">, M., Paige, S.R., </w:t>
      </w:r>
      <w:proofErr w:type="spellStart"/>
      <w:r w:rsidRPr="000167E5">
        <w:rPr>
          <w:color w:val="000000" w:themeColor="text1"/>
          <w:shd w:val="clear" w:color="auto" w:fill="FFFFFF"/>
        </w:rPr>
        <w:t>Alber</w:t>
      </w:r>
      <w:proofErr w:type="spellEnd"/>
      <w:r w:rsidRPr="000167E5">
        <w:rPr>
          <w:color w:val="000000" w:themeColor="text1"/>
          <w:shd w:val="clear" w:color="auto" w:fill="FFFFFF"/>
        </w:rPr>
        <w:t>, J.M., Barry, A.E. and James, D., 2015.</w:t>
      </w:r>
      <w:proofErr w:type="gramEnd"/>
      <w:r w:rsidRPr="000167E5">
        <w:rPr>
          <w:color w:val="000000" w:themeColor="text1"/>
          <w:shd w:val="clear" w:color="auto" w:fill="FFFFFF"/>
        </w:rPr>
        <w:t xml:space="preserve"> </w:t>
      </w:r>
      <w:proofErr w:type="gramStart"/>
      <w:r w:rsidRPr="000167E5">
        <w:rPr>
          <w:color w:val="000000" w:themeColor="text1"/>
          <w:shd w:val="clear" w:color="auto" w:fill="FFFFFF"/>
        </w:rPr>
        <w:t>Proposing ethical practice standards for community-engaged research in health education.</w:t>
      </w:r>
      <w:proofErr w:type="gramEnd"/>
      <w:r w:rsidRPr="000167E5">
        <w:rPr>
          <w:color w:val="000000" w:themeColor="text1"/>
          <w:shd w:val="clear" w:color="auto" w:fill="FFFFFF"/>
        </w:rPr>
        <w:t> </w:t>
      </w:r>
      <w:proofErr w:type="gramStart"/>
      <w:r w:rsidRPr="000167E5">
        <w:rPr>
          <w:i/>
          <w:iCs/>
          <w:color w:val="000000" w:themeColor="text1"/>
          <w:shd w:val="clear" w:color="auto" w:fill="FFFFFF"/>
        </w:rPr>
        <w:t>American Journal of Health Education</w:t>
      </w:r>
      <w:r w:rsidRPr="000167E5">
        <w:rPr>
          <w:color w:val="000000" w:themeColor="text1"/>
          <w:shd w:val="clear" w:color="auto" w:fill="FFFFFF"/>
        </w:rPr>
        <w:t>, </w:t>
      </w:r>
      <w:r w:rsidRPr="000167E5">
        <w:rPr>
          <w:i/>
          <w:iCs/>
          <w:color w:val="000000" w:themeColor="text1"/>
          <w:shd w:val="clear" w:color="auto" w:fill="FFFFFF"/>
        </w:rPr>
        <w:t>46</w:t>
      </w:r>
      <w:r w:rsidRPr="000167E5">
        <w:rPr>
          <w:color w:val="000000" w:themeColor="text1"/>
          <w:shd w:val="clear" w:color="auto" w:fill="FFFFFF"/>
        </w:rPr>
        <w:t>(2), pp.61-66.</w:t>
      </w:r>
      <w:proofErr w:type="gramEnd"/>
    </w:p>
    <w:p w:rsidR="00625BB7" w:rsidRPr="000167E5" w:rsidRDefault="00625BB7" w:rsidP="00625BB7">
      <w:pPr>
        <w:ind w:left="720" w:hanging="720"/>
        <w:rPr>
          <w:rStyle w:val="IntenseEmphasis"/>
          <w:rFonts w:cs="Times New Roman"/>
          <w:i w:val="0"/>
          <w:iCs w:val="0"/>
          <w:color w:val="000000" w:themeColor="text1"/>
          <w:szCs w:val="24"/>
        </w:rPr>
      </w:pPr>
      <w:r w:rsidRPr="000167E5">
        <w:rPr>
          <w:color w:val="000000" w:themeColor="text1"/>
          <w:shd w:val="clear" w:color="auto" w:fill="FFFFFF"/>
        </w:rPr>
        <w:t xml:space="preserve">South, J. and Phillips, G., 2014. </w:t>
      </w:r>
      <w:proofErr w:type="gramStart"/>
      <w:r w:rsidRPr="000167E5">
        <w:rPr>
          <w:color w:val="000000" w:themeColor="text1"/>
          <w:shd w:val="clear" w:color="auto" w:fill="FFFFFF"/>
        </w:rPr>
        <w:t>Evaluating community engagement as part of the public health system.</w:t>
      </w:r>
      <w:proofErr w:type="gramEnd"/>
      <w:r w:rsidRPr="000167E5">
        <w:rPr>
          <w:color w:val="000000" w:themeColor="text1"/>
          <w:shd w:val="clear" w:color="auto" w:fill="FFFFFF"/>
        </w:rPr>
        <w:t> </w:t>
      </w:r>
      <w:proofErr w:type="gramStart"/>
      <w:r w:rsidRPr="000167E5">
        <w:rPr>
          <w:i/>
          <w:iCs/>
          <w:color w:val="000000" w:themeColor="text1"/>
          <w:shd w:val="clear" w:color="auto" w:fill="FFFFFF"/>
        </w:rPr>
        <w:t xml:space="preserve">J </w:t>
      </w:r>
      <w:proofErr w:type="spellStart"/>
      <w:r w:rsidRPr="000167E5">
        <w:rPr>
          <w:i/>
          <w:iCs/>
          <w:color w:val="000000" w:themeColor="text1"/>
          <w:shd w:val="clear" w:color="auto" w:fill="FFFFFF"/>
        </w:rPr>
        <w:t>Epidemiol</w:t>
      </w:r>
      <w:proofErr w:type="spellEnd"/>
      <w:r w:rsidRPr="000167E5">
        <w:rPr>
          <w:i/>
          <w:iCs/>
          <w:color w:val="000000" w:themeColor="text1"/>
          <w:shd w:val="clear" w:color="auto" w:fill="FFFFFF"/>
        </w:rPr>
        <w:t xml:space="preserve"> Community Health</w:t>
      </w:r>
      <w:r w:rsidRPr="000167E5">
        <w:rPr>
          <w:color w:val="000000" w:themeColor="text1"/>
          <w:shd w:val="clear" w:color="auto" w:fill="FFFFFF"/>
        </w:rPr>
        <w:t>, </w:t>
      </w:r>
      <w:r w:rsidRPr="000167E5">
        <w:rPr>
          <w:i/>
          <w:iCs/>
          <w:color w:val="000000" w:themeColor="text1"/>
          <w:shd w:val="clear" w:color="auto" w:fill="FFFFFF"/>
        </w:rPr>
        <w:t>68</w:t>
      </w:r>
      <w:r w:rsidRPr="000167E5">
        <w:rPr>
          <w:color w:val="000000" w:themeColor="text1"/>
          <w:shd w:val="clear" w:color="auto" w:fill="FFFFFF"/>
        </w:rPr>
        <w:t>(7), pp.692-696.</w:t>
      </w:r>
      <w:proofErr w:type="gramEnd"/>
    </w:p>
    <w:p w:rsidR="00625BB7" w:rsidRPr="000167E5" w:rsidRDefault="00625BB7" w:rsidP="00625BB7">
      <w:pPr>
        <w:ind w:left="720" w:hanging="720"/>
        <w:rPr>
          <w:rStyle w:val="IntenseEmphasis"/>
          <w:rFonts w:cs="Times New Roman"/>
          <w:i w:val="0"/>
          <w:iCs w:val="0"/>
          <w:color w:val="000000" w:themeColor="text1"/>
          <w:szCs w:val="24"/>
        </w:rPr>
      </w:pPr>
    </w:p>
    <w:p w:rsidR="007D4F3F" w:rsidRDefault="007D4F3F"/>
    <w:sectPr w:rsidR="007D4F3F" w:rsidSect="00C26FE9">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32E" w:rsidRDefault="005E632E">
      <w:pPr>
        <w:spacing w:after="0" w:line="240" w:lineRule="auto"/>
      </w:pPr>
      <w:r>
        <w:separator/>
      </w:r>
    </w:p>
  </w:endnote>
  <w:endnote w:type="continuationSeparator" w:id="0">
    <w:p w:rsidR="005E632E" w:rsidRDefault="005E6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32E" w:rsidRDefault="005E632E">
      <w:pPr>
        <w:spacing w:after="0" w:line="240" w:lineRule="auto"/>
      </w:pPr>
      <w:r>
        <w:separator/>
      </w:r>
    </w:p>
  </w:footnote>
  <w:footnote w:type="continuationSeparator" w:id="0">
    <w:p w:rsidR="005E632E" w:rsidRDefault="005E63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938522"/>
      <w:docPartObj>
        <w:docPartGallery w:val="Page Numbers (Top of Page)"/>
        <w:docPartUnique/>
      </w:docPartObj>
    </w:sdtPr>
    <w:sdtEndPr>
      <w:rPr>
        <w:color w:val="7F7F7F" w:themeColor="background1" w:themeShade="7F"/>
        <w:spacing w:val="60"/>
      </w:rPr>
    </w:sdtEndPr>
    <w:sdtContent>
      <w:p w:rsidR="00C26FE9" w:rsidRDefault="00625BB7">
        <w:pPr>
          <w:pStyle w:val="Header"/>
          <w:pBdr>
            <w:bottom w:val="single" w:sz="4" w:space="1" w:color="D9D9D9" w:themeColor="background1" w:themeShade="D9"/>
          </w:pBdr>
          <w:rPr>
            <w:b/>
            <w:bCs/>
          </w:rPr>
        </w:pPr>
        <w:r>
          <w:rPr>
            <w:b/>
            <w:bCs/>
          </w:rPr>
          <w:t xml:space="preserve"> | </w:t>
        </w:r>
        <w:r>
          <w:rPr>
            <w:color w:val="7F7F7F" w:themeColor="background1" w:themeShade="7F"/>
            <w:spacing w:val="60"/>
          </w:rPr>
          <w:t>Page</w:t>
        </w:r>
      </w:p>
    </w:sdtContent>
  </w:sdt>
  <w:p w:rsidR="00C26FE9" w:rsidRDefault="005E63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260636"/>
      <w:docPartObj>
        <w:docPartGallery w:val="Page Numbers (Top of Page)"/>
        <w:docPartUnique/>
      </w:docPartObj>
    </w:sdtPr>
    <w:sdtEndPr>
      <w:rPr>
        <w:color w:val="7F7F7F" w:themeColor="background1" w:themeShade="7F"/>
        <w:spacing w:val="60"/>
      </w:rPr>
    </w:sdtEndPr>
    <w:sdtContent>
      <w:p w:rsidR="00C26FE9" w:rsidRDefault="00625BB7">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DD60B6" w:rsidRPr="00DD60B6">
          <w:rPr>
            <w:b/>
            <w:bCs/>
            <w:noProof/>
          </w:rPr>
          <w:t>1</w:t>
        </w:r>
        <w:r>
          <w:rPr>
            <w:b/>
            <w:bCs/>
            <w:noProof/>
          </w:rPr>
          <w:fldChar w:fldCharType="end"/>
        </w:r>
        <w:r>
          <w:rPr>
            <w:b/>
            <w:bCs/>
          </w:rPr>
          <w:t xml:space="preserve"> | </w:t>
        </w:r>
        <w:r>
          <w:rPr>
            <w:color w:val="7F7F7F" w:themeColor="background1" w:themeShade="7F"/>
            <w:spacing w:val="60"/>
          </w:rPr>
          <w:t>Page</w:t>
        </w:r>
      </w:p>
    </w:sdtContent>
  </w:sdt>
  <w:p w:rsidR="00C26FE9" w:rsidRDefault="005E63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BCC"/>
    <w:rsid w:val="000751B8"/>
    <w:rsid w:val="005E632E"/>
    <w:rsid w:val="00625BB7"/>
    <w:rsid w:val="00650BCC"/>
    <w:rsid w:val="00670EDB"/>
    <w:rsid w:val="006D0D4A"/>
    <w:rsid w:val="007D4F3F"/>
    <w:rsid w:val="00DD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BB7"/>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25BB7"/>
    <w:pPr>
      <w:keepNext/>
      <w:keepLines/>
      <w:spacing w:before="240" w:after="0"/>
      <w:outlineLvl w:val="0"/>
    </w:pPr>
    <w:rPr>
      <w:rFonts w:eastAsiaTheme="majorEastAsia" w:cstheme="majorBidi"/>
      <w:b/>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BB7"/>
    <w:rPr>
      <w:rFonts w:ascii="Times New Roman" w:eastAsiaTheme="majorEastAsia" w:hAnsi="Times New Roman" w:cstheme="majorBidi"/>
      <w:b/>
      <w:color w:val="002060"/>
      <w:sz w:val="32"/>
      <w:szCs w:val="32"/>
      <w:lang w:val="en-US"/>
    </w:rPr>
  </w:style>
  <w:style w:type="character" w:styleId="IntenseEmphasis">
    <w:name w:val="Intense Emphasis"/>
    <w:basedOn w:val="DefaultParagraphFont"/>
    <w:uiPriority w:val="21"/>
    <w:qFormat/>
    <w:rsid w:val="00625BB7"/>
    <w:rPr>
      <w:i/>
      <w:iCs/>
      <w:color w:val="4F81BD" w:themeColor="accent1"/>
    </w:rPr>
  </w:style>
  <w:style w:type="paragraph" w:styleId="TOCHeading">
    <w:name w:val="TOC Heading"/>
    <w:basedOn w:val="Heading1"/>
    <w:next w:val="Normal"/>
    <w:uiPriority w:val="39"/>
    <w:unhideWhenUsed/>
    <w:qFormat/>
    <w:rsid w:val="00625BB7"/>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625BB7"/>
    <w:pPr>
      <w:spacing w:after="100"/>
    </w:pPr>
  </w:style>
  <w:style w:type="character" w:styleId="Hyperlink">
    <w:name w:val="Hyperlink"/>
    <w:basedOn w:val="DefaultParagraphFont"/>
    <w:uiPriority w:val="99"/>
    <w:unhideWhenUsed/>
    <w:rsid w:val="00625BB7"/>
    <w:rPr>
      <w:color w:val="0000FF" w:themeColor="hyperlink"/>
      <w:u w:val="single"/>
    </w:rPr>
  </w:style>
  <w:style w:type="character" w:styleId="Emphasis">
    <w:name w:val="Emphasis"/>
    <w:basedOn w:val="DefaultParagraphFont"/>
    <w:uiPriority w:val="20"/>
    <w:qFormat/>
    <w:rsid w:val="00625BB7"/>
    <w:rPr>
      <w:i/>
      <w:iCs/>
    </w:rPr>
  </w:style>
  <w:style w:type="paragraph" w:styleId="Header">
    <w:name w:val="header"/>
    <w:basedOn w:val="Normal"/>
    <w:link w:val="HeaderChar"/>
    <w:uiPriority w:val="99"/>
    <w:unhideWhenUsed/>
    <w:rsid w:val="00625B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BB7"/>
    <w:rPr>
      <w:rFonts w:ascii="Times New Roman" w:hAnsi="Times New Roman"/>
      <w:sz w:val="24"/>
      <w:lang w:val="en-US"/>
    </w:rPr>
  </w:style>
  <w:style w:type="table" w:customStyle="1" w:styleId="GridTable5DarkAccent5">
    <w:name w:val="Grid Table 5 Dark Accent 5"/>
    <w:basedOn w:val="TableNormal"/>
    <w:uiPriority w:val="50"/>
    <w:rsid w:val="00625BB7"/>
    <w:pPr>
      <w:spacing w:after="0" w:line="240" w:lineRule="auto"/>
    </w:pPr>
    <w:rPr>
      <w:rFonts w:ascii="Calibri" w:eastAsia="Calibri" w:hAnsi="Calibri" w:cs="Vrinda"/>
      <w:szCs w:val="28"/>
      <w:lang w:bidi="bn-BD"/>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styleId="BalloonText">
    <w:name w:val="Balloon Text"/>
    <w:basedOn w:val="Normal"/>
    <w:link w:val="BalloonTextChar"/>
    <w:uiPriority w:val="99"/>
    <w:semiHidden/>
    <w:unhideWhenUsed/>
    <w:rsid w:val="00625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BB7"/>
    <w:rPr>
      <w:rFonts w:ascii="Tahoma" w:hAnsi="Tahoma" w:cs="Tahoma"/>
      <w:sz w:val="16"/>
      <w:szCs w:val="16"/>
      <w:lang w:val="en-US"/>
    </w:rPr>
  </w:style>
  <w:style w:type="paragraph" w:styleId="Footer">
    <w:name w:val="footer"/>
    <w:basedOn w:val="Normal"/>
    <w:link w:val="FooterChar"/>
    <w:uiPriority w:val="99"/>
    <w:unhideWhenUsed/>
    <w:rsid w:val="00670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EDB"/>
    <w:rPr>
      <w:rFonts w:ascii="Times New Roman" w:hAnsi="Times New Roman"/>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BB7"/>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25BB7"/>
    <w:pPr>
      <w:keepNext/>
      <w:keepLines/>
      <w:spacing w:before="240" w:after="0"/>
      <w:outlineLvl w:val="0"/>
    </w:pPr>
    <w:rPr>
      <w:rFonts w:eastAsiaTheme="majorEastAsia" w:cstheme="majorBidi"/>
      <w:b/>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BB7"/>
    <w:rPr>
      <w:rFonts w:ascii="Times New Roman" w:eastAsiaTheme="majorEastAsia" w:hAnsi="Times New Roman" w:cstheme="majorBidi"/>
      <w:b/>
      <w:color w:val="002060"/>
      <w:sz w:val="32"/>
      <w:szCs w:val="32"/>
      <w:lang w:val="en-US"/>
    </w:rPr>
  </w:style>
  <w:style w:type="character" w:styleId="IntenseEmphasis">
    <w:name w:val="Intense Emphasis"/>
    <w:basedOn w:val="DefaultParagraphFont"/>
    <w:uiPriority w:val="21"/>
    <w:qFormat/>
    <w:rsid w:val="00625BB7"/>
    <w:rPr>
      <w:i/>
      <w:iCs/>
      <w:color w:val="4F81BD" w:themeColor="accent1"/>
    </w:rPr>
  </w:style>
  <w:style w:type="paragraph" w:styleId="TOCHeading">
    <w:name w:val="TOC Heading"/>
    <w:basedOn w:val="Heading1"/>
    <w:next w:val="Normal"/>
    <w:uiPriority w:val="39"/>
    <w:unhideWhenUsed/>
    <w:qFormat/>
    <w:rsid w:val="00625BB7"/>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625BB7"/>
    <w:pPr>
      <w:spacing w:after="100"/>
    </w:pPr>
  </w:style>
  <w:style w:type="character" w:styleId="Hyperlink">
    <w:name w:val="Hyperlink"/>
    <w:basedOn w:val="DefaultParagraphFont"/>
    <w:uiPriority w:val="99"/>
    <w:unhideWhenUsed/>
    <w:rsid w:val="00625BB7"/>
    <w:rPr>
      <w:color w:val="0000FF" w:themeColor="hyperlink"/>
      <w:u w:val="single"/>
    </w:rPr>
  </w:style>
  <w:style w:type="character" w:styleId="Emphasis">
    <w:name w:val="Emphasis"/>
    <w:basedOn w:val="DefaultParagraphFont"/>
    <w:uiPriority w:val="20"/>
    <w:qFormat/>
    <w:rsid w:val="00625BB7"/>
    <w:rPr>
      <w:i/>
      <w:iCs/>
    </w:rPr>
  </w:style>
  <w:style w:type="paragraph" w:styleId="Header">
    <w:name w:val="header"/>
    <w:basedOn w:val="Normal"/>
    <w:link w:val="HeaderChar"/>
    <w:uiPriority w:val="99"/>
    <w:unhideWhenUsed/>
    <w:rsid w:val="00625B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BB7"/>
    <w:rPr>
      <w:rFonts w:ascii="Times New Roman" w:hAnsi="Times New Roman"/>
      <w:sz w:val="24"/>
      <w:lang w:val="en-US"/>
    </w:rPr>
  </w:style>
  <w:style w:type="table" w:customStyle="1" w:styleId="GridTable5DarkAccent5">
    <w:name w:val="Grid Table 5 Dark Accent 5"/>
    <w:basedOn w:val="TableNormal"/>
    <w:uiPriority w:val="50"/>
    <w:rsid w:val="00625BB7"/>
    <w:pPr>
      <w:spacing w:after="0" w:line="240" w:lineRule="auto"/>
    </w:pPr>
    <w:rPr>
      <w:rFonts w:ascii="Calibri" w:eastAsia="Calibri" w:hAnsi="Calibri" w:cs="Vrinda"/>
      <w:szCs w:val="28"/>
      <w:lang w:bidi="bn-BD"/>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styleId="BalloonText">
    <w:name w:val="Balloon Text"/>
    <w:basedOn w:val="Normal"/>
    <w:link w:val="BalloonTextChar"/>
    <w:uiPriority w:val="99"/>
    <w:semiHidden/>
    <w:unhideWhenUsed/>
    <w:rsid w:val="00625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BB7"/>
    <w:rPr>
      <w:rFonts w:ascii="Tahoma" w:hAnsi="Tahoma" w:cs="Tahoma"/>
      <w:sz w:val="16"/>
      <w:szCs w:val="16"/>
      <w:lang w:val="en-US"/>
    </w:rPr>
  </w:style>
  <w:style w:type="paragraph" w:styleId="Footer">
    <w:name w:val="footer"/>
    <w:basedOn w:val="Normal"/>
    <w:link w:val="FooterChar"/>
    <w:uiPriority w:val="99"/>
    <w:unhideWhenUsed/>
    <w:rsid w:val="00670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EDB"/>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993296B-E346-440E-A85C-228F6CB2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3045</Words>
  <Characters>17358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Robayat Hasan</dc:creator>
  <cp:lastModifiedBy>Md. Abidur Rahman</cp:lastModifiedBy>
  <cp:revision>2</cp:revision>
  <dcterms:created xsi:type="dcterms:W3CDTF">2023-11-26T03:41:00Z</dcterms:created>
  <dcterms:modified xsi:type="dcterms:W3CDTF">2023-11-26T03:41:00Z</dcterms:modified>
</cp:coreProperties>
</file>