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721E6F" w:rsidRDefault="00721E6F" w14:paraId="672A6659" w14:textId="77777777">
      <w:pPr>
        <w:rPr>
          <w:b/>
          <w:bCs/>
        </w:rPr>
      </w:pPr>
    </w:p>
    <w:p w:rsidR="00721E6F" w:rsidRDefault="00E00BF5" w14:paraId="7FFC03CA" w14:textId="77777777">
      <w:pPr>
        <w:rPr>
          <w:b/>
          <w:bCs/>
          <w:sz w:val="32"/>
          <w:szCs w:val="32"/>
          <w:u w:val="single"/>
        </w:rPr>
      </w:pPr>
      <w:r>
        <w:rPr>
          <w:b/>
          <w:bCs/>
          <w:sz w:val="32"/>
          <w:szCs w:val="32"/>
          <w:u w:val="single"/>
        </w:rPr>
        <w:t>Reflective Report on Person-Centred Care, Partnership Working, and Ethics in UK Health and Social Care Practice</w:t>
      </w:r>
    </w:p>
    <w:p w:rsidR="00721E6F" w:rsidRDefault="00721E6F" w14:paraId="0A37501D" w14:textId="77777777">
      <w:pPr>
        <w:rPr>
          <w:b/>
          <w:bCs/>
        </w:rPr>
      </w:pPr>
    </w:p>
    <w:p w:rsidR="00721E6F" w:rsidRDefault="00E00BF5" w14:paraId="05843E20" w14:noSpellErr="1" w14:textId="74C4E7F3">
      <w:r w:rsidRPr="081F8C6B" w:rsidR="00E00BF5">
        <w:rPr>
          <w:rFonts w:ascii="Aptos" w:hAnsi="Aptos" w:eastAsia="Aptos" w:cs="Aptos"/>
        </w:rPr>
        <w:t xml:space="preserve">• Student name </w:t>
      </w:r>
      <w:r w:rsidRPr="081F8C6B" w:rsidR="163C80AB">
        <w:rPr>
          <w:rFonts w:ascii="Aptos" w:hAnsi="Aptos" w:eastAsia="Aptos" w:cs="Aptos"/>
        </w:rPr>
        <w:t xml:space="preserve">&amp; </w:t>
      </w:r>
      <w:r w:rsidRPr="081F8C6B" w:rsidR="00E00BF5">
        <w:rPr>
          <w:rFonts w:ascii="Aptos" w:hAnsi="Aptos" w:eastAsia="Aptos" w:cs="Aptos"/>
        </w:rPr>
        <w:t>number</w:t>
      </w:r>
      <w:r w:rsidR="00E00BF5">
        <w:rPr/>
        <w:t xml:space="preserve"> Nichola Timothy </w:t>
      </w:r>
      <w:r w:rsidRPr="081F8C6B" w:rsidR="00E00BF5">
        <w:rPr>
          <w:rFonts w:ascii="Aptos" w:hAnsi="Aptos" w:eastAsia="Aptos" w:cs="Aptos"/>
        </w:rPr>
        <w:t xml:space="preserve">  </w:t>
      </w:r>
      <w:r w:rsidR="00E00BF5">
        <w:rPr/>
        <w:t>207528</w:t>
      </w:r>
    </w:p>
    <w:p w:rsidR="00721E6F" w:rsidRDefault="00721E6F" w14:paraId="5DAB6C7B" w14:textId="77777777">
      <w:pPr>
        <w:spacing w:before="240" w:after="198" w:line="276" w:lineRule="auto"/>
        <w:rPr>
          <w:rFonts w:ascii="Aptos" w:hAnsi="Aptos" w:eastAsia="Aptos" w:cs="Aptos"/>
        </w:rPr>
      </w:pPr>
    </w:p>
    <w:p w:rsidR="00721E6F" w:rsidRDefault="00E00BF5" w14:paraId="0E738FBA" w14:textId="77777777">
      <w:pPr>
        <w:spacing w:before="240" w:after="198" w:line="276" w:lineRule="auto"/>
      </w:pPr>
      <w:r>
        <w:rPr>
          <w:rFonts w:ascii="Aptos" w:hAnsi="Aptos" w:eastAsia="Aptos" w:cs="Aptos"/>
        </w:rPr>
        <w:t>• Module title and code (BMHP5016)</w:t>
      </w:r>
    </w:p>
    <w:p w:rsidR="00721E6F" w:rsidRDefault="00721E6F" w14:paraId="02EB378F" w14:textId="77777777">
      <w:pPr>
        <w:spacing w:before="240" w:after="198" w:line="276" w:lineRule="auto"/>
        <w:rPr>
          <w:rFonts w:ascii="Aptos" w:hAnsi="Aptos" w:eastAsia="Aptos" w:cs="Aptos"/>
        </w:rPr>
      </w:pPr>
    </w:p>
    <w:p w:rsidR="00721E6F" w:rsidRDefault="00E00BF5" w14:paraId="2D007D7A" w14:textId="77777777">
      <w:pPr>
        <w:spacing w:before="240" w:after="198" w:line="276" w:lineRule="auto"/>
      </w:pPr>
      <w:r>
        <w:rPr>
          <w:rFonts w:ascii="Aptos" w:hAnsi="Aptos" w:eastAsia="Aptos" w:cs="Aptos"/>
        </w:rPr>
        <w:t xml:space="preserve">• </w:t>
      </w:r>
      <w:r>
        <w:rPr>
          <w:rFonts w:ascii="Aptos" w:hAnsi="Aptos" w:eastAsia="Aptos" w:cs="Aptos"/>
        </w:rPr>
        <w:t>Assignment title (Component 1: Reflective Report)</w:t>
      </w:r>
    </w:p>
    <w:p w:rsidR="00721E6F" w:rsidRDefault="00721E6F" w14:paraId="6A05A809" w14:textId="77777777">
      <w:pPr>
        <w:spacing w:before="240" w:after="198" w:line="276" w:lineRule="auto"/>
        <w:rPr>
          <w:rFonts w:ascii="Aptos" w:hAnsi="Aptos" w:eastAsia="Aptos" w:cs="Aptos"/>
        </w:rPr>
      </w:pPr>
    </w:p>
    <w:p w:rsidR="00721E6F" w:rsidRDefault="00721E6F" w14:paraId="5A39BBE3" w14:textId="77777777"/>
    <w:p w:rsidR="00721E6F" w:rsidRDefault="00721E6F" w14:paraId="41C8F396" w14:textId="77777777"/>
    <w:p w:rsidR="00721E6F" w:rsidRDefault="00721E6F" w14:paraId="72A3D3EC" w14:textId="77777777"/>
    <w:p w:rsidR="00721E6F" w:rsidRDefault="00721E6F" w14:paraId="0D0B940D" w14:textId="77777777"/>
    <w:p w:rsidR="00721E6F" w:rsidRDefault="00721E6F" w14:paraId="0E27B00A" w14:textId="77777777"/>
    <w:p w:rsidR="00721E6F" w:rsidRDefault="00721E6F" w14:paraId="60061E4C" w14:textId="77777777"/>
    <w:p w:rsidR="00721E6F" w:rsidRDefault="00721E6F" w14:paraId="44EAFD9C" w14:textId="77777777"/>
    <w:p w:rsidR="00721E6F" w:rsidRDefault="00721E6F" w14:paraId="4B94D5A5" w14:textId="77777777"/>
    <w:p w:rsidR="00721E6F" w:rsidRDefault="00721E6F" w14:paraId="3DEEC669" w14:textId="77777777"/>
    <w:p w:rsidR="00721E6F" w:rsidRDefault="00721E6F" w14:paraId="3656B9AB" w14:textId="77777777"/>
    <w:p w:rsidR="00721E6F" w:rsidRDefault="00721E6F" w14:paraId="45FB0818" w14:textId="77777777"/>
    <w:p w:rsidR="00721E6F" w:rsidRDefault="00721E6F" w14:paraId="049F31CB" w14:textId="77777777"/>
    <w:p w:rsidR="00721E6F" w:rsidRDefault="00721E6F" w14:paraId="53128261" w14:textId="77777777"/>
    <w:p w:rsidR="00721E6F" w:rsidRDefault="00721E6F" w14:paraId="62486C05" w14:textId="77777777"/>
    <w:p w:rsidR="00721E6F" w:rsidRDefault="00721E6F" w14:paraId="4101652C" w14:textId="77777777"/>
    <w:p w:rsidR="00721E6F" w:rsidRDefault="00721E6F" w14:paraId="4B99056E" w14:textId="77777777"/>
    <w:sdt>
      <w:sdtPr>
        <w:id w:val="982228577"/>
        <w:docPartObj>
          <w:docPartGallery w:val="Table of Contents"/>
          <w:docPartUnique/>
        </w:docPartObj>
        <w:rPr>
          <w:rFonts w:ascii="Aptos" w:hAnsi="Aptos" w:eastAsia="" w:cs="" w:asciiTheme="minorAscii" w:hAnsiTheme="minorAscii" w:eastAsiaTheme="minorEastAsia" w:cstheme="minorBidi"/>
          <w:color w:val="auto"/>
          <w:sz w:val="24"/>
          <w:szCs w:val="24"/>
          <w:lang w:val="en-GB" w:eastAsia="ja-JP"/>
        </w:rPr>
      </w:sdtPr>
      <w:sdtEndPr>
        <w:rPr>
          <w:rFonts w:ascii="Aptos" w:hAnsi="Aptos" w:eastAsia="" w:cs="" w:asciiTheme="minorAscii" w:hAnsiTheme="minorAscii" w:eastAsiaTheme="minorEastAsia" w:cstheme="minorBidi"/>
          <w:color w:val="auto"/>
          <w:sz w:val="24"/>
          <w:szCs w:val="24"/>
          <w:lang w:val="en-GB" w:eastAsia="ja-JP"/>
        </w:rPr>
      </w:sdtEndPr>
      <w:sdtContent>
        <w:p w:rsidR="00721E6F" w:rsidRDefault="00E00BF5" w14:paraId="406425CA" w14:textId="77777777">
          <w:pPr>
            <w:pStyle w:val="TOCHeading"/>
          </w:pPr>
          <w:r>
            <w:t>Contents</w:t>
          </w:r>
        </w:p>
        <w:p w:rsidR="00E00BF5" w:rsidRDefault="00E00BF5" w14:paraId="6C7E209E" w14:textId="5AAC9AB9">
          <w:pPr>
            <w:pStyle w:val="TOC2"/>
            <w:tabs>
              <w:tab w:val="right" w:leader="dot" w:pos="9350"/>
            </w:tabs>
            <w:rPr>
              <w:noProof/>
              <w:kern w:val="2"/>
              <w:lang w:eastAsia="zh-CN"/>
              <w14:ligatures w14:val="standardContextual"/>
            </w:rPr>
          </w:pPr>
          <w:r>
            <w:fldChar w:fldCharType="begin"/>
          </w:r>
          <w:r>
            <w:rPr>
              <w:rStyle w:val="IndexLink"/>
              <w:b/>
              <w:bCs/>
              <w:webHidden/>
            </w:rPr>
            <w:instrText xml:space="preserve"> TOC \z \o "1-3" \u \h</w:instrText>
          </w:r>
          <w:r>
            <w:rPr>
              <w:rStyle w:val="IndexLink"/>
              <w:b/>
              <w:bCs/>
            </w:rPr>
            <w:fldChar w:fldCharType="separate"/>
          </w:r>
          <w:hyperlink w:history="1" w:anchor="_Toc210204197">
            <w:r w:rsidRPr="00164F6F">
              <w:rPr>
                <w:rStyle w:val="Hyperlink"/>
                <w:b/>
                <w:bCs/>
                <w:noProof/>
              </w:rPr>
              <w:t>Introduction</w:t>
            </w:r>
            <w:r>
              <w:rPr>
                <w:noProof/>
                <w:webHidden/>
              </w:rPr>
              <w:tab/>
            </w:r>
            <w:r>
              <w:rPr>
                <w:noProof/>
                <w:webHidden/>
              </w:rPr>
              <w:fldChar w:fldCharType="begin"/>
            </w:r>
            <w:r>
              <w:rPr>
                <w:noProof/>
                <w:webHidden/>
              </w:rPr>
              <w:instrText xml:space="preserve"> PAGEREF _Toc210204197 \h </w:instrText>
            </w:r>
            <w:r>
              <w:rPr>
                <w:noProof/>
                <w:webHidden/>
              </w:rPr>
            </w:r>
            <w:r>
              <w:rPr>
                <w:noProof/>
                <w:webHidden/>
              </w:rPr>
              <w:fldChar w:fldCharType="separate"/>
            </w:r>
            <w:r>
              <w:rPr>
                <w:noProof/>
                <w:webHidden/>
              </w:rPr>
              <w:t>3</w:t>
            </w:r>
            <w:r>
              <w:rPr>
                <w:noProof/>
                <w:webHidden/>
              </w:rPr>
              <w:fldChar w:fldCharType="end"/>
            </w:r>
          </w:hyperlink>
        </w:p>
        <w:p w:rsidR="00E00BF5" w:rsidRDefault="00E00BF5" w14:paraId="3DB63FBD" w14:textId="04C6642C">
          <w:pPr>
            <w:pStyle w:val="TOC2"/>
            <w:tabs>
              <w:tab w:val="right" w:leader="dot" w:pos="9350"/>
            </w:tabs>
            <w:rPr>
              <w:noProof/>
              <w:kern w:val="2"/>
              <w:lang w:eastAsia="zh-CN"/>
              <w14:ligatures w14:val="standardContextual"/>
            </w:rPr>
          </w:pPr>
          <w:hyperlink w:history="1" w:anchor="_Toc210204198">
            <w:r w:rsidRPr="00164F6F">
              <w:rPr>
                <w:rStyle w:val="Hyperlink"/>
                <w:rFonts w:ascii="Aptos" w:hAnsi="Aptos" w:eastAsia="Aptos" w:cs="Aptos"/>
                <w:b/>
                <w:bCs/>
                <w:noProof/>
              </w:rPr>
              <w:t>Task 1: Reflection on the Importance of Principles of Health and Social Care</w:t>
            </w:r>
            <w:r>
              <w:rPr>
                <w:noProof/>
                <w:webHidden/>
              </w:rPr>
              <w:tab/>
            </w:r>
            <w:r>
              <w:rPr>
                <w:noProof/>
                <w:webHidden/>
              </w:rPr>
              <w:fldChar w:fldCharType="begin"/>
            </w:r>
            <w:r>
              <w:rPr>
                <w:noProof/>
                <w:webHidden/>
              </w:rPr>
              <w:instrText xml:space="preserve"> PAGEREF _Toc210204198 \h </w:instrText>
            </w:r>
            <w:r>
              <w:rPr>
                <w:noProof/>
                <w:webHidden/>
              </w:rPr>
            </w:r>
            <w:r>
              <w:rPr>
                <w:noProof/>
                <w:webHidden/>
              </w:rPr>
              <w:fldChar w:fldCharType="separate"/>
            </w:r>
            <w:r>
              <w:rPr>
                <w:noProof/>
                <w:webHidden/>
              </w:rPr>
              <w:t>3</w:t>
            </w:r>
            <w:r>
              <w:rPr>
                <w:noProof/>
                <w:webHidden/>
              </w:rPr>
              <w:fldChar w:fldCharType="end"/>
            </w:r>
          </w:hyperlink>
        </w:p>
        <w:p w:rsidR="00E00BF5" w:rsidRDefault="00E00BF5" w14:paraId="13B816B2" w14:textId="21A785DE">
          <w:pPr>
            <w:pStyle w:val="TOC2"/>
            <w:tabs>
              <w:tab w:val="right" w:leader="dot" w:pos="9350"/>
            </w:tabs>
            <w:rPr>
              <w:noProof/>
              <w:kern w:val="2"/>
              <w:lang w:eastAsia="zh-CN"/>
              <w14:ligatures w14:val="standardContextual"/>
            </w:rPr>
          </w:pPr>
          <w:hyperlink w:history="1" w:anchor="_Toc210204199">
            <w:r w:rsidRPr="00164F6F">
              <w:rPr>
                <w:rStyle w:val="Hyperlink"/>
                <w:rFonts w:ascii="Aptos" w:hAnsi="Aptos" w:eastAsia="Aptos" w:cs="Aptos"/>
                <w:b/>
                <w:bCs/>
                <w:noProof/>
              </w:rPr>
              <w:t>Task 2: Practical Examples of Concepts in Practice</w:t>
            </w:r>
            <w:r>
              <w:rPr>
                <w:noProof/>
                <w:webHidden/>
              </w:rPr>
              <w:tab/>
            </w:r>
            <w:r>
              <w:rPr>
                <w:noProof/>
                <w:webHidden/>
              </w:rPr>
              <w:fldChar w:fldCharType="begin"/>
            </w:r>
            <w:r>
              <w:rPr>
                <w:noProof/>
                <w:webHidden/>
              </w:rPr>
              <w:instrText xml:space="preserve"> PAGEREF _Toc210204199 \h </w:instrText>
            </w:r>
            <w:r>
              <w:rPr>
                <w:noProof/>
                <w:webHidden/>
              </w:rPr>
            </w:r>
            <w:r>
              <w:rPr>
                <w:noProof/>
                <w:webHidden/>
              </w:rPr>
              <w:fldChar w:fldCharType="separate"/>
            </w:r>
            <w:r>
              <w:rPr>
                <w:noProof/>
                <w:webHidden/>
              </w:rPr>
              <w:t>4</w:t>
            </w:r>
            <w:r>
              <w:rPr>
                <w:noProof/>
                <w:webHidden/>
              </w:rPr>
              <w:fldChar w:fldCharType="end"/>
            </w:r>
          </w:hyperlink>
        </w:p>
        <w:p w:rsidR="00E00BF5" w:rsidRDefault="00E00BF5" w14:paraId="184B66C2" w14:textId="2799E542">
          <w:pPr>
            <w:pStyle w:val="TOC2"/>
            <w:tabs>
              <w:tab w:val="right" w:leader="dot" w:pos="9350"/>
            </w:tabs>
            <w:rPr>
              <w:noProof/>
              <w:kern w:val="2"/>
              <w:lang w:eastAsia="zh-CN"/>
              <w14:ligatures w14:val="standardContextual"/>
            </w:rPr>
          </w:pPr>
          <w:hyperlink w:history="1" w:anchor="_Toc210204200">
            <w:r w:rsidRPr="00164F6F">
              <w:rPr>
                <w:rStyle w:val="Hyperlink"/>
                <w:rFonts w:ascii="Aptos" w:hAnsi="Aptos" w:eastAsia="Aptos" w:cs="Aptos"/>
                <w:b/>
                <w:bCs/>
                <w:noProof/>
              </w:rPr>
              <w:t>Task 3: Reflection on Learning and Future Application</w:t>
            </w:r>
            <w:r>
              <w:rPr>
                <w:noProof/>
                <w:webHidden/>
              </w:rPr>
              <w:tab/>
            </w:r>
            <w:r>
              <w:rPr>
                <w:noProof/>
                <w:webHidden/>
              </w:rPr>
              <w:fldChar w:fldCharType="begin"/>
            </w:r>
            <w:r>
              <w:rPr>
                <w:noProof/>
                <w:webHidden/>
              </w:rPr>
              <w:instrText xml:space="preserve"> PAGEREF _Toc210204200 \h </w:instrText>
            </w:r>
            <w:r>
              <w:rPr>
                <w:noProof/>
                <w:webHidden/>
              </w:rPr>
            </w:r>
            <w:r>
              <w:rPr>
                <w:noProof/>
                <w:webHidden/>
              </w:rPr>
              <w:fldChar w:fldCharType="separate"/>
            </w:r>
            <w:r>
              <w:rPr>
                <w:noProof/>
                <w:webHidden/>
              </w:rPr>
              <w:t>6</w:t>
            </w:r>
            <w:r>
              <w:rPr>
                <w:noProof/>
                <w:webHidden/>
              </w:rPr>
              <w:fldChar w:fldCharType="end"/>
            </w:r>
          </w:hyperlink>
        </w:p>
        <w:p w:rsidR="00E00BF5" w:rsidRDefault="00E00BF5" w14:paraId="1FB1EDE1" w14:textId="5F4688EE">
          <w:pPr>
            <w:pStyle w:val="TOC2"/>
            <w:tabs>
              <w:tab w:val="right" w:leader="dot" w:pos="9350"/>
            </w:tabs>
            <w:rPr>
              <w:noProof/>
              <w:kern w:val="2"/>
              <w:lang w:eastAsia="zh-CN"/>
              <w14:ligatures w14:val="standardContextual"/>
            </w:rPr>
          </w:pPr>
          <w:hyperlink w:history="1" w:anchor="_Toc210204201">
            <w:r w:rsidRPr="00164F6F">
              <w:rPr>
                <w:rStyle w:val="Hyperlink"/>
                <w:rFonts w:ascii="Aptos" w:hAnsi="Aptos" w:eastAsia="Aptos" w:cs="Aptos"/>
                <w:b/>
                <w:bCs/>
                <w:noProof/>
              </w:rPr>
              <w:t>Conclusion</w:t>
            </w:r>
            <w:r>
              <w:rPr>
                <w:noProof/>
                <w:webHidden/>
              </w:rPr>
              <w:tab/>
            </w:r>
            <w:r>
              <w:rPr>
                <w:noProof/>
                <w:webHidden/>
              </w:rPr>
              <w:fldChar w:fldCharType="begin"/>
            </w:r>
            <w:r>
              <w:rPr>
                <w:noProof/>
                <w:webHidden/>
              </w:rPr>
              <w:instrText xml:space="preserve"> PAGEREF _Toc210204201 \h </w:instrText>
            </w:r>
            <w:r>
              <w:rPr>
                <w:noProof/>
                <w:webHidden/>
              </w:rPr>
            </w:r>
            <w:r>
              <w:rPr>
                <w:noProof/>
                <w:webHidden/>
              </w:rPr>
              <w:fldChar w:fldCharType="separate"/>
            </w:r>
            <w:r>
              <w:rPr>
                <w:noProof/>
                <w:webHidden/>
              </w:rPr>
              <w:t>7</w:t>
            </w:r>
            <w:r>
              <w:rPr>
                <w:noProof/>
                <w:webHidden/>
              </w:rPr>
              <w:fldChar w:fldCharType="end"/>
            </w:r>
          </w:hyperlink>
        </w:p>
        <w:p w:rsidR="00E00BF5" w:rsidRDefault="00E00BF5" w14:paraId="07FF9C92" w14:textId="09D98379">
          <w:pPr>
            <w:pStyle w:val="TOC2"/>
            <w:tabs>
              <w:tab w:val="right" w:leader="dot" w:pos="9350"/>
            </w:tabs>
            <w:rPr>
              <w:noProof/>
              <w:kern w:val="2"/>
              <w:lang w:eastAsia="zh-CN"/>
              <w14:ligatures w14:val="standardContextual"/>
            </w:rPr>
          </w:pPr>
          <w:hyperlink w:history="1" w:anchor="_Toc210204202">
            <w:r w:rsidRPr="00164F6F">
              <w:rPr>
                <w:rStyle w:val="Hyperlink"/>
                <w:rFonts w:ascii="Aptos" w:hAnsi="Aptos" w:eastAsia="Aptos" w:cs="Aptos"/>
                <w:b/>
                <w:bCs/>
                <w:noProof/>
              </w:rPr>
              <w:t>Reference List</w:t>
            </w:r>
            <w:r>
              <w:rPr>
                <w:noProof/>
                <w:webHidden/>
              </w:rPr>
              <w:tab/>
            </w:r>
            <w:r>
              <w:rPr>
                <w:noProof/>
                <w:webHidden/>
              </w:rPr>
              <w:fldChar w:fldCharType="begin"/>
            </w:r>
            <w:r>
              <w:rPr>
                <w:noProof/>
                <w:webHidden/>
              </w:rPr>
              <w:instrText xml:space="preserve"> PAGEREF _Toc210204202 \h </w:instrText>
            </w:r>
            <w:r>
              <w:rPr>
                <w:noProof/>
                <w:webHidden/>
              </w:rPr>
            </w:r>
            <w:r>
              <w:rPr>
                <w:noProof/>
                <w:webHidden/>
              </w:rPr>
              <w:fldChar w:fldCharType="separate"/>
            </w:r>
            <w:r>
              <w:rPr>
                <w:noProof/>
                <w:webHidden/>
              </w:rPr>
              <w:t>8</w:t>
            </w:r>
            <w:r>
              <w:rPr>
                <w:noProof/>
                <w:webHidden/>
              </w:rPr>
              <w:fldChar w:fldCharType="end"/>
            </w:r>
          </w:hyperlink>
        </w:p>
        <w:p w:rsidR="00721E6F" w:rsidRDefault="00E00BF5" w14:paraId="1299C43A" w14:textId="7426399E">
          <w:r>
            <w:fldChar w:fldCharType="end"/>
          </w:r>
        </w:p>
      </w:sdtContent>
    </w:sdt>
    <w:p w:rsidR="00721E6F" w:rsidRDefault="00721E6F" w14:paraId="4DDBEF00" w14:textId="77777777"/>
    <w:p w:rsidR="00721E6F" w:rsidRDefault="00E00BF5" w14:paraId="3461D779" w14:textId="77777777">
      <w:pPr>
        <w:rPr>
          <w:rFonts w:ascii="Aptos" w:hAnsi="Aptos" w:eastAsia="Aptos" w:cs="Aptos"/>
        </w:rPr>
      </w:pPr>
      <w:r>
        <w:br w:type="page"/>
      </w:r>
    </w:p>
    <w:p w:rsidR="00721E6F" w:rsidRDefault="00E00BF5" w14:paraId="3E7A9F1C" w14:textId="77777777">
      <w:pPr>
        <w:pStyle w:val="Heading2"/>
        <w:spacing w:before="0"/>
        <w:rPr>
          <w:b/>
          <w:bCs/>
          <w:sz w:val="36"/>
          <w:szCs w:val="36"/>
        </w:rPr>
      </w:pPr>
      <w:bookmarkStart w:name="_Toc210204197" w:id="0"/>
      <w:r>
        <w:rPr>
          <w:b/>
          <w:bCs/>
          <w:sz w:val="36"/>
          <w:szCs w:val="36"/>
        </w:rPr>
        <w:lastRenderedPageBreak/>
        <w:t>Introduction</w:t>
      </w:r>
      <w:bookmarkEnd w:id="0"/>
    </w:p>
    <w:p w:rsidRPr="00E00BF5" w:rsidR="00721E6F" w:rsidP="7785AA56" w:rsidRDefault="00E00BF5" w14:paraId="3EF4377E" w14:noSpellErr="1" w14:textId="0657D32E">
      <w:pPr>
        <w:pStyle w:val="Normal"/>
        <w:spacing w:before="240" w:after="240" w:line="360" w:lineRule="auto"/>
        <w:jc w:val="both"/>
        <w:rPr>
          <w:rFonts w:ascii="Arial" w:hAnsi="Arial" w:eastAsia="Aptos" w:cs="Arial"/>
          <w:sz w:val="22"/>
          <w:szCs w:val="22"/>
        </w:rPr>
      </w:pPr>
      <w:r w:rsidRPr="7785AA56" w:rsidR="0F1E5829">
        <w:rPr>
          <w:rFonts w:ascii="Arial" w:hAnsi="Arial" w:eastAsia="Aptos" w:cs="Arial"/>
          <w:sz w:val="22"/>
          <w:szCs w:val="22"/>
        </w:rPr>
        <w:t xml:space="preserve">This report examines three principles </w:t>
      </w:r>
      <w:r w:rsidRPr="7785AA56" w:rsidR="5C420866">
        <w:rPr>
          <w:rFonts w:ascii="Arial" w:hAnsi="Arial" w:eastAsia="Arial" w:cs="Arial"/>
          <w:noProof w:val="0"/>
          <w:sz w:val="22"/>
          <w:szCs w:val="22"/>
          <w:lang w:val="en-GB"/>
        </w:rPr>
        <w:t>(NICE, 2024).</w:t>
      </w:r>
      <w:r w:rsidRPr="7785AA56" w:rsidR="5C420866">
        <w:rPr>
          <w:rFonts w:ascii="Arial" w:hAnsi="Arial" w:eastAsia="Aptos" w:cs="Arial"/>
          <w:sz w:val="22"/>
          <w:szCs w:val="22"/>
        </w:rPr>
        <w:t xml:space="preserve"> </w:t>
      </w:r>
      <w:r w:rsidRPr="7785AA56" w:rsidR="0F1E5829">
        <w:rPr>
          <w:rFonts w:ascii="Arial" w:hAnsi="Arial" w:eastAsia="Aptos" w:cs="Arial"/>
          <w:sz w:val="22"/>
          <w:szCs w:val="22"/>
        </w:rPr>
        <w:t xml:space="preserve">applied in </w:t>
      </w:r>
      <w:r w:rsidRPr="7785AA56" w:rsidR="37454B3A">
        <w:rPr>
          <w:rFonts w:ascii="Arial" w:hAnsi="Arial" w:eastAsia="Aptos" w:cs="Arial"/>
          <w:sz w:val="22"/>
          <w:szCs w:val="22"/>
        </w:rPr>
        <w:t>U</w:t>
      </w:r>
      <w:r w:rsidRPr="7785AA56" w:rsidR="0F1E5829">
        <w:rPr>
          <w:rFonts w:ascii="Arial" w:hAnsi="Arial" w:eastAsia="Aptos" w:cs="Arial"/>
          <w:sz w:val="22"/>
          <w:szCs w:val="22"/>
        </w:rPr>
        <w:t xml:space="preserve">k health and social </w:t>
      </w:r>
      <w:r w:rsidRPr="7785AA56" w:rsidR="47A5FE14">
        <w:rPr>
          <w:rFonts w:ascii="Arial" w:hAnsi="Arial" w:eastAsia="Aptos" w:cs="Arial"/>
          <w:sz w:val="22"/>
          <w:szCs w:val="22"/>
        </w:rPr>
        <w:t>care. Person</w:t>
      </w:r>
      <w:r w:rsidRPr="7785AA56" w:rsidR="0F1E5829">
        <w:rPr>
          <w:rFonts w:ascii="Arial" w:hAnsi="Arial" w:eastAsia="Aptos" w:cs="Arial"/>
          <w:sz w:val="22"/>
          <w:szCs w:val="22"/>
        </w:rPr>
        <w:t xml:space="preserve"> </w:t>
      </w:r>
      <w:r w:rsidRPr="7785AA56" w:rsidR="31901F15">
        <w:rPr>
          <w:rFonts w:ascii="Arial" w:hAnsi="Arial" w:eastAsia="Aptos" w:cs="Arial"/>
          <w:sz w:val="22"/>
          <w:szCs w:val="22"/>
        </w:rPr>
        <w:t xml:space="preserve">centred </w:t>
      </w:r>
      <w:r w:rsidRPr="7785AA56" w:rsidR="15FB75E4">
        <w:rPr>
          <w:rFonts w:ascii="Arial" w:hAnsi="Arial" w:eastAsia="Aptos" w:cs="Arial"/>
          <w:sz w:val="22"/>
          <w:szCs w:val="22"/>
        </w:rPr>
        <w:t>care</w:t>
      </w:r>
      <w:r w:rsidRPr="7785AA56" w:rsidR="3D6F2F09">
        <w:rPr>
          <w:rFonts w:ascii="Arial" w:hAnsi="Arial" w:eastAsia="Arial" w:cs="Arial"/>
          <w:noProof w:val="0"/>
          <w:sz w:val="22"/>
          <w:szCs w:val="22"/>
          <w:lang w:val="en-GB"/>
        </w:rPr>
        <w:t xml:space="preserve"> (Health Foundation (2016)</w:t>
      </w:r>
      <w:r w:rsidRPr="7785AA56" w:rsidR="15FB75E4">
        <w:rPr>
          <w:rFonts w:ascii="Arial" w:hAnsi="Arial" w:eastAsia="Aptos" w:cs="Arial"/>
          <w:sz w:val="22"/>
          <w:szCs w:val="22"/>
        </w:rPr>
        <w:t>, collaborative</w:t>
      </w:r>
      <w:r w:rsidRPr="7785AA56" w:rsidR="31901F15">
        <w:rPr>
          <w:rFonts w:ascii="Arial" w:hAnsi="Arial" w:eastAsia="Aptos" w:cs="Arial"/>
          <w:sz w:val="22"/>
          <w:szCs w:val="22"/>
        </w:rPr>
        <w:t xml:space="preserve"> </w:t>
      </w:r>
      <w:r w:rsidRPr="7785AA56" w:rsidR="63DB4270">
        <w:rPr>
          <w:rFonts w:ascii="Arial" w:hAnsi="Arial" w:eastAsia="Aptos" w:cs="Arial"/>
          <w:sz w:val="22"/>
          <w:szCs w:val="22"/>
        </w:rPr>
        <w:t>partnership</w:t>
      </w:r>
      <w:r w:rsidRPr="7785AA56" w:rsidR="3075EF84">
        <w:rPr>
          <w:rFonts w:ascii="Arial" w:hAnsi="Arial" w:eastAsia="Arial" w:cs="Arial"/>
          <w:noProof w:val="0"/>
          <w:sz w:val="22"/>
          <w:szCs w:val="22"/>
          <w:lang w:val="en-GB"/>
        </w:rPr>
        <w:t xml:space="preserve"> NHS England’s (2022</w:t>
      </w:r>
      <w:r w:rsidRPr="7785AA56" w:rsidR="3075EF84">
        <w:rPr>
          <w:rFonts w:ascii="Arial" w:hAnsi="Arial" w:eastAsia="Arial" w:cs="Arial"/>
          <w:noProof w:val="0"/>
          <w:sz w:val="22"/>
          <w:szCs w:val="22"/>
          <w:lang w:val="en-GB"/>
        </w:rPr>
        <w:t>)</w:t>
      </w:r>
      <w:r w:rsidRPr="7785AA56" w:rsidR="63DB4270">
        <w:rPr>
          <w:rFonts w:ascii="Arial" w:hAnsi="Arial" w:eastAsia="Aptos" w:cs="Arial"/>
          <w:sz w:val="22"/>
          <w:szCs w:val="22"/>
        </w:rPr>
        <w:t>,</w:t>
      </w:r>
      <w:r w:rsidRPr="7785AA56" w:rsidR="63DB4270">
        <w:rPr>
          <w:rFonts w:ascii="Arial" w:hAnsi="Arial" w:eastAsia="Aptos" w:cs="Arial"/>
          <w:sz w:val="22"/>
          <w:szCs w:val="22"/>
        </w:rPr>
        <w:t xml:space="preserve"> and</w:t>
      </w:r>
      <w:r w:rsidRPr="7785AA56" w:rsidR="31901F15">
        <w:rPr>
          <w:rFonts w:ascii="Arial" w:hAnsi="Arial" w:eastAsia="Aptos" w:cs="Arial"/>
          <w:sz w:val="22"/>
          <w:szCs w:val="22"/>
        </w:rPr>
        <w:t xml:space="preserve"> ethical </w:t>
      </w:r>
      <w:r w:rsidRPr="7785AA56" w:rsidR="24A8B1DB">
        <w:rPr>
          <w:rFonts w:ascii="Arial" w:hAnsi="Arial" w:eastAsia="Aptos" w:cs="Arial"/>
          <w:sz w:val="22"/>
          <w:szCs w:val="22"/>
        </w:rPr>
        <w:t>practice. These</w:t>
      </w:r>
      <w:r w:rsidRPr="7785AA56" w:rsidR="6FDF02E5">
        <w:rPr>
          <w:rFonts w:ascii="Arial" w:hAnsi="Arial" w:eastAsia="Aptos" w:cs="Arial"/>
          <w:sz w:val="22"/>
          <w:szCs w:val="22"/>
        </w:rPr>
        <w:t xml:space="preserve"> principles are crucial for delivering care</w:t>
      </w:r>
      <w:r w:rsidRPr="7785AA56" w:rsidR="4D6D2AC3">
        <w:rPr>
          <w:rFonts w:ascii="Arial" w:hAnsi="Arial" w:eastAsia="Aptos" w:cs="Arial"/>
          <w:sz w:val="22"/>
          <w:szCs w:val="22"/>
        </w:rPr>
        <w:t xml:space="preserve"> </w:t>
      </w:r>
      <w:r w:rsidRPr="7785AA56" w:rsidR="00E00BF5">
        <w:rPr>
          <w:rFonts w:ascii="Arial" w:hAnsi="Arial" w:eastAsia="Aptos" w:cs="Arial"/>
          <w:sz w:val="22"/>
          <w:szCs w:val="22"/>
        </w:rPr>
        <w:t>that is respectful, inclusive, and focused on individual needs. The aim of this report is to reflect on how these principles work in practice and how they help improve the quality of care. It will use theory, legislation, and real-life examples to show how they support good decision-making and teamwork. Understanding these princ</w:t>
      </w:r>
      <w:r w:rsidRPr="7785AA56" w:rsidR="00E00BF5">
        <w:rPr>
          <w:rFonts w:ascii="Arial" w:hAnsi="Arial" w:eastAsia="Aptos" w:cs="Arial"/>
          <w:sz w:val="22"/>
          <w:szCs w:val="22"/>
        </w:rPr>
        <w:t>iples is especially important for anyone preparing to work in care or education, as they shape how professionals interact with service users and colleagues. The report will also include a case study from a residential home supporting people with dementia. This example highlights how personalised care plans, partnership working, and ethical thinking can make a real difference to people’s lives. By reflecting on these principles,</w:t>
      </w:r>
      <w:r w:rsidRPr="7785AA56" w:rsidR="00E00BF5">
        <w:rPr>
          <w:rFonts w:ascii="Arial" w:hAnsi="Arial" w:eastAsia="Aptos" w:cs="Arial"/>
          <w:color w:val="FF0000"/>
          <w:sz w:val="22"/>
          <w:szCs w:val="22"/>
        </w:rPr>
        <w:t xml:space="preserve"> </w:t>
      </w:r>
      <w:r w:rsidRPr="7785AA56" w:rsidR="00E00BF5">
        <w:rPr>
          <w:rFonts w:ascii="Arial" w:hAnsi="Arial" w:eastAsia="Aptos" w:cs="Arial"/>
          <w:sz w:val="22"/>
          <w:szCs w:val="22"/>
        </w:rPr>
        <w:t>I will show how theory connects to practice and how I can apply these ideas in f</w:t>
      </w:r>
      <w:r w:rsidRPr="7785AA56" w:rsidR="00E00BF5">
        <w:rPr>
          <w:rFonts w:ascii="Arial" w:hAnsi="Arial" w:eastAsia="Aptos" w:cs="Arial"/>
          <w:sz w:val="22"/>
          <w:szCs w:val="22"/>
        </w:rPr>
        <w:t>uture roles and learning.</w:t>
      </w:r>
    </w:p>
    <w:p w:rsidR="00721E6F" w:rsidRDefault="00721E6F" w14:paraId="3CF2D8B6" w14:textId="77777777"/>
    <w:p w:rsidR="00721E6F" w:rsidRDefault="00E00BF5" w14:paraId="250B0155" w14:textId="77777777">
      <w:pPr>
        <w:pStyle w:val="Heading2"/>
        <w:spacing w:before="299" w:after="299"/>
      </w:pPr>
      <w:bookmarkStart w:name="_Toc210204198" w:id="1"/>
      <w:r>
        <w:rPr>
          <w:rFonts w:ascii="Aptos" w:hAnsi="Aptos" w:eastAsia="Aptos" w:cs="Aptos"/>
          <w:b/>
          <w:bCs/>
          <w:sz w:val="36"/>
          <w:szCs w:val="36"/>
        </w:rPr>
        <w:t>Task 1: Reflection on the Importance of Principles of Health and Social Care</w:t>
      </w:r>
      <w:bookmarkEnd w:id="1"/>
    </w:p>
    <w:p w:rsidRPr="00E00BF5" w:rsidR="00721E6F" w:rsidRDefault="00E00BF5" w14:paraId="5D9BAFBC" w14:textId="77777777">
      <w:pPr>
        <w:spacing w:before="240" w:after="240" w:line="360" w:lineRule="auto"/>
        <w:jc w:val="both"/>
        <w:rPr>
          <w:rFonts w:ascii="Arial" w:hAnsi="Arial" w:cs="Arial"/>
          <w:sz w:val="22"/>
          <w:szCs w:val="22"/>
        </w:rPr>
      </w:pPr>
      <w:r w:rsidRPr="00E00BF5">
        <w:rPr>
          <w:rFonts w:ascii="Arial" w:hAnsi="Arial" w:eastAsia="Aptos" w:cs="Arial"/>
          <w:sz w:val="22"/>
          <w:szCs w:val="22"/>
        </w:rPr>
        <w:t>In UK health and social care, person-centred care is a key principle that focuses on treating people with dignity, respect, and compassion. It means putting the individual at the centre of their care and making sure their needs, preferences, and values guide decisions. The Care Act 2014 supports this by stating that care should promote wellbeing and personal outcomes (Department of Health and Social Care, 2014). The Health Foundation (2016) explains that person-centred care includes four main elements: dign</w:t>
      </w:r>
      <w:r w:rsidRPr="00E00BF5">
        <w:rPr>
          <w:rFonts w:ascii="Arial" w:hAnsi="Arial" w:eastAsia="Aptos" w:cs="Arial"/>
          <w:sz w:val="22"/>
          <w:szCs w:val="22"/>
        </w:rPr>
        <w:t>ity and respect, coordinated support, personalised care, and helping people stay independent. These values help people feel involved and valued. The Life Span Perspective also supports this idea, showing that people’s needs change over time and care should adapt to those changes (Boyd and Bee, 2015). As someone interested in supporting children and young people, person-centred care is especially important in early childhood settings, where trust and tailored support can shape long-term wellbeing.</w:t>
      </w:r>
    </w:p>
    <w:p w:rsidRPr="00E00BF5" w:rsidR="00721E6F" w:rsidRDefault="00E00BF5" w14:paraId="32F25CF1" w14:noSpellErr="1" w14:textId="4D2C28C2">
      <w:pPr>
        <w:spacing w:before="240" w:after="240" w:line="360" w:lineRule="auto"/>
        <w:jc w:val="both"/>
        <w:rPr>
          <w:rFonts w:ascii="Arial" w:hAnsi="Arial" w:cs="Arial"/>
          <w:sz w:val="22"/>
          <w:szCs w:val="22"/>
        </w:rPr>
      </w:pPr>
      <w:r w:rsidRPr="081F8C6B" w:rsidR="00E00BF5">
        <w:rPr>
          <w:rFonts w:ascii="Arial" w:hAnsi="Arial" w:eastAsia="Aptos" w:cs="Arial"/>
          <w:sz w:val="22"/>
          <w:szCs w:val="22"/>
        </w:rPr>
        <w:t xml:space="preserve">Partnership working is another important principle. It means professionals, service users, families, and other organisations working together to provide joined-up care. This improves </w:t>
      </w:r>
      <w:r w:rsidRPr="081F8C6B" w:rsidR="00E00BF5">
        <w:rPr>
          <w:rFonts w:ascii="Arial" w:hAnsi="Arial" w:eastAsia="Aptos" w:cs="Arial"/>
          <w:sz w:val="22"/>
          <w:szCs w:val="22"/>
        </w:rPr>
        <w:t>communication, avoids duplication, and helps make care more consistent. Bronfenbrenner’s Ecological Systems Theory shows how different systems—like health, education, and family—affect a person’s development and wellbeing (Bronfenbrenner, 1979). In UK practice, Integrated Care Systems (ICS) aim to bring services together across the NHS and social care to improve outcomes and reduce gaps in support (NHS England, 2022). Partnership working also supports shared decision-making, which builds trust and helps car</w:t>
      </w:r>
      <w:r w:rsidRPr="081F8C6B" w:rsidR="00E00BF5">
        <w:rPr>
          <w:rFonts w:ascii="Arial" w:hAnsi="Arial" w:eastAsia="Aptos" w:cs="Arial"/>
          <w:sz w:val="22"/>
          <w:szCs w:val="22"/>
        </w:rPr>
        <w:t>e meet the person’s goals. I have seen how collaboration between schools and health professionals can make a real difference for children with special educational needs,</w:t>
      </w:r>
      <w:r w:rsidRPr="081F8C6B" w:rsidR="24D9DA9F">
        <w:rPr>
          <w:rFonts w:ascii="Arial" w:hAnsi="Arial" w:eastAsia="Aptos" w:cs="Arial"/>
          <w:sz w:val="22"/>
          <w:szCs w:val="22"/>
        </w:rPr>
        <w:t xml:space="preserve">guaranteeing individurals receive </w:t>
      </w:r>
      <w:r w:rsidRPr="081F8C6B" w:rsidR="24D9DA9F">
        <w:rPr>
          <w:rFonts w:ascii="Arial" w:hAnsi="Arial" w:eastAsia="Aptos" w:cs="Arial"/>
          <w:sz w:val="22"/>
          <w:szCs w:val="22"/>
        </w:rPr>
        <w:t>appropriate assistance</w:t>
      </w:r>
      <w:r w:rsidRPr="081F8C6B" w:rsidR="24D9DA9F">
        <w:rPr>
          <w:rFonts w:ascii="Arial" w:hAnsi="Arial" w:eastAsia="Aptos" w:cs="Arial"/>
          <w:sz w:val="22"/>
          <w:szCs w:val="22"/>
        </w:rPr>
        <w:t xml:space="preserve"> </w:t>
      </w:r>
      <w:r w:rsidRPr="081F8C6B" w:rsidR="6FEC0471">
        <w:rPr>
          <w:rFonts w:ascii="Arial" w:hAnsi="Arial" w:eastAsia="Aptos" w:cs="Arial"/>
          <w:sz w:val="22"/>
          <w:szCs w:val="22"/>
        </w:rPr>
        <w:t>when needed.</w:t>
      </w:r>
    </w:p>
    <w:p w:rsidRPr="00E00BF5" w:rsidR="00721E6F" w:rsidRDefault="00E00BF5" w14:paraId="10F4EC4D" w14:noSpellErr="1" w14:textId="246C2B17">
      <w:pPr>
        <w:spacing w:before="240" w:after="240" w:line="360" w:lineRule="auto"/>
        <w:jc w:val="both"/>
        <w:rPr>
          <w:rFonts w:ascii="Arial" w:hAnsi="Arial" w:cs="Arial"/>
          <w:sz w:val="22"/>
          <w:szCs w:val="22"/>
        </w:rPr>
      </w:pPr>
      <w:r w:rsidRPr="081F8C6B" w:rsidR="00E00BF5">
        <w:rPr>
          <w:rFonts w:ascii="Arial" w:hAnsi="Arial" w:eastAsia="Aptos" w:cs="Arial"/>
          <w:sz w:val="22"/>
          <w:szCs w:val="22"/>
        </w:rPr>
        <w:t>Ethics are central to health and social care. Ethical principles such as autonomy, beneficence, non-maleficence, and justice guide professionals in making fair and safe decisions. These values help protect vulnerable people and ensure care is respectful and responsible. The Health and Social Care Act 2008 (Regulated Activities) Regulations 2014 highlight the importance of safeguarding, consent, and confidentiality (Care Quality Commission, 2015). When ethical dilemmas happen—like when someone refuses treatm</w:t>
      </w:r>
      <w:r w:rsidRPr="081F8C6B" w:rsidR="00E00BF5">
        <w:rPr>
          <w:rFonts w:ascii="Arial" w:hAnsi="Arial" w:eastAsia="Aptos" w:cs="Arial"/>
          <w:sz w:val="22"/>
          <w:szCs w:val="22"/>
        </w:rPr>
        <w:t xml:space="preserve">ent—professionals must use the Mental Capacity Act 2005 to assess decision-making ability and act in the person’s best interests. Gibbs’ Reflective Cycle (1988) is a useful tool for thinking through these situations and improving future practice. Ethical care builds trust and </w:t>
      </w:r>
      <w:r w:rsidRPr="081F8C6B" w:rsidR="4BC31983">
        <w:rPr>
          <w:rFonts w:ascii="Arial" w:hAnsi="Arial" w:eastAsia="Aptos" w:cs="Arial"/>
          <w:sz w:val="22"/>
          <w:szCs w:val="22"/>
        </w:rPr>
        <w:t>ensure</w:t>
      </w:r>
      <w:r w:rsidRPr="081F8C6B" w:rsidR="00E00BF5">
        <w:rPr>
          <w:rFonts w:ascii="Arial" w:hAnsi="Arial" w:eastAsia="Aptos" w:cs="Arial"/>
          <w:sz w:val="22"/>
          <w:szCs w:val="22"/>
        </w:rPr>
        <w:t xml:space="preserve"> people are treated fairly, especially when they face difficult choices.</w:t>
      </w:r>
    </w:p>
    <w:p w:rsidRPr="00E00BF5" w:rsidR="00721E6F" w:rsidP="081F8C6B" w:rsidRDefault="00E00BF5" w14:paraId="7EFE32B3" w14:noSpellErr="1" w14:textId="774C0676">
      <w:pPr>
        <w:spacing w:before="240" w:after="240" w:line="360" w:lineRule="auto"/>
        <w:jc w:val="both"/>
        <w:rPr>
          <w:rFonts w:ascii="Arial" w:hAnsi="Arial" w:eastAsia="Aptos" w:cs="Arial"/>
          <w:sz w:val="22"/>
          <w:szCs w:val="22"/>
        </w:rPr>
      </w:pPr>
      <w:r w:rsidRPr="081F8C6B" w:rsidR="00E00BF5">
        <w:rPr>
          <w:rFonts w:ascii="Arial" w:hAnsi="Arial" w:eastAsia="Aptos" w:cs="Arial"/>
          <w:sz w:val="22"/>
          <w:szCs w:val="22"/>
        </w:rPr>
        <w:t xml:space="preserve">In summary, person-centred care, partnership working, and ethics are </w:t>
      </w:r>
      <w:r w:rsidRPr="081F8C6B" w:rsidR="29E7CC8B">
        <w:rPr>
          <w:rFonts w:ascii="Arial" w:hAnsi="Arial" w:eastAsia="Aptos" w:cs="Arial"/>
          <w:sz w:val="22"/>
          <w:szCs w:val="22"/>
        </w:rPr>
        <w:t xml:space="preserve">crucial </w:t>
      </w:r>
      <w:r w:rsidRPr="081F8C6B" w:rsidR="00E00BF5">
        <w:rPr>
          <w:rFonts w:ascii="Arial" w:hAnsi="Arial" w:eastAsia="Aptos" w:cs="Arial"/>
          <w:sz w:val="22"/>
          <w:szCs w:val="22"/>
        </w:rPr>
        <w:t xml:space="preserve">for delivering high-quality care </w:t>
      </w:r>
      <w:r w:rsidRPr="081F8C6B" w:rsidR="36A81759">
        <w:rPr>
          <w:rFonts w:ascii="Arial" w:hAnsi="Arial" w:eastAsia="Aptos" w:cs="Arial"/>
          <w:sz w:val="22"/>
          <w:szCs w:val="22"/>
        </w:rPr>
        <w:t xml:space="preserve">in the </w:t>
      </w:r>
      <w:r w:rsidRPr="081F8C6B" w:rsidR="00E00BF5">
        <w:rPr>
          <w:rFonts w:ascii="Arial" w:hAnsi="Arial" w:eastAsia="Aptos" w:cs="Arial"/>
          <w:sz w:val="22"/>
          <w:szCs w:val="22"/>
        </w:rPr>
        <w:t xml:space="preserve">UK. These principles support individualised care, strong teamwork, and thoughtful decision-making. When used together, they help professionals </w:t>
      </w:r>
      <w:r w:rsidRPr="081F8C6B" w:rsidR="0C08CE19">
        <w:rPr>
          <w:rFonts w:ascii="Arial" w:hAnsi="Arial" w:eastAsia="Aptos" w:cs="Arial"/>
          <w:sz w:val="22"/>
          <w:szCs w:val="22"/>
        </w:rPr>
        <w:t xml:space="preserve">delivering </w:t>
      </w:r>
      <w:r w:rsidRPr="081F8C6B" w:rsidR="00E00BF5">
        <w:rPr>
          <w:rFonts w:ascii="Arial" w:hAnsi="Arial" w:eastAsia="Aptos" w:cs="Arial"/>
          <w:sz w:val="22"/>
          <w:szCs w:val="22"/>
        </w:rPr>
        <w:t xml:space="preserve">care that is </w:t>
      </w:r>
      <w:r w:rsidRPr="081F8C6B" w:rsidR="4E4890BF">
        <w:rPr>
          <w:rFonts w:ascii="Arial" w:hAnsi="Arial" w:eastAsia="Aptos" w:cs="Arial"/>
          <w:sz w:val="22"/>
          <w:szCs w:val="22"/>
        </w:rPr>
        <w:t>both</w:t>
      </w:r>
      <w:r w:rsidRPr="081F8C6B" w:rsidR="00E00BF5">
        <w:rPr>
          <w:rFonts w:ascii="Arial" w:hAnsi="Arial" w:eastAsia="Aptos" w:cs="Arial"/>
          <w:sz w:val="22"/>
          <w:szCs w:val="22"/>
        </w:rPr>
        <w:t xml:space="preserve"> effective</w:t>
      </w:r>
      <w:r w:rsidRPr="081F8C6B" w:rsidR="348679FD">
        <w:rPr>
          <w:rFonts w:ascii="Arial" w:hAnsi="Arial" w:eastAsia="Aptos" w:cs="Arial"/>
          <w:sz w:val="22"/>
          <w:szCs w:val="22"/>
        </w:rPr>
        <w:t xml:space="preserve"> and </w:t>
      </w:r>
      <w:r w:rsidRPr="081F8C6B" w:rsidR="348679FD">
        <w:rPr>
          <w:rFonts w:ascii="Arial" w:hAnsi="Arial" w:eastAsia="Aptos" w:cs="Arial"/>
          <w:sz w:val="22"/>
          <w:szCs w:val="22"/>
        </w:rPr>
        <w:t>consistently compassionate</w:t>
      </w:r>
      <w:r w:rsidRPr="081F8C6B" w:rsidR="00E00BF5">
        <w:rPr>
          <w:rFonts w:ascii="Arial" w:hAnsi="Arial" w:eastAsia="Aptos" w:cs="Arial"/>
          <w:sz w:val="22"/>
          <w:szCs w:val="22"/>
        </w:rPr>
        <w:t>, respectful, and safe.</w:t>
      </w:r>
    </w:p>
    <w:p w:rsidR="00721E6F" w:rsidRDefault="00E00BF5" w14:paraId="324448B4" w14:textId="77777777">
      <w:pPr>
        <w:pStyle w:val="Heading2"/>
        <w:spacing w:before="299" w:after="299"/>
      </w:pPr>
      <w:bookmarkStart w:name="_Toc210204199" w:id="2"/>
      <w:r>
        <w:rPr>
          <w:rFonts w:ascii="Aptos" w:hAnsi="Aptos" w:eastAsia="Aptos" w:cs="Aptos"/>
          <w:b/>
          <w:bCs/>
          <w:sz w:val="36"/>
          <w:szCs w:val="36"/>
        </w:rPr>
        <w:t>Task 2: Practical Examples of Concepts in Practice</w:t>
      </w:r>
      <w:bookmarkEnd w:id="2"/>
    </w:p>
    <w:p w:rsidRPr="00E00BF5" w:rsidR="00721E6F" w:rsidRDefault="512ADD73" w14:paraId="544CA0E9" w14:noSpellErr="1" w14:textId="690D76E7">
      <w:pPr>
        <w:spacing w:before="240" w:after="240" w:line="360" w:lineRule="auto"/>
        <w:jc w:val="both"/>
        <w:rPr>
          <w:rFonts w:ascii="Arial" w:hAnsi="Arial" w:cs="Arial"/>
          <w:sz w:val="22"/>
          <w:szCs w:val="22"/>
        </w:rPr>
      </w:pPr>
      <w:r w:rsidRPr="081F8C6B" w:rsidR="512ADD73">
        <w:rPr>
          <w:rFonts w:ascii="Arial" w:hAnsi="Arial" w:eastAsia="Aptos" w:cs="Arial"/>
          <w:sz w:val="22"/>
          <w:szCs w:val="22"/>
        </w:rPr>
        <w:t>A</w:t>
      </w:r>
      <w:r w:rsidRPr="081F8C6B" w:rsidR="32E4EE3E">
        <w:rPr>
          <w:rFonts w:ascii="Arial" w:hAnsi="Arial" w:eastAsia="Aptos" w:cs="Arial"/>
          <w:sz w:val="22"/>
          <w:szCs w:val="22"/>
        </w:rPr>
        <w:t xml:space="preserve"> clear illustration</w:t>
      </w:r>
      <w:r w:rsidRPr="081F8C6B" w:rsidR="512ADD73">
        <w:rPr>
          <w:rFonts w:ascii="Arial" w:hAnsi="Arial" w:eastAsia="Aptos" w:cs="Arial"/>
          <w:sz w:val="22"/>
          <w:szCs w:val="22"/>
        </w:rPr>
        <w:t xml:space="preserve"> of person-centred care,</w:t>
      </w:r>
      <w:r w:rsidRPr="081F8C6B" w:rsidR="0BF0D03D">
        <w:rPr>
          <w:rFonts w:ascii="Arial" w:hAnsi="Arial" w:eastAsia="Aptos" w:cs="Arial"/>
          <w:sz w:val="22"/>
          <w:szCs w:val="22"/>
        </w:rPr>
        <w:t xml:space="preserve"> collaborative</w:t>
      </w:r>
      <w:r w:rsidRPr="081F8C6B" w:rsidR="512ADD73">
        <w:rPr>
          <w:rFonts w:ascii="Arial" w:hAnsi="Arial" w:eastAsia="Aptos" w:cs="Arial"/>
          <w:sz w:val="22"/>
          <w:szCs w:val="22"/>
        </w:rPr>
        <w:t xml:space="preserve"> partnership, and et</w:t>
      </w:r>
      <w:r w:rsidRPr="081F8C6B" w:rsidR="2FCB1698">
        <w:rPr>
          <w:rFonts w:ascii="Arial" w:hAnsi="Arial" w:eastAsia="Aptos" w:cs="Arial"/>
          <w:sz w:val="22"/>
          <w:szCs w:val="22"/>
        </w:rPr>
        <w:t xml:space="preserve">hical practice in action clearly </w:t>
      </w:r>
      <w:r w:rsidRPr="081F8C6B" w:rsidR="33553F0B">
        <w:rPr>
          <w:rFonts w:ascii="Arial" w:hAnsi="Arial" w:eastAsia="Aptos" w:cs="Arial"/>
          <w:sz w:val="22"/>
          <w:szCs w:val="22"/>
        </w:rPr>
        <w:t>appears.</w:t>
      </w:r>
      <w:r w:rsidRPr="081F8C6B" w:rsidR="512ADD73">
        <w:rPr>
          <w:rFonts w:ascii="Arial" w:hAnsi="Arial" w:eastAsia="Aptos" w:cs="Arial"/>
          <w:sz w:val="22"/>
          <w:szCs w:val="22"/>
        </w:rPr>
        <w:t xml:space="preserve"> </w:t>
      </w:r>
      <w:r w:rsidRPr="081F8C6B" w:rsidR="5006CDDB">
        <w:rPr>
          <w:rFonts w:ascii="Arial" w:hAnsi="Arial" w:eastAsia="Aptos" w:cs="Arial"/>
          <w:sz w:val="22"/>
          <w:szCs w:val="22"/>
        </w:rPr>
        <w:t>I</w:t>
      </w:r>
      <w:r w:rsidRPr="081F8C6B" w:rsidR="512ADD73">
        <w:rPr>
          <w:rFonts w:ascii="Arial" w:hAnsi="Arial" w:eastAsia="Aptos" w:cs="Arial"/>
          <w:sz w:val="22"/>
          <w:szCs w:val="22"/>
        </w:rPr>
        <w:t xml:space="preserve">n a UK residential home supporting people with dementia (Social Care Wales (n.d.). In this setting, staff used personalised care plans based on each resident’s life history, preferences, and routines. For example, one resident who had worked as a gardener was encouraged to help care for the home’s plants. This gave him a sense of purpose and helped reduce anxiety. This approach reflects the Health Foundation’s (2016) model of person-centred care, which promotes dignity, respect, and independence. It also supports the Care Act 2014, which </w:t>
      </w:r>
      <w:r w:rsidRPr="081F8C6B" w:rsidR="512ADD73">
        <w:rPr>
          <w:rFonts w:ascii="Arial" w:hAnsi="Arial" w:eastAsia="Aptos" w:cs="Arial"/>
          <w:sz w:val="22"/>
          <w:szCs w:val="22"/>
        </w:rPr>
        <w:t>requires care to be tailored to individual outcomes (Department of Health and Social Care, 2014).</w:t>
      </w:r>
    </w:p>
    <w:p w:rsidRPr="00E00BF5" w:rsidR="00721E6F" w:rsidRDefault="00E00BF5" w14:paraId="2A4C106D" w14:textId="77777777">
      <w:pPr>
        <w:spacing w:before="240" w:after="240" w:line="360" w:lineRule="auto"/>
        <w:jc w:val="both"/>
        <w:rPr>
          <w:rFonts w:ascii="Arial" w:hAnsi="Arial" w:cs="Arial"/>
          <w:sz w:val="22"/>
          <w:szCs w:val="22"/>
        </w:rPr>
      </w:pPr>
      <w:r w:rsidRPr="00E00BF5">
        <w:rPr>
          <w:rFonts w:ascii="Arial" w:hAnsi="Arial" w:eastAsia="Aptos" w:cs="Arial"/>
          <w:sz w:val="22"/>
          <w:szCs w:val="22"/>
        </w:rPr>
        <w:t>Partnership working was key to the success of this care. Staff worked closely with GPs, occupational therapists, and family members to make sure each resident received holistic support. Regular meetings allowed professionals to share updates and plan care together. This reflects Bronfenbrenner’s Ecological Systems Theory, which shows how different systems—such as health, family, and community—affect a person’s wellbeing (Bronfenbrenner, 1979). It also aligns with NHS England’s (2022) Integrated Care Systems</w:t>
      </w:r>
      <w:r w:rsidRPr="00E00BF5">
        <w:rPr>
          <w:rFonts w:ascii="Arial" w:hAnsi="Arial" w:eastAsia="Aptos" w:cs="Arial"/>
          <w:sz w:val="22"/>
          <w:szCs w:val="22"/>
        </w:rPr>
        <w:t>, which aim to improve collaboration between health and social care services. In this case, partnership working helped reduce delays in treatment and improved communication between services.</w:t>
      </w:r>
    </w:p>
    <w:p w:rsidRPr="00E00BF5" w:rsidR="00721E6F" w:rsidRDefault="00E00BF5" w14:paraId="31375373" w14:textId="77777777">
      <w:pPr>
        <w:spacing w:before="240" w:after="240" w:line="360" w:lineRule="auto"/>
        <w:jc w:val="both"/>
        <w:rPr>
          <w:rFonts w:ascii="Arial" w:hAnsi="Arial" w:cs="Arial"/>
          <w:sz w:val="22"/>
          <w:szCs w:val="22"/>
        </w:rPr>
      </w:pPr>
      <w:r w:rsidRPr="00E00BF5">
        <w:rPr>
          <w:rFonts w:ascii="Arial" w:hAnsi="Arial" w:eastAsia="Aptos" w:cs="Arial"/>
          <w:sz w:val="22"/>
          <w:szCs w:val="22"/>
        </w:rPr>
        <w:t>Ethical decision-making was also important. One example involved a resident refusing medication. “Staff followed the Mental Capacity Act 2005 to assess whether the resident could make an informed decision (Ministry of Justice, 2005).”. When it was found that he lacked capacity, the team worked with his family to make a best-interest decision. This showed respect for the resident’s rights while also protecting his health. The situation was reviewed using Gibbs’ Reflective Cycle (1988), helping staff learn fr</w:t>
      </w:r>
      <w:r w:rsidRPr="00E00BF5">
        <w:rPr>
          <w:rFonts w:ascii="Arial" w:hAnsi="Arial" w:eastAsia="Aptos" w:cs="Arial"/>
          <w:sz w:val="22"/>
          <w:szCs w:val="22"/>
        </w:rPr>
        <w:t>om the experience and improve future practice. Ethical principles such as autonomy and beneficence guided the team’s actions, ensuring care was fair and respectful.</w:t>
      </w:r>
    </w:p>
    <w:p w:rsidRPr="00E00BF5" w:rsidR="00721E6F" w:rsidRDefault="00E00BF5" w14:paraId="4443E2FC" w14:textId="63B3EFFF">
      <w:pPr>
        <w:spacing w:before="240" w:after="240" w:line="360" w:lineRule="auto"/>
        <w:jc w:val="both"/>
        <w:rPr>
          <w:rFonts w:ascii="Arial" w:hAnsi="Arial" w:cs="Arial"/>
          <w:sz w:val="22"/>
          <w:szCs w:val="22"/>
        </w:rPr>
      </w:pPr>
      <w:r w:rsidRPr="00E00BF5">
        <w:rPr>
          <w:rFonts w:ascii="Arial" w:hAnsi="Arial" w:eastAsia="Aptos" w:cs="Arial"/>
          <w:sz w:val="22"/>
          <w:szCs w:val="22"/>
        </w:rPr>
        <w:t xml:space="preserve">Policies and guidelines supported these practices. </w:t>
      </w:r>
      <w:bookmarkStart w:name="_Int_BDltGYft" w:id="3"/>
      <w:r w:rsidRPr="00E00BF5">
        <w:rPr>
          <w:rFonts w:ascii="Arial" w:hAnsi="Arial" w:eastAsia="Aptos" w:cs="Arial"/>
          <w:sz w:val="22"/>
          <w:szCs w:val="22"/>
        </w:rPr>
        <w:t>The Health and Social Care Act 2008 (Regulated Activities) Regulations 2014 emphasise the importance of person-centred care and safeguarding (Care Quality Commission, 2015).</w:t>
      </w:r>
      <w:bookmarkEnd w:id="3"/>
      <w:r w:rsidRPr="00E00BF5">
        <w:rPr>
          <w:rFonts w:ascii="Arial" w:hAnsi="Arial" w:eastAsia="Aptos" w:cs="Arial"/>
          <w:sz w:val="22"/>
          <w:szCs w:val="22"/>
        </w:rPr>
        <w:t xml:space="preserve"> </w:t>
      </w:r>
      <w:r w:rsidRPr="00E00BF5">
        <w:rPr>
          <w:rFonts w:ascii="Arial" w:hAnsi="Arial" w:eastAsia="Aptos" w:cs="Arial"/>
          <w:sz w:val="22"/>
          <w:szCs w:val="22"/>
        </w:rPr>
        <w:t>NICE guidelines on dementia care also recommend personalised support and multidisciplinary teamwork (NICE, 2018). These frameworks helped staff deliver care that was safe, inclusive, and responsive to individual needs.</w:t>
      </w:r>
    </w:p>
    <w:p w:rsidRPr="00E00BF5" w:rsidR="00721E6F" w:rsidRDefault="00E00BF5" w14:paraId="6A2931E0" w14:noSpellErr="1" w14:textId="508EDD5C">
      <w:pPr>
        <w:spacing w:before="240" w:after="240" w:line="360" w:lineRule="auto"/>
        <w:jc w:val="both"/>
        <w:rPr>
          <w:rFonts w:ascii="Arial" w:hAnsi="Arial" w:cs="Arial"/>
          <w:sz w:val="22"/>
          <w:szCs w:val="22"/>
        </w:rPr>
      </w:pPr>
      <w:r w:rsidRPr="081F8C6B" w:rsidR="00E00BF5">
        <w:rPr>
          <w:rFonts w:ascii="Arial" w:hAnsi="Arial" w:eastAsia="Aptos" w:cs="Arial"/>
          <w:sz w:val="22"/>
          <w:szCs w:val="22"/>
        </w:rPr>
        <w:t>In summary, this case study shows how person-centred care, partnership working, and ethics can be applied effectively in real-life practice. By following current policies and working together, professionals were able to improve the quality of care and support the wellbeing of residents with dementia.</w:t>
      </w:r>
      <w:r w:rsidRPr="081F8C6B" w:rsidR="088B0063">
        <w:rPr>
          <w:rFonts w:ascii="Arial" w:hAnsi="Arial" w:eastAsia="Aptos" w:cs="Arial"/>
          <w:sz w:val="22"/>
          <w:szCs w:val="22"/>
        </w:rPr>
        <w:t xml:space="preserve"> </w:t>
      </w:r>
    </w:p>
    <w:p w:rsidRPr="00E00BF5" w:rsidR="00721E6F" w:rsidRDefault="00721E6F" w14:paraId="0FB78278" w14:textId="77777777">
      <w:pPr>
        <w:spacing w:before="240" w:after="240"/>
        <w:rPr>
          <w:rFonts w:ascii="Aptos" w:hAnsi="Aptos" w:eastAsia="Aptos" w:cs="Aptos"/>
          <w:sz w:val="22"/>
          <w:szCs w:val="22"/>
        </w:rPr>
      </w:pPr>
    </w:p>
    <w:p w:rsidR="00721E6F" w:rsidRDefault="00E00BF5" w14:paraId="761371CB" w14:textId="77777777">
      <w:pPr>
        <w:pStyle w:val="Heading2"/>
        <w:spacing w:before="299" w:after="299"/>
      </w:pPr>
      <w:bookmarkStart w:name="_Toc210204200" w:id="4"/>
      <w:r>
        <w:rPr>
          <w:rFonts w:ascii="Aptos" w:hAnsi="Aptos" w:eastAsia="Aptos" w:cs="Aptos"/>
          <w:b/>
          <w:bCs/>
          <w:sz w:val="36"/>
          <w:szCs w:val="36"/>
        </w:rPr>
        <w:lastRenderedPageBreak/>
        <w:t>Task 3: Reflection on Learning and Future Application</w:t>
      </w:r>
      <w:bookmarkEnd w:id="4"/>
    </w:p>
    <w:p w:rsidRPr="00E00BF5" w:rsidR="00721E6F" w:rsidRDefault="00E00BF5" w14:paraId="7D44BF24" w14:textId="77777777">
      <w:pPr>
        <w:spacing w:before="240" w:after="240" w:line="360" w:lineRule="auto"/>
        <w:jc w:val="both"/>
        <w:rPr>
          <w:rFonts w:ascii="Arial" w:hAnsi="Arial" w:cs="Arial"/>
          <w:sz w:val="22"/>
          <w:szCs w:val="22"/>
        </w:rPr>
      </w:pPr>
      <w:r w:rsidRPr="00E00BF5">
        <w:rPr>
          <w:rFonts w:ascii="Arial" w:hAnsi="Arial" w:eastAsia="Aptos" w:cs="Arial"/>
          <w:sz w:val="22"/>
          <w:szCs w:val="22"/>
        </w:rPr>
        <w:t>Reflecting on the principles of person-centred care, partnership working, and ethics has deepened my understanding of what high-quality care looks like in real-life practice. Through studying theory and applying it to the dementia care case study, I have seen how these principles are not just ideas but essential tools for supporting people with dignity, fairness, and compassion.</w:t>
      </w:r>
    </w:p>
    <w:p w:rsidRPr="00E00BF5" w:rsidR="00721E6F" w:rsidRDefault="00E00BF5" w14:paraId="06EAA319" w14:textId="77777777">
      <w:pPr>
        <w:spacing w:before="240" w:after="240" w:line="360" w:lineRule="auto"/>
        <w:jc w:val="both"/>
        <w:rPr>
          <w:rFonts w:ascii="Arial" w:hAnsi="Arial" w:cs="Arial"/>
          <w:sz w:val="22"/>
          <w:szCs w:val="22"/>
        </w:rPr>
      </w:pPr>
      <w:r w:rsidRPr="00E00BF5">
        <w:rPr>
          <w:rFonts w:ascii="Arial" w:hAnsi="Arial" w:eastAsia="Aptos" w:cs="Arial"/>
          <w:sz w:val="22"/>
          <w:szCs w:val="22"/>
        </w:rPr>
        <w:t>Person-centred care stood out to me the most. I now understand that it is more than just listening to someone—it is about shaping care around their values, history, and goals. Learning about the Care Act 2014 and the Health Foundation’s framework helped me see how services must adapt to each person, especially those with complex needs. This has made me think differently about how I communicate and plan support. In future roles, especially in education or care settings, I will make sure to involve individual</w:t>
      </w:r>
      <w:r w:rsidRPr="00E00BF5">
        <w:rPr>
          <w:rFonts w:ascii="Arial" w:hAnsi="Arial" w:eastAsia="Aptos" w:cs="Arial"/>
          <w:sz w:val="22"/>
          <w:szCs w:val="22"/>
        </w:rPr>
        <w:t>s in decisions and use tools like personalised plans to promote independence and wellbeing.</w:t>
      </w:r>
    </w:p>
    <w:p w:rsidRPr="00E00BF5" w:rsidR="00721E6F" w:rsidRDefault="00E00BF5" w14:paraId="717737FB" w14:textId="77777777">
      <w:pPr>
        <w:spacing w:before="240" w:after="240" w:line="360" w:lineRule="auto"/>
        <w:jc w:val="both"/>
        <w:rPr>
          <w:rFonts w:ascii="Arial" w:hAnsi="Arial" w:cs="Arial"/>
          <w:sz w:val="22"/>
          <w:szCs w:val="22"/>
        </w:rPr>
      </w:pPr>
      <w:r w:rsidRPr="00E00BF5">
        <w:rPr>
          <w:rFonts w:ascii="Arial" w:hAnsi="Arial" w:eastAsia="Aptos" w:cs="Arial"/>
          <w:sz w:val="22"/>
          <w:szCs w:val="22"/>
        </w:rPr>
        <w:t xml:space="preserve">Partnership working also became clearer through the case study. I used to think teamwork was about sharing tasks, but now I see it is about shared responsibility and joined-up thinking. Bronfenbrenner’s theory helped me understand how different systems—like health, education, and family—need to work together to support someone fully. Seeing how professionals in the residential home collaborated with families and health teams showed me the value of regular communication and joint planning. In future, I will </w:t>
      </w:r>
      <w:r w:rsidRPr="00E00BF5">
        <w:rPr>
          <w:rFonts w:ascii="Arial" w:hAnsi="Arial" w:eastAsia="Aptos" w:cs="Arial"/>
          <w:sz w:val="22"/>
          <w:szCs w:val="22"/>
        </w:rPr>
        <w:t>aim to build strong relationships with colleagues and external agencies, using clear communication and shared goals to improve outcomes for those I support.</w:t>
      </w:r>
    </w:p>
    <w:p w:rsidRPr="00E00BF5" w:rsidR="00721E6F" w:rsidRDefault="00E00BF5" w14:paraId="052DBD06" w14:textId="77777777">
      <w:pPr>
        <w:spacing w:before="240" w:after="240" w:line="360" w:lineRule="auto"/>
        <w:jc w:val="both"/>
        <w:rPr>
          <w:rFonts w:ascii="Arial" w:hAnsi="Arial" w:cs="Arial"/>
          <w:sz w:val="22"/>
          <w:szCs w:val="22"/>
        </w:rPr>
      </w:pPr>
      <w:r w:rsidRPr="00E00BF5">
        <w:rPr>
          <w:rFonts w:ascii="Arial" w:hAnsi="Arial" w:eastAsia="Aptos" w:cs="Arial"/>
          <w:sz w:val="22"/>
          <w:szCs w:val="22"/>
        </w:rPr>
        <w:t>Ethics was an area I found challenging but important. “Learning about the Mental Capacity Act 2005 (Ministry of Justice, 2005) and using Gibbs’ Reflective Cycle helped me understand, how to handle complex decisions, like when someone refuses care. I have realised that ethical practice means balancing respect for autonomy with the need to protect people from harm. This reflection has made me more confident in recognising ethical dilemmas and knowing when to seek advice or use legal frameworks. In future prac</w:t>
      </w:r>
      <w:r w:rsidRPr="00E00BF5">
        <w:rPr>
          <w:rFonts w:ascii="Arial" w:hAnsi="Arial" w:eastAsia="Aptos" w:cs="Arial"/>
          <w:sz w:val="22"/>
          <w:szCs w:val="22"/>
        </w:rPr>
        <w:t>tice, I will use reflection to guide my decisions and make sure I act fairly and responsibly.</w:t>
      </w:r>
    </w:p>
    <w:p w:rsidRPr="00E00BF5" w:rsidR="00721E6F" w:rsidRDefault="00E00BF5" w14:paraId="49091BEF" w14:textId="77777777">
      <w:pPr>
        <w:spacing w:before="240" w:after="240" w:line="360" w:lineRule="auto"/>
        <w:jc w:val="both"/>
        <w:rPr>
          <w:rFonts w:ascii="Arial" w:hAnsi="Arial" w:cs="Arial"/>
          <w:sz w:val="22"/>
          <w:szCs w:val="22"/>
        </w:rPr>
      </w:pPr>
      <w:r w:rsidRPr="00E00BF5">
        <w:rPr>
          <w:rFonts w:ascii="Arial" w:hAnsi="Arial" w:eastAsia="Aptos" w:cs="Arial"/>
          <w:sz w:val="22"/>
          <w:szCs w:val="22"/>
        </w:rPr>
        <w:t xml:space="preserve">Overall, this assignment has helped me connect theory to practice and build confidence in applying key principles. I have learned that diligent care is not just about doing tasks—it is about </w:t>
      </w:r>
      <w:r w:rsidRPr="00E00BF5">
        <w:rPr>
          <w:rFonts w:ascii="Arial" w:hAnsi="Arial" w:eastAsia="Aptos" w:cs="Arial"/>
          <w:sz w:val="22"/>
          <w:szCs w:val="22"/>
        </w:rPr>
        <w:lastRenderedPageBreak/>
        <w:t>understanding people, working together, and making thoughtful decisions. These insights will shape how I work in health and social care settings, especially when supporting individuals with learning needs or complex challenges. I feel more prepared to offer care that is inclusive, ethical, and person-centred.</w:t>
      </w:r>
    </w:p>
    <w:p w:rsidRPr="00E00BF5" w:rsidR="00721E6F" w:rsidRDefault="512ADD73" w14:paraId="622E7BFE" w14:textId="7D81F8E6">
      <w:pPr>
        <w:spacing w:before="240" w:after="240" w:line="360" w:lineRule="auto"/>
        <w:jc w:val="both"/>
        <w:rPr>
          <w:rFonts w:ascii="Arial" w:hAnsi="Arial" w:eastAsia="Aptos" w:cs="Arial"/>
          <w:sz w:val="22"/>
          <w:szCs w:val="22"/>
        </w:rPr>
      </w:pPr>
      <w:r w:rsidRPr="00E00BF5">
        <w:rPr>
          <w:rFonts w:ascii="Arial" w:hAnsi="Arial" w:eastAsia="Aptos" w:cs="Arial"/>
          <w:sz w:val="22"/>
          <w:szCs w:val="22"/>
        </w:rPr>
        <w:t>This learning has also helped me prepare for future interviews and placements. I now feel more confident talking about person-centred care and partnership working using real examples and theory. When asked about ethical challenges or teamwork, I can reflect on the dementia case study and explain how I would respond in similar situations. I have also practised using the STAR method to structure my answers, which helps me stay clear and focused. These skills will support me in classroom assistant roles and other care settings, where communication and ethical thinking are key. The STAR method (Situation, Task, Action, Result) is widely recognised for helping individuals present real-life examples in a structured and relevant way, particularly in interviews and reflective practice (Think Teaching, n.d.). I am now more prepared to show how I can apply these principles in real life and explain why they matter.</w:t>
      </w:r>
    </w:p>
    <w:p w:rsidR="00721E6F" w:rsidRDefault="00E00BF5" w14:paraId="2B2A7A39" w14:textId="77777777">
      <w:pPr>
        <w:pStyle w:val="Heading2"/>
        <w:spacing w:before="299" w:after="299"/>
      </w:pPr>
      <w:bookmarkStart w:name="_Toc210204201" w:id="5"/>
      <w:r>
        <w:rPr>
          <w:rFonts w:ascii="Aptos" w:hAnsi="Aptos" w:eastAsia="Aptos" w:cs="Aptos"/>
          <w:b/>
          <w:bCs/>
          <w:sz w:val="36"/>
          <w:szCs w:val="36"/>
        </w:rPr>
        <w:t>Conclusion</w:t>
      </w:r>
      <w:bookmarkEnd w:id="5"/>
    </w:p>
    <w:p w:rsidRPr="00E00BF5" w:rsidR="00721E6F" w:rsidRDefault="00E00BF5" w14:paraId="0C4E97BB" w14:textId="77777777">
      <w:pPr>
        <w:spacing w:before="240" w:after="240" w:line="360" w:lineRule="auto"/>
        <w:jc w:val="both"/>
        <w:rPr>
          <w:rFonts w:ascii="Arial" w:hAnsi="Arial" w:cs="Arial"/>
          <w:sz w:val="22"/>
          <w:szCs w:val="22"/>
        </w:rPr>
      </w:pPr>
      <w:r w:rsidRPr="00E00BF5">
        <w:rPr>
          <w:rFonts w:ascii="Arial" w:hAnsi="Arial" w:eastAsia="Aptos" w:cs="Arial"/>
          <w:sz w:val="22"/>
          <w:szCs w:val="22"/>
        </w:rPr>
        <w:t>This report has explored the key principles of person-centred care, partnership working, and ethics within UK health and social care. Through reflection and practical examples, I have gained a deeper understanding of how these principles shape high-quality, respectful, and inclusive care. The dementia care case study showed how theory connects to real-life practice, and how professionals can work together to support individuals with compassion and fairness. Reflecting on these ideas has helped me grow in co</w:t>
      </w:r>
      <w:r w:rsidRPr="00E00BF5">
        <w:rPr>
          <w:rFonts w:ascii="Arial" w:hAnsi="Arial" w:eastAsia="Aptos" w:cs="Arial"/>
          <w:sz w:val="22"/>
          <w:szCs w:val="22"/>
        </w:rPr>
        <w:t xml:space="preserve">nfidence and develop skills I will use in future roles. I now feel more prepared to apply ethical thinking, work in partnership with others, and provide care that truly focuses on the person. These insights will guide me as I continue to learn and aim to make a positive difference in health and social care settings. </w:t>
      </w:r>
    </w:p>
    <w:p w:rsidR="00721E6F" w:rsidRDefault="00721E6F" w14:paraId="1FC39945" w14:textId="77777777">
      <w:pPr>
        <w:spacing w:before="240" w:after="240"/>
        <w:rPr>
          <w:rFonts w:ascii="Aptos" w:hAnsi="Aptos" w:eastAsia="Aptos" w:cs="Aptos"/>
        </w:rPr>
      </w:pPr>
    </w:p>
    <w:p w:rsidR="00721E6F" w:rsidRDefault="00721E6F" w14:paraId="0562CB0E" w14:textId="77777777">
      <w:pPr>
        <w:spacing w:before="240" w:after="240"/>
        <w:rPr>
          <w:rFonts w:ascii="Aptos" w:hAnsi="Aptos" w:eastAsia="Aptos" w:cs="Aptos"/>
        </w:rPr>
      </w:pPr>
    </w:p>
    <w:p w:rsidR="00721E6F" w:rsidRDefault="00E00BF5" w14:paraId="6B699379" w14:textId="77777777">
      <w:pPr>
        <w:rPr>
          <w:rFonts w:ascii="Aptos" w:hAnsi="Aptos" w:eastAsia="Aptos" w:cs="Aptos"/>
          <w:b/>
          <w:bCs/>
          <w:color w:val="0F4761" w:themeColor="accent1" w:themeShade="BF"/>
          <w:sz w:val="36"/>
          <w:szCs w:val="36"/>
        </w:rPr>
      </w:pPr>
      <w:r>
        <w:br w:type="page"/>
      </w:r>
    </w:p>
    <w:p w:rsidR="00721E6F" w:rsidRDefault="00E00BF5" w14:paraId="6403A368" w14:textId="77777777">
      <w:pPr>
        <w:pStyle w:val="Heading2"/>
        <w:spacing w:before="0" w:after="299"/>
      </w:pPr>
      <w:bookmarkStart w:name="_Toc210204202" w:id="6"/>
      <w:r>
        <w:rPr>
          <w:rFonts w:ascii="Aptos" w:hAnsi="Aptos" w:eastAsia="Aptos" w:cs="Aptos"/>
          <w:b/>
          <w:bCs/>
          <w:sz w:val="36"/>
          <w:szCs w:val="36"/>
        </w:rPr>
        <w:lastRenderedPageBreak/>
        <w:t>Reference List</w:t>
      </w:r>
      <w:bookmarkEnd w:id="6"/>
      <w:r>
        <w:rPr>
          <w:rFonts w:ascii="Aptos" w:hAnsi="Aptos" w:eastAsia="Aptos" w:cs="Aptos"/>
          <w:b/>
          <w:bCs/>
          <w:sz w:val="36"/>
          <w:szCs w:val="36"/>
        </w:rPr>
        <w:t xml:space="preserve"> </w:t>
      </w:r>
    </w:p>
    <w:p w:rsidRPr="00E00BF5" w:rsidR="00721E6F" w:rsidRDefault="00E00BF5" w14:paraId="53A67EC2" w14:textId="77777777">
      <w:pPr>
        <w:spacing w:before="240" w:after="240"/>
        <w:jc w:val="both"/>
        <w:rPr>
          <w:rFonts w:ascii="Arial" w:hAnsi="Arial" w:eastAsia="Aptos" w:cs="Arial"/>
          <w:sz w:val="22"/>
          <w:szCs w:val="22"/>
        </w:rPr>
      </w:pPr>
      <w:r w:rsidRPr="00E00BF5">
        <w:rPr>
          <w:rFonts w:ascii="Arial" w:hAnsi="Arial" w:eastAsia="Aptos" w:cs="Arial"/>
          <w:sz w:val="22"/>
          <w:szCs w:val="22"/>
        </w:rPr>
        <w:t xml:space="preserve">Boyd, D., and Bee, H. (2015) </w:t>
      </w:r>
      <w:r w:rsidRPr="00E00BF5">
        <w:rPr>
          <w:rFonts w:ascii="Arial" w:hAnsi="Arial" w:eastAsia="Aptos" w:cs="Arial"/>
          <w:i/>
          <w:iCs/>
          <w:sz w:val="22"/>
          <w:szCs w:val="22"/>
        </w:rPr>
        <w:t>Lifespan Development</w:t>
      </w:r>
      <w:r w:rsidRPr="00E00BF5">
        <w:rPr>
          <w:rFonts w:ascii="Arial" w:hAnsi="Arial" w:eastAsia="Aptos" w:cs="Arial"/>
          <w:sz w:val="22"/>
          <w:szCs w:val="22"/>
        </w:rPr>
        <w:t xml:space="preserve">. 6th </w:t>
      </w:r>
      <w:proofErr w:type="spellStart"/>
      <w:r w:rsidRPr="00E00BF5">
        <w:rPr>
          <w:rFonts w:ascii="Arial" w:hAnsi="Arial" w:eastAsia="Aptos" w:cs="Arial"/>
          <w:sz w:val="22"/>
          <w:szCs w:val="22"/>
        </w:rPr>
        <w:t>edn</w:t>
      </w:r>
      <w:proofErr w:type="spellEnd"/>
      <w:r w:rsidRPr="00E00BF5">
        <w:rPr>
          <w:rFonts w:ascii="Arial" w:hAnsi="Arial" w:eastAsia="Aptos" w:cs="Arial"/>
          <w:sz w:val="22"/>
          <w:szCs w:val="22"/>
        </w:rPr>
        <w:t>. Boston: Pearson.</w:t>
      </w:r>
    </w:p>
    <w:p w:rsidRPr="00E00BF5" w:rsidR="00721E6F" w:rsidRDefault="00E00BF5" w14:paraId="6124A44A" w14:textId="77777777">
      <w:pPr>
        <w:spacing w:before="240" w:after="240"/>
        <w:jc w:val="both"/>
        <w:rPr>
          <w:rFonts w:ascii="Arial" w:hAnsi="Arial" w:eastAsia="Aptos" w:cs="Arial"/>
          <w:sz w:val="22"/>
          <w:szCs w:val="22"/>
        </w:rPr>
      </w:pPr>
      <w:bookmarkStart w:name="_Int_090CWmWS" w:id="7"/>
      <w:r w:rsidRPr="00E00BF5">
        <w:rPr>
          <w:rFonts w:ascii="Arial" w:hAnsi="Arial" w:eastAsia="Aptos" w:cs="Arial"/>
          <w:sz w:val="22"/>
          <w:szCs w:val="22"/>
        </w:rPr>
        <w:t xml:space="preserve">Bronfenbrenner, U. (1979) </w:t>
      </w:r>
      <w:r w:rsidRPr="00E00BF5">
        <w:rPr>
          <w:rFonts w:ascii="Arial" w:hAnsi="Arial" w:eastAsia="Aptos" w:cs="Arial"/>
          <w:i/>
          <w:iCs/>
          <w:sz w:val="22"/>
          <w:szCs w:val="22"/>
        </w:rPr>
        <w:t>The Ecology of Human Development: Experiments by Nature and Design</w:t>
      </w:r>
      <w:r w:rsidRPr="00E00BF5">
        <w:rPr>
          <w:rFonts w:ascii="Arial" w:hAnsi="Arial" w:eastAsia="Aptos" w:cs="Arial"/>
          <w:sz w:val="22"/>
          <w:szCs w:val="22"/>
        </w:rPr>
        <w:t>.</w:t>
      </w:r>
      <w:bookmarkEnd w:id="7"/>
      <w:r w:rsidRPr="00E00BF5">
        <w:rPr>
          <w:rFonts w:ascii="Arial" w:hAnsi="Arial" w:eastAsia="Aptos" w:cs="Arial"/>
          <w:sz w:val="22"/>
          <w:szCs w:val="22"/>
        </w:rPr>
        <w:t xml:space="preserve"> (“Bronfenbrenner, U. (1979). The Ecology of Human Development ...”) (“Bronfenbrenner, U. (1979). The Ecology of Human Development ...”) Cambridge, MA: Harvard University Press.</w:t>
      </w:r>
    </w:p>
    <w:p w:rsidRPr="00E00BF5" w:rsidR="00721E6F" w:rsidRDefault="00E00BF5" w14:paraId="0E54BEFF" w14:textId="77777777">
      <w:pPr>
        <w:spacing w:before="240" w:after="240"/>
        <w:jc w:val="both"/>
        <w:rPr>
          <w:rFonts w:ascii="Arial" w:hAnsi="Arial" w:eastAsia="Aptos" w:cs="Arial"/>
          <w:sz w:val="22"/>
          <w:szCs w:val="22"/>
        </w:rPr>
      </w:pPr>
      <w:r w:rsidRPr="00E00BF5">
        <w:rPr>
          <w:rFonts w:ascii="Arial" w:hAnsi="Arial" w:eastAsia="Aptos" w:cs="Arial"/>
          <w:sz w:val="22"/>
          <w:szCs w:val="22"/>
        </w:rPr>
        <w:t xml:space="preserve">Care Quality Commission (2015) </w:t>
      </w:r>
      <w:r w:rsidRPr="00E00BF5">
        <w:rPr>
          <w:rFonts w:ascii="Arial" w:hAnsi="Arial" w:eastAsia="Aptos" w:cs="Arial"/>
          <w:i/>
          <w:iCs/>
          <w:sz w:val="22"/>
          <w:szCs w:val="22"/>
        </w:rPr>
        <w:t>Health and Social Care Act 2008 (Regulated Activities) Regulations 2014: Regulation 9</w:t>
      </w:r>
      <w:r w:rsidRPr="00E00BF5">
        <w:rPr>
          <w:rFonts w:ascii="Arial" w:hAnsi="Arial" w:eastAsia="Aptos" w:cs="Arial"/>
          <w:sz w:val="22"/>
          <w:szCs w:val="22"/>
        </w:rPr>
        <w:t xml:space="preserve">. Available at: </w:t>
      </w:r>
      <w:hyperlink r:id="rId7">
        <w:r w:rsidRPr="00E00BF5">
          <w:rPr>
            <w:rStyle w:val="Hyperlink"/>
            <w:rFonts w:ascii="Arial" w:hAnsi="Arial" w:eastAsia="Aptos" w:cs="Arial"/>
            <w:sz w:val="22"/>
            <w:szCs w:val="22"/>
          </w:rPr>
          <w:t>https://www.cqc.org.uk/guidance-providers/regulations-enforcement/regulation-9-person-centred-care</w:t>
        </w:r>
      </w:hyperlink>
      <w:r w:rsidRPr="00E00BF5">
        <w:rPr>
          <w:rFonts w:ascii="Arial" w:hAnsi="Arial" w:eastAsia="Aptos" w:cs="Arial"/>
          <w:sz w:val="22"/>
          <w:szCs w:val="22"/>
        </w:rPr>
        <w:t xml:space="preserve"> (Accessed: 12 September 2025).</w:t>
      </w:r>
    </w:p>
    <w:p w:rsidRPr="00E00BF5" w:rsidR="00721E6F" w:rsidRDefault="00E00BF5" w14:paraId="28CB1582" w14:textId="77777777">
      <w:pPr>
        <w:spacing w:before="240" w:after="240"/>
        <w:jc w:val="both"/>
        <w:rPr>
          <w:rFonts w:ascii="Arial" w:hAnsi="Arial" w:eastAsia="Aptos" w:cs="Arial"/>
          <w:sz w:val="22"/>
          <w:szCs w:val="22"/>
        </w:rPr>
      </w:pPr>
      <w:r w:rsidRPr="00E00BF5">
        <w:rPr>
          <w:rFonts w:ascii="Arial" w:hAnsi="Arial" w:eastAsia="Aptos" w:cs="Arial"/>
          <w:sz w:val="22"/>
          <w:szCs w:val="22"/>
        </w:rPr>
        <w:t xml:space="preserve">Department of Health and Social Care (2014) </w:t>
      </w:r>
      <w:r w:rsidRPr="00E00BF5">
        <w:rPr>
          <w:rFonts w:ascii="Arial" w:hAnsi="Arial" w:eastAsia="Aptos" w:cs="Arial"/>
          <w:i/>
          <w:iCs/>
          <w:sz w:val="22"/>
          <w:szCs w:val="22"/>
        </w:rPr>
        <w:t>Care Act 2014</w:t>
      </w:r>
      <w:r w:rsidRPr="00E00BF5">
        <w:rPr>
          <w:rFonts w:ascii="Arial" w:hAnsi="Arial" w:eastAsia="Aptos" w:cs="Arial"/>
          <w:sz w:val="22"/>
          <w:szCs w:val="22"/>
        </w:rPr>
        <w:t xml:space="preserve">. Available at: </w:t>
      </w:r>
      <w:hyperlink r:id="rId8">
        <w:r w:rsidRPr="00E00BF5">
          <w:rPr>
            <w:rStyle w:val="Hyperlink"/>
            <w:rFonts w:ascii="Arial" w:hAnsi="Arial" w:eastAsia="Aptos" w:cs="Arial"/>
            <w:sz w:val="22"/>
            <w:szCs w:val="22"/>
          </w:rPr>
          <w:t>https://www.legislation.gov.uk/ukpga/2014/23/contents/enacted</w:t>
        </w:r>
      </w:hyperlink>
      <w:r w:rsidRPr="00E00BF5">
        <w:rPr>
          <w:rFonts w:ascii="Arial" w:hAnsi="Arial" w:eastAsia="Aptos" w:cs="Arial"/>
          <w:sz w:val="22"/>
          <w:szCs w:val="22"/>
        </w:rPr>
        <w:t xml:space="preserve"> (Accessed: 12 September 2025).</w:t>
      </w:r>
    </w:p>
    <w:p w:rsidRPr="00E00BF5" w:rsidR="00721E6F" w:rsidRDefault="00E00BF5" w14:paraId="4FE16516" w14:textId="77777777">
      <w:pPr>
        <w:spacing w:before="240" w:after="240"/>
        <w:jc w:val="both"/>
        <w:rPr>
          <w:rFonts w:ascii="Arial" w:hAnsi="Arial" w:eastAsia="Aptos" w:cs="Arial"/>
          <w:sz w:val="22"/>
          <w:szCs w:val="22"/>
        </w:rPr>
      </w:pPr>
      <w:r w:rsidRPr="00E00BF5">
        <w:rPr>
          <w:rFonts w:ascii="Arial" w:hAnsi="Arial" w:eastAsia="Aptos" w:cs="Arial"/>
          <w:sz w:val="22"/>
          <w:szCs w:val="22"/>
        </w:rPr>
        <w:t xml:space="preserve">Gibbs, G. (1988) </w:t>
      </w:r>
      <w:r w:rsidRPr="00E00BF5">
        <w:rPr>
          <w:rFonts w:ascii="Arial" w:hAnsi="Arial" w:eastAsia="Aptos" w:cs="Arial"/>
          <w:i/>
          <w:iCs/>
          <w:sz w:val="22"/>
          <w:szCs w:val="22"/>
        </w:rPr>
        <w:t>Learning by Doing: A Guide to Teaching and Learning Methods</w:t>
      </w:r>
      <w:r w:rsidRPr="00E00BF5">
        <w:rPr>
          <w:rFonts w:ascii="Arial" w:hAnsi="Arial" w:eastAsia="Aptos" w:cs="Arial"/>
          <w:sz w:val="22"/>
          <w:szCs w:val="22"/>
        </w:rPr>
        <w:t>.” (“Gibbs, G. (1988) Learning by doing A guide to teaching and learning ...”) (“1 Gibbs, G. (1988) Learning by Doing: A guide to teaching and learning ...”) Oxford: Oxford Polytechnic.</w:t>
      </w:r>
    </w:p>
    <w:p w:rsidRPr="00E00BF5" w:rsidR="00721E6F" w:rsidRDefault="00E00BF5" w14:paraId="4642873C" w14:textId="77777777">
      <w:pPr>
        <w:spacing w:before="240" w:after="240"/>
        <w:jc w:val="both"/>
        <w:rPr>
          <w:rFonts w:ascii="Arial" w:hAnsi="Arial" w:eastAsia="Aptos" w:cs="Arial"/>
          <w:sz w:val="22"/>
          <w:szCs w:val="22"/>
        </w:rPr>
      </w:pPr>
      <w:r w:rsidRPr="00E00BF5">
        <w:rPr>
          <w:rFonts w:ascii="Arial" w:hAnsi="Arial" w:eastAsia="Aptos" w:cs="Arial"/>
          <w:sz w:val="22"/>
          <w:szCs w:val="22"/>
        </w:rPr>
        <w:t xml:space="preserve">Health Education England (2023) </w:t>
      </w:r>
      <w:r w:rsidRPr="00E00BF5">
        <w:rPr>
          <w:rFonts w:ascii="Arial" w:hAnsi="Arial" w:eastAsia="Aptos" w:cs="Arial"/>
          <w:i/>
          <w:iCs/>
          <w:sz w:val="22"/>
          <w:szCs w:val="22"/>
        </w:rPr>
        <w:t>Person-centred Approaches: Core Skills Education and Training Framework</w:t>
      </w:r>
      <w:r w:rsidRPr="00E00BF5">
        <w:rPr>
          <w:rFonts w:ascii="Arial" w:hAnsi="Arial" w:eastAsia="Aptos" w:cs="Arial"/>
          <w:sz w:val="22"/>
          <w:szCs w:val="22"/>
        </w:rPr>
        <w:t xml:space="preserve">. Available at: </w:t>
      </w:r>
      <w:hyperlink r:id="rId9">
        <w:r w:rsidRPr="00E00BF5">
          <w:rPr>
            <w:rStyle w:val="Hyperlink"/>
            <w:rFonts w:ascii="Arial" w:hAnsi="Arial" w:eastAsia="Aptos" w:cs="Arial"/>
            <w:sz w:val="22"/>
            <w:szCs w:val="22"/>
          </w:rPr>
          <w:t>https://www.hee.nhs.uk/our-work/person-centred-care</w:t>
        </w:r>
      </w:hyperlink>
      <w:r w:rsidRPr="00E00BF5">
        <w:rPr>
          <w:rFonts w:ascii="Arial" w:hAnsi="Arial" w:eastAsia="Aptos" w:cs="Arial"/>
          <w:sz w:val="22"/>
          <w:szCs w:val="22"/>
        </w:rPr>
        <w:t xml:space="preserve"> (Accessed: 12 September 2025).</w:t>
      </w:r>
    </w:p>
    <w:p w:rsidRPr="00E00BF5" w:rsidR="00721E6F" w:rsidRDefault="00E00BF5" w14:paraId="40673350" w14:textId="77777777">
      <w:pPr>
        <w:spacing w:before="240" w:after="240"/>
        <w:jc w:val="both"/>
        <w:rPr>
          <w:rFonts w:ascii="Arial" w:hAnsi="Arial" w:eastAsia="Aptos" w:cs="Arial"/>
          <w:sz w:val="22"/>
          <w:szCs w:val="22"/>
        </w:rPr>
      </w:pPr>
      <w:r w:rsidRPr="00E00BF5">
        <w:rPr>
          <w:rFonts w:ascii="Arial" w:hAnsi="Arial" w:eastAsia="Aptos" w:cs="Arial"/>
          <w:sz w:val="22"/>
          <w:szCs w:val="22"/>
        </w:rPr>
        <w:t xml:space="preserve">Health Foundation (2016) </w:t>
      </w:r>
      <w:r w:rsidRPr="00E00BF5">
        <w:rPr>
          <w:rFonts w:ascii="Arial" w:hAnsi="Arial" w:eastAsia="Aptos" w:cs="Arial"/>
          <w:i/>
          <w:iCs/>
          <w:sz w:val="22"/>
          <w:szCs w:val="22"/>
        </w:rPr>
        <w:t>Person-centred care made simple</w:t>
      </w:r>
      <w:r w:rsidRPr="00E00BF5">
        <w:rPr>
          <w:rFonts w:ascii="Arial" w:hAnsi="Arial" w:eastAsia="Aptos" w:cs="Arial"/>
          <w:sz w:val="22"/>
          <w:szCs w:val="22"/>
        </w:rPr>
        <w:t xml:space="preserve">. Available at: </w:t>
      </w:r>
      <w:hyperlink r:id="rId10">
        <w:r w:rsidRPr="00E00BF5">
          <w:rPr>
            <w:rStyle w:val="Hyperlink"/>
            <w:rFonts w:ascii="Arial" w:hAnsi="Arial" w:eastAsia="Aptos" w:cs="Arial"/>
            <w:sz w:val="22"/>
            <w:szCs w:val="22"/>
          </w:rPr>
          <w:t>https://www.health.org.uk/publications/person-centred-care-made-simple</w:t>
        </w:r>
      </w:hyperlink>
      <w:r w:rsidRPr="00E00BF5">
        <w:rPr>
          <w:rFonts w:ascii="Arial" w:hAnsi="Arial" w:eastAsia="Aptos" w:cs="Arial"/>
          <w:sz w:val="22"/>
          <w:szCs w:val="22"/>
        </w:rPr>
        <w:t xml:space="preserve"> (Accessed: 12 September 2025).</w:t>
      </w:r>
    </w:p>
    <w:p w:rsidRPr="00E00BF5" w:rsidR="00721E6F" w:rsidRDefault="00E00BF5" w14:paraId="0F9577DC" w14:textId="77777777">
      <w:pPr>
        <w:spacing w:before="240" w:after="240"/>
        <w:jc w:val="both"/>
        <w:rPr>
          <w:rFonts w:ascii="Arial" w:hAnsi="Arial" w:eastAsia="Aptos" w:cs="Arial"/>
          <w:sz w:val="22"/>
          <w:szCs w:val="22"/>
        </w:rPr>
      </w:pPr>
      <w:r w:rsidRPr="00E00BF5">
        <w:rPr>
          <w:rFonts w:ascii="Arial" w:hAnsi="Arial" w:cs="Arial"/>
          <w:sz w:val="22"/>
          <w:szCs w:val="22"/>
        </w:rPr>
        <w:t>Ministry of Justice (2005)</w:t>
      </w:r>
      <w:r w:rsidRPr="00E00BF5">
        <w:rPr>
          <w:rFonts w:ascii="Arial" w:hAnsi="Arial" w:cs="Arial"/>
          <w:sz w:val="22"/>
          <w:szCs w:val="22"/>
        </w:rPr>
        <w:t xml:space="preserve"> </w:t>
      </w:r>
      <w:r w:rsidRPr="00E00BF5">
        <w:rPr>
          <w:rFonts w:ascii="Arial" w:hAnsi="Arial" w:cs="Arial"/>
          <w:i/>
          <w:iCs/>
          <w:sz w:val="22"/>
          <w:szCs w:val="22"/>
        </w:rPr>
        <w:t>Mental Capacity Act 2005</w:t>
      </w:r>
      <w:r w:rsidRPr="00E00BF5">
        <w:rPr>
          <w:rFonts w:ascii="Arial" w:hAnsi="Arial" w:cs="Arial"/>
          <w:sz w:val="22"/>
          <w:szCs w:val="22"/>
        </w:rPr>
        <w:t xml:space="preserve">. Available at: </w:t>
      </w:r>
      <w:hyperlink r:id="rId11">
        <w:r w:rsidRPr="00E00BF5">
          <w:rPr>
            <w:rStyle w:val="Hyperlink"/>
            <w:rFonts w:ascii="Arial" w:hAnsi="Arial" w:cs="Arial"/>
            <w:sz w:val="22"/>
            <w:szCs w:val="22"/>
          </w:rPr>
          <w:t>https://www.legislation.gov.uk/ukpga/2005/9/contents</w:t>
        </w:r>
      </w:hyperlink>
      <w:r w:rsidRPr="00E00BF5">
        <w:rPr>
          <w:rFonts w:ascii="Arial" w:hAnsi="Arial" w:cs="Arial"/>
          <w:sz w:val="22"/>
          <w:szCs w:val="22"/>
        </w:rPr>
        <w:t xml:space="preserve"> (Accessed: 12 September 2025)</w:t>
      </w:r>
    </w:p>
    <w:p w:rsidRPr="00E00BF5" w:rsidR="00721E6F" w:rsidRDefault="00E00BF5" w14:paraId="378E6C40" w14:textId="77777777">
      <w:pPr>
        <w:spacing w:before="240" w:after="240"/>
        <w:jc w:val="both"/>
        <w:rPr>
          <w:rFonts w:ascii="Arial" w:hAnsi="Arial" w:eastAsia="Aptos" w:cs="Arial"/>
          <w:sz w:val="22"/>
          <w:szCs w:val="22"/>
        </w:rPr>
      </w:pPr>
      <w:r w:rsidRPr="7785AA56" w:rsidR="00E00BF5">
        <w:rPr>
          <w:rFonts w:ascii="Arial" w:hAnsi="Arial" w:eastAsia="Aptos" w:cs="Arial"/>
          <w:sz w:val="22"/>
          <w:szCs w:val="22"/>
        </w:rPr>
        <w:t xml:space="preserve">NICE (2018) </w:t>
      </w:r>
      <w:r w:rsidRPr="7785AA56" w:rsidR="00E00BF5">
        <w:rPr>
          <w:rFonts w:ascii="Arial" w:hAnsi="Arial" w:eastAsia="Aptos" w:cs="Arial"/>
          <w:i w:val="1"/>
          <w:iCs w:val="1"/>
          <w:sz w:val="22"/>
          <w:szCs w:val="22"/>
        </w:rPr>
        <w:t>Dementia: assessment, management and support for people living with dementia and their careers</w:t>
      </w:r>
      <w:r w:rsidRPr="7785AA56" w:rsidR="00E00BF5">
        <w:rPr>
          <w:rFonts w:ascii="Arial" w:hAnsi="Arial" w:eastAsia="Aptos" w:cs="Arial"/>
          <w:sz w:val="22"/>
          <w:szCs w:val="22"/>
        </w:rPr>
        <w:t xml:space="preserve">. Available at: </w:t>
      </w:r>
      <w:hyperlink r:id="Rdbc01b8c01f747e9">
        <w:r w:rsidRPr="7785AA56" w:rsidR="00E00BF5">
          <w:rPr>
            <w:rStyle w:val="Hyperlink"/>
            <w:rFonts w:ascii="Arial" w:hAnsi="Arial" w:eastAsia="Aptos" w:cs="Arial"/>
            <w:sz w:val="22"/>
            <w:szCs w:val="22"/>
          </w:rPr>
          <w:t>https://www.nice.org.uk/guidance/ng97</w:t>
        </w:r>
      </w:hyperlink>
      <w:r w:rsidRPr="7785AA56" w:rsidR="00E00BF5">
        <w:rPr>
          <w:rFonts w:ascii="Arial" w:hAnsi="Arial" w:eastAsia="Aptos" w:cs="Arial"/>
          <w:sz w:val="22"/>
          <w:szCs w:val="22"/>
        </w:rPr>
        <w:t xml:space="preserve"> (Accessed: 12 September 2025).</w:t>
      </w:r>
    </w:p>
    <w:p w:rsidR="7785AA56" w:rsidP="7785AA56" w:rsidRDefault="7785AA56" w14:paraId="45979A54" w14:textId="5DDF5CD4">
      <w:pPr>
        <w:spacing w:before="240" w:after="240"/>
        <w:jc w:val="both"/>
        <w:rPr>
          <w:rFonts w:ascii="Arial" w:hAnsi="Arial" w:eastAsia="Aptos" w:cs="Arial"/>
          <w:sz w:val="22"/>
          <w:szCs w:val="22"/>
        </w:rPr>
      </w:pPr>
    </w:p>
    <w:p w:rsidR="5C9CBD58" w:rsidP="7785AA56" w:rsidRDefault="5C9CBD58" w14:paraId="36AE18B7" w14:textId="0C4453AA">
      <w:pPr>
        <w:spacing w:before="240" w:after="240" w:line="278" w:lineRule="auto"/>
        <w:jc w:val="both"/>
        <w:rPr>
          <w:rFonts w:ascii="Arial" w:hAnsi="Arial" w:eastAsia="Arial" w:cs="Arial"/>
          <w:b w:val="0"/>
          <w:bCs w:val="0"/>
          <w:i w:val="0"/>
          <w:iCs w:val="0"/>
          <w:noProof w:val="0"/>
          <w:sz w:val="22"/>
          <w:szCs w:val="22"/>
          <w:lang w:val="en-GB"/>
        </w:rPr>
      </w:pPr>
      <w:r w:rsidRPr="7785AA56" w:rsidR="5C9CBD58">
        <w:rPr>
          <w:rFonts w:ascii="Arial" w:hAnsi="Arial" w:eastAsia="Arial" w:cs="Arial"/>
          <w:b w:val="0"/>
          <w:bCs w:val="0"/>
          <w:i w:val="0"/>
          <w:iCs w:val="0"/>
          <w:noProof w:val="0"/>
          <w:sz w:val="22"/>
          <w:szCs w:val="22"/>
          <w:lang w:val="en-GB"/>
        </w:rPr>
        <w:t xml:space="preserve">NICE (2024) strategic principle for public health. Available at: </w:t>
      </w:r>
      <w:hyperlink r:id="R5af573ebc0d047cb">
        <w:r w:rsidRPr="7785AA56" w:rsidR="5C9CBD58">
          <w:rPr>
            <w:rStyle w:val="Hyperlink"/>
            <w:rFonts w:ascii="Arial" w:hAnsi="Arial" w:eastAsia="Arial" w:cs="Arial"/>
            <w:b w:val="0"/>
            <w:bCs w:val="0"/>
            <w:i w:val="0"/>
            <w:iCs w:val="0"/>
            <w:strike w:val="0"/>
            <w:dstrike w:val="0"/>
            <w:noProof w:val="0"/>
            <w:sz w:val="22"/>
            <w:szCs w:val="22"/>
            <w:lang w:val="en-GB"/>
          </w:rPr>
          <w:t>Our principles | NICE</w:t>
        </w:r>
      </w:hyperlink>
      <w:r w:rsidRPr="7785AA56" w:rsidR="5C9CBD58">
        <w:rPr>
          <w:rFonts w:ascii="Arial" w:hAnsi="Arial" w:eastAsia="Arial" w:cs="Arial"/>
          <w:b w:val="0"/>
          <w:bCs w:val="0"/>
          <w:i w:val="0"/>
          <w:iCs w:val="0"/>
          <w:noProof w:val="0"/>
          <w:sz w:val="22"/>
          <w:szCs w:val="22"/>
          <w:lang w:val="en-GB"/>
        </w:rPr>
        <w:t xml:space="preserve"> org.uk (Accessed :22 October 2025).</w:t>
      </w:r>
    </w:p>
    <w:p w:rsidRPr="00E00BF5" w:rsidR="00721E6F" w:rsidRDefault="00E00BF5" w14:paraId="3B193730" w14:textId="77777777">
      <w:pPr>
        <w:spacing w:before="240" w:after="240"/>
        <w:jc w:val="both"/>
        <w:rPr>
          <w:rFonts w:ascii="Arial" w:hAnsi="Arial" w:eastAsia="Aptos" w:cs="Arial"/>
          <w:sz w:val="22"/>
          <w:szCs w:val="22"/>
        </w:rPr>
      </w:pPr>
      <w:r w:rsidRPr="00E00BF5">
        <w:rPr>
          <w:rFonts w:ascii="Arial" w:hAnsi="Arial" w:eastAsia="Aptos" w:cs="Arial"/>
          <w:sz w:val="22"/>
          <w:szCs w:val="22"/>
        </w:rPr>
        <w:t xml:space="preserve">NHS England (2022) </w:t>
      </w:r>
      <w:r w:rsidRPr="00E00BF5">
        <w:rPr>
          <w:rFonts w:ascii="Arial" w:hAnsi="Arial" w:eastAsia="Aptos" w:cs="Arial"/>
          <w:i/>
          <w:iCs/>
          <w:sz w:val="22"/>
          <w:szCs w:val="22"/>
        </w:rPr>
        <w:t>Integrated Care Systems: Guidance and Resources</w:t>
      </w:r>
      <w:r w:rsidRPr="00E00BF5">
        <w:rPr>
          <w:rFonts w:ascii="Arial" w:hAnsi="Arial" w:eastAsia="Aptos" w:cs="Arial"/>
          <w:sz w:val="22"/>
          <w:szCs w:val="22"/>
        </w:rPr>
        <w:t xml:space="preserve">. Available at: </w:t>
      </w:r>
      <w:hyperlink r:id="rId13">
        <w:r w:rsidRPr="00E00BF5">
          <w:rPr>
            <w:rStyle w:val="Hyperlink"/>
            <w:rFonts w:ascii="Arial" w:hAnsi="Arial" w:eastAsia="Aptos" w:cs="Arial"/>
            <w:sz w:val="22"/>
            <w:szCs w:val="22"/>
          </w:rPr>
          <w:t>https://www.england.nhs.uk/integratedcare/</w:t>
        </w:r>
      </w:hyperlink>
      <w:r w:rsidRPr="00E00BF5">
        <w:rPr>
          <w:rFonts w:ascii="Arial" w:hAnsi="Arial" w:eastAsia="Aptos" w:cs="Arial"/>
          <w:sz w:val="22"/>
          <w:szCs w:val="22"/>
        </w:rPr>
        <w:t xml:space="preserve"> (Accessed: 12 September 2025).</w:t>
      </w:r>
    </w:p>
    <w:p w:rsidRPr="00E00BF5" w:rsidR="00721E6F" w:rsidRDefault="00E00BF5" w14:paraId="3F32CB07" w14:textId="77777777">
      <w:pPr>
        <w:spacing w:before="240" w:after="240"/>
        <w:jc w:val="both"/>
        <w:rPr>
          <w:rFonts w:ascii="Arial" w:hAnsi="Arial" w:eastAsia="Aptos" w:cs="Arial"/>
          <w:sz w:val="22"/>
          <w:szCs w:val="22"/>
        </w:rPr>
      </w:pPr>
      <w:r w:rsidRPr="00E00BF5">
        <w:rPr>
          <w:rFonts w:ascii="Arial" w:hAnsi="Arial" w:eastAsia="Aptos" w:cs="Arial"/>
          <w:sz w:val="22"/>
          <w:szCs w:val="22"/>
        </w:rPr>
        <w:t xml:space="preserve">Nursing and Midwifery Council (2018) </w:t>
      </w:r>
      <w:r w:rsidRPr="00E00BF5">
        <w:rPr>
          <w:rFonts w:ascii="Arial" w:hAnsi="Arial" w:eastAsia="Aptos" w:cs="Arial"/>
          <w:i/>
          <w:iCs/>
          <w:sz w:val="22"/>
          <w:szCs w:val="22"/>
        </w:rPr>
        <w:t>The Code: Professional standards of practice and behaviour for nurses, midwives, and nursing associates</w:t>
      </w:r>
      <w:r w:rsidRPr="00E00BF5">
        <w:rPr>
          <w:rFonts w:ascii="Arial" w:hAnsi="Arial" w:eastAsia="Aptos" w:cs="Arial"/>
          <w:sz w:val="22"/>
          <w:szCs w:val="22"/>
        </w:rPr>
        <w:t xml:space="preserve">. Available at: </w:t>
      </w:r>
      <w:hyperlink r:id="rId14">
        <w:r w:rsidRPr="00E00BF5">
          <w:rPr>
            <w:rStyle w:val="Hyperlink"/>
            <w:rFonts w:ascii="Arial" w:hAnsi="Arial" w:eastAsia="Aptos" w:cs="Arial"/>
            <w:sz w:val="22"/>
            <w:szCs w:val="22"/>
          </w:rPr>
          <w:t>https://www.nmc.org.uk/standards/code/</w:t>
        </w:r>
      </w:hyperlink>
      <w:r w:rsidRPr="00E00BF5">
        <w:rPr>
          <w:rFonts w:ascii="Arial" w:hAnsi="Arial" w:eastAsia="Aptos" w:cs="Arial"/>
          <w:sz w:val="22"/>
          <w:szCs w:val="22"/>
        </w:rPr>
        <w:t xml:space="preserve"> (Accessed: 12 September 2025).</w:t>
      </w:r>
    </w:p>
    <w:p w:rsidRPr="00E00BF5" w:rsidR="00721E6F" w:rsidRDefault="00E00BF5" w14:paraId="03D3A701" w14:textId="77777777">
      <w:pPr>
        <w:spacing w:before="240" w:after="240"/>
        <w:jc w:val="both"/>
        <w:rPr>
          <w:rFonts w:ascii="Arial" w:hAnsi="Arial" w:eastAsia="Aptos" w:cs="Arial"/>
          <w:sz w:val="22"/>
          <w:szCs w:val="22"/>
        </w:rPr>
      </w:pPr>
      <w:r w:rsidRPr="00E00BF5">
        <w:rPr>
          <w:rFonts w:ascii="Arial" w:hAnsi="Arial" w:eastAsia="Aptos" w:cs="Arial"/>
          <w:sz w:val="22"/>
          <w:szCs w:val="22"/>
        </w:rPr>
        <w:t xml:space="preserve">Skills for Care (2022) </w:t>
      </w:r>
      <w:r w:rsidRPr="00E00BF5">
        <w:rPr>
          <w:rFonts w:ascii="Arial" w:hAnsi="Arial" w:eastAsia="Aptos" w:cs="Arial"/>
          <w:i/>
          <w:iCs/>
          <w:sz w:val="22"/>
          <w:szCs w:val="22"/>
        </w:rPr>
        <w:t>Core values in adult social care</w:t>
      </w:r>
      <w:r w:rsidRPr="00E00BF5">
        <w:rPr>
          <w:rFonts w:ascii="Arial" w:hAnsi="Arial" w:eastAsia="Aptos" w:cs="Arial"/>
          <w:sz w:val="22"/>
          <w:szCs w:val="22"/>
        </w:rPr>
        <w:t xml:space="preserve">. Available at: </w:t>
      </w:r>
      <w:hyperlink r:id="rId15">
        <w:r w:rsidRPr="00E00BF5">
          <w:rPr>
            <w:rStyle w:val="Hyperlink"/>
            <w:rFonts w:ascii="Arial" w:hAnsi="Arial" w:eastAsia="Aptos" w:cs="Arial"/>
            <w:sz w:val="22"/>
            <w:szCs w:val="22"/>
          </w:rPr>
          <w:t>https://www.skillsforcare.org.uk/</w:t>
        </w:r>
      </w:hyperlink>
      <w:r w:rsidRPr="00E00BF5">
        <w:rPr>
          <w:rFonts w:ascii="Arial" w:hAnsi="Arial" w:eastAsia="Aptos" w:cs="Arial"/>
          <w:sz w:val="22"/>
          <w:szCs w:val="22"/>
        </w:rPr>
        <w:t xml:space="preserve"> (Accessed: 12 September 2025).</w:t>
      </w:r>
    </w:p>
    <w:p w:rsidRPr="00E00BF5" w:rsidR="00721E6F" w:rsidRDefault="00E00BF5" w14:paraId="21E44F75" w14:textId="77777777">
      <w:pPr>
        <w:spacing w:before="240" w:after="240"/>
        <w:jc w:val="both"/>
        <w:rPr>
          <w:rFonts w:ascii="Arial" w:hAnsi="Arial" w:eastAsia="Aptos" w:cs="Arial"/>
          <w:sz w:val="22"/>
          <w:szCs w:val="22"/>
        </w:rPr>
      </w:pPr>
      <w:r w:rsidRPr="00E00BF5">
        <w:rPr>
          <w:rFonts w:ascii="Arial" w:hAnsi="Arial" w:eastAsia="Aptos" w:cs="Arial"/>
          <w:sz w:val="22"/>
          <w:szCs w:val="22"/>
        </w:rPr>
        <w:lastRenderedPageBreak/>
        <w:t>Social Care Wales (n.d.) Dementia care and support learning and development implementation toolkit: Values and principles. Available at: https://socialcare.wales/resources-guidance/improving-care-and-support/people-with-dementia/dementia-care-and-support-learning-and-development-implementation-toolkit/1-values-and-principles (Accessed: 29 September 2025)</w:t>
      </w:r>
    </w:p>
    <w:p w:rsidRPr="00E00BF5" w:rsidR="00721E6F" w:rsidRDefault="00E00BF5" w14:paraId="2BAF28B1" w14:textId="77777777">
      <w:pPr>
        <w:spacing w:before="240" w:after="240"/>
        <w:jc w:val="both"/>
        <w:rPr>
          <w:rFonts w:ascii="Arial" w:hAnsi="Arial" w:eastAsia="Aptos" w:cs="Arial"/>
          <w:sz w:val="22"/>
          <w:szCs w:val="22"/>
        </w:rPr>
      </w:pPr>
      <w:proofErr w:type="spellStart"/>
      <w:r w:rsidRPr="00E00BF5">
        <w:rPr>
          <w:rFonts w:ascii="Arial" w:hAnsi="Arial" w:eastAsia="Aptos" w:cs="Arial"/>
          <w:sz w:val="22"/>
          <w:szCs w:val="22"/>
        </w:rPr>
        <w:t>Tilmouth</w:t>
      </w:r>
      <w:proofErr w:type="spellEnd"/>
      <w:r w:rsidRPr="00E00BF5">
        <w:rPr>
          <w:rFonts w:ascii="Arial" w:hAnsi="Arial" w:eastAsia="Aptos" w:cs="Arial"/>
          <w:sz w:val="22"/>
          <w:szCs w:val="22"/>
        </w:rPr>
        <w:t xml:space="preserve">, T., Davies, M. and Davies, D. (2011) </w:t>
      </w:r>
      <w:r w:rsidRPr="00E00BF5">
        <w:rPr>
          <w:rFonts w:ascii="Arial" w:hAnsi="Arial" w:eastAsia="Aptos" w:cs="Arial"/>
          <w:i/>
          <w:iCs/>
          <w:sz w:val="22"/>
          <w:szCs w:val="22"/>
        </w:rPr>
        <w:t>CACHE Level 3 Health and Social Care</w:t>
      </w:r>
      <w:r w:rsidRPr="00E00BF5">
        <w:rPr>
          <w:rFonts w:ascii="Arial" w:hAnsi="Arial" w:eastAsia="Aptos" w:cs="Arial"/>
          <w:sz w:val="22"/>
          <w:szCs w:val="22"/>
        </w:rPr>
        <w:t>. Cheltenham: Nelson Thornes.</w:t>
      </w:r>
    </w:p>
    <w:p w:rsidRPr="00E00BF5" w:rsidR="00721E6F" w:rsidRDefault="00E00BF5" w14:paraId="320EAA04" w14:textId="77777777">
      <w:pPr>
        <w:pStyle w:val="BodyText"/>
        <w:spacing w:before="240" w:after="240"/>
        <w:jc w:val="both"/>
        <w:rPr>
          <w:rFonts w:ascii="Arial" w:hAnsi="Arial" w:eastAsia="Aptos" w:cs="Arial"/>
          <w:sz w:val="22"/>
          <w:szCs w:val="22"/>
        </w:rPr>
      </w:pPr>
      <w:r w:rsidRPr="00E00BF5">
        <w:rPr>
          <w:rFonts w:ascii="Arial" w:hAnsi="Arial" w:eastAsia="Aptos" w:cs="Arial"/>
          <w:sz w:val="22"/>
          <w:szCs w:val="22"/>
        </w:rPr>
        <w:t xml:space="preserve">Think Teaching (n.d.) </w:t>
      </w:r>
      <w:r w:rsidRPr="00E00BF5">
        <w:rPr>
          <w:rStyle w:val="Emphasis"/>
          <w:rFonts w:ascii="Arial" w:hAnsi="Arial" w:eastAsia="Aptos" w:cs="Arial"/>
          <w:sz w:val="22"/>
          <w:szCs w:val="22"/>
        </w:rPr>
        <w:t>How to use the STAR method</w:t>
      </w:r>
      <w:r w:rsidRPr="00E00BF5">
        <w:rPr>
          <w:rFonts w:ascii="Arial" w:hAnsi="Arial" w:eastAsia="Aptos" w:cs="Arial"/>
          <w:sz w:val="22"/>
          <w:szCs w:val="22"/>
        </w:rPr>
        <w:t xml:space="preserve">. Available at: </w:t>
      </w:r>
      <w:hyperlink r:id="rId16">
        <w:r w:rsidRPr="00E00BF5">
          <w:rPr>
            <w:rStyle w:val="Hyperlink"/>
            <w:rFonts w:ascii="Arial" w:hAnsi="Arial" w:eastAsia="Aptos" w:cs="Arial"/>
            <w:sz w:val="22"/>
            <w:szCs w:val="22"/>
          </w:rPr>
          <w:t>https://www.thinkteaching.co.uk/star-method/</w:t>
        </w:r>
      </w:hyperlink>
      <w:r w:rsidRPr="00E00BF5">
        <w:rPr>
          <w:rFonts w:ascii="Arial" w:hAnsi="Arial" w:eastAsia="Aptos" w:cs="Arial"/>
          <w:sz w:val="22"/>
          <w:szCs w:val="22"/>
        </w:rPr>
        <w:t xml:space="preserve"> (Accessed: 29 September 2025)</w:t>
      </w:r>
    </w:p>
    <w:p w:rsidRPr="00E00BF5" w:rsidR="00721E6F" w:rsidRDefault="00E00BF5" w14:paraId="1F02F059" w14:textId="77777777">
      <w:pPr>
        <w:spacing w:before="240" w:after="240"/>
        <w:jc w:val="both"/>
        <w:rPr>
          <w:rFonts w:ascii="Arial" w:hAnsi="Arial" w:eastAsia="Aptos" w:cs="Arial"/>
          <w:sz w:val="22"/>
          <w:szCs w:val="22"/>
        </w:rPr>
      </w:pPr>
      <w:r w:rsidRPr="00E00BF5">
        <w:rPr>
          <w:rFonts w:ascii="Arial" w:hAnsi="Arial" w:eastAsia="Aptos" w:cs="Arial"/>
          <w:sz w:val="22"/>
          <w:szCs w:val="22"/>
        </w:rPr>
        <w:t xml:space="preserve">University of Gothenburg Centre for Person-Centred Care (GPCC) (2017) </w:t>
      </w:r>
      <w:r w:rsidRPr="00E00BF5">
        <w:rPr>
          <w:rFonts w:ascii="Arial" w:hAnsi="Arial" w:eastAsia="Aptos" w:cs="Arial"/>
          <w:i/>
          <w:iCs/>
          <w:sz w:val="22"/>
          <w:szCs w:val="22"/>
        </w:rPr>
        <w:t>The Realities of Partnership in Person-Centred Care: A Qualitative Study</w:t>
      </w:r>
      <w:r w:rsidRPr="00E00BF5">
        <w:rPr>
          <w:rFonts w:ascii="Arial" w:hAnsi="Arial" w:eastAsia="Aptos" w:cs="Arial"/>
          <w:sz w:val="22"/>
          <w:szCs w:val="22"/>
        </w:rPr>
        <w:t xml:space="preserve">. </w:t>
      </w:r>
      <w:r w:rsidRPr="00E00BF5">
        <w:rPr>
          <w:rFonts w:ascii="Arial" w:hAnsi="Arial" w:eastAsia="Aptos" w:cs="Arial"/>
          <w:i/>
          <w:iCs/>
          <w:sz w:val="22"/>
          <w:szCs w:val="22"/>
        </w:rPr>
        <w:t>BMJ Open</w:t>
      </w:r>
      <w:r w:rsidRPr="00E00BF5">
        <w:rPr>
          <w:rFonts w:ascii="Arial" w:hAnsi="Arial" w:eastAsia="Aptos" w:cs="Arial"/>
          <w:sz w:val="22"/>
          <w:szCs w:val="22"/>
        </w:rPr>
        <w:t xml:space="preserve">, 7(7), e016491. Available at: </w:t>
      </w:r>
      <w:hyperlink r:id="rId17">
        <w:r w:rsidRPr="00E00BF5">
          <w:rPr>
            <w:rStyle w:val="Hyperlink"/>
            <w:rFonts w:ascii="Arial" w:hAnsi="Arial" w:eastAsia="Aptos" w:cs="Arial"/>
            <w:sz w:val="22"/>
            <w:szCs w:val="22"/>
          </w:rPr>
          <w:t>https://bmjopen.bmj.com/content/7/7/e016491</w:t>
        </w:r>
      </w:hyperlink>
      <w:r w:rsidRPr="00E00BF5">
        <w:rPr>
          <w:rFonts w:ascii="Arial" w:hAnsi="Arial" w:eastAsia="Aptos" w:cs="Arial"/>
          <w:sz w:val="22"/>
          <w:szCs w:val="22"/>
        </w:rPr>
        <w:t xml:space="preserve"> (Accessed: 12 September 2025).</w:t>
      </w:r>
    </w:p>
    <w:p w:rsidR="00721E6F" w:rsidRDefault="00721E6F" w14:paraId="1F72F646" w14:textId="77777777"/>
    <w:sectPr w:rsidR="00721E6F">
      <w:headerReference w:type="even" r:id="rId18"/>
      <w:headerReference w:type="default" r:id="rId19"/>
      <w:footerReference w:type="even" r:id="rId20"/>
      <w:footerReference w:type="default" r:id="rId21"/>
      <w:headerReference w:type="first" r:id="rId22"/>
      <w:footerReference w:type="first" r:id="rId23"/>
      <w:pgSz w:w="12240" w:h="15840" w:orient="portrait"/>
      <w:pgMar w:top="1440" w:right="1440" w:bottom="1440" w:left="1440" w:header="720" w:footer="720" w:gutter="0"/>
      <w:cols w:space="720"/>
      <w:formProt w:val="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E00BF5" w:rsidRDefault="00E00BF5" w14:paraId="1C3D00C2" w14:textId="77777777">
      <w:pPr>
        <w:spacing w:after="0" w:line="240" w:lineRule="auto"/>
      </w:pPr>
      <w:r>
        <w:separator/>
      </w:r>
    </w:p>
  </w:endnote>
  <w:endnote w:type="continuationSeparator" w:id="0">
    <w:p w:rsidR="00E00BF5" w:rsidRDefault="00E00BF5" w14:paraId="453221A9"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 w:name="SimHei">
    <w:altName w:val="黑体"/>
    <w:panose1 w:val="02010609060101010101"/>
    <w:charset w:val="86"/>
    <w:family w:val="modern"/>
    <w:pitch w:val="fixed"/>
    <w:sig w:usb0="800002BF" w:usb1="38CF7CFA"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Liberation Sans">
    <w:altName w:val="Arial"/>
    <w:charset w:val="00"/>
    <w:family w:val="swiss"/>
    <w:pitch w:val="variable"/>
  </w:font>
  <w:font w:name="Microsoft YaHei">
    <w:panose1 w:val="020B0503020204020204"/>
    <w:charset w:val="86"/>
    <w:family w:val="swiss"/>
    <w:pitch w:val="variable"/>
    <w:sig w:usb0="80000287" w:usb1="2ACF3C50" w:usb2="00000016" w:usb3="00000000" w:csb0="0004001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721E6F" w:rsidRDefault="00721E6F" w14:paraId="07459315"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24689931"/>
      <w:docPartObj>
        <w:docPartGallery w:val="Page Numbers (Bottom of Page)"/>
        <w:docPartUnique/>
      </w:docPartObj>
    </w:sdtPr>
    <w:sdtEndPr/>
    <w:sdtContent>
      <w:p w:rsidR="00721E6F" w:rsidRDefault="00E00BF5" w14:paraId="4F2BFEFC" w14:textId="77777777">
        <w:pPr>
          <w:pStyle w:val="Footer"/>
          <w:jc w:val="center"/>
        </w:pPr>
        <w:r>
          <w:fldChar w:fldCharType="begin"/>
        </w:r>
        <w:r>
          <w:instrText xml:space="preserve"> PAGE </w:instrText>
        </w:r>
        <w:r>
          <w:fldChar w:fldCharType="separate"/>
        </w:r>
        <w:r>
          <w:t>8</w:t>
        </w:r>
        <w:r>
          <w:fldChar w:fldCharType="end"/>
        </w:r>
      </w:p>
    </w:sdtContent>
  </w:sdt>
  <w:p w:rsidR="00721E6F" w:rsidRDefault="00721E6F" w14:paraId="6537F28F"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721E6F" w:rsidRDefault="00721E6F" w14:paraId="6DFB9E20"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E00BF5" w:rsidRDefault="00E00BF5" w14:paraId="4D2C5A77" w14:textId="77777777">
      <w:pPr>
        <w:spacing w:after="0" w:line="240" w:lineRule="auto"/>
      </w:pPr>
      <w:r>
        <w:separator/>
      </w:r>
    </w:p>
  </w:footnote>
  <w:footnote w:type="continuationSeparator" w:id="0">
    <w:p w:rsidR="00E00BF5" w:rsidRDefault="00E00BF5" w14:paraId="294D813C"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721E6F" w:rsidRDefault="00721E6F" w14:paraId="08CE6F91"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9360" w:type="dxa"/>
      <w:tblLayout w:type="fixed"/>
      <w:tblLook w:val="06A0" w:firstRow="1" w:lastRow="0" w:firstColumn="1" w:lastColumn="0" w:noHBand="1" w:noVBand="1"/>
    </w:tblPr>
    <w:tblGrid>
      <w:gridCol w:w="3120"/>
      <w:gridCol w:w="3120"/>
      <w:gridCol w:w="3120"/>
    </w:tblGrid>
    <w:tr w:rsidR="00721E6F" w14:paraId="61CDCEAD" w14:textId="77777777">
      <w:trPr>
        <w:trHeight w:val="300"/>
      </w:trPr>
      <w:tc>
        <w:tcPr>
          <w:tcW w:w="3120" w:type="dxa"/>
        </w:tcPr>
        <w:p w:rsidR="00721E6F" w:rsidRDefault="00721E6F" w14:paraId="6BB9E253" w14:textId="77777777">
          <w:pPr>
            <w:pStyle w:val="Header"/>
            <w:ind w:left="-115"/>
          </w:pPr>
        </w:p>
      </w:tc>
      <w:tc>
        <w:tcPr>
          <w:tcW w:w="3120" w:type="dxa"/>
        </w:tcPr>
        <w:p w:rsidR="00721E6F" w:rsidRDefault="00721E6F" w14:paraId="23DE523C" w14:textId="77777777">
          <w:pPr>
            <w:pStyle w:val="Header"/>
            <w:jc w:val="center"/>
          </w:pPr>
        </w:p>
      </w:tc>
      <w:tc>
        <w:tcPr>
          <w:tcW w:w="3120" w:type="dxa"/>
        </w:tcPr>
        <w:p w:rsidR="00721E6F" w:rsidRDefault="00721E6F" w14:paraId="52E56223" w14:textId="77777777">
          <w:pPr>
            <w:pStyle w:val="Header"/>
            <w:ind w:right="-115"/>
            <w:jc w:val="right"/>
          </w:pPr>
        </w:p>
      </w:tc>
    </w:tr>
  </w:tbl>
  <w:p w:rsidR="00721E6F" w:rsidRDefault="00721E6F" w14:paraId="07547A01" w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721E6F" w:rsidRDefault="00721E6F" w14:paraId="5043CB0F" w14:textId="77777777">
    <w:pPr>
      <w:pStyle w:val="Header"/>
    </w:pPr>
  </w:p>
</w:hdr>
</file>

<file path=word/intelligence2.xml><?xml version="1.0" encoding="utf-8"?>
<int2:intelligence xmlns:int2="http://schemas.microsoft.com/office/intelligence/2020/intelligence" xmlns:oel="http://schemas.microsoft.com/office/2019/extlst">
  <int2:observations>
    <int2:textHash int2:hashCode="o9cLZHMH+WCC7S" int2:id="OAMamvWD">
      <int2:state int2:value="Rejected" int2:type="spell"/>
    </int2:textHash>
    <int2:textHash int2:hashCode="Y7rxyEYEGk+h8X" int2:id="xfQtc8qc">
      <int2:state int2:value="Rejected" int2:type="spell"/>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autoHyphenation/>
  <w:hyphenationZone w:val="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512ADD73"/>
    <w:rsid w:val="00721E6F"/>
    <w:rsid w:val="00C0B64A"/>
    <w:rsid w:val="00E00BF5"/>
    <w:rsid w:val="00F1786E"/>
    <w:rsid w:val="081F8C6B"/>
    <w:rsid w:val="088B0063"/>
    <w:rsid w:val="0BF0D03D"/>
    <w:rsid w:val="0C08CE19"/>
    <w:rsid w:val="0F1E5829"/>
    <w:rsid w:val="1475C4D9"/>
    <w:rsid w:val="15FB75E4"/>
    <w:rsid w:val="163C80AB"/>
    <w:rsid w:val="1ADA66F8"/>
    <w:rsid w:val="24117C6F"/>
    <w:rsid w:val="24A8B1DB"/>
    <w:rsid w:val="24D9DA9F"/>
    <w:rsid w:val="25B4AFAE"/>
    <w:rsid w:val="29E7CC8B"/>
    <w:rsid w:val="2C2A1CF9"/>
    <w:rsid w:val="2FCB1698"/>
    <w:rsid w:val="3075EF84"/>
    <w:rsid w:val="31901F15"/>
    <w:rsid w:val="32E4EE3E"/>
    <w:rsid w:val="33553F0B"/>
    <w:rsid w:val="33C8B524"/>
    <w:rsid w:val="348679FD"/>
    <w:rsid w:val="36A81759"/>
    <w:rsid w:val="37454B3A"/>
    <w:rsid w:val="3D6F2F09"/>
    <w:rsid w:val="3D9902F6"/>
    <w:rsid w:val="41146EA1"/>
    <w:rsid w:val="42B227BE"/>
    <w:rsid w:val="43C44E2F"/>
    <w:rsid w:val="443EB065"/>
    <w:rsid w:val="46509415"/>
    <w:rsid w:val="47A5FE14"/>
    <w:rsid w:val="4BC31983"/>
    <w:rsid w:val="4D6D2AC3"/>
    <w:rsid w:val="4E4890BF"/>
    <w:rsid w:val="5006CDDB"/>
    <w:rsid w:val="512ADD73"/>
    <w:rsid w:val="52FADA11"/>
    <w:rsid w:val="550A51CD"/>
    <w:rsid w:val="5AC23194"/>
    <w:rsid w:val="5C420866"/>
    <w:rsid w:val="5C9CBD58"/>
    <w:rsid w:val="63DB4270"/>
    <w:rsid w:val="68A23C4C"/>
    <w:rsid w:val="6AA2447A"/>
    <w:rsid w:val="6C0ECD32"/>
    <w:rsid w:val="6EF47FA0"/>
    <w:rsid w:val="6FDF02E5"/>
    <w:rsid w:val="6FEC0471"/>
    <w:rsid w:val="70D14C84"/>
    <w:rsid w:val="749FFD70"/>
    <w:rsid w:val="7785AA56"/>
    <w:rsid w:val="78CA1400"/>
    <w:rsid w:val="78D3B6CD"/>
    <w:rsid w:val="7DD3A532"/>
  </w:rsids>
  <m:mathPr>
    <m:mathFont m:val="Cambria Math"/>
    <m:brkBin m:val="before"/>
    <m:brkBinSub m:val="--"/>
    <m:smallFrac m:val="0"/>
    <m:dispDef/>
    <m:lMargin m:val="0"/>
    <m:rMargin m:val="0"/>
    <m:defJc m:val="centerGroup"/>
    <m:wrapIndent m:val="1440"/>
    <m:intLim m:val="subSup"/>
    <m:naryLim m:val="undOvr"/>
  </m:mathPr>
  <w:themeFontLang w:val="en-US" w:eastAsia="zh-CN"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8F119"/>
  <w15:docId w15:val="{1EF2A8F4-D1C8-4D78-9BBC-AFD336C335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uppressAutoHyphens/>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6DB58CA1"/>
    <w:pPr>
      <w:spacing w:after="160" w:line="278" w:lineRule="auto"/>
    </w:pPr>
    <w:rPr>
      <w:lang w:val="en-GB"/>
    </w:rPr>
  </w:style>
  <w:style w:type="paragraph" w:styleId="Heading1">
    <w:name w:val="heading 1"/>
    <w:basedOn w:val="Normal"/>
    <w:next w:val="Normal"/>
    <w:link w:val="Heading1Char"/>
    <w:uiPriority w:val="9"/>
    <w:qFormat/>
    <w:rsid w:val="00B72807"/>
    <w:pPr>
      <w:keepNext/>
      <w:keepLines/>
      <w:spacing w:before="240" w:after="0"/>
      <w:outlineLvl w:val="0"/>
    </w:pPr>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uiPriority w:val="9"/>
    <w:unhideWhenUsed/>
    <w:qFormat/>
    <w:rsid w:val="6DB58CA1"/>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6DB58CA1"/>
    <w:rPr>
      <w:color w:val="467886"/>
      <w:u w:val="single"/>
    </w:rPr>
  </w:style>
  <w:style w:type="character" w:styleId="Heading1Char" w:customStyle="1">
    <w:name w:val="Heading 1 Char"/>
    <w:basedOn w:val="DefaultParagraphFont"/>
    <w:link w:val="Heading1"/>
    <w:uiPriority w:val="9"/>
    <w:qFormat/>
    <w:rsid w:val="00B72807"/>
    <w:rPr>
      <w:rFonts w:asciiTheme="majorHAnsi" w:hAnsiTheme="majorHAnsi" w:eastAsiaTheme="majorEastAsia" w:cstheme="majorBidi"/>
      <w:color w:val="0F4761" w:themeColor="accent1" w:themeShade="BF"/>
      <w:sz w:val="32"/>
      <w:szCs w:val="32"/>
      <w:lang w:val="en-GB"/>
    </w:rPr>
  </w:style>
  <w:style w:type="character" w:styleId="FooterChar" w:customStyle="1">
    <w:name w:val="Footer Char"/>
    <w:basedOn w:val="DefaultParagraphFont"/>
    <w:link w:val="Footer"/>
    <w:uiPriority w:val="99"/>
    <w:qFormat/>
    <w:rsid w:val="008A41EC"/>
    <w:rPr>
      <w:lang w:val="en-GB"/>
    </w:rPr>
  </w:style>
  <w:style w:type="character" w:styleId="IndexLink" w:customStyle="1">
    <w:name w:val="Index Link"/>
    <w:qFormat/>
  </w:style>
  <w:style w:type="character" w:styleId="Emphasis">
    <w:name w:val="Emphasis"/>
    <w:qFormat/>
    <w:rPr>
      <w:i/>
      <w:iCs/>
    </w:rPr>
  </w:style>
  <w:style w:type="paragraph" w:styleId="Heading" w:customStyle="1">
    <w:name w:val="Heading"/>
    <w:basedOn w:val="Normal"/>
    <w:next w:val="BodyText"/>
    <w:qFormat/>
    <w:pPr>
      <w:keepNext/>
      <w:spacing w:before="240" w:after="120"/>
    </w:pPr>
    <w:rPr>
      <w:rFonts w:ascii="Liberation Sans" w:hAnsi="Liberation Sans" w:eastAsia="Microsoft YaHei" w:cs="Arial"/>
      <w:sz w:val="28"/>
      <w:szCs w:val="28"/>
    </w:rPr>
  </w:style>
  <w:style w:type="paragraph" w:styleId="BodyText">
    <w:name w:val="Body Text"/>
    <w:basedOn w:val="Normal"/>
    <w:pPr>
      <w:spacing w:after="140" w:line="276" w:lineRule="auto"/>
    </w:pPr>
  </w:style>
  <w:style w:type="paragraph" w:styleId="List">
    <w:name w:val="List"/>
    <w:basedOn w:val="BodyText"/>
    <w:rPr>
      <w:rFonts w:cs="Arial"/>
    </w:rPr>
  </w:style>
  <w:style w:type="paragraph" w:styleId="Caption">
    <w:name w:val="caption"/>
    <w:basedOn w:val="Normal"/>
    <w:qFormat/>
    <w:pPr>
      <w:suppressLineNumbers/>
      <w:spacing w:before="120" w:after="120"/>
    </w:pPr>
    <w:rPr>
      <w:rFonts w:cs="Arial"/>
      <w:i/>
      <w:iCs/>
    </w:rPr>
  </w:style>
  <w:style w:type="paragraph" w:styleId="Index" w:customStyle="1">
    <w:name w:val="Index"/>
    <w:basedOn w:val="Normal"/>
    <w:qFormat/>
    <w:pPr>
      <w:suppressLineNumbers/>
    </w:pPr>
    <w:rPr>
      <w:rFonts w:cs="Arial"/>
    </w:rPr>
  </w:style>
  <w:style w:type="paragraph" w:styleId="HeaderandFooter" w:customStyle="1">
    <w:name w:val="Header and Footer"/>
    <w:basedOn w:val="Normal"/>
    <w:qFormat/>
  </w:style>
  <w:style w:type="paragraph" w:styleId="Header">
    <w:name w:val="header"/>
    <w:basedOn w:val="Normal"/>
    <w:uiPriority w:val="99"/>
    <w:unhideWhenUsed/>
    <w:rsid w:val="6DB58CA1"/>
    <w:pPr>
      <w:tabs>
        <w:tab w:val="center" w:pos="4680"/>
        <w:tab w:val="right" w:pos="9360"/>
      </w:tabs>
      <w:spacing w:after="0" w:line="240" w:lineRule="auto"/>
    </w:pPr>
  </w:style>
  <w:style w:type="paragraph" w:styleId="Footer">
    <w:name w:val="footer"/>
    <w:basedOn w:val="Normal"/>
    <w:link w:val="FooterChar"/>
    <w:uiPriority w:val="99"/>
    <w:unhideWhenUsed/>
    <w:rsid w:val="6DB58CA1"/>
    <w:pPr>
      <w:tabs>
        <w:tab w:val="center" w:pos="4680"/>
        <w:tab w:val="right" w:pos="9360"/>
      </w:tabs>
      <w:spacing w:after="0" w:line="240" w:lineRule="auto"/>
    </w:pPr>
  </w:style>
  <w:style w:type="paragraph" w:styleId="ListParagraph">
    <w:name w:val="List Paragraph"/>
    <w:basedOn w:val="Normal"/>
    <w:uiPriority w:val="34"/>
    <w:qFormat/>
    <w:rsid w:val="6DB58CA1"/>
    <w:pPr>
      <w:ind w:left="720"/>
      <w:contextualSpacing/>
    </w:pPr>
  </w:style>
  <w:style w:type="paragraph" w:styleId="IndexHeading">
    <w:name w:val="index heading"/>
    <w:basedOn w:val="Heading"/>
  </w:style>
  <w:style w:type="paragraph" w:styleId="TOCHeading">
    <w:name w:val="TOC Heading"/>
    <w:basedOn w:val="Heading1"/>
    <w:next w:val="Normal"/>
    <w:uiPriority w:val="39"/>
    <w:unhideWhenUsed/>
    <w:qFormat/>
    <w:rsid w:val="00B72807"/>
    <w:pPr>
      <w:spacing w:line="259" w:lineRule="auto"/>
      <w:outlineLvl w:val="9"/>
    </w:pPr>
    <w:rPr>
      <w:lang w:val="en-US" w:eastAsia="en-US"/>
    </w:rPr>
  </w:style>
  <w:style w:type="paragraph" w:styleId="TOC2">
    <w:name w:val="toc 2"/>
    <w:basedOn w:val="Normal"/>
    <w:next w:val="Normal"/>
    <w:autoRedefine/>
    <w:uiPriority w:val="39"/>
    <w:unhideWhenUsed/>
    <w:rsid w:val="00B72807"/>
    <w:pPr>
      <w:spacing w:after="100"/>
      <w:ind w:left="240"/>
    </w:pPr>
  </w:style>
  <w:style w:type="table" w:styleId="TableGrid">
    <w:name w:val="Table Grid"/>
    <w:basedOn w:val="TableNormal"/>
    <w:uiPriority w:val="59"/>
    <w:rsid w:val="00FB4123"/>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hyperlink" Target="https://www.legislation.gov.uk/ukpga/2014/23/contents/enacted" TargetMode="External" Id="rId8" /><Relationship Type="http://schemas.openxmlformats.org/officeDocument/2006/relationships/hyperlink" Target="https://www.england.nhs.uk/integratedcare/" TargetMode="External" Id="rId13" /><Relationship Type="http://schemas.openxmlformats.org/officeDocument/2006/relationships/header" Target="header1.xml" Id="rId18" /><Relationship Type="http://schemas.microsoft.com/office/2020/10/relationships/intelligence" Target="intelligence2.xml" Id="rId26" /><Relationship Type="http://schemas.openxmlformats.org/officeDocument/2006/relationships/settings" Target="settings.xml" Id="rId3" /><Relationship Type="http://schemas.openxmlformats.org/officeDocument/2006/relationships/footer" Target="footer2.xml" Id="rId21" /><Relationship Type="http://schemas.openxmlformats.org/officeDocument/2006/relationships/hyperlink" Target="https://www.cqc.org.uk/guidance-providers/regulations-enforcement/regulation-9-person-centred-care" TargetMode="External" Id="rId7" /><Relationship Type="http://schemas.openxmlformats.org/officeDocument/2006/relationships/hyperlink" Target="https://bmjopen.bmj.com/content/7/7/e016491" TargetMode="External" Id="rId17" /><Relationship Type="http://schemas.openxmlformats.org/officeDocument/2006/relationships/theme" Target="theme/theme1.xml" Id="rId25" /><Relationship Type="http://schemas.openxmlformats.org/officeDocument/2006/relationships/styles" Target="styles.xml" Id="rId2" /><Relationship Type="http://schemas.openxmlformats.org/officeDocument/2006/relationships/hyperlink" Target="https://www.thinkteaching.co.uk/star-method/" TargetMode="External" Id="rId16" /><Relationship Type="http://schemas.openxmlformats.org/officeDocument/2006/relationships/footer" Target="footer1.xml" Id="rId20"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hyperlink" Target="https://www.legislation.gov.uk/ukpga/2005/9/contents" TargetMode="External" Id="rId11" /><Relationship Type="http://schemas.openxmlformats.org/officeDocument/2006/relationships/fontTable" Target="fontTable.xml" Id="rId24" /><Relationship Type="http://schemas.openxmlformats.org/officeDocument/2006/relationships/footnotes" Target="footnotes.xml" Id="rId5" /><Relationship Type="http://schemas.openxmlformats.org/officeDocument/2006/relationships/hyperlink" Target="https://www.skillsforcare.org.uk/" TargetMode="External" Id="rId15" /><Relationship Type="http://schemas.openxmlformats.org/officeDocument/2006/relationships/footer" Target="footer3.xml" Id="rId23" /><Relationship Type="http://schemas.openxmlformats.org/officeDocument/2006/relationships/hyperlink" Target="https://www.health.org.uk/publications/person-centred-care-made-simple" TargetMode="External" Id="rId10" /><Relationship Type="http://schemas.openxmlformats.org/officeDocument/2006/relationships/header" Target="header2.xml" Id="rId19" /><Relationship Type="http://schemas.openxmlformats.org/officeDocument/2006/relationships/webSettings" Target="webSettings.xml" Id="rId4" /><Relationship Type="http://schemas.openxmlformats.org/officeDocument/2006/relationships/hyperlink" Target="https://www.hee.nhs.uk/our-work/person-centred-care" TargetMode="External" Id="rId9" /><Relationship Type="http://schemas.openxmlformats.org/officeDocument/2006/relationships/hyperlink" Target="https://www.nmc.org.uk/standards/code/" TargetMode="External" Id="rId14" /><Relationship Type="http://schemas.openxmlformats.org/officeDocument/2006/relationships/header" Target="header3.xml" Id="rId22" /><Relationship Type="http://schemas.openxmlformats.org/officeDocument/2006/relationships/hyperlink" Target="https://www.nice.org.uk/guidance/ng97" TargetMode="External" Id="Rdbc01b8c01f747e9" /><Relationship Type="http://schemas.openxmlformats.org/officeDocument/2006/relationships/hyperlink" Target="https://www.nice.org.uk/about-us/our-principles" TargetMode="External" Id="R5af573ebc0d047cb" /></Relationships>
</file>

<file path=word/theme/theme1.xml><?xml version="1.0" encoding="utf-8"?>
<a:theme xmlns:a="http://schemas.openxmlformats.org/drawingml/2006/main" name="Office Theme">
  <a:themeElements>
    <a:clrScheme name="Office">
      <a:dk1>
        <a:srgbClr val="000000"/>
      </a:dk1>
      <a:lt1>
        <a:srgbClr val="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majorFont>
      <a:minorFont>
        <a:latin typeface="Aptos" panose="02110004020202020204"/>
        <a:ea typeface=""/>
        <a:cs typeface=""/>
      </a:minorFont>
    </a:fontScheme>
    <a:fmtScheme>
      <a:fillStyleLst>
        <a:solidFill>
          <a:schemeClr val="phClr"/>
        </a:solidFill>
        <a:gradFill>
          <a:gsLst>
            <a:gs pos="0">
              <a:schemeClr val="phClr">
                <a:lumMod val="110000"/>
                <a:tint val="67000"/>
              </a:schemeClr>
            </a:gs>
            <a:gs pos="50000">
              <a:schemeClr val="phClr">
                <a:lumMod val="105000"/>
                <a:tint val="73000"/>
              </a:schemeClr>
            </a:gs>
            <a:gs pos="100000">
              <a:schemeClr val="phClr">
                <a:lumMod val="105000"/>
                <a:tint val="81000"/>
              </a:schemeClr>
            </a:gs>
          </a:gsLst>
          <a:lin ang="5400000" scaled="0"/>
          <a:tileRect/>
        </a:gradFill>
        <a:gradFill>
          <a:gsLst>
            <a:gs pos="0">
              <a:schemeClr val="phClr">
                <a:lumMod val="102000"/>
                <a:tint val="94000"/>
              </a:schemeClr>
            </a:gs>
            <a:gs pos="50000">
              <a:schemeClr val="phClr">
                <a:lumMod val="100000"/>
                <a:shade val="100000"/>
              </a:schemeClr>
            </a:gs>
            <a:gs pos="100000">
              <a:schemeClr val="phClr">
                <a:lumMod val="99000"/>
                <a:shade val="78000"/>
              </a:schemeClr>
            </a:gs>
          </a:gsLst>
          <a:lin ang="5400000" scaled="0"/>
          <a:tileRect/>
        </a:gradFill>
      </a:fillStyleLst>
      <a:lnStyleLst>
        <a:ln w="6350" cap="flat" cmpd="sng" algn="ctr">
          <a:prstDash val="solid"/>
          <a:miter lim="800000"/>
        </a:ln>
        <a:ln w="12700" cap="flat" cmpd="sng" algn="ctr">
          <a:prstDash val="solid"/>
          <a:miter lim="800000"/>
        </a:ln>
        <a:ln w="19050" cap="flat" cmpd="sng" algn="ctr">
          <a:prstDash val="solid"/>
          <a:miter lim="800000"/>
        </a:ln>
      </a:lnStyleLst>
      <a:effectStyleLst>
        <a:effectStyle>
          <a:effectLst/>
        </a:effectStyle>
        <a:effectStyle>
          <a:effectLst/>
        </a:effectStyle>
        <a:effectStyle>
          <a:effectLst/>
        </a:effectStyle>
      </a:effectStyleLst>
      <a:bgFillStyleLst>
        <a:solidFill>
          <a:schemeClr val="phClr"/>
        </a:solidFill>
        <a:solidFill>
          <a:schemeClr val="phClr">
            <a:tint val="95000"/>
          </a:schemeClr>
        </a:solidFill>
        <a:gradFill>
          <a:gsLst>
            <a:gs pos="0">
              <a:schemeClr val="phClr">
                <a:tint val="93000"/>
                <a:shade val="98000"/>
                <a:lumMod val="102000"/>
              </a:schemeClr>
            </a:gs>
            <a:gs pos="50000">
              <a:schemeClr val="phClr">
                <a:tint val="98000"/>
                <a:shade val="90000"/>
                <a:lumMod val="103000"/>
              </a:schemeClr>
            </a:gs>
            <a:gs pos="100000">
              <a:schemeClr val="phClr">
                <a:shade val="63000"/>
              </a:schemeClr>
            </a:gs>
          </a:gsLst>
          <a:lin ang="5400000" scaled="0"/>
          <a:tileRect/>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6295A3-449D-4924-8C14-005FFDBC0B34}">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Nichola Timothy (2407528)</dc:creator>
  <dc:description/>
  <lastModifiedBy>Nichola Timothy (2407528)</lastModifiedBy>
  <revision>4</revision>
  <dcterms:created xsi:type="dcterms:W3CDTF">2025-10-01T08:45:00.0000000Z</dcterms:created>
  <dcterms:modified xsi:type="dcterms:W3CDTF">2025-10-22T16:30:48.1706029Z</dcterms:modified>
  <dc:language>en-GB</dc:language>
</coreProperties>
</file>