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Bdr>
          <w:top w:color="000000" w:space="1" w:sz="4" w:val="single"/>
          <w:left w:color="000000" w:space="4" w:sz="4" w:val="single"/>
          <w:bottom w:color="000000" w:space="1" w:sz="4" w:val="single"/>
          <w:right w:color="000000" w:space="4" w:sz="4" w:val="single"/>
        </w:pBdr>
        <w:jc w:val="center"/>
        <w:rPr>
          <w:b w:val="1"/>
          <w:bCs w:val="1"/>
          <w:i w:val="1"/>
          <w:iCs w:val="1"/>
          <w:sz w:val="36"/>
          <w:szCs w:val="36"/>
        </w:rPr>
      </w:pPr>
      <w:r w:rsidDel="00000000" w:rsidR="00000000" w:rsidRPr="00000000">
        <w:rPr>
          <w:b w:val="1"/>
          <w:bCs w:val="1"/>
          <w:i w:val="1"/>
          <w:iCs w:val="1"/>
          <w:sz w:val="36"/>
          <w:szCs w:val="36"/>
          <w:rtl w:val="0"/>
        </w:rPr>
        <w:t xml:space="preserve">Name: Afsa Hussain</w:t>
      </w:r>
    </w:p>
    <w:p w:rsidR="00000000" w:rsidDel="00000000" w:rsidP="00000000" w:rsidRDefault="00000000" w:rsidRPr="00000000" w14:paraId="00000005">
      <w:pPr>
        <w:pBdr>
          <w:top w:color="000000" w:space="1" w:sz="4" w:val="single"/>
          <w:left w:color="000000" w:space="4" w:sz="4" w:val="single"/>
          <w:bottom w:color="000000" w:space="1" w:sz="4" w:val="single"/>
          <w:right w:color="000000" w:space="4" w:sz="4" w:val="single"/>
        </w:pBdr>
        <w:jc w:val="center"/>
        <w:rPr>
          <w:b w:val="1"/>
          <w:bCs w:val="1"/>
          <w:i w:val="1"/>
          <w:iCs w:val="1"/>
          <w:sz w:val="36"/>
          <w:szCs w:val="36"/>
        </w:rPr>
      </w:pPr>
      <w:r w:rsidDel="00000000" w:rsidR="00000000" w:rsidRPr="00000000">
        <w:rPr>
          <w:b w:val="1"/>
          <w:bCs w:val="1"/>
          <w:i w:val="1"/>
          <w:iCs w:val="1"/>
          <w:sz w:val="36"/>
          <w:szCs w:val="36"/>
          <w:rtl w:val="0"/>
        </w:rPr>
        <w:t xml:space="preserve">Student Number: 2016500</w:t>
      </w:r>
    </w:p>
    <w:p w:rsidR="00000000" w:rsidDel="00000000" w:rsidP="00000000" w:rsidRDefault="00000000" w:rsidRPr="00000000" w14:paraId="00000006">
      <w:pPr>
        <w:pBdr>
          <w:top w:color="000000" w:space="1" w:sz="4" w:val="single"/>
          <w:left w:color="000000" w:space="4" w:sz="4" w:val="single"/>
          <w:bottom w:color="000000" w:space="1" w:sz="4" w:val="single"/>
          <w:right w:color="000000" w:space="4" w:sz="4" w:val="single"/>
        </w:pBdr>
        <w:jc w:val="center"/>
        <w:rPr>
          <w:b w:val="1"/>
          <w:bCs w:val="1"/>
          <w:i w:val="1"/>
          <w:iCs w:val="1"/>
          <w:sz w:val="36"/>
          <w:szCs w:val="36"/>
        </w:rPr>
      </w:pPr>
      <w:r w:rsidDel="00000000" w:rsidR="00000000" w:rsidRPr="00000000">
        <w:rPr>
          <w:b w:val="1"/>
          <w:bCs w:val="1"/>
          <w:i w:val="1"/>
          <w:iCs w:val="1"/>
          <w:sz w:val="36"/>
          <w:szCs w:val="36"/>
          <w:rtl w:val="0"/>
        </w:rPr>
        <w:t xml:space="preserve">Lecturer Name: Rizwan Nadim</w:t>
      </w:r>
    </w:p>
    <w:p w:rsidR="00000000" w:rsidDel="00000000" w:rsidP="00000000" w:rsidRDefault="00000000" w:rsidRPr="00000000" w14:paraId="00000007">
      <w:pPr>
        <w:pBdr>
          <w:top w:color="000000" w:space="1" w:sz="4" w:val="single"/>
          <w:left w:color="000000" w:space="4" w:sz="4" w:val="single"/>
          <w:bottom w:color="000000" w:space="1" w:sz="4" w:val="single"/>
          <w:right w:color="000000" w:space="4" w:sz="4" w:val="single"/>
        </w:pBdr>
        <w:jc w:val="center"/>
        <w:rPr>
          <w:b w:val="1"/>
          <w:bCs w:val="1"/>
          <w:i w:val="1"/>
          <w:iCs w:val="1"/>
          <w:sz w:val="36"/>
          <w:szCs w:val="36"/>
        </w:rPr>
      </w:pPr>
      <w:r w:rsidDel="00000000" w:rsidR="00000000" w:rsidRPr="00000000">
        <w:rPr>
          <w:b w:val="1"/>
          <w:bCs w:val="1"/>
          <w:i w:val="1"/>
          <w:iCs w:val="1"/>
          <w:sz w:val="36"/>
          <w:szCs w:val="36"/>
          <w:rtl w:val="0"/>
        </w:rPr>
        <w:t xml:space="preserve">LCHS4008 </w:t>
      </w:r>
    </w:p>
    <w:p w:rsidR="00000000" w:rsidDel="00000000" w:rsidP="00000000" w:rsidRDefault="00000000" w:rsidRPr="00000000" w14:paraId="00000008">
      <w:pPr>
        <w:pBdr>
          <w:top w:color="000000" w:space="1" w:sz="4" w:val="single"/>
          <w:left w:color="000000" w:space="4" w:sz="4" w:val="single"/>
          <w:bottom w:color="000000" w:space="1" w:sz="4" w:val="single"/>
          <w:right w:color="000000" w:space="4" w:sz="4" w:val="single"/>
        </w:pBdr>
        <w:jc w:val="center"/>
        <w:rPr>
          <w:b w:val="1"/>
          <w:bCs w:val="1"/>
          <w:i w:val="1"/>
          <w:iCs w:val="1"/>
          <w:sz w:val="36"/>
          <w:szCs w:val="36"/>
        </w:rPr>
      </w:pPr>
      <w:r w:rsidDel="00000000" w:rsidR="00000000" w:rsidRPr="00000000">
        <w:rPr>
          <w:b w:val="1"/>
          <w:bCs w:val="1"/>
          <w:i w:val="1"/>
          <w:iCs w:val="1"/>
          <w:sz w:val="36"/>
          <w:szCs w:val="36"/>
          <w:rtl w:val="0"/>
        </w:rPr>
        <w:t xml:space="preserve">Introduction to Public Health</w:t>
      </w:r>
    </w:p>
    <w:p w:rsidR="00000000" w:rsidDel="00000000" w:rsidP="00000000" w:rsidRDefault="00000000" w:rsidRPr="00000000" w14:paraId="00000009">
      <w:pPr>
        <w:pBdr>
          <w:top w:color="000000" w:space="1" w:sz="4" w:val="single"/>
          <w:left w:color="000000" w:space="4" w:sz="4" w:val="single"/>
          <w:bottom w:color="000000" w:space="1" w:sz="4" w:val="single"/>
          <w:right w:color="000000" w:space="4" w:sz="4" w:val="single"/>
        </w:pBdr>
        <w:jc w:val="center"/>
        <w:rPr>
          <w:b w:val="1"/>
          <w:bCs w:val="1"/>
          <w:i w:val="1"/>
          <w:iCs w:val="1"/>
          <w:sz w:val="36"/>
          <w:szCs w:val="36"/>
        </w:rPr>
      </w:pPr>
      <w:r w:rsidDel="00000000" w:rsidR="00000000" w:rsidRPr="00000000">
        <w:rPr>
          <w:b w:val="1"/>
          <w:bCs w:val="1"/>
          <w:i w:val="1"/>
          <w:iCs w:val="1"/>
          <w:sz w:val="36"/>
          <w:szCs w:val="36"/>
          <w:rtl w:val="0"/>
        </w:rPr>
        <w:t xml:space="preserve">Assessment 2 - Report on a Health Issue (Type – II Diabetes)</w:t>
      </w:r>
    </w:p>
    <w:p w:rsidR="00000000" w:rsidDel="00000000" w:rsidP="00000000" w:rsidRDefault="00000000" w:rsidRPr="00000000" w14:paraId="0000000A">
      <w:pPr>
        <w:jc w:val="center"/>
        <w:rPr>
          <w:b w:val="1"/>
          <w:bCs w:val="1"/>
          <w:sz w:val="36"/>
          <w:szCs w:val="36"/>
        </w:rPr>
      </w:pPr>
      <w:r w:rsidDel="00000000" w:rsidR="00000000" w:rsidRPr="00000000">
        <w:rPr>
          <w:rtl w:val="0"/>
        </w:rPr>
      </w:r>
    </w:p>
    <w:p w:rsidR="00000000" w:rsidDel="00000000" w:rsidP="00000000" w:rsidRDefault="00000000" w:rsidRPr="00000000" w14:paraId="0000000B">
      <w:pPr>
        <w:jc w:val="center"/>
        <w:rPr>
          <w:b w:val="1"/>
          <w:bCs w:val="1"/>
          <w:sz w:val="36"/>
          <w:szCs w:val="36"/>
        </w:rPr>
      </w:pPr>
      <w:r w:rsidDel="00000000" w:rsidR="00000000" w:rsidRPr="00000000">
        <w:rPr>
          <w:rtl w:val="0"/>
        </w:rPr>
      </w:r>
    </w:p>
    <w:p w:rsidR="00000000" w:rsidDel="00000000" w:rsidP="00000000" w:rsidRDefault="00000000" w:rsidRPr="00000000" w14:paraId="0000000C">
      <w:pPr>
        <w:jc w:val="center"/>
        <w:rPr>
          <w:b w:val="1"/>
          <w:bCs w:val="1"/>
          <w:sz w:val="36"/>
          <w:szCs w:val="36"/>
        </w:rPr>
      </w:pPr>
      <w:r w:rsidDel="00000000" w:rsidR="00000000" w:rsidRPr="00000000">
        <w:rPr>
          <w:rtl w:val="0"/>
        </w:rPr>
      </w:r>
    </w:p>
    <w:p w:rsidR="00000000" w:rsidDel="00000000" w:rsidP="00000000" w:rsidRDefault="00000000" w:rsidRPr="00000000" w14:paraId="0000000D">
      <w:pPr>
        <w:jc w:val="center"/>
        <w:rPr>
          <w:b w:val="1"/>
          <w:bCs w:val="1"/>
          <w:sz w:val="36"/>
          <w:szCs w:val="36"/>
        </w:rPr>
      </w:pPr>
      <w:r w:rsidDel="00000000" w:rsidR="00000000" w:rsidRPr="00000000">
        <w:rPr>
          <w:rtl w:val="0"/>
        </w:rPr>
      </w:r>
    </w:p>
    <w:p w:rsidR="00000000" w:rsidDel="00000000" w:rsidP="00000000" w:rsidRDefault="00000000" w:rsidRPr="00000000" w14:paraId="0000000E">
      <w:pPr>
        <w:jc w:val="center"/>
        <w:rPr>
          <w:b w:val="1"/>
          <w:bCs w:val="1"/>
          <w:sz w:val="36"/>
          <w:szCs w:val="36"/>
        </w:rPr>
      </w:pPr>
      <w:r w:rsidDel="00000000" w:rsidR="00000000" w:rsidRPr="00000000">
        <w:rPr>
          <w:rtl w:val="0"/>
        </w:rPr>
      </w:r>
    </w:p>
    <w:p w:rsidR="00000000" w:rsidDel="00000000" w:rsidP="00000000" w:rsidRDefault="00000000" w:rsidRPr="00000000" w14:paraId="0000000F">
      <w:pPr>
        <w:jc w:val="center"/>
        <w:rPr>
          <w:b w:val="1"/>
          <w:bCs w:val="1"/>
          <w:sz w:val="36"/>
          <w:szCs w:val="36"/>
        </w:rPr>
      </w:pPr>
      <w:r w:rsidDel="00000000" w:rsidR="00000000" w:rsidRPr="00000000">
        <w:rPr>
          <w:rtl w:val="0"/>
        </w:rPr>
      </w:r>
    </w:p>
    <w:p w:rsidR="00000000" w:rsidDel="00000000" w:rsidP="00000000" w:rsidRDefault="00000000" w:rsidRPr="00000000" w14:paraId="00000010">
      <w:pPr>
        <w:jc w:val="center"/>
        <w:rPr>
          <w:b w:val="1"/>
          <w:bCs w:val="1"/>
          <w:sz w:val="36"/>
          <w:szCs w:val="36"/>
        </w:rPr>
      </w:pPr>
      <w:r w:rsidDel="00000000" w:rsidR="00000000" w:rsidRPr="00000000">
        <w:rPr>
          <w:rtl w:val="0"/>
        </w:rPr>
      </w:r>
    </w:p>
    <w:p w:rsidR="00000000" w:rsidDel="00000000" w:rsidP="00000000" w:rsidRDefault="00000000" w:rsidRPr="00000000" w14:paraId="00000011">
      <w:pPr>
        <w:jc w:val="center"/>
        <w:rPr>
          <w:b w:val="1"/>
          <w:bCs w:val="1"/>
          <w:sz w:val="36"/>
          <w:szCs w:val="36"/>
        </w:rPr>
      </w:pPr>
      <w:r w:rsidDel="00000000" w:rsidR="00000000" w:rsidRPr="00000000">
        <w:rPr>
          <w:rtl w:val="0"/>
        </w:rPr>
      </w:r>
    </w:p>
    <w:p w:rsidR="00000000" w:rsidDel="00000000" w:rsidP="00000000" w:rsidRDefault="00000000" w:rsidRPr="00000000" w14:paraId="00000012">
      <w:pPr>
        <w:jc w:val="center"/>
        <w:rPr>
          <w:b w:val="1"/>
          <w:bCs w:val="1"/>
          <w:sz w:val="36"/>
          <w:szCs w:val="36"/>
        </w:rPr>
      </w:pPr>
      <w:r w:rsidDel="00000000" w:rsidR="00000000" w:rsidRPr="00000000">
        <w:rPr>
          <w:rtl w:val="0"/>
        </w:rPr>
      </w:r>
    </w:p>
    <w:p w:rsidR="00000000" w:rsidDel="00000000" w:rsidP="00000000" w:rsidRDefault="00000000" w:rsidRPr="00000000" w14:paraId="00000013">
      <w:pPr>
        <w:jc w:val="center"/>
        <w:rPr>
          <w:b w:val="1"/>
          <w:bCs w:val="1"/>
          <w:sz w:val="36"/>
          <w:szCs w:val="36"/>
        </w:rPr>
      </w:pPr>
      <w:r w:rsidDel="00000000" w:rsidR="00000000" w:rsidRPr="00000000">
        <w:rPr>
          <w:rtl w:val="0"/>
        </w:rPr>
      </w:r>
    </w:p>
    <w:p w:rsidR="00000000" w:rsidDel="00000000" w:rsidP="00000000" w:rsidRDefault="00000000" w:rsidRPr="00000000" w14:paraId="00000014">
      <w:pPr>
        <w:jc w:val="center"/>
        <w:rPr>
          <w:b w:val="1"/>
          <w:bCs w:val="1"/>
          <w:sz w:val="36"/>
          <w:szCs w:val="36"/>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480" w:lineRule="auto"/>
        <w:ind w:left="0" w:right="0" w:firstLine="0"/>
        <w:jc w:val="left"/>
        <w:rPr>
          <w:rFonts w:ascii="Play" w:cs="Play" w:eastAsia="Play" w:hAnsi="Play"/>
          <w:b w:val="1"/>
          <w:bCs w:val="1"/>
          <w:i w:val="0"/>
          <w:iCs w:val="0"/>
          <w:smallCaps w:val="0"/>
          <w:strike w:val="0"/>
          <w:color w:val="0f4761"/>
          <w:sz w:val="28"/>
          <w:szCs w:val="28"/>
          <w:u w:val="single"/>
          <w:shd w:fill="auto" w:val="clear"/>
          <w:vertAlign w:val="baseline"/>
        </w:rPr>
      </w:pPr>
      <w:r w:rsidDel="00000000" w:rsidR="00000000" w:rsidRPr="00000000">
        <w:rPr>
          <w:rFonts w:ascii="Play" w:cs="Play" w:eastAsia="Play" w:hAnsi="Play"/>
          <w:b w:val="1"/>
          <w:bCs w:val="1"/>
          <w:i w:val="0"/>
          <w:iCs w:val="0"/>
          <w:smallCaps w:val="0"/>
          <w:strike w:val="0"/>
          <w:color w:val="0f4761"/>
          <w:sz w:val="28"/>
          <w:szCs w:val="28"/>
          <w:u w:val="single"/>
          <w:shd w:fill="auto" w:val="clear"/>
          <w:vertAlign w:val="baseline"/>
          <w:rtl w:val="0"/>
        </w:rPr>
        <w:t xml:space="preserve">Table of Contents</w:t>
      </w:r>
    </w:p>
    <w:sdt>
      <w:sdtPr>
        <w:id w:val="193048304"/>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fqjcn8ryy9pl">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90p4l2gfaiwc">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Consequences of type 2 diabetes for individuals, the community and the NHS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dcgq6cqzn168">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How type 2 diabetes is controlled</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kluzxg105r92">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Factors influencing the health and wellbeing of people with type 2 diabetes and those around them</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yfxcxms102nl">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Biological factors</w:t>
            </w:r>
          </w:hyperlink>
          <w:hyperlink w:anchor="_heading=h.yfxcxms102nl">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ix1nqwijijzn">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Psychological factors</w:t>
            </w:r>
          </w:hyperlink>
          <w:hyperlink w:anchor="_heading=h.ix1nqwijijzn">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ze7zbzufytxj">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Social and economic factors</w:t>
            </w:r>
          </w:hyperlink>
          <w:hyperlink w:anchor="_heading=h.ze7zbzufytxj">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4hy5tjemb8w">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Impact on families and carers</w:t>
            </w:r>
          </w:hyperlink>
          <w:hyperlink w:anchor="_heading=h.4hy5tjemb8w">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a5gpqf1qlkt5">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nrd03w69stdh">
            <w:r w:rsidDel="00000000" w:rsidR="00000000" w:rsidRPr="00000000">
              <w:rPr>
                <w:rFonts w:ascii="Aptos" w:cs="Aptos" w:eastAsia="Aptos" w:hAnsi="Aptos"/>
                <w:b w:val="0"/>
                <w:bCs w:val="0"/>
                <w:i w:val="1"/>
                <w:iCs w:val="1"/>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20">
          <w:pPr>
            <w:spacing w:line="48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jc w:val="center"/>
        <w:rPr>
          <w:b w:val="1"/>
          <w:bCs w:val="1"/>
          <w:sz w:val="36"/>
          <w:szCs w:val="36"/>
        </w:rPr>
      </w:pPr>
      <w:r w:rsidDel="00000000" w:rsidR="00000000" w:rsidRPr="00000000">
        <w:rPr>
          <w:rtl w:val="0"/>
        </w:rPr>
      </w:r>
    </w:p>
    <w:p w:rsidR="00000000" w:rsidDel="00000000" w:rsidP="00000000" w:rsidRDefault="00000000" w:rsidRPr="00000000" w14:paraId="00000022">
      <w:pPr>
        <w:jc w:val="center"/>
        <w:rPr>
          <w:b w:val="1"/>
          <w:bCs w:val="1"/>
          <w:sz w:val="36"/>
          <w:szCs w:val="36"/>
        </w:rPr>
      </w:pPr>
      <w:r w:rsidDel="00000000" w:rsidR="00000000" w:rsidRPr="00000000">
        <w:rPr>
          <w:rtl w:val="0"/>
        </w:rPr>
      </w:r>
    </w:p>
    <w:p w:rsidR="00000000" w:rsidDel="00000000" w:rsidP="00000000" w:rsidRDefault="00000000" w:rsidRPr="00000000" w14:paraId="00000023">
      <w:pPr>
        <w:jc w:val="center"/>
        <w:rPr>
          <w:b w:val="1"/>
          <w:bCs w:val="1"/>
          <w:sz w:val="36"/>
          <w:szCs w:val="36"/>
        </w:rPr>
      </w:pPr>
      <w:r w:rsidDel="00000000" w:rsidR="00000000" w:rsidRPr="00000000">
        <w:rPr>
          <w:rtl w:val="0"/>
        </w:rPr>
      </w:r>
    </w:p>
    <w:p w:rsidR="00000000" w:rsidDel="00000000" w:rsidP="00000000" w:rsidRDefault="00000000" w:rsidRPr="00000000" w14:paraId="00000024">
      <w:pPr>
        <w:jc w:val="center"/>
        <w:rPr>
          <w:b w:val="1"/>
          <w:bCs w:val="1"/>
          <w:sz w:val="36"/>
          <w:szCs w:val="36"/>
        </w:rPr>
      </w:pPr>
      <w:r w:rsidDel="00000000" w:rsidR="00000000" w:rsidRPr="00000000">
        <w:rPr>
          <w:rtl w:val="0"/>
        </w:rPr>
      </w:r>
    </w:p>
    <w:p w:rsidR="00000000" w:rsidDel="00000000" w:rsidP="00000000" w:rsidRDefault="00000000" w:rsidRPr="00000000" w14:paraId="00000025">
      <w:pPr>
        <w:jc w:val="center"/>
        <w:rPr>
          <w:b w:val="1"/>
          <w:bCs w:val="1"/>
          <w:sz w:val="36"/>
          <w:szCs w:val="36"/>
        </w:rPr>
      </w:pPr>
      <w:r w:rsidDel="00000000" w:rsidR="00000000" w:rsidRPr="00000000">
        <w:rPr>
          <w:rtl w:val="0"/>
        </w:rPr>
      </w:r>
    </w:p>
    <w:p w:rsidR="00000000" w:rsidDel="00000000" w:rsidP="00000000" w:rsidRDefault="00000000" w:rsidRPr="00000000" w14:paraId="00000026">
      <w:pPr>
        <w:jc w:val="center"/>
        <w:rPr>
          <w:b w:val="1"/>
          <w:bCs w:val="1"/>
          <w:sz w:val="36"/>
          <w:szCs w:val="36"/>
        </w:rPr>
      </w:pPr>
      <w:r w:rsidDel="00000000" w:rsidR="00000000" w:rsidRPr="00000000">
        <w:rPr>
          <w:rtl w:val="0"/>
        </w:rPr>
      </w:r>
    </w:p>
    <w:p w:rsidR="00000000" w:rsidDel="00000000" w:rsidP="00000000" w:rsidRDefault="00000000" w:rsidRPr="00000000" w14:paraId="00000027">
      <w:pPr>
        <w:jc w:val="center"/>
        <w:rPr>
          <w:b w:val="1"/>
          <w:bCs w:val="1"/>
          <w:sz w:val="36"/>
          <w:szCs w:val="36"/>
        </w:rPr>
      </w:pPr>
      <w:r w:rsidDel="00000000" w:rsidR="00000000" w:rsidRPr="00000000">
        <w:rPr>
          <w:rtl w:val="0"/>
        </w:rPr>
      </w:r>
    </w:p>
    <w:p w:rsidR="00000000" w:rsidDel="00000000" w:rsidP="00000000" w:rsidRDefault="00000000" w:rsidRPr="00000000" w14:paraId="00000028">
      <w:pPr>
        <w:jc w:val="center"/>
        <w:rPr>
          <w:b w:val="1"/>
          <w:bCs w:val="1"/>
          <w:sz w:val="36"/>
          <w:szCs w:val="36"/>
        </w:rPr>
      </w:pPr>
      <w:r w:rsidDel="00000000" w:rsidR="00000000" w:rsidRPr="00000000">
        <w:rPr>
          <w:rtl w:val="0"/>
        </w:rPr>
      </w:r>
    </w:p>
    <w:p w:rsidR="00000000" w:rsidDel="00000000" w:rsidP="00000000" w:rsidRDefault="00000000" w:rsidRPr="00000000" w14:paraId="00000029">
      <w:pPr>
        <w:pStyle w:val="Heading1"/>
        <w:rPr/>
      </w:pPr>
      <w:bookmarkStart w:colFirst="0" w:colLast="0" w:name="_heading=h.fqjcn8ryy9pl" w:id="0"/>
      <w:bookmarkEnd w:id="0"/>
      <w:r w:rsidDel="00000000" w:rsidR="00000000" w:rsidRPr="00000000">
        <w:rPr>
          <w:rtl w:val="0"/>
        </w:rPr>
        <w:t xml:space="preserve">Introduction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Type 2 diabetes is a chronic metabolic disorder characterised by insufficient insulin production or improper insulin function (insulin resistance), leading to consistently elevated blood glucose levels (Hurtado and Vella, 2019). Typical indicators include intense thirst, nocturnal polyuria, unexplained weight reduction, lethargy, visual disturbances, and protracted healing of wounds or infections. Nonetheless, many patients may remain asymptomatic for extended periods, requiring identification by frequent blood examinations (Ramachandran, 2014). In 2024, around 589 million persons globally, aged 20 to 79, were diagnosed with diabetes. By 2050, the figure is projected to increase to 853 million (International Diabetes Federation, 2025). Approximately 5.6 million persons in the UK are diagnosed with diabetes, the majority of whom have type 2 diabetes. This is a significant and escalating public health issue (Diabetes UK, 2023).</w:t>
      </w:r>
    </w:p>
    <w:p w:rsidR="00000000" w:rsidDel="00000000" w:rsidP="00000000" w:rsidRDefault="00000000" w:rsidRPr="00000000" w14:paraId="0000002B">
      <w:pPr>
        <w:keepNext w:val="1"/>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drawing>
          <wp:inline distB="0" distT="0" distL="0" distR="0">
            <wp:extent cx="5731510" cy="2906395"/>
            <wp:effectExtent b="0" l="0" r="0" t="0"/>
            <wp:docPr descr="A map of the world with different colored countries/regions&#10;&#10;AI-generated content may be incorrect." id="1575859967" name="image1.png"/>
            <a:graphic>
              <a:graphicData uri="http://schemas.openxmlformats.org/drawingml/2006/picture">
                <pic:pic>
                  <pic:nvPicPr>
                    <pic:cNvPr descr="A map of the world with different colored countries/regions&#10;&#10;AI-generated content may be incorrect." id="0" name="image1.png"/>
                    <pic:cNvPicPr preferRelativeResize="0"/>
                  </pic:nvPicPr>
                  <pic:blipFill>
                    <a:blip r:embed="rId7"/>
                    <a:srcRect b="0" l="0" r="0" t="0"/>
                    <a:stretch>
                      <a:fillRect/>
                    </a:stretch>
                  </pic:blipFill>
                  <pic:spPr>
                    <a:xfrm>
                      <a:off x="0" y="0"/>
                      <a:ext cx="5731510" cy="2906395"/>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ptos" w:cs="Aptos" w:eastAsia="Aptos" w:hAnsi="Aptos"/>
          <w:b w:val="0"/>
          <w:bCs w:val="0"/>
          <w:i w:val="1"/>
          <w:iCs w:val="1"/>
          <w:smallCaps w:val="0"/>
          <w:strike w:val="0"/>
          <w:color w:val="0e2841"/>
          <w:sz w:val="20"/>
          <w:szCs w:val="20"/>
          <w:u w:val="none"/>
          <w:shd w:fill="auto" w:val="clear"/>
          <w:vertAlign w:val="baseline"/>
        </w:rPr>
      </w:pPr>
      <w:r w:rsidDel="00000000" w:rsidR="00000000" w:rsidRPr="00000000">
        <w:rPr>
          <w:rFonts w:ascii="Aptos" w:cs="Aptos" w:eastAsia="Aptos" w:hAnsi="Aptos"/>
          <w:b w:val="0"/>
          <w:bCs w:val="0"/>
          <w:i w:val="1"/>
          <w:iCs w:val="1"/>
          <w:smallCaps w:val="0"/>
          <w:strike w:val="0"/>
          <w:color w:val="0e2841"/>
          <w:sz w:val="20"/>
          <w:szCs w:val="20"/>
          <w:u w:val="none"/>
          <w:shd w:fill="auto" w:val="clear"/>
          <w:vertAlign w:val="baseline"/>
          <w:rtl w:val="0"/>
        </w:rPr>
        <w:t xml:space="preserve">Figure 1: Diabetes in UK (International Diabetes Federation, 2025a)</w:t>
      </w:r>
    </w:p>
    <w:p w:rsidR="00000000" w:rsidDel="00000000" w:rsidP="00000000" w:rsidRDefault="00000000" w:rsidRPr="00000000" w14:paraId="0000002D">
      <w:pPr>
        <w:pStyle w:val="Heading1"/>
        <w:rPr/>
      </w:pPr>
      <w:bookmarkStart w:colFirst="0" w:colLast="0" w:name="_heading=h.90p4l2gfaiwc" w:id="1"/>
      <w:bookmarkEnd w:id="1"/>
      <w:r w:rsidDel="00000000" w:rsidR="00000000" w:rsidRPr="00000000">
        <w:rPr>
          <w:rtl w:val="0"/>
        </w:rPr>
        <w:t xml:space="preserve">Consequences of type 2 diabetes for individuals, the community and the NHS</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Type 2 diabetes affects almost every body system and can seriously damage quality of life. Persistently high blood glucose damages large blood vessels (macrovascular disease) and small vessels (microvascular disease), causing heart attacks, strokes, kidney failure, nerve damage and loss of vision. People with diabetes have about two to four times the risk of cardiovascular disease and are more likely to experience heart failure and peripheral arterial disease, which can lead to foot ulcers and amputations (Hurtado and Vella, 2019). Nerve damage can cause pain, numbness and loss of sensation in the feet, while diabetic eye disease is a leading cause of blindness in working-age adults. Recurrent infections and fatigue are also common. Living with daily medication, dietary changes and fear of complications often leads to anxiety or depression, affecting wellbeing and relationships (Sharma </w:t>
      </w:r>
      <w:r w:rsidDel="00000000" w:rsidR="00000000" w:rsidRPr="00000000">
        <w:rPr>
          <w:rFonts w:ascii="Times New Roman" w:cs="Times New Roman" w:eastAsia="Times New Roman" w:hAnsi="Times New Roman"/>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2021).</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impact on communities is equally profound. Diabetes contributes to millions of deaths worldwide each year and was responsible for at least 3.4 million deaths in 2024 alone (International Diabetes Federation, 2025a). It absorbs around 1 trillion US dollars in global health spending, with much of this cost driven by preventable complications and hospital admissions. In many low- and middle-income countries, health systems are already struggling with the double burden of infectious disease and non-communicable diseases such as diabetes, so rising type 2 diabetes prevalence risks overwhelming services and deepening health inequalities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(Diabetes Atlas, 2025)</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30">
      <w:pPr>
        <w:keepNext w:val="1"/>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drawing>
          <wp:inline distB="0" distT="0" distL="0" distR="0">
            <wp:extent cx="5731510" cy="2563495"/>
            <wp:effectExtent b="0" l="0" r="0" t="0"/>
            <wp:docPr id="1575859968"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2563495"/>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ptos" w:cs="Aptos" w:eastAsia="Aptos" w:hAnsi="Aptos"/>
          <w:b w:val="0"/>
          <w:bCs w:val="0"/>
          <w:i w:val="1"/>
          <w:iCs w:val="1"/>
          <w:smallCaps w:val="0"/>
          <w:strike w:val="0"/>
          <w:color w:val="0e2841"/>
          <w:sz w:val="18"/>
          <w:szCs w:val="18"/>
          <w:u w:val="none"/>
          <w:shd w:fill="auto" w:val="clear"/>
          <w:vertAlign w:val="baseline"/>
        </w:rPr>
      </w:pPr>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Figure 2: Diabetes Worldwide Deaths (International Diabetes Federation, 2025a)</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In the UK, type 2 diabetes is one of the biggest challenges facing the NHS. Around 5.6 million people are estimated to be living with diabetes, about 90% of whom have type 2, and many others have pre-diabetes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(Diabetes UK, 2023)</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The condition is closely linked with obesity, sedentary lifestyles and social deprivation, so rates are highest in more deprived communities and certain ethnic groups, including people of South Asian, Black African and Caribbean heritage. Diabetes costs the UK an estimated £14 billion a year, including more than £10 billion in direct costs to the NHS, and about £10.7 billion of NHS spending annually has been linked to diabetes care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(Hex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2024)</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33">
      <w:pPr>
        <w:pStyle w:val="Heading1"/>
        <w:rPr/>
      </w:pPr>
      <w:bookmarkStart w:colFirst="0" w:colLast="0" w:name="_heading=h.dcgq6cqzn168" w:id="2"/>
      <w:bookmarkEnd w:id="2"/>
      <w:r w:rsidDel="00000000" w:rsidR="00000000" w:rsidRPr="00000000">
        <w:rPr>
          <w:rtl w:val="0"/>
        </w:rPr>
        <w:t xml:space="preserve">How type 2 diabetes is controlled</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Type 2 diabetes can usually be controlled, and sometimes put into remission, through a combination of lifestyle changes, medicines and regular monitoring. According to Asif (2014), for people at high risk, such as those with pre-diabetes, obesity or a strong family history, primary prevention is vital. Losing excess weight, eating a balanced diet lower in refined sugar and saturated fat, increasing physical activity and stopping smoking can all improve insulin sensitivity and delay or prevent the development of type 2 diabetes. Galaviz </w:t>
      </w:r>
      <w:r w:rsidDel="00000000" w:rsidR="00000000" w:rsidRPr="00000000">
        <w:rPr>
          <w:rFonts w:ascii="Times New Roman" w:cs="Times New Roman" w:eastAsia="Times New Roman" w:hAnsi="Times New Roman"/>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(2019) has shown that intensive lifestyle programmes focusing on calorie control, healthier diets and increased exercise can significantly cut the risk of developing type 2 diabetes in high-risk groups.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In England, the NHS Diabetes Prevention Programme offers structured support with diet, exercise and behaviour change for people at high risk, and evaluation has shown that participation is linked to a substantial reduction in the chance of progressing to type 2 diabetes (NHS England, 2023). Public-health measures such as the soft-drinks industry levy, restrictions on unhealthy food marketing and expansion of weight-management services all aim to tackle the underlying drivers of obesity and insulin resistance (Hurtado and Vella, 2019).</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Once type 2 diabetes is diagnosed, the aim of treatment is to keep blood glucose, blood pressure and blood lipids within recommended targets to reduce the risk of complications. First-line management is lifestyle modification, including:</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Healthy eating patterns (for example a Mediterranean-style diet rich in vegetables, whole grains, pulses and unsweetened drinks)</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Regular physical activity (such as at least 150 minutes of moderate-intensity exercise per week where possible)</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Weight loss for those who are overweight or living with obesity</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Reduced alcohol intake and smoking cessation (Hurtado and Vella, 2019)</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Many people will also need medication. Metformin is commonly used as initial therapy because it improves insulin sensitivity and has a well-established safety profile. If blood glucose remains above target, other oral medicines or injectable therapies, such as SGLT2 inhibitors and GLP-1 receptor agonists, may be added, especially where there is existing cardiovascular disease or chronic kidney disease. Some people will eventually need insulin injections when the pancreas can no longer make enough insulin (Sharma </w:t>
      </w:r>
      <w:r w:rsidDel="00000000" w:rsidR="00000000" w:rsidRPr="00000000">
        <w:rPr>
          <w:rFonts w:ascii="Times New Roman" w:cs="Times New Roman" w:eastAsia="Times New Roman" w:hAnsi="Times New Roman"/>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2021; Zhou </w:t>
      </w:r>
      <w:r w:rsidDel="00000000" w:rsidR="00000000" w:rsidRPr="00000000">
        <w:rPr>
          <w:rFonts w:ascii="Times New Roman" w:cs="Times New Roman" w:eastAsia="Times New Roman" w:hAnsi="Times New Roman"/>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2018). </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Regular blood tests, including HbA1c (long-term glucose control), kidney function and cholesterol, along with foot examinations and retinal screening, are essential to monitor control and detect complications early. National guidance stresses the importance of annual reviews and ensuring that people receive a structured package of nine key care processes, including blood tests, blood-pressure checks and foot examination (Asif, 2014; Zhou </w:t>
      </w:r>
      <w:r w:rsidDel="00000000" w:rsidR="00000000" w:rsidRPr="00000000">
        <w:rPr>
          <w:rFonts w:ascii="Times New Roman" w:cs="Times New Roman" w:eastAsia="Times New Roman" w:hAnsi="Times New Roman"/>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2018). Diabetes care works best when it is person-centred and delivered by a multidisciplinary team. Specialist diabetes nurses, dietitians, podiatrists, pharmacists, GPs and hospital physicians all play a role in supporting self-management. Structured education courses and digital tools, including smartphone apps and remote glucose-monitoring devices, can help people understand their condition, track results and share them with clinicians (Asif, 2014; Zhou </w:t>
      </w:r>
      <w:r w:rsidDel="00000000" w:rsidR="00000000" w:rsidRPr="00000000">
        <w:rPr>
          <w:rFonts w:ascii="Times New Roman" w:cs="Times New Roman" w:eastAsia="Times New Roman" w:hAnsi="Times New Roman"/>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2018). </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At population level, health systems are also starting to use new technology to improve prevention. For example, the NHS in England is preparing to trial an artificial-intelligence tool that uses data from routine heart scans to predict a person’s future risk of developing type 2 diabetes years before symptoms appear, with the aim of offering preventive support earlier (Gregory, 2024). </w:t>
      </w:r>
    </w:p>
    <w:p w:rsidR="00000000" w:rsidDel="00000000" w:rsidP="00000000" w:rsidRDefault="00000000" w:rsidRPr="00000000" w14:paraId="0000003E">
      <w:pPr>
        <w:pStyle w:val="Heading1"/>
        <w:rPr/>
      </w:pPr>
      <w:bookmarkStart w:colFirst="0" w:colLast="0" w:name="_heading=h.kluzxg105r92" w:id="3"/>
      <w:bookmarkEnd w:id="3"/>
      <w:r w:rsidDel="00000000" w:rsidR="00000000" w:rsidRPr="00000000">
        <w:rPr>
          <w:rtl w:val="0"/>
        </w:rPr>
        <w:t xml:space="preserve">Factors influencing the health and wellbeing of people with type 2 diabetes and those around them</w:t>
      </w:r>
    </w:p>
    <w:p w:rsidR="00000000" w:rsidDel="00000000" w:rsidP="00000000" w:rsidRDefault="00000000" w:rsidRPr="00000000" w14:paraId="0000003F">
      <w:pPr>
        <w:pStyle w:val="Heading2"/>
        <w:rPr>
          <w:b w:val="1"/>
          <w:bCs w:val="1"/>
          <w:i w:val="1"/>
          <w:iCs w:val="1"/>
        </w:rPr>
      </w:pPr>
      <w:bookmarkStart w:colFirst="0" w:colLast="0" w:name="_heading=h.yfxcxms102nl" w:id="4"/>
      <w:bookmarkEnd w:id="4"/>
      <w:r w:rsidDel="00000000" w:rsidR="00000000" w:rsidRPr="00000000">
        <w:rPr>
          <w:b w:val="1"/>
          <w:bCs w:val="1"/>
          <w:i w:val="1"/>
          <w:iCs w:val="1"/>
          <w:rtl w:val="0"/>
        </w:rPr>
        <w:t xml:space="preserve">Biological factors</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Being older, overweight, or obese, having gestational diabetes, polycystic ovarian syndrome, or close relatives with type 2 diabetes all raise the risk. Ethnic background is significant: in the UK, individuals of South Asian, Black African, and Caribbean descent often acquire type 2 diabetes at younger ages and lower body mass indices compared to white populations, and face an elevated risk of complications. Having other health concerns including high blood pressure, high cholesterol, fatty liver disease, and mental health issues makes it harder to maintain your own health and increases the chance of complications (Asif, 2014; Galaviz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2019). </w:t>
      </w:r>
    </w:p>
    <w:p w:rsidR="00000000" w:rsidDel="00000000" w:rsidP="00000000" w:rsidRDefault="00000000" w:rsidRPr="00000000" w14:paraId="00000041">
      <w:pPr>
        <w:pStyle w:val="Heading2"/>
        <w:rPr>
          <w:b w:val="1"/>
          <w:bCs w:val="1"/>
          <w:i w:val="1"/>
          <w:iCs w:val="1"/>
        </w:rPr>
      </w:pPr>
      <w:bookmarkStart w:colFirst="0" w:colLast="0" w:name="_heading=h.ix1nqwijijzn" w:id="5"/>
      <w:bookmarkEnd w:id="5"/>
      <w:r w:rsidDel="00000000" w:rsidR="00000000" w:rsidRPr="00000000">
        <w:rPr>
          <w:b w:val="1"/>
          <w:bCs w:val="1"/>
          <w:i w:val="1"/>
          <w:iCs w:val="1"/>
          <w:rtl w:val="0"/>
        </w:rPr>
        <w:t xml:space="preserve">Psychological factors</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Being diagnosed with a lifelong condition that requires daily attention to food, activity and medicines can be overwhelming. Some people experience denial or shame, while others develop diabetes-related distress or depression, which can reduce motivation to follow treatment plans and attend appointments. Fear of hypoglycaemia, weight gain from some medicines and concerns about future complications may cause anxiety. Supportive, non-judgemental communication from health professionals, access to psychological therapies and peer-support groups can make a major difference to confidence and self-management (Przezak, Bielka and Molęda, 2022).</w:t>
      </w:r>
    </w:p>
    <w:p w:rsidR="00000000" w:rsidDel="00000000" w:rsidP="00000000" w:rsidRDefault="00000000" w:rsidRPr="00000000" w14:paraId="00000043">
      <w:pPr>
        <w:pStyle w:val="Heading2"/>
        <w:rPr>
          <w:b w:val="1"/>
          <w:bCs w:val="1"/>
          <w:i w:val="1"/>
          <w:iCs w:val="1"/>
        </w:rPr>
      </w:pPr>
      <w:bookmarkStart w:colFirst="0" w:colLast="0" w:name="_heading=h.ze7zbzufytxj" w:id="6"/>
      <w:bookmarkEnd w:id="6"/>
      <w:r w:rsidDel="00000000" w:rsidR="00000000" w:rsidRPr="00000000">
        <w:rPr>
          <w:b w:val="1"/>
          <w:bCs w:val="1"/>
          <w:i w:val="1"/>
          <w:iCs w:val="1"/>
          <w:rtl w:val="0"/>
        </w:rPr>
        <w:t xml:space="preserve">Social and economic factors</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People living in poverty may struggle to afford healthy food or travel to clinics. In neighbourhoods with limited green space or safe walking routes, being physically active is more difficult. Shift work, long working hours or caring responsibilities can make it hard to attend appointments or take medicines at regular times. Language barriers, low health literacy and cultural beliefs about illness and food may limit engagement with services unless information is tailored and culturally sensitive. Experiences of discrimination or stigma such as blaming individuals for their condition can discourage people from seeking help (Hill-Briggs, 2020).</w:t>
      </w:r>
    </w:p>
    <w:p w:rsidR="00000000" w:rsidDel="00000000" w:rsidP="00000000" w:rsidRDefault="00000000" w:rsidRPr="00000000" w14:paraId="00000045">
      <w:pPr>
        <w:pStyle w:val="Heading2"/>
        <w:rPr>
          <w:b w:val="1"/>
          <w:bCs w:val="1"/>
          <w:i w:val="1"/>
          <w:iCs w:val="1"/>
        </w:rPr>
      </w:pPr>
      <w:bookmarkStart w:colFirst="0" w:colLast="0" w:name="_heading=h.4hy5tjemb8w" w:id="7"/>
      <w:bookmarkEnd w:id="7"/>
      <w:r w:rsidDel="00000000" w:rsidR="00000000" w:rsidRPr="00000000">
        <w:rPr>
          <w:b w:val="1"/>
          <w:bCs w:val="1"/>
          <w:i w:val="1"/>
          <w:iCs w:val="1"/>
          <w:rtl w:val="0"/>
        </w:rPr>
        <w:t xml:space="preserve">Impact on families and carers</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Family members may need to help with reminders for medicines, preparing appropriate meals or checking feet and blood glucose levels. They often share worries about complications and may feel anxious or stressed when the person with diabetes is unwell (Sharma </w:t>
      </w:r>
      <w:r w:rsidDel="00000000" w:rsidR="00000000" w:rsidRPr="00000000">
        <w:rPr>
          <w:rFonts w:ascii="Times New Roman" w:cs="Times New Roman" w:eastAsia="Times New Roman" w:hAnsi="Times New Roman"/>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2021). On the positive side, family support can help people adopt healthier diets and more active lifestyles, and family-based education programmes often improve outcomes for everyone. Children growing up in households where a parent has poorly controlled diabetes may themselves be exposed to higher risk because of shared genetics and lifestyle patterns, so supporting the whole family is important for long-term prevention (Asif, 2014).</w:t>
      </w:r>
    </w:p>
    <w:p w:rsidR="00000000" w:rsidDel="00000000" w:rsidP="00000000" w:rsidRDefault="00000000" w:rsidRPr="00000000" w14:paraId="00000047">
      <w:pPr>
        <w:pStyle w:val="Heading1"/>
        <w:rPr/>
      </w:pPr>
      <w:bookmarkStart w:colFirst="0" w:colLast="0" w:name="_heading=h.a5gpqf1qlkt5" w:id="8"/>
      <w:bookmarkEnd w:id="8"/>
      <w:r w:rsidDel="00000000" w:rsidR="00000000" w:rsidRPr="00000000">
        <w:rPr>
          <w:rtl w:val="0"/>
        </w:rPr>
        <w:t xml:space="preserve">Conclusion</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Type 2 diabetes is therefore a major global and UK health problem that affects not only individuals but whole families, communities and health services. It is a leading cause of blindness, kidney failure, cardiovascular disease and amputations, and it absorbs a large share of NHS resources, much of it on complications that could be prevented. Yet the condition is also largely manageable, and in some cases reversible, through early diagnosis, healthy lifestyles, effective medicines and regular monitoring.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B">
      <w:pPr>
        <w:pStyle w:val="Heading1"/>
        <w:rPr/>
      </w:pPr>
      <w:bookmarkStart w:colFirst="0" w:colLast="0" w:name="_heading=h.nrd03w69stdh" w:id="9"/>
      <w:bookmarkEnd w:id="9"/>
      <w:r w:rsidDel="00000000" w:rsidR="00000000" w:rsidRPr="00000000">
        <w:rPr>
          <w:rtl w:val="0"/>
        </w:rPr>
        <w:t xml:space="preserve">References</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Asif, M. (2014) ‘The prevention and control the type-2 diabetes by changing lifestyle and dietary pattern’,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Education and Health Promotion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3(1), p. 1. doi:https://doi.org/10.4103/2277-9531.127541.</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Diabetes Atlas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Total diabetes-related health expenditure, USD million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 Atlas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https://diabetesatlas.org/data-by-indicator/diabetes-related-health-expenditure/total-diabetes-related-health-expenditure-usd-million/ (Accessed: 15 November 2025).</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Diabetes UK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Many People in the UK Have diabetes?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 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https://www.diabetes.org.uk/about-us/about-the-charity/our-strategy/statistics (Accessed: 14 November 2025).</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Galaviz, K.I.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(2019) ‘Lifestyle and the Prevention of Type 2 Diabetes: A Status Report’,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American Journal of Lifestyle 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12(1), pp. 4–20.</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Gregory, A.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 to begin world-first trial of AI tool to identify type 2 diabetes risk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Guardian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The Guardian. Available at: https://www.theguardian.com/society/2024/dec/23/nhs-to-begin-world-first-trial-of-ai-tool-to-identify-type-2-diabetes-risk? (Accessed: 15 November 2025).</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Hex, 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(2024) ‘Estimation of the direct health and indirect societal costs of diabetes in the UK using a cost of illness model’,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Diabetic 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41(9). doi:https://doi.org/10.1111/dme.15326.</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Hill-Briggs, F. (2020) ‘Social determinants of health and diabetes: A scientific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44(1), pp. 258–279. doi:https://doi.org/10.2337/dci20-0053.</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Hurtado, M.D. and Vella, A. (2019) ‘What is type 2 diabetes?’,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47(1), pp. 10–15. doi:https://doi.org/10.1016/j.mpmed.2018.10.010.</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International Diabetes Federation (2025a)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 around the World in 2025</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IDF Diabetes Atlas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International Diabetes Federation. Available at: https://diabetesatlas.org/ (Accessed: 14 November 2025).</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International Diabetes Federation (2025b)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 Facts &amp; Figures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Diabetes Federation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https://idf.org/about-diabetes/diabetes-facts-figures/ (Accessed: 14 November 2025).</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 Diabetes Prevention Programme (NHS DPP)</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 England</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NHS England. Available at: https://www.england.nhs.uk/diabetes/diabetes-prevention/ (Accessed: 14 November 2025).</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Przezak, A., Bielka, W. and Molęda, P. (2022) ‘Fear of hypoglycemia—An underestimated problem’,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Brain and Behavior</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12(7). doi:https://doi.org/10.1002/brb3.2633.</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Ramachandran, A. (2014) ‘Know the signs and symptoms of diabetes’,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Indian Journal of Medical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140(5), p. 579.</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Sharma, K.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(2021) ‘Depression and Anxiety among Patients with Type II Diabetes Mellitus in Chitwan Medical College Teaching Hospital, Nepal’,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Nursing Research and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Edited by M.H.F. Grypdonck, 2021, pp. 1–8. doi:https://doi.org/10.1155/2021/8846915.</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Zhou, J.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(2018) ‘Metformin: An Old Drug with New Applications’,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Molecular Sciences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19(10), p. 2863. doi:https://doi.org/10.3390/ijms19102863.</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color="000000" w:space="1" w:sz="6" w:val="single"/>
          <w:right w:space="0" w:sz="0" w:val="nil"/>
          <w:between w:space="0" w:sz="0" w:val="nil"/>
        </w:pBdr>
        <w:shd w:fill="auto" w:val="clear"/>
        <w:spacing w:after="0" w:before="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Top of Form</w:t>
      </w:r>
    </w:p>
    <w:p w:rsidR="00000000" w:rsidDel="00000000" w:rsidP="00000000" w:rsidRDefault="00000000" w:rsidRPr="00000000" w14:paraId="0000005D">
      <w:pPr>
        <w:keepNext w:val="0"/>
        <w:keepLines w:val="0"/>
        <w:pageBreakBefore w:val="0"/>
        <w:widowControl w:val="1"/>
        <w:pBdr>
          <w:top w:color="000000" w:space="1" w:sz="6" w:val="single"/>
          <w:left w:space="0" w:sz="0" w:val="nil"/>
          <w:bottom w:space="0" w:sz="0" w:val="nil"/>
          <w:right w:space="0" w:sz="0" w:val="nil"/>
          <w:between w:space="0" w:sz="0" w:val="nil"/>
        </w:pBdr>
        <w:shd w:fill="auto" w:val="clear"/>
        <w:spacing w:after="0" w:before="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Bottom of Form</w:t>
      </w:r>
    </w:p>
    <w:p w:rsidR="00000000" w:rsidDel="00000000" w:rsidP="00000000" w:rsidRDefault="00000000" w:rsidRPr="00000000" w14:paraId="0000005E">
      <w:pPr>
        <w:jc w:val="both"/>
        <w:rPr/>
      </w:pPr>
      <w:r w:rsidDel="00000000" w:rsidR="00000000" w:rsidRPr="00000000">
        <w:rPr>
          <w:rtl w:val="0"/>
        </w:rPr>
      </w:r>
    </w:p>
    <w:p w:rsidR="00000000" w:rsidDel="00000000" w:rsidP="00000000" w:rsidRDefault="00000000" w:rsidRPr="00000000" w14:paraId="0000005F">
      <w:pPr>
        <w:jc w:val="both"/>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PK"/>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f4761"/>
      <w:sz w:val="24"/>
      <w:szCs w:val="24"/>
      <w:u w:val="single"/>
    </w:rPr>
  </w:style>
  <w:style w:type="paragraph" w:styleId="Heading2">
    <w:name w:val="heading 2"/>
    <w:basedOn w:val="Normal"/>
    <w:next w:val="Normal"/>
    <w:pPr>
      <w:keepNext w:val="1"/>
      <w:keepLines w:val="1"/>
      <w:spacing w:after="80" w:before="160" w:lineRule="auto"/>
    </w:pPr>
    <w:rPr>
      <w:b w:val="1"/>
      <w:bCs w:val="1"/>
      <w:color w:val="0f4761"/>
    </w:rPr>
  </w:style>
  <w:style w:type="paragraph" w:styleId="Heading3">
    <w:name w:val="heading 3"/>
    <w:basedOn w:val="Normal"/>
    <w:next w:val="Normal"/>
    <w:pPr>
      <w:keepNext w:val="1"/>
      <w:keepLines w:val="1"/>
      <w:spacing w:after="80" w:before="160" w:lineRule="auto"/>
    </w:pPr>
    <w:rPr>
      <w:b w:val="1"/>
      <w:bCs w:val="1"/>
      <w:i w:val="1"/>
      <w:i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D271A"/>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8D271A"/>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D271A"/>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21842"/>
    <w:rPr>
      <w:rFonts w:asciiTheme="minorBidi" w:cstheme="majorBidi" w:eastAsiaTheme="majorEastAsia" w:hAnsiTheme="minorBidi"/>
      <w:b w:val="1"/>
      <w:color w:val="0f4761" w:themeColor="accent1" w:themeShade="0000BF"/>
      <w:szCs w:val="40"/>
      <w:u w:val="single"/>
    </w:rPr>
  </w:style>
  <w:style w:type="character" w:styleId="Heading2Char" w:customStyle="1">
    <w:name w:val="Heading 2 Char"/>
    <w:basedOn w:val="DefaultParagraphFont"/>
    <w:link w:val="Heading2"/>
    <w:uiPriority w:val="9"/>
    <w:rsid w:val="00FB6C67"/>
    <w:rPr>
      <w:rFonts w:asciiTheme="majorBidi" w:cstheme="majorBidi" w:eastAsiaTheme="majorEastAsia" w:hAnsiTheme="majorBidi"/>
      <w:b w:val="1"/>
      <w:color w:val="0f4761" w:themeColor="accent1" w:themeShade="0000BF"/>
      <w:szCs w:val="32"/>
    </w:rPr>
  </w:style>
  <w:style w:type="character" w:styleId="Heading3Char" w:customStyle="1">
    <w:name w:val="Heading 3 Char"/>
    <w:basedOn w:val="DefaultParagraphFont"/>
    <w:link w:val="Heading3"/>
    <w:uiPriority w:val="9"/>
    <w:rsid w:val="00BE4882"/>
    <w:rPr>
      <w:rFonts w:asciiTheme="majorBidi" w:cstheme="majorBidi" w:eastAsiaTheme="majorEastAsia" w:hAnsiTheme="majorBidi"/>
      <w:b w:val="1"/>
      <w:i w:val="1"/>
      <w:color w:val="0f4761" w:themeColor="accent1" w:themeShade="0000BF"/>
      <w:szCs w:val="28"/>
    </w:rPr>
  </w:style>
  <w:style w:type="character" w:styleId="Heading4Char" w:customStyle="1">
    <w:name w:val="Heading 4 Char"/>
    <w:basedOn w:val="DefaultParagraphFont"/>
    <w:link w:val="Heading4"/>
    <w:uiPriority w:val="9"/>
    <w:semiHidden w:val="1"/>
    <w:rsid w:val="008D271A"/>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D271A"/>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D271A"/>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D271A"/>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D271A"/>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D271A"/>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D271A"/>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D271A"/>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D271A"/>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D271A"/>
    <w:rPr>
      <w:rFonts w:asciiTheme="majorBidi" w:hAnsiTheme="majorBidi"/>
      <w:i w:val="1"/>
      <w:iCs w:val="1"/>
      <w:color w:val="404040" w:themeColor="text1" w:themeTint="0000BF"/>
    </w:rPr>
  </w:style>
  <w:style w:type="paragraph" w:styleId="ListParagraph">
    <w:name w:val="List Paragraph"/>
    <w:basedOn w:val="Normal"/>
    <w:uiPriority w:val="34"/>
    <w:qFormat w:val="1"/>
    <w:rsid w:val="008D271A"/>
    <w:pPr>
      <w:ind w:left="720"/>
      <w:contextualSpacing w:val="1"/>
    </w:pPr>
  </w:style>
  <w:style w:type="character" w:styleId="IntenseEmphasis">
    <w:name w:val="Intense Emphasis"/>
    <w:basedOn w:val="DefaultParagraphFont"/>
    <w:uiPriority w:val="21"/>
    <w:qFormat w:val="1"/>
    <w:rsid w:val="008D271A"/>
    <w:rPr>
      <w:i w:val="1"/>
      <w:iCs w:val="1"/>
      <w:color w:val="0f4761" w:themeColor="accent1" w:themeShade="0000BF"/>
    </w:rPr>
  </w:style>
  <w:style w:type="paragraph" w:styleId="IntenseQuote">
    <w:name w:val="Intense Quote"/>
    <w:basedOn w:val="Normal"/>
    <w:next w:val="Normal"/>
    <w:link w:val="IntenseQuoteChar"/>
    <w:uiPriority w:val="30"/>
    <w:qFormat w:val="1"/>
    <w:rsid w:val="008D271A"/>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D271A"/>
    <w:rPr>
      <w:rFonts w:asciiTheme="majorBidi" w:hAnsiTheme="majorBidi"/>
      <w:i w:val="1"/>
      <w:iCs w:val="1"/>
      <w:color w:val="0f4761" w:themeColor="accent1" w:themeShade="0000BF"/>
    </w:rPr>
  </w:style>
  <w:style w:type="character" w:styleId="IntenseReference">
    <w:name w:val="Intense Reference"/>
    <w:basedOn w:val="DefaultParagraphFont"/>
    <w:uiPriority w:val="32"/>
    <w:qFormat w:val="1"/>
    <w:rsid w:val="008D271A"/>
    <w:rPr>
      <w:b w:val="1"/>
      <w:bCs w:val="1"/>
      <w:smallCaps w:val="1"/>
      <w:color w:val="0f4761" w:themeColor="accent1" w:themeShade="0000BF"/>
      <w:spacing w:val="5"/>
    </w:rPr>
  </w:style>
  <w:style w:type="paragraph" w:styleId="NormalWeb">
    <w:name w:val="Normal (Web)"/>
    <w:basedOn w:val="Normal"/>
    <w:uiPriority w:val="99"/>
    <w:unhideWhenUsed w:val="1"/>
    <w:rsid w:val="00C544F4"/>
    <w:pPr>
      <w:spacing w:after="100" w:afterAutospacing="1" w:before="100" w:beforeAutospacing="1" w:line="240" w:lineRule="auto"/>
    </w:pPr>
    <w:rPr>
      <w:rFonts w:ascii="Times New Roman" w:cs="Times New Roman" w:eastAsia="Times New Roman" w:hAnsi="Times New Roman"/>
      <w:kern w:val="0"/>
      <w:sz w:val="24"/>
      <w:lang w:eastAsia="en-GB"/>
    </w:rPr>
  </w:style>
  <w:style w:type="character" w:styleId="ms-1" w:customStyle="1">
    <w:name w:val="ms-1"/>
    <w:basedOn w:val="DefaultParagraphFont"/>
    <w:rsid w:val="00C544F4"/>
  </w:style>
  <w:style w:type="character" w:styleId="max-w-15ch" w:customStyle="1">
    <w:name w:val="max-w-[15ch]"/>
    <w:basedOn w:val="DefaultParagraphFont"/>
    <w:rsid w:val="00C544F4"/>
  </w:style>
  <w:style w:type="character" w:styleId="-me-1" w:customStyle="1">
    <w:name w:val="-me-1"/>
    <w:basedOn w:val="DefaultParagraphFont"/>
    <w:rsid w:val="00C544F4"/>
  </w:style>
  <w:style w:type="character" w:styleId="Strong">
    <w:name w:val="Strong"/>
    <w:basedOn w:val="DefaultParagraphFont"/>
    <w:uiPriority w:val="22"/>
    <w:qFormat w:val="1"/>
    <w:rsid w:val="00C544F4"/>
    <w:rPr>
      <w:b w:val="1"/>
      <w:bCs w:val="1"/>
    </w:rPr>
  </w:style>
  <w:style w:type="paragraph" w:styleId="z-TopofForm">
    <w:name w:val="HTML Top of Form"/>
    <w:basedOn w:val="Normal"/>
    <w:next w:val="Normal"/>
    <w:link w:val="z-TopofFormChar"/>
    <w:hidden w:val="1"/>
    <w:uiPriority w:val="99"/>
    <w:semiHidden w:val="1"/>
    <w:unhideWhenUsed w:val="1"/>
    <w:rsid w:val="00C544F4"/>
    <w:pPr>
      <w:pBdr>
        <w:bottom w:color="auto" w:space="1" w:sz="6" w:val="single"/>
      </w:pBdr>
      <w:spacing w:after="0" w:line="240" w:lineRule="auto"/>
      <w:jc w:val="center"/>
    </w:pPr>
    <w:rPr>
      <w:rFonts w:ascii="Arial" w:cs="Arial" w:eastAsia="Times New Roman" w:hAnsi="Arial"/>
      <w:vanish w:val="1"/>
      <w:kern w:val="0"/>
      <w:sz w:val="16"/>
      <w:szCs w:val="16"/>
      <w:lang w:eastAsia="en-GB"/>
    </w:rPr>
  </w:style>
  <w:style w:type="character" w:styleId="z-TopofFormChar" w:customStyle="1">
    <w:name w:val="z-Top of Form Char"/>
    <w:basedOn w:val="DefaultParagraphFont"/>
    <w:link w:val="z-TopofForm"/>
    <w:uiPriority w:val="99"/>
    <w:semiHidden w:val="1"/>
    <w:rsid w:val="00C544F4"/>
    <w:rPr>
      <w:rFonts w:ascii="Arial" w:cs="Arial" w:eastAsia="Times New Roman" w:hAnsi="Arial"/>
      <w:vanish w:val="1"/>
      <w:kern w:val="0"/>
      <w:sz w:val="16"/>
      <w:szCs w:val="16"/>
      <w:lang w:eastAsia="en-GB"/>
    </w:rPr>
  </w:style>
  <w:style w:type="paragraph" w:styleId="z-BottomofForm">
    <w:name w:val="HTML Bottom of Form"/>
    <w:basedOn w:val="Normal"/>
    <w:next w:val="Normal"/>
    <w:link w:val="z-BottomofFormChar"/>
    <w:hidden w:val="1"/>
    <w:uiPriority w:val="99"/>
    <w:semiHidden w:val="1"/>
    <w:unhideWhenUsed w:val="1"/>
    <w:rsid w:val="00C544F4"/>
    <w:pPr>
      <w:pBdr>
        <w:top w:color="auto" w:space="1" w:sz="6" w:val="single"/>
      </w:pBdr>
      <w:spacing w:after="0" w:line="240" w:lineRule="auto"/>
      <w:jc w:val="center"/>
    </w:pPr>
    <w:rPr>
      <w:rFonts w:ascii="Arial" w:cs="Arial" w:eastAsia="Times New Roman" w:hAnsi="Arial"/>
      <w:vanish w:val="1"/>
      <w:kern w:val="0"/>
      <w:sz w:val="16"/>
      <w:szCs w:val="16"/>
      <w:lang w:eastAsia="en-GB"/>
    </w:rPr>
  </w:style>
  <w:style w:type="character" w:styleId="z-BottomofFormChar" w:customStyle="1">
    <w:name w:val="z-Bottom of Form Char"/>
    <w:basedOn w:val="DefaultParagraphFont"/>
    <w:link w:val="z-BottomofForm"/>
    <w:uiPriority w:val="99"/>
    <w:semiHidden w:val="1"/>
    <w:rsid w:val="00C544F4"/>
    <w:rPr>
      <w:rFonts w:ascii="Arial" w:cs="Arial" w:eastAsia="Times New Roman" w:hAnsi="Arial"/>
      <w:vanish w:val="1"/>
      <w:kern w:val="0"/>
      <w:sz w:val="16"/>
      <w:szCs w:val="16"/>
      <w:lang w:eastAsia="en-GB"/>
    </w:rPr>
  </w:style>
  <w:style w:type="paragraph" w:styleId="Caption">
    <w:name w:val="caption"/>
    <w:basedOn w:val="Normal"/>
    <w:next w:val="Normal"/>
    <w:uiPriority w:val="35"/>
    <w:unhideWhenUsed w:val="1"/>
    <w:qFormat w:val="1"/>
    <w:rsid w:val="0063597C"/>
    <w:pPr>
      <w:spacing w:after="200" w:line="240" w:lineRule="auto"/>
    </w:pPr>
    <w:rPr>
      <w:i w:val="1"/>
      <w:iCs w:val="1"/>
      <w:color w:val="0e2841" w:themeColor="text2"/>
      <w:sz w:val="18"/>
      <w:szCs w:val="18"/>
    </w:rPr>
  </w:style>
  <w:style w:type="paragraph" w:styleId="TOCHeading">
    <w:name w:val="TOC Heading"/>
    <w:basedOn w:val="Heading1"/>
    <w:next w:val="Normal"/>
    <w:uiPriority w:val="39"/>
    <w:unhideWhenUsed w:val="1"/>
    <w:qFormat w:val="1"/>
    <w:rsid w:val="006C13B5"/>
    <w:pPr>
      <w:spacing w:after="0" w:before="480" w:line="276" w:lineRule="auto"/>
      <w:outlineLvl w:val="9"/>
    </w:pPr>
    <w:rPr>
      <w:rFonts w:asciiTheme="majorHAnsi" w:hAnsiTheme="majorHAnsi"/>
      <w:bCs w:val="1"/>
      <w:kern w:val="0"/>
      <w:szCs w:val="28"/>
      <w:lang w:val="en-US"/>
    </w:rPr>
  </w:style>
  <w:style w:type="paragraph" w:styleId="TOC2">
    <w:name w:val="toc 2"/>
    <w:basedOn w:val="Normal"/>
    <w:next w:val="Normal"/>
    <w:autoRedefine w:val="1"/>
    <w:uiPriority w:val="39"/>
    <w:unhideWhenUsed w:val="1"/>
    <w:rsid w:val="006C13B5"/>
    <w:pPr>
      <w:spacing w:after="0" w:before="120"/>
      <w:ind w:left="220"/>
    </w:pPr>
    <w:rPr>
      <w:rFonts w:cs="Times New Roman" w:asciiTheme="minorHAnsi" w:hAnsiTheme="minorHAnsi"/>
      <w:b w:val="1"/>
      <w:bCs w:val="1"/>
      <w:szCs w:val="26"/>
    </w:rPr>
  </w:style>
  <w:style w:type="paragraph" w:styleId="TOC1">
    <w:name w:val="toc 1"/>
    <w:basedOn w:val="Normal"/>
    <w:next w:val="Normal"/>
    <w:autoRedefine w:val="1"/>
    <w:uiPriority w:val="39"/>
    <w:unhideWhenUsed w:val="1"/>
    <w:rsid w:val="006C13B5"/>
    <w:pPr>
      <w:spacing w:after="0" w:before="120"/>
    </w:pPr>
    <w:rPr>
      <w:rFonts w:cs="Times New Roman" w:asciiTheme="minorHAnsi" w:hAnsiTheme="minorHAnsi"/>
      <w:b w:val="1"/>
      <w:bCs w:val="1"/>
      <w:i w:val="1"/>
      <w:iCs w:val="1"/>
      <w:sz w:val="24"/>
      <w:szCs w:val="28"/>
    </w:rPr>
  </w:style>
  <w:style w:type="character" w:styleId="Hyperlink">
    <w:name w:val="Hyperlink"/>
    <w:basedOn w:val="DefaultParagraphFont"/>
    <w:uiPriority w:val="99"/>
    <w:unhideWhenUsed w:val="1"/>
    <w:rsid w:val="006C13B5"/>
    <w:rPr>
      <w:color w:val="467886" w:themeColor="hyperlink"/>
      <w:u w:val="single"/>
    </w:rPr>
  </w:style>
  <w:style w:type="paragraph" w:styleId="TOC3">
    <w:name w:val="toc 3"/>
    <w:basedOn w:val="Normal"/>
    <w:next w:val="Normal"/>
    <w:autoRedefine w:val="1"/>
    <w:uiPriority w:val="39"/>
    <w:semiHidden w:val="1"/>
    <w:unhideWhenUsed w:val="1"/>
    <w:rsid w:val="006C13B5"/>
    <w:pPr>
      <w:spacing w:after="0"/>
      <w:ind w:left="440"/>
    </w:pPr>
    <w:rPr>
      <w:rFonts w:cs="Times New Roman" w:asciiTheme="minorHAnsi" w:hAnsiTheme="minorHAnsi"/>
      <w:sz w:val="20"/>
    </w:rPr>
  </w:style>
  <w:style w:type="paragraph" w:styleId="TOC4">
    <w:name w:val="toc 4"/>
    <w:basedOn w:val="Normal"/>
    <w:next w:val="Normal"/>
    <w:autoRedefine w:val="1"/>
    <w:uiPriority w:val="39"/>
    <w:semiHidden w:val="1"/>
    <w:unhideWhenUsed w:val="1"/>
    <w:rsid w:val="006C13B5"/>
    <w:pPr>
      <w:spacing w:after="0"/>
      <w:ind w:left="660"/>
    </w:pPr>
    <w:rPr>
      <w:rFonts w:cs="Times New Roman" w:asciiTheme="minorHAnsi" w:hAnsiTheme="minorHAnsi"/>
      <w:sz w:val="20"/>
    </w:rPr>
  </w:style>
  <w:style w:type="paragraph" w:styleId="TOC5">
    <w:name w:val="toc 5"/>
    <w:basedOn w:val="Normal"/>
    <w:next w:val="Normal"/>
    <w:autoRedefine w:val="1"/>
    <w:uiPriority w:val="39"/>
    <w:semiHidden w:val="1"/>
    <w:unhideWhenUsed w:val="1"/>
    <w:rsid w:val="006C13B5"/>
    <w:pPr>
      <w:spacing w:after="0"/>
      <w:ind w:left="880"/>
    </w:pPr>
    <w:rPr>
      <w:rFonts w:cs="Times New Roman" w:asciiTheme="minorHAnsi" w:hAnsiTheme="minorHAnsi"/>
      <w:sz w:val="20"/>
    </w:rPr>
  </w:style>
  <w:style w:type="paragraph" w:styleId="TOC6">
    <w:name w:val="toc 6"/>
    <w:basedOn w:val="Normal"/>
    <w:next w:val="Normal"/>
    <w:autoRedefine w:val="1"/>
    <w:uiPriority w:val="39"/>
    <w:semiHidden w:val="1"/>
    <w:unhideWhenUsed w:val="1"/>
    <w:rsid w:val="006C13B5"/>
    <w:pPr>
      <w:spacing w:after="0"/>
      <w:ind w:left="1100"/>
    </w:pPr>
    <w:rPr>
      <w:rFonts w:cs="Times New Roman" w:asciiTheme="minorHAnsi" w:hAnsiTheme="minorHAnsi"/>
      <w:sz w:val="20"/>
    </w:rPr>
  </w:style>
  <w:style w:type="paragraph" w:styleId="TOC7">
    <w:name w:val="toc 7"/>
    <w:basedOn w:val="Normal"/>
    <w:next w:val="Normal"/>
    <w:autoRedefine w:val="1"/>
    <w:uiPriority w:val="39"/>
    <w:semiHidden w:val="1"/>
    <w:unhideWhenUsed w:val="1"/>
    <w:rsid w:val="006C13B5"/>
    <w:pPr>
      <w:spacing w:after="0"/>
      <w:ind w:left="1320"/>
    </w:pPr>
    <w:rPr>
      <w:rFonts w:cs="Times New Roman" w:asciiTheme="minorHAnsi" w:hAnsiTheme="minorHAnsi"/>
      <w:sz w:val="20"/>
    </w:rPr>
  </w:style>
  <w:style w:type="paragraph" w:styleId="TOC8">
    <w:name w:val="toc 8"/>
    <w:basedOn w:val="Normal"/>
    <w:next w:val="Normal"/>
    <w:autoRedefine w:val="1"/>
    <w:uiPriority w:val="39"/>
    <w:semiHidden w:val="1"/>
    <w:unhideWhenUsed w:val="1"/>
    <w:rsid w:val="006C13B5"/>
    <w:pPr>
      <w:spacing w:after="0"/>
      <w:ind w:left="1540"/>
    </w:pPr>
    <w:rPr>
      <w:rFonts w:cs="Times New Roman" w:asciiTheme="minorHAnsi" w:hAnsiTheme="minorHAnsi"/>
      <w:sz w:val="20"/>
    </w:rPr>
  </w:style>
  <w:style w:type="paragraph" w:styleId="TOC9">
    <w:name w:val="toc 9"/>
    <w:basedOn w:val="Normal"/>
    <w:next w:val="Normal"/>
    <w:autoRedefine w:val="1"/>
    <w:uiPriority w:val="39"/>
    <w:semiHidden w:val="1"/>
    <w:unhideWhenUsed w:val="1"/>
    <w:rsid w:val="006C13B5"/>
    <w:pPr>
      <w:spacing w:after="0"/>
      <w:ind w:left="1760"/>
    </w:pPr>
    <w:rPr>
      <w:rFonts w:cs="Times New Roman" w:asciiTheme="minorHAnsi" w:hAnsiTheme="minorHAnsi"/>
      <w:sz w:val="20"/>
    </w:rPr>
  </w:style>
  <w:style w:type="paragraph" w:styleId="Subtitle">
    <w:name w:val="Subtitle"/>
    <w:basedOn w:val="Normal"/>
    <w:next w:val="Normal"/>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WtnCLFv5x8/Jau2mUvEDiBpmJA==">CgMxLjAyDmguZnFqY244cnl5OXBsMg5oLjkwcDRsMmdmYWl3YzIOaC5kY2dxNmNxem4xNjgyDmgua2x1enhnMTA1cjkyMg5oLnlmeGN4bXMxMDJubDIOaC5peDFucXdpamlqem4yDmguemU3emJ6dWZ5dHhqMg1oLjRoeTV0amVtYjh3Mg5oLmE1Z3BxZjFxbGt0NTIOaC5ucmQwM3c2OXN0ZGg4AHIhMXFmUHFoODM1bkREOTJ2VV9NMWdxSnFzWXBLWmhRQzk5</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2025-11-14T10:31:00Z</dcterms:created>
  <dc:creator>WORD FILE</dc:creator>
</cp:coreProperties>
</file>