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8EFC8C" w14:textId="77777777" w:rsidR="003666C9" w:rsidRDefault="003666C9">
      <w:pPr>
        <w:jc w:val="center"/>
        <w:rPr>
          <w:b/>
          <w:bCs/>
          <w:sz w:val="32"/>
          <w:szCs w:val="32"/>
        </w:rPr>
      </w:pPr>
    </w:p>
    <w:p w14:paraId="147B8DBC" w14:textId="77777777" w:rsidR="003666C9" w:rsidRDefault="003666C9">
      <w:pPr>
        <w:jc w:val="center"/>
        <w:rPr>
          <w:b/>
          <w:bCs/>
          <w:sz w:val="32"/>
          <w:szCs w:val="32"/>
        </w:rPr>
      </w:pPr>
    </w:p>
    <w:p w14:paraId="62F916F9" w14:textId="77777777" w:rsidR="003666C9" w:rsidRDefault="003666C9">
      <w:pPr>
        <w:jc w:val="center"/>
        <w:rPr>
          <w:b/>
          <w:bCs/>
          <w:sz w:val="32"/>
          <w:szCs w:val="32"/>
        </w:rPr>
      </w:pPr>
    </w:p>
    <w:p w14:paraId="08F338B6" w14:textId="77777777" w:rsidR="003666C9" w:rsidRDefault="003666C9">
      <w:pPr>
        <w:jc w:val="center"/>
        <w:rPr>
          <w:b/>
          <w:bCs/>
          <w:sz w:val="32"/>
          <w:szCs w:val="32"/>
        </w:rPr>
      </w:pPr>
    </w:p>
    <w:p w14:paraId="75D340F5" w14:textId="77777777" w:rsidR="003666C9" w:rsidRDefault="003666C9">
      <w:pPr>
        <w:jc w:val="center"/>
        <w:rPr>
          <w:b/>
          <w:bCs/>
          <w:sz w:val="32"/>
          <w:szCs w:val="32"/>
        </w:rPr>
      </w:pPr>
    </w:p>
    <w:p w14:paraId="3F27068E" w14:textId="57ABBD4F" w:rsidR="003666C9" w:rsidRPr="00A91A7E" w:rsidRDefault="005C5F59">
      <w:pPr>
        <w:jc w:val="center"/>
        <w:rPr>
          <w:b/>
          <w:bCs/>
          <w:sz w:val="36"/>
          <w:szCs w:val="36"/>
        </w:rPr>
      </w:pPr>
      <w:r w:rsidRPr="00A91A7E">
        <w:rPr>
          <w:b/>
          <w:bCs/>
          <w:sz w:val="36"/>
          <w:szCs w:val="36"/>
        </w:rPr>
        <w:t>Student Name:</w:t>
      </w:r>
      <w:r w:rsidR="00A91A7E" w:rsidRPr="00A91A7E">
        <w:rPr>
          <w:b/>
          <w:bCs/>
          <w:sz w:val="36"/>
          <w:szCs w:val="36"/>
        </w:rPr>
        <w:t xml:space="preserve"> SOFIA JABEEN</w:t>
      </w:r>
    </w:p>
    <w:p w14:paraId="57334FE0" w14:textId="4889E716" w:rsidR="003666C9" w:rsidRPr="00A91A7E" w:rsidRDefault="005C5F59">
      <w:pPr>
        <w:jc w:val="center"/>
        <w:rPr>
          <w:b/>
          <w:bCs/>
          <w:sz w:val="36"/>
          <w:szCs w:val="36"/>
        </w:rPr>
      </w:pPr>
      <w:r w:rsidRPr="00A91A7E">
        <w:rPr>
          <w:b/>
          <w:bCs/>
          <w:sz w:val="36"/>
          <w:szCs w:val="36"/>
        </w:rPr>
        <w:t>Student ID:</w:t>
      </w:r>
      <w:r w:rsidR="00A91A7E">
        <w:rPr>
          <w:b/>
          <w:bCs/>
          <w:sz w:val="36"/>
          <w:szCs w:val="36"/>
        </w:rPr>
        <w:t xml:space="preserve"> </w:t>
      </w:r>
      <w:r w:rsidR="00830526">
        <w:rPr>
          <w:b/>
          <w:bCs/>
          <w:sz w:val="36"/>
          <w:szCs w:val="36"/>
        </w:rPr>
        <w:t>2246658</w:t>
      </w:r>
    </w:p>
    <w:p w14:paraId="668C197E" w14:textId="77777777" w:rsidR="003666C9" w:rsidRPr="00A91A7E" w:rsidRDefault="005C5F59">
      <w:pPr>
        <w:jc w:val="center"/>
        <w:rPr>
          <w:b/>
          <w:bCs/>
          <w:sz w:val="36"/>
          <w:szCs w:val="36"/>
        </w:rPr>
      </w:pPr>
      <w:r w:rsidRPr="00A91A7E">
        <w:rPr>
          <w:b/>
          <w:bCs/>
          <w:sz w:val="36"/>
          <w:szCs w:val="36"/>
        </w:rPr>
        <w:t>Programme: BSc (Hons) Health and Social Care</w:t>
      </w:r>
    </w:p>
    <w:p w14:paraId="27BADDCD" w14:textId="77777777" w:rsidR="003666C9" w:rsidRPr="00A91A7E" w:rsidRDefault="005C5F59">
      <w:pPr>
        <w:jc w:val="center"/>
        <w:rPr>
          <w:b/>
          <w:bCs/>
          <w:sz w:val="36"/>
          <w:szCs w:val="36"/>
        </w:rPr>
      </w:pPr>
      <w:r w:rsidRPr="00A91A7E">
        <w:rPr>
          <w:b/>
          <w:bCs/>
          <w:sz w:val="36"/>
          <w:szCs w:val="36"/>
        </w:rPr>
        <w:t>Module Code: BMHP6030</w:t>
      </w:r>
    </w:p>
    <w:p w14:paraId="46DBD1F2" w14:textId="77777777" w:rsidR="003666C9" w:rsidRPr="00A91A7E" w:rsidRDefault="005C5F59">
      <w:pPr>
        <w:jc w:val="center"/>
        <w:rPr>
          <w:b/>
          <w:bCs/>
          <w:sz w:val="36"/>
          <w:szCs w:val="36"/>
        </w:rPr>
      </w:pPr>
      <w:r w:rsidRPr="00A91A7E">
        <w:rPr>
          <w:b/>
          <w:bCs/>
          <w:sz w:val="36"/>
          <w:szCs w:val="36"/>
        </w:rPr>
        <w:t>Module Title: Health, Wellbeing and Sustainable Development</w:t>
      </w:r>
    </w:p>
    <w:p w14:paraId="7A120DE6" w14:textId="77777777" w:rsidR="003666C9" w:rsidRPr="00A91A7E" w:rsidRDefault="005C5F59">
      <w:pPr>
        <w:jc w:val="center"/>
        <w:rPr>
          <w:b/>
          <w:bCs/>
          <w:sz w:val="36"/>
          <w:szCs w:val="36"/>
        </w:rPr>
      </w:pPr>
      <w:r w:rsidRPr="00A91A7E">
        <w:rPr>
          <w:b/>
          <w:bCs/>
          <w:sz w:val="36"/>
          <w:szCs w:val="36"/>
        </w:rPr>
        <w:t xml:space="preserve">Lecturer: Dr </w:t>
      </w:r>
      <w:proofErr w:type="spellStart"/>
      <w:r w:rsidRPr="00A91A7E">
        <w:rPr>
          <w:b/>
          <w:bCs/>
          <w:sz w:val="36"/>
          <w:szCs w:val="36"/>
        </w:rPr>
        <w:t>ItseOlaoye</w:t>
      </w:r>
      <w:proofErr w:type="spellEnd"/>
    </w:p>
    <w:p w14:paraId="448661E3" w14:textId="77777777" w:rsidR="003666C9" w:rsidRDefault="005C5F59">
      <w:pPr>
        <w:rPr>
          <w:b/>
          <w:bCs/>
          <w:sz w:val="26"/>
          <w:szCs w:val="26"/>
        </w:rPr>
      </w:pPr>
      <w:r>
        <w:rPr>
          <w:b/>
          <w:bCs/>
          <w:sz w:val="26"/>
          <w:szCs w:val="26"/>
        </w:rPr>
        <w:br w:type="page"/>
      </w:r>
    </w:p>
    <w:sdt>
      <w:sdtPr>
        <w:rPr>
          <w:b/>
          <w:bCs/>
          <w:sz w:val="28"/>
          <w:szCs w:val="28"/>
        </w:rPr>
        <w:id w:val="-630511785"/>
        <w:docPartObj>
          <w:docPartGallery w:val="AutoText"/>
          <w:docPartUnique/>
        </w:docPartObj>
      </w:sdtPr>
      <w:sdtEndPr/>
      <w:sdtContent>
        <w:p w14:paraId="726612C2" w14:textId="77777777" w:rsidR="003666C9" w:rsidRDefault="005C5F59">
          <w:pPr>
            <w:jc w:val="center"/>
            <w:rPr>
              <w:b/>
              <w:bCs/>
              <w:sz w:val="28"/>
              <w:szCs w:val="28"/>
            </w:rPr>
          </w:pPr>
          <w:r>
            <w:rPr>
              <w:b/>
              <w:bCs/>
              <w:sz w:val="28"/>
              <w:szCs w:val="28"/>
            </w:rPr>
            <w:t>Table of Contents</w:t>
          </w:r>
        </w:p>
        <w:p w14:paraId="50EA9FC0" w14:textId="75E6F729" w:rsidR="003666C9" w:rsidRDefault="005C5F59">
          <w:pPr>
            <w:pStyle w:val="TOC1"/>
            <w:tabs>
              <w:tab w:val="right" w:leader="dot" w:pos="9350"/>
            </w:tabs>
            <w:spacing w:after="0"/>
          </w:pPr>
          <w:r>
            <w:fldChar w:fldCharType="begin"/>
          </w:r>
          <w:r>
            <w:instrText xml:space="preserve"> TOC \o "1-3" \h \z \u </w:instrText>
          </w:r>
          <w:r>
            <w:fldChar w:fldCharType="separate"/>
          </w:r>
          <w:hyperlink w:anchor="_Toc227578393" w:history="1">
            <w:r>
              <w:t>1. Introduction</w:t>
            </w:r>
            <w:r>
              <w:tab/>
            </w:r>
            <w:r w:rsidR="00A91A7E">
              <w:t>2</w:t>
            </w:r>
          </w:hyperlink>
        </w:p>
        <w:p w14:paraId="53FF6B94" w14:textId="241CC01C" w:rsidR="003666C9" w:rsidRDefault="005C5F59">
          <w:pPr>
            <w:pStyle w:val="TOC1"/>
            <w:tabs>
              <w:tab w:val="right" w:leader="dot" w:pos="9350"/>
            </w:tabs>
            <w:spacing w:after="0"/>
          </w:pPr>
          <w:hyperlink w:anchor="_Toc227578394" w:history="1">
            <w:r>
              <w:t>2. Sustainable Development Goal 3 - Good Health and Wellbeing</w:t>
            </w:r>
            <w:r>
              <w:tab/>
            </w:r>
            <w:r w:rsidR="00A91A7E">
              <w:t>2</w:t>
            </w:r>
          </w:hyperlink>
        </w:p>
        <w:p w14:paraId="08CEFD03" w14:textId="49D29DDC" w:rsidR="003666C9" w:rsidRDefault="005C5F59">
          <w:pPr>
            <w:pStyle w:val="TOC1"/>
            <w:tabs>
              <w:tab w:val="right" w:leader="dot" w:pos="9350"/>
            </w:tabs>
            <w:spacing w:after="0"/>
          </w:pPr>
          <w:hyperlink w:anchor="_Toc227578395" w:history="1">
            <w:r>
              <w:t>3. Sustainable Development Goal 11 - Sustainable Cities and Communities</w:t>
            </w:r>
            <w:r>
              <w:tab/>
            </w:r>
            <w:r w:rsidR="00A91A7E">
              <w:t>3</w:t>
            </w:r>
          </w:hyperlink>
        </w:p>
        <w:p w14:paraId="07CD1351" w14:textId="6006F1E8" w:rsidR="003666C9" w:rsidRDefault="005C5F59">
          <w:pPr>
            <w:pStyle w:val="TOC1"/>
            <w:tabs>
              <w:tab w:val="right" w:leader="dot" w:pos="9350"/>
            </w:tabs>
            <w:spacing w:after="0"/>
          </w:pPr>
          <w:hyperlink w:anchor="_Toc227578396" w:history="1">
            <w:r>
              <w:t>4. Global Impact of SDG 3 and SDG 11</w:t>
            </w:r>
            <w:r>
              <w:tab/>
            </w:r>
            <w:r w:rsidR="00A91A7E">
              <w:t>4</w:t>
            </w:r>
          </w:hyperlink>
        </w:p>
        <w:p w14:paraId="616AB8E1" w14:textId="623A8A09" w:rsidR="003666C9" w:rsidRDefault="005C5F59">
          <w:pPr>
            <w:pStyle w:val="TOC1"/>
            <w:tabs>
              <w:tab w:val="right" w:leader="dot" w:pos="9350"/>
            </w:tabs>
            <w:spacing w:after="0"/>
          </w:pPr>
          <w:hyperlink w:anchor="_Toc227578397" w:history="1">
            <w:r>
              <w:t>5. National Level Initiatives - United Kingdom</w:t>
            </w:r>
            <w:r>
              <w:tab/>
            </w:r>
            <w:r w:rsidR="00A91A7E">
              <w:t>5</w:t>
            </w:r>
          </w:hyperlink>
        </w:p>
        <w:p w14:paraId="56438141" w14:textId="593F1DDC" w:rsidR="003666C9" w:rsidRDefault="005C5F59">
          <w:pPr>
            <w:pStyle w:val="TOC1"/>
            <w:tabs>
              <w:tab w:val="right" w:leader="dot" w:pos="9350"/>
            </w:tabs>
            <w:spacing w:after="0"/>
          </w:pPr>
          <w:hyperlink w:anchor="_Toc227578398" w:history="1">
            <w:r>
              <w:t>6. Local Level Initiative - London</w:t>
            </w:r>
            <w:r>
              <w:tab/>
            </w:r>
            <w:r w:rsidR="00A91A7E">
              <w:t>6</w:t>
            </w:r>
          </w:hyperlink>
        </w:p>
        <w:p w14:paraId="76C27B91" w14:textId="1E737C7C" w:rsidR="003666C9" w:rsidRDefault="005C5F59">
          <w:pPr>
            <w:pStyle w:val="TOC1"/>
            <w:tabs>
              <w:tab w:val="right" w:leader="dot" w:pos="9350"/>
            </w:tabs>
            <w:spacing w:after="0"/>
          </w:pPr>
          <w:hyperlink w:anchor="_Toc227578399" w:history="1">
            <w:r>
              <w:t>7. Critical Evaluation</w:t>
            </w:r>
            <w:r>
              <w:tab/>
            </w:r>
            <w:r w:rsidR="00A91A7E">
              <w:t>7</w:t>
            </w:r>
          </w:hyperlink>
        </w:p>
        <w:p w14:paraId="1E0B6B87" w14:textId="4F7B6CE0" w:rsidR="003666C9" w:rsidRDefault="005C5F59">
          <w:pPr>
            <w:pStyle w:val="TOC1"/>
            <w:tabs>
              <w:tab w:val="right" w:leader="dot" w:pos="9350"/>
            </w:tabs>
            <w:spacing w:after="0"/>
          </w:pPr>
          <w:hyperlink w:anchor="_Toc227578400" w:history="1">
            <w:r>
              <w:t>8. Recommendations</w:t>
            </w:r>
            <w:r>
              <w:tab/>
            </w:r>
            <w:r w:rsidR="00A91A7E">
              <w:t>7</w:t>
            </w:r>
          </w:hyperlink>
        </w:p>
        <w:p w14:paraId="3728EBA4" w14:textId="786F468C" w:rsidR="003666C9" w:rsidRDefault="005C5F59">
          <w:pPr>
            <w:pStyle w:val="TOC1"/>
            <w:tabs>
              <w:tab w:val="right" w:leader="dot" w:pos="9350"/>
            </w:tabs>
            <w:spacing w:after="0"/>
          </w:pPr>
          <w:hyperlink w:anchor="_Toc227578401" w:history="1">
            <w:r>
              <w:t>9. Conclusion</w:t>
            </w:r>
            <w:r>
              <w:tab/>
            </w:r>
            <w:r w:rsidR="00A91A7E">
              <w:t>8</w:t>
            </w:r>
          </w:hyperlink>
        </w:p>
        <w:p w14:paraId="37E4C500" w14:textId="70F7A518" w:rsidR="003666C9" w:rsidRDefault="005C5F59">
          <w:pPr>
            <w:pStyle w:val="TOC1"/>
            <w:tabs>
              <w:tab w:val="right" w:leader="dot" w:pos="9350"/>
            </w:tabs>
            <w:spacing w:after="0"/>
          </w:pPr>
          <w:hyperlink w:anchor="_Toc227578402" w:history="1">
            <w:r>
              <w:t>References</w:t>
            </w:r>
            <w:r>
              <w:tab/>
            </w:r>
            <w:r w:rsidR="00A91A7E">
              <w:t>9</w:t>
            </w:r>
          </w:hyperlink>
        </w:p>
        <w:p w14:paraId="5E666358" w14:textId="77777777" w:rsidR="003666C9" w:rsidRDefault="005C5F59">
          <w:r>
            <w:rPr>
              <w:b/>
              <w:bCs/>
            </w:rPr>
            <w:fldChar w:fldCharType="end"/>
          </w:r>
        </w:p>
      </w:sdtContent>
    </w:sdt>
    <w:p w14:paraId="18FE18B6" w14:textId="77777777" w:rsidR="003666C9" w:rsidRDefault="003666C9"/>
    <w:p w14:paraId="6706CD9D" w14:textId="77777777" w:rsidR="003666C9" w:rsidRDefault="005C5F59">
      <w:pPr>
        <w:rPr>
          <w:b/>
          <w:bCs/>
        </w:rPr>
      </w:pPr>
      <w:r>
        <w:rPr>
          <w:b/>
          <w:bCs/>
        </w:rPr>
        <w:br w:type="page"/>
      </w:r>
    </w:p>
    <w:p w14:paraId="0B0AF587" w14:textId="77777777" w:rsidR="003666C9" w:rsidRDefault="005C5F59">
      <w:pPr>
        <w:pStyle w:val="Heading1"/>
      </w:pPr>
      <w:bookmarkStart w:id="0" w:name="_6zz9vxhumyba"/>
      <w:bookmarkStart w:id="1" w:name="_Toc227578393"/>
      <w:bookmarkEnd w:id="0"/>
      <w:r>
        <w:lastRenderedPageBreak/>
        <w:t>1. Introduction</w:t>
      </w:r>
      <w:bookmarkEnd w:id="1"/>
    </w:p>
    <w:p w14:paraId="3E79E853" w14:textId="77777777" w:rsidR="003666C9" w:rsidRDefault="005C5F59">
      <w:r>
        <w:t>The health and wellbeing of people are important for sustainable societies and a better quality of life. The United Nations Sustainable Development Goals improve global health.  This report studies SDG 3 and 11 and how both have impacted the global, national and local level. It examines the policies and initiatives and suggests ways they can be improved to promote better health and wellbeing of the citizens.</w:t>
      </w:r>
    </w:p>
    <w:p w14:paraId="65D29F67" w14:textId="77777777" w:rsidR="003666C9" w:rsidRDefault="005C5F59">
      <w:pPr>
        <w:pStyle w:val="Heading1"/>
      </w:pPr>
      <w:bookmarkStart w:id="2" w:name="_vblrgtqcnh60"/>
      <w:bookmarkStart w:id="3" w:name="_Toc227578394"/>
      <w:bookmarkEnd w:id="2"/>
      <w:r>
        <w:t>2. Sustainable Development Goal 3 - Good Health and Wellbeing</w:t>
      </w:r>
      <w:bookmarkEnd w:id="3"/>
    </w:p>
    <w:p w14:paraId="5C3A17CB" w14:textId="77777777" w:rsidR="003666C9" w:rsidRDefault="005C5F59">
      <w:r>
        <w:t xml:space="preserve">Sustainable Development Goal 3 (SDG 3) seeks to ensure healthy lives and promote wellbeing for all at all ages. </w:t>
      </w:r>
      <w:proofErr w:type="gramStart"/>
      <w:r>
        <w:t>In order to</w:t>
      </w:r>
      <w:proofErr w:type="gramEnd"/>
      <w:r>
        <w:t xml:space="preserve"> enhance quality of life and tackle major health challenges at a global scale, the United Nations confirmed SDG 3 to address these issues as part of the 2030 Agenda for Sustainable Development. SDG Goal 3 is about reducing mortality, ensuring access to healthcare, preventing disease, and promoting wellbeing and mental health. The recognition that good health is essential for sustainable development and economic growth, healthy populations contribute to productive and resilient societies (United N</w:t>
      </w:r>
      <w:r>
        <w:t>ations, 2015).</w:t>
      </w:r>
    </w:p>
    <w:p w14:paraId="3BAFBDBC" w14:textId="77777777" w:rsidR="003666C9" w:rsidRDefault="005C5F59">
      <w:r>
        <w:t>SDG 3 comprises various key targets to improve the condition of health globally. The objectives involve a decrease in maternal fatalities, halt to avoidable mortality of newborns and offspring, and fight against infectious diseases. Moreover, SDG 3 seeks to achieve universal health coverage, including financial risk protection, access to quality essential health care services, and access to essential medicines and vaccines. According to a source, targets ensure equitable access essential for everyone to enj</w:t>
      </w:r>
      <w:r>
        <w:t xml:space="preserve">oy good health (Chiu and Fong, 2023). </w:t>
      </w:r>
    </w:p>
    <w:p w14:paraId="600E99DB" w14:textId="77777777" w:rsidR="003666C9" w:rsidRDefault="005C5F59">
      <w:pPr>
        <w:jc w:val="center"/>
      </w:pPr>
      <w:r>
        <w:rPr>
          <w:noProof/>
          <w:lang w:val="en-US" w:eastAsia="en-US"/>
        </w:rPr>
        <w:drawing>
          <wp:inline distT="114300" distB="114300" distL="114300" distR="114300" wp14:anchorId="019D57E1" wp14:editId="0C40F43C">
            <wp:extent cx="5000625" cy="2500313"/>
            <wp:effectExtent l="0" t="0" r="0" b="0"/>
            <wp:docPr id="1" name="Images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Images 3"/>
                    <pic:cNvPicPr/>
                  </pic:nvPicPr>
                  <pic:blipFill>
                    <a:blip r:embed="rId6"/>
                    <a:stretch>
                      <a:fillRect/>
                    </a:stretch>
                  </pic:blipFill>
                  <pic:spPr>
                    <a:xfrm>
                      <a:off x="0" y="0"/>
                      <a:ext cx="5000625" cy="2500313"/>
                    </a:xfrm>
                    <a:prstGeom prst="rect">
                      <a:avLst/>
                    </a:prstGeom>
                    <a:noFill/>
                    <a:ln w="12700" cap="flat" cmpd="sng">
                      <a:solidFill>
                        <a:srgbClr val="000000"/>
                      </a:solidFill>
                      <a:prstDash val="solid"/>
                      <a:round/>
                    </a:ln>
                  </pic:spPr>
                </pic:pic>
              </a:graphicData>
            </a:graphic>
          </wp:inline>
        </w:drawing>
      </w:r>
    </w:p>
    <w:p w14:paraId="2B31481E" w14:textId="77777777" w:rsidR="003666C9" w:rsidRDefault="005C5F59">
      <w:pPr>
        <w:jc w:val="center"/>
        <w:rPr>
          <w:b/>
          <w:bCs/>
        </w:rPr>
      </w:pPr>
      <w:r>
        <w:rPr>
          <w:b/>
          <w:bCs/>
        </w:rPr>
        <w:t>Figure 1: Sustainable Development Goal 3 - Good Health and Wellbeing</w:t>
      </w:r>
    </w:p>
    <w:p w14:paraId="1CA86D69" w14:textId="77777777" w:rsidR="003666C9" w:rsidRDefault="005C5F59">
      <w:pPr>
        <w:jc w:val="center"/>
      </w:pPr>
      <w:r>
        <w:t>(Source: Babu and Srivastava, 2024)</w:t>
      </w:r>
    </w:p>
    <w:p w14:paraId="047A05B4" w14:textId="77777777" w:rsidR="003666C9" w:rsidRDefault="005C5F59">
      <w:r>
        <w:lastRenderedPageBreak/>
        <w:t>Implementation of SDG 3 has positively affected health and wellbeing all over the world. Through improved healthcare services and prevention programs, mortality rates are lowered and life expectancy is increased. Moreover, the public health system has been strengthened with mental well-being awareness campaigns and healthcare reforms for early identification of disease and treatment. Preventive healthcare initiatives such as screening programs and vaccination campaigns have cut down the infection rate and i</w:t>
      </w:r>
      <w:r>
        <w:t>mproved the health outcomes of the population (Babu and Srivastava, 2024).</w:t>
      </w:r>
    </w:p>
    <w:p w14:paraId="5839727A" w14:textId="77777777" w:rsidR="003666C9" w:rsidRDefault="005C5F59">
      <w:r>
        <w:t>There are real-world examples of how SDG 3 works. The World Health Organization has initiated worldwide immunization programs and disease prevention activities to enhance public health outcomes around the world (World Health Organization, 2022). According to NHS England (2023), improved access to treatment and preventative care comes from services in the United Kingdom including the National Health Service. Vaccination strategies that have been implemented in the world alongside COVID-19 immunization progra</w:t>
      </w:r>
      <w:r>
        <w:t>m offered further support for disease prevention and death (UK Government, 2022). These initiatives clearly show how SDG 3 is meant to improve health and wellbeing outcomes at global and national levels.</w:t>
      </w:r>
    </w:p>
    <w:p w14:paraId="2EE992FB" w14:textId="77777777" w:rsidR="003666C9" w:rsidRDefault="005C5F59">
      <w:pPr>
        <w:pStyle w:val="Heading1"/>
      </w:pPr>
      <w:bookmarkStart w:id="4" w:name="_5dt0cna9bc1q"/>
      <w:bookmarkStart w:id="5" w:name="_Toc227578395"/>
      <w:bookmarkEnd w:id="4"/>
      <w:r>
        <w:t>3. Sustainable Development Goal 11 - Sustainable Cities and Communities</w:t>
      </w:r>
      <w:bookmarkEnd w:id="5"/>
    </w:p>
    <w:p w14:paraId="51B866CC" w14:textId="77777777" w:rsidR="003666C9" w:rsidRDefault="005C5F59">
      <w:r>
        <w:t>Sustainable Development Goal 11 (SDG 11) seeks to ensure access to safe, affordable housing and basic services for all. The objective of SDG 11, developed by the United Nations, is to counteract the adverse impacts caused by the rapid growth of the urban population as well as urbanization-related issues like pollution, inadequate housing and poor access to the basic services. The SDG 11 targets for making cities and human settlements safe and sustainable and affordable housing and sustainable transport. The</w:t>
      </w:r>
      <w:r>
        <w:t>se aims are seeking to improve the citizen's quality of life and creating healthier and more sustainable environments (United Nations, 2015).</w:t>
      </w:r>
    </w:p>
    <w:p w14:paraId="2A4C821E" w14:textId="77777777" w:rsidR="003666C9" w:rsidRDefault="005C5F59">
      <w:r>
        <w:t xml:space="preserve">One of SDG 11’s main aims </w:t>
      </w:r>
      <w:proofErr w:type="gramStart"/>
      <w:r>
        <w:t>is</w:t>
      </w:r>
      <w:proofErr w:type="gramEnd"/>
      <w:r>
        <w:t xml:space="preserve"> to ensure the safety of cities while improving the environment. A wide range of problems including but not limited to air pollution, overcrowding and limited green spaces in urban areas harm health. SDG 11 focuses on sustainable urban planning, better waste management systems, and the reduction of environmental hazards for healthier communities. In addition, the goal highlights the significance of access to safe and affordable housing and efficient public transport systems to improve living conditions an</w:t>
      </w:r>
      <w:r>
        <w:t xml:space="preserve">d reduce health </w:t>
      </w:r>
      <w:r>
        <w:lastRenderedPageBreak/>
        <w:t>inequalities (UN-Habitat 2022).  These measures help in making the surroundings safer and making services easily accessible (Nabiyeva et al., 2023).</w:t>
      </w:r>
    </w:p>
    <w:p w14:paraId="542882DA" w14:textId="77777777" w:rsidR="003666C9" w:rsidRDefault="005C5F59">
      <w:pPr>
        <w:jc w:val="center"/>
      </w:pPr>
      <w:r>
        <w:rPr>
          <w:noProof/>
          <w:lang w:val="en-US" w:eastAsia="en-US"/>
        </w:rPr>
        <w:drawing>
          <wp:inline distT="114300" distB="114300" distL="114300" distR="114300" wp14:anchorId="32E65CB1" wp14:editId="4A7ECECD">
            <wp:extent cx="4761682" cy="3365227"/>
            <wp:effectExtent l="0" t="0" r="0" b="0"/>
            <wp:docPr id="4" name="Images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s 6"/>
                    <pic:cNvPicPr/>
                  </pic:nvPicPr>
                  <pic:blipFill>
                    <a:blip r:embed="rId7"/>
                    <a:stretch>
                      <a:fillRect/>
                    </a:stretch>
                  </pic:blipFill>
                  <pic:spPr>
                    <a:xfrm>
                      <a:off x="0" y="0"/>
                      <a:ext cx="4761682" cy="3365227"/>
                    </a:xfrm>
                    <a:prstGeom prst="rect">
                      <a:avLst/>
                    </a:prstGeom>
                    <a:noFill/>
                    <a:ln w="12700" cap="flat" cmpd="sng">
                      <a:solidFill>
                        <a:srgbClr val="000000"/>
                      </a:solidFill>
                      <a:prstDash val="solid"/>
                      <a:round/>
                    </a:ln>
                  </pic:spPr>
                </pic:pic>
              </a:graphicData>
            </a:graphic>
          </wp:inline>
        </w:drawing>
      </w:r>
    </w:p>
    <w:p w14:paraId="3130C9C0" w14:textId="77777777" w:rsidR="003666C9" w:rsidRDefault="005C5F59">
      <w:pPr>
        <w:jc w:val="center"/>
        <w:rPr>
          <w:b/>
          <w:bCs/>
        </w:rPr>
      </w:pPr>
      <w:r>
        <w:rPr>
          <w:b/>
          <w:bCs/>
        </w:rPr>
        <w:t>Figure 2: Sustainable Development Goal 11 - Sustainable Cities and Communities</w:t>
      </w:r>
    </w:p>
    <w:p w14:paraId="37B89B73" w14:textId="77777777" w:rsidR="003666C9" w:rsidRDefault="005C5F59">
      <w:pPr>
        <w:jc w:val="center"/>
      </w:pPr>
      <w:r>
        <w:t>(Source: Nabiyeva et al., 2023)</w:t>
      </w:r>
    </w:p>
    <w:p w14:paraId="4030564E" w14:textId="77777777" w:rsidR="003666C9" w:rsidRDefault="005C5F59">
      <w:r>
        <w:t>Sustainable Development Goal 11 is connected to health and wellbeing. When we reduce air pollution, we minimize the risk of respiratory diseases. Living in a safe house is associated with lesser exposure to environmental hazards such as dampness, crowding, and poor sanitation. Along with this, access to green spaces like parks and recreation areas promotes mental well-being, encourages physical activity, and reduces stress levels. Improve the quality of life and health of the community (</w:t>
      </w:r>
      <w:proofErr w:type="spellStart"/>
      <w:r>
        <w:t>Bartniczak</w:t>
      </w:r>
      <w:proofErr w:type="spellEnd"/>
      <w:r>
        <w:t xml:space="preserve"> and Raszkowski, 2022).</w:t>
      </w:r>
    </w:p>
    <w:p w14:paraId="196BCBC6" w14:textId="77777777" w:rsidR="003666C9" w:rsidRDefault="005C5F59">
      <w:r>
        <w:t>Real-world examples illustrate the impact of SDG 11 initiatives. Parks in cities help mental wellbeing, encourage people to partake in more activities, and reduce stress and anxiety (World Health Organization, 2021).</w:t>
      </w:r>
    </w:p>
    <w:p w14:paraId="577531D0" w14:textId="77777777" w:rsidR="003666C9" w:rsidRDefault="005C5F59">
      <w:pPr>
        <w:pStyle w:val="Heading1"/>
      </w:pPr>
      <w:bookmarkStart w:id="6" w:name="_mykq204cwnlz"/>
      <w:bookmarkStart w:id="7" w:name="_Toc227578396"/>
      <w:bookmarkEnd w:id="6"/>
      <w:r>
        <w:t>4. Global Impact of SDG 3 and SDG 11</w:t>
      </w:r>
      <w:bookmarkEnd w:id="7"/>
    </w:p>
    <w:p w14:paraId="4604CBF5" w14:textId="77777777" w:rsidR="003666C9" w:rsidRDefault="005C5F59">
      <w:pPr>
        <w:rPr>
          <w:b/>
          <w:bCs/>
        </w:rPr>
      </w:pPr>
      <w:r>
        <w:rPr>
          <w:b/>
          <w:bCs/>
        </w:rPr>
        <w:t>WHO Global Health Programs</w:t>
      </w:r>
    </w:p>
    <w:p w14:paraId="41115636" w14:textId="77777777" w:rsidR="003666C9" w:rsidRDefault="005C5F59">
      <w:r>
        <w:t xml:space="preserve">The World Health Organization has undertaken global health initiatives in line with SDG 3 to enhance access, lessen disease burden and assure wellbeing across the world. Sociomedical programs cover vaccination campaigns, maternal health care support, disease prevention, etc. For instance, the child mortality rate and life expectancy have improved in developing countries </w:t>
      </w:r>
      <w:r>
        <w:lastRenderedPageBreak/>
        <w:t>because of global immunization programs (World Health Organization, 2022). To lessen stigma and increase access to mental health services, global and mental health awareness initiatives have been adopted.</w:t>
      </w:r>
    </w:p>
    <w:p w14:paraId="51253826" w14:textId="77777777" w:rsidR="003666C9" w:rsidRDefault="005C5F59">
      <w:pPr>
        <w:rPr>
          <w:b/>
          <w:bCs/>
        </w:rPr>
      </w:pPr>
      <w:r>
        <w:rPr>
          <w:b/>
          <w:bCs/>
        </w:rPr>
        <w:t>United Nations Initiatives</w:t>
      </w:r>
    </w:p>
    <w:p w14:paraId="1BE7DE2D" w14:textId="77777777" w:rsidR="003666C9" w:rsidRDefault="005C5F59">
      <w:r>
        <w:t xml:space="preserve">The UN has put in place different strategies to support SDG 3 and SDG 11 including sustainable urban planning and improving global health. Efforts have been made to create health and wellbeing for a population including the poor, the marginal. The coordinated response to COVID-19 by international organizations sought to save lives and strengthen global health systems (United Nations, 2021). As a result of this, public health outcomes and preparedness for emergencies improved. </w:t>
      </w:r>
    </w:p>
    <w:p w14:paraId="29432C0E" w14:textId="77777777" w:rsidR="003666C9" w:rsidRDefault="005C5F59">
      <w:pPr>
        <w:rPr>
          <w:b/>
          <w:bCs/>
        </w:rPr>
      </w:pPr>
      <w:r>
        <w:rPr>
          <w:b/>
          <w:bCs/>
        </w:rPr>
        <w:t>Global Vaccination Programs and Climate-Health Link</w:t>
      </w:r>
    </w:p>
    <w:p w14:paraId="10FDE869" w14:textId="77777777" w:rsidR="003666C9" w:rsidRDefault="005C5F59">
      <w:r>
        <w:t>Global vaccination programs, including the COVID-19 vaccination programs, have played a significant role in the reduction of mortality rate and infectious disease (World Health Organization, 2022). Moreover, global health is adversely affected due to climate change and air pollution. Climate action and clean air policies consistent with SDG 11 are helping reduce respiratory diseases and enhance wellbeing (United Nations Environment Programme, 2022). These policies ‘demonstrate how environmental sustainabili</w:t>
      </w:r>
      <w:r>
        <w:t>ty is inextricably linked to health’ according to WHO.</w:t>
      </w:r>
    </w:p>
    <w:p w14:paraId="77C9B705" w14:textId="77777777" w:rsidR="003666C9" w:rsidRDefault="005C5F59">
      <w:pPr>
        <w:rPr>
          <w:b/>
          <w:bCs/>
        </w:rPr>
      </w:pPr>
      <w:r>
        <w:rPr>
          <w:b/>
          <w:bCs/>
        </w:rPr>
        <w:t>Benefits and Limitations</w:t>
      </w:r>
    </w:p>
    <w:p w14:paraId="107F2179" w14:textId="77777777" w:rsidR="003666C9" w:rsidRDefault="005C5F59">
      <w:r>
        <w:t>Efforts through the SDG 3 and SDG 11 initiative worldwide have enhanced access to health care, lowered mortality and increased mental health awareness. The funding challenge faced by the international community makes the realization of goals related to global health and wellbeing difficult (Martinelli, 2024).</w:t>
      </w:r>
    </w:p>
    <w:p w14:paraId="7833CCBC" w14:textId="77777777" w:rsidR="003666C9" w:rsidRDefault="005C5F59">
      <w:pPr>
        <w:pStyle w:val="Heading1"/>
      </w:pPr>
      <w:bookmarkStart w:id="8" w:name="_xnmj9aqe5vuu"/>
      <w:bookmarkStart w:id="9" w:name="_Toc227578397"/>
      <w:bookmarkEnd w:id="8"/>
      <w:r>
        <w:t>5. National Level Initiatives - United Kingdom</w:t>
      </w:r>
      <w:bookmarkEnd w:id="9"/>
    </w:p>
    <w:p w14:paraId="764247D2" w14:textId="77777777" w:rsidR="003666C9" w:rsidRDefault="005C5F59">
      <w:pPr>
        <w:rPr>
          <w:b/>
          <w:bCs/>
        </w:rPr>
      </w:pPr>
      <w:r>
        <w:rPr>
          <w:b/>
          <w:bCs/>
        </w:rPr>
        <w:t>NHS Long Term Plan</w:t>
      </w:r>
    </w:p>
    <w:p w14:paraId="67CA497C" w14:textId="77777777" w:rsidR="003666C9" w:rsidRDefault="005C5F59">
      <w:r>
        <w:t>The National Health Service Long Term Plan is an important national initiative that supports Sustainable Development Goal 3. It aims to improve health care access and mental health services while promoting preventative care to improve health services. The initiative, with emphasis on early diagnosis, better treatment services, and integrated care systems, aims to improve outcomes for patients. In addition, the NHS Long Term Plan intends to improve mental health services through more investment and expansion</w:t>
      </w:r>
      <w:r>
        <w:t xml:space="preserve"> of community health services (NHS England, 2019).</w:t>
      </w:r>
    </w:p>
    <w:p w14:paraId="5672002C" w14:textId="77777777" w:rsidR="003666C9" w:rsidRDefault="005C5F59">
      <w:r>
        <w:t xml:space="preserve">It is expected that the NHS Long Term Plan will change how hospitals are used in the future.  The early detection of diseases has helped prevent the occurrence of long-term healthcare </w:t>
      </w:r>
      <w:r>
        <w:lastRenderedPageBreak/>
        <w:t xml:space="preserve">costs with screening and early intervention. In addition, better mental health services have aided patients and relieved pressure on emergency services (England N.H.S, 2023).  </w:t>
      </w:r>
    </w:p>
    <w:p w14:paraId="6E7D87ED" w14:textId="77777777" w:rsidR="003666C9" w:rsidRDefault="005C5F59">
      <w:pPr>
        <w:rPr>
          <w:b/>
          <w:bCs/>
        </w:rPr>
      </w:pPr>
      <w:r>
        <w:rPr>
          <w:b/>
          <w:bCs/>
        </w:rPr>
        <w:t>Strategy of Public Health England</w:t>
      </w:r>
    </w:p>
    <w:p w14:paraId="60D4772C" w14:textId="77777777" w:rsidR="003666C9" w:rsidRDefault="005C5F59">
      <w:r>
        <w:t>Public Health England is responsible for public health, improving health and wellbeing, and reducing health inequalities. The strategy envisages to improve health, prevent diseases and strengthen community programmes such as obesity control, smoking cessation, and improving level of physical activity. Public Health England (PHE) also assists councils with community health measures to address health inequality (Public Health England, 2020).</w:t>
      </w:r>
    </w:p>
    <w:p w14:paraId="51ECB85D" w14:textId="77777777" w:rsidR="003666C9" w:rsidRDefault="005C5F59">
      <w:pPr>
        <w:jc w:val="center"/>
      </w:pPr>
      <w:r>
        <w:rPr>
          <w:noProof/>
          <w:lang w:val="en-US" w:eastAsia="en-US"/>
        </w:rPr>
        <w:drawing>
          <wp:inline distT="114300" distB="114300" distL="114300" distR="114300" wp14:anchorId="7DD05E28" wp14:editId="3DB91839">
            <wp:extent cx="3343275" cy="1371600"/>
            <wp:effectExtent l="0" t="0" r="0" b="0"/>
            <wp:docPr id="7" name="Images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9" name="Images 9"/>
                    <pic:cNvPicPr/>
                  </pic:nvPicPr>
                  <pic:blipFill>
                    <a:blip r:embed="rId8"/>
                    <a:stretch>
                      <a:fillRect/>
                    </a:stretch>
                  </pic:blipFill>
                  <pic:spPr>
                    <a:xfrm>
                      <a:off x="0" y="0"/>
                      <a:ext cx="3343275" cy="1371600"/>
                    </a:xfrm>
                    <a:prstGeom prst="rect">
                      <a:avLst/>
                    </a:prstGeom>
                    <a:noFill/>
                    <a:ln w="12700" cap="flat" cmpd="sng">
                      <a:solidFill>
                        <a:srgbClr val="000000"/>
                      </a:solidFill>
                      <a:prstDash val="solid"/>
                      <a:round/>
                    </a:ln>
                  </pic:spPr>
                </pic:pic>
              </a:graphicData>
            </a:graphic>
          </wp:inline>
        </w:drawing>
      </w:r>
    </w:p>
    <w:p w14:paraId="0169986A" w14:textId="77777777" w:rsidR="003666C9" w:rsidRDefault="005C5F59">
      <w:pPr>
        <w:jc w:val="center"/>
        <w:rPr>
          <w:b/>
          <w:bCs/>
        </w:rPr>
      </w:pPr>
      <w:r>
        <w:rPr>
          <w:b/>
          <w:bCs/>
        </w:rPr>
        <w:t>Figure 3: Charting the UK's path to net zero emissions by 2050</w:t>
      </w:r>
    </w:p>
    <w:p w14:paraId="4B08B8B4" w14:textId="77777777" w:rsidR="003666C9" w:rsidRDefault="005C5F59">
      <w:pPr>
        <w:jc w:val="center"/>
      </w:pPr>
      <w:r>
        <w:t>(Source: Hunter et al., 2022)</w:t>
      </w:r>
    </w:p>
    <w:p w14:paraId="28A2B2F3" w14:textId="77777777" w:rsidR="003666C9" w:rsidRDefault="005C5F59">
      <w:r>
        <w:t xml:space="preserve">Public Health England’s strategy improves public awareness of a healthy lifestyle and consequently lowers the rate of obesity. Community based health programs have enhanced participation in physical activity and reduced risk factors. The </w:t>
      </w:r>
      <w:proofErr w:type="gramStart"/>
      <w:r>
        <w:t>aforementioned initiative</w:t>
      </w:r>
      <w:proofErr w:type="gramEnd"/>
      <w:r>
        <w:t xml:space="preserve"> also promotes healthy activities among citizens and provides mental wellness support (Hunter et al., 2022).</w:t>
      </w:r>
    </w:p>
    <w:p w14:paraId="04B7E641" w14:textId="77777777" w:rsidR="003666C9" w:rsidRDefault="005C5F59">
      <w:pPr>
        <w:rPr>
          <w:b/>
          <w:bCs/>
        </w:rPr>
      </w:pPr>
      <w:r>
        <w:rPr>
          <w:b/>
          <w:bCs/>
        </w:rPr>
        <w:t>UK Strategy for attaining zero pollution</w:t>
      </w:r>
    </w:p>
    <w:p w14:paraId="1E08F427" w14:textId="77777777" w:rsidR="003666C9" w:rsidRDefault="005C5F59">
      <w:r>
        <w:t>The Net Zero Strategy of the UK Government aims for carbon emissions reduction and environmental sustainability beneficial to SDG 11. The plan intends to cut pollution, increase clean energy, and raise air quality. These efforts involve the encouragement of public transit, renewable energy, and sustainable housing productions.</w:t>
      </w:r>
    </w:p>
    <w:p w14:paraId="588B39E8" w14:textId="77777777" w:rsidR="003666C9" w:rsidRDefault="005C5F59">
      <w:r>
        <w:t>The Net Zero Strategy has led to an improvement in air quality and health impacts. Clean air reduces respiratory illnesses such as asthma and cardiovascular illness. Better environmental conditions also lead to improved standard of living and wellbeing of citizens throughout the UK (</w:t>
      </w:r>
      <w:proofErr w:type="spellStart"/>
      <w:r>
        <w:t>ApSimon</w:t>
      </w:r>
      <w:proofErr w:type="spellEnd"/>
      <w:r>
        <w:t xml:space="preserve"> et al., 2023).</w:t>
      </w:r>
    </w:p>
    <w:p w14:paraId="70396CE5" w14:textId="77777777" w:rsidR="003666C9" w:rsidRDefault="005C5F59">
      <w:pPr>
        <w:pStyle w:val="Heading1"/>
      </w:pPr>
      <w:bookmarkStart w:id="10" w:name="_18s0djh0vwxz"/>
      <w:bookmarkStart w:id="11" w:name="_Toc227578398"/>
      <w:bookmarkEnd w:id="10"/>
      <w:r>
        <w:t>6. Local Level Initiative - London</w:t>
      </w:r>
      <w:bookmarkEnd w:id="11"/>
    </w:p>
    <w:p w14:paraId="66137172" w14:textId="77777777" w:rsidR="003666C9" w:rsidRDefault="005C5F59">
      <w:r>
        <w:t xml:space="preserve">The London Health Inequalities Strategy, the Greater London Authority aims to reduce health disparities and improve wellbeing in communities. This initiative aims to improve health access, housing and greenery to promote healthier living conditions. This strategy seeks to target social </w:t>
      </w:r>
      <w:r>
        <w:lastRenderedPageBreak/>
        <w:t>determinants of health - income, inequality, employment, opportunity, and access to health care. Furthermore, local authorities work in partnership with voluntary organizations to provide targeted health and well-being support (Greater London Authority, 2018).</w:t>
      </w:r>
    </w:p>
    <w:p w14:paraId="12F3FDC1" w14:textId="77777777" w:rsidR="003666C9" w:rsidRDefault="005C5F59">
      <w:r>
        <w:t xml:space="preserve">Community healthcare initiatives and accessible healthcare services contribute to the enhancement of local healthcare. Local health </w:t>
      </w:r>
      <w:proofErr w:type="spellStart"/>
      <w:r>
        <w:t>centers</w:t>
      </w:r>
      <w:proofErr w:type="spellEnd"/>
      <w:r>
        <w:t xml:space="preserve"> and outreach initiatives offer preventive care and early intervention support to the most vulnerable among their communities. Housing support interventions are intended to alleviate overcrowding, poor ventilation and other health damaging housing conditions. </w:t>
      </w:r>
    </w:p>
    <w:p w14:paraId="355A98B3" w14:textId="77777777" w:rsidR="003666C9" w:rsidRDefault="005C5F59">
      <w:r>
        <w:t>Another important area of focus for the strategy is the expansion of green space. The expansion of parks and recreational spaces is anticipated to improve physical activities and mental health. New community parks and green infrastructure projects helped alleviate stress and improved mental wellbeing (Greater London Authority 2021). Residents in London benefitted from such schemes. Access to care and health inequalities have improved free mental health services as well as wellbeing support programs. As a re</w:t>
      </w:r>
      <w:r>
        <w:t>sult of the initiatives mentioned, wellbeing has improved, health inequalities reduced and quality has enhanced for Londoners.</w:t>
      </w:r>
    </w:p>
    <w:p w14:paraId="6FA0DEB8" w14:textId="77777777" w:rsidR="003666C9" w:rsidRDefault="005C5F59">
      <w:pPr>
        <w:pStyle w:val="Heading1"/>
      </w:pPr>
      <w:bookmarkStart w:id="12" w:name="_ratn22edknyd"/>
      <w:bookmarkStart w:id="13" w:name="_Toc227578399"/>
      <w:bookmarkEnd w:id="12"/>
      <w:r>
        <w:t>7. Critical Evaluation</w:t>
      </w:r>
      <w:bookmarkEnd w:id="13"/>
    </w:p>
    <w:p w14:paraId="098D34EE" w14:textId="77777777" w:rsidR="003666C9" w:rsidRDefault="005C5F59">
      <w:r>
        <w:t>Global, national and local efforts to fulfil Sustainable Development Goal 3 and Sustainable Development Goal 11 have several strengths. Government strategies like NHS Long Term Plan and London Health Inequalities Strategy have facilitated better access to health care, increased support for mental health and improved living environments. Moreover, growing awareness of public health issues such as mental health, obesity and air pollution has led to healthier lifestyles and preventative healthcare (NHS England</w:t>
      </w:r>
      <w:r>
        <w:t xml:space="preserve">, 2019). These initiatives have had an overall positive impact on wellbeing and reduce diseases that could have been avoided. </w:t>
      </w:r>
    </w:p>
    <w:p w14:paraId="09343A26" w14:textId="77777777" w:rsidR="003666C9" w:rsidRDefault="005C5F59">
      <w:r>
        <w:t>Various weaknesses still exist in the implementation of such initiatives Owing to funding limitations, the effectiveness of healthcare services and sustainability programs are restricted. The population groups, particularly the poor and vulnerable communities, experience health inequities. There are also discrepancies between urban and rural areas in how they design health care and other public services. Restricted access to healthcare for vulnerable groups, such as the elderly and disadvantaged, further il</w:t>
      </w:r>
      <w:r>
        <w:t xml:space="preserve">lustrates the challenge of achieving equity in health (UK Government, 2022). </w:t>
      </w:r>
    </w:p>
    <w:p w14:paraId="33A7734F" w14:textId="77777777" w:rsidR="003666C9" w:rsidRDefault="005C5F59">
      <w:pPr>
        <w:pStyle w:val="Heading1"/>
      </w:pPr>
      <w:bookmarkStart w:id="14" w:name="_ip61z56zz6nu"/>
      <w:bookmarkStart w:id="15" w:name="_Toc227578400"/>
      <w:bookmarkEnd w:id="14"/>
      <w:r>
        <w:t>8. Recommendations</w:t>
      </w:r>
      <w:bookmarkEnd w:id="15"/>
    </w:p>
    <w:p w14:paraId="39FF7DAF" w14:textId="77777777" w:rsidR="003666C9" w:rsidRDefault="005C5F59">
      <w:r>
        <w:rPr>
          <w:b/>
          <w:bCs/>
        </w:rPr>
        <w:t xml:space="preserve">Increase Healthcare Funding: </w:t>
      </w:r>
      <w:r>
        <w:t xml:space="preserve">There is a need to increase funding in the health sector for improving health facilities.  Extra investment can assist with building workforce and healthcare </w:t>
      </w:r>
      <w:r>
        <w:lastRenderedPageBreak/>
        <w:t>services.  The National Health Service could offer more and shorter waiting lists if they had more funding (NHS England, 2023). It would mean better treatment and satisfaction. It is anticipated that higher funding will improve access to healthcare and the health of the population (</w:t>
      </w:r>
      <w:proofErr w:type="spellStart"/>
      <w:r>
        <w:t>Laguecir</w:t>
      </w:r>
      <w:proofErr w:type="spellEnd"/>
      <w:r>
        <w:t xml:space="preserve"> et al., 2025).</w:t>
      </w:r>
    </w:p>
    <w:p w14:paraId="19857034" w14:textId="77777777" w:rsidR="003666C9" w:rsidRDefault="005C5F59">
      <w:r>
        <w:rPr>
          <w:b/>
          <w:bCs/>
        </w:rPr>
        <w:t xml:space="preserve">Improve Mental Health Services: </w:t>
      </w:r>
      <w:r>
        <w:t xml:space="preserve">There is a need to address the rising mental health issues by expanding mental health services. Governments ought to fund programs for mental health and early intervention </w:t>
      </w:r>
      <w:proofErr w:type="gramStart"/>
      <w:r>
        <w:t>community-based</w:t>
      </w:r>
      <w:proofErr w:type="gramEnd"/>
      <w:r>
        <w:t>. Enhanced accessibility to mental health assistance can result in the ability to lessen hospital visits as well as enhance the well-being of the people within society. The WHO (2022) found that delivering mental health support early on enhances health outcomes later in life. It may enhance mental health and reduce the chan</w:t>
      </w:r>
      <w:r>
        <w:t>ces of requiring health care (Priestley et al., 2022).</w:t>
      </w:r>
    </w:p>
    <w:p w14:paraId="2F2E3543" w14:textId="77777777" w:rsidR="003666C9" w:rsidRDefault="005C5F59">
      <w:r>
        <w:rPr>
          <w:b/>
          <w:bCs/>
        </w:rPr>
        <w:t>Expand Green Spaces:</w:t>
      </w:r>
      <w:r>
        <w:t xml:space="preserve"> Expanding public parks and green spaces can improve health and well-being. Availability of green spaces promotes physical activity and stress relief. The Greater London Authority is in </w:t>
      </w:r>
      <w:proofErr w:type="spellStart"/>
      <w:r>
        <w:t>favor</w:t>
      </w:r>
      <w:proofErr w:type="spellEnd"/>
      <w:r>
        <w:t xml:space="preserve"> of the development of green infrastructure to enhance community well-being (Greater London Authority, 2021). It is anticipated that this initiative will enhance mental health and minimize chronic illness</w:t>
      </w:r>
    </w:p>
    <w:p w14:paraId="1ABE11ED" w14:textId="77777777" w:rsidR="003666C9" w:rsidRDefault="005C5F59">
      <w:pPr>
        <w:pStyle w:val="Heading1"/>
      </w:pPr>
      <w:bookmarkStart w:id="16" w:name="_lnp1fh371ovc"/>
      <w:bookmarkStart w:id="17" w:name="_Toc227578401"/>
      <w:bookmarkEnd w:id="16"/>
      <w:r>
        <w:t>9. Conclusion</w:t>
      </w:r>
      <w:bookmarkEnd w:id="17"/>
    </w:p>
    <w:p w14:paraId="08C268A0" w14:textId="77777777" w:rsidR="003666C9" w:rsidRDefault="005C5F59">
      <w:r>
        <w:t xml:space="preserve">The global and national efforts to achieve Sustainable Development Goals 3 and 11 significantly improve health and wellbeing. Programs like the National Health Service and local plans have made a difference, but there are still challenges. </w:t>
      </w:r>
      <w:proofErr w:type="gramStart"/>
      <w:r>
        <w:t>Enhanced funding,</w:t>
      </w:r>
      <w:proofErr w:type="gramEnd"/>
      <w:r>
        <w:t xml:space="preserve"> strengthened services and improved policies will enhance sustainable health development and citizen’s wellbeing.</w:t>
      </w:r>
      <w:bookmarkStart w:id="18" w:name="_8z62pven3wtu"/>
      <w:bookmarkEnd w:id="18"/>
    </w:p>
    <w:p w14:paraId="25346618" w14:textId="77777777" w:rsidR="003666C9" w:rsidRDefault="005C5F59">
      <w:pPr>
        <w:rPr>
          <w:b/>
          <w:bCs/>
          <w:sz w:val="28"/>
          <w:szCs w:val="28"/>
        </w:rPr>
      </w:pPr>
      <w:bookmarkStart w:id="19" w:name="_o6to40hp19mi"/>
      <w:bookmarkStart w:id="20" w:name="_Toc227578402"/>
      <w:bookmarkEnd w:id="19"/>
      <w:r>
        <w:br w:type="page"/>
      </w:r>
    </w:p>
    <w:p w14:paraId="663D6163" w14:textId="77777777" w:rsidR="003666C9" w:rsidRDefault="005C5F59">
      <w:pPr>
        <w:pStyle w:val="Heading1"/>
      </w:pPr>
      <w:r>
        <w:lastRenderedPageBreak/>
        <w:t>References</w:t>
      </w:r>
      <w:bookmarkEnd w:id="20"/>
    </w:p>
    <w:p w14:paraId="5BCDF56B" w14:textId="77777777" w:rsidR="003666C9" w:rsidRDefault="005C5F59">
      <w:proofErr w:type="spellStart"/>
      <w:r>
        <w:t>ApSimon</w:t>
      </w:r>
      <w:proofErr w:type="spellEnd"/>
      <w:r>
        <w:t xml:space="preserve">, H., Oxley, T., Woodward, H., Mehlig, D., Holland, M. and Reeves, S., 2023. Integrated assessment modelling of future air quality in the UK to 2050 and synergies with net-zero strategies. Atmosphere, 14(3), p.525. </w:t>
      </w:r>
      <w:hyperlink r:id="rId9" w:history="1">
        <w:r>
          <w:rPr>
            <w:color w:val="1155CC"/>
            <w:u w:val="single"/>
          </w:rPr>
          <w:t>https://www.mdpi.com/2073-4433/14/3/525</w:t>
        </w:r>
      </w:hyperlink>
    </w:p>
    <w:p w14:paraId="074CFDA4" w14:textId="77777777" w:rsidR="003666C9" w:rsidRDefault="005C5F59">
      <w:r>
        <w:t xml:space="preserve">Babu, S.C. and Srivastava, N., 2024. Sustainable Development Goal 3: Good health and well-being. In Handbook on Public Policy and Food Security (pp. 101-109). Edward Elgar Publishing. </w:t>
      </w:r>
      <w:hyperlink r:id="rId10" w:history="1">
        <w:r>
          <w:rPr>
            <w:color w:val="1155CC"/>
            <w:u w:val="single"/>
          </w:rPr>
          <w:t>https://www.elgaronline.com/edcollchap/book/9781839105449/book-part-9781839105449-15.xml</w:t>
        </w:r>
      </w:hyperlink>
    </w:p>
    <w:p w14:paraId="2FAB220B" w14:textId="77777777" w:rsidR="003666C9" w:rsidRDefault="005C5F59">
      <w:r>
        <w:t xml:space="preserve">Bartniczak, B. and Raszkowski, A., 2022. Implementation of the sustainable cities and </w:t>
      </w:r>
      <w:proofErr w:type="gramStart"/>
      <w:r>
        <w:t>communities</w:t>
      </w:r>
      <w:proofErr w:type="gramEnd"/>
      <w:r>
        <w:t xml:space="preserve"> sustainable development goal (SDG) in the European Union. Sustainability, 14(24), p.16808. </w:t>
      </w:r>
      <w:hyperlink r:id="rId11" w:history="1">
        <w:r>
          <w:rPr>
            <w:color w:val="1155CC"/>
            <w:u w:val="single"/>
          </w:rPr>
          <w:t>https://www.mdpi.com/2071-1050/14/24/16808</w:t>
        </w:r>
      </w:hyperlink>
    </w:p>
    <w:p w14:paraId="5345D2F1" w14:textId="77777777" w:rsidR="003666C9" w:rsidRDefault="005C5F59">
      <w:r>
        <w:t xml:space="preserve">Chiu, W.K. and Fong, B.Y.F., 2023. Sustainable development goal 3 in healthcare. In Environmental, social and governance and sustainable development in healthcare (pp. 33-45). Singapore: Springer Nature Singapore. </w:t>
      </w:r>
      <w:hyperlink r:id="rId12" w:history="1">
        <w:r>
          <w:rPr>
            <w:color w:val="1155CC"/>
            <w:u w:val="single"/>
          </w:rPr>
          <w:t>https://link.springer.com/chapter/10.1007/978-981-99-1564-4_3</w:t>
        </w:r>
      </w:hyperlink>
    </w:p>
    <w:p w14:paraId="38BA4450" w14:textId="77777777" w:rsidR="003666C9" w:rsidRDefault="005C5F59">
      <w:r>
        <w:t xml:space="preserve">England, N.H.S., 2023. NHS long term workforce plan [online] </w:t>
      </w:r>
      <w:hyperlink r:id="rId13" w:history="1">
        <w:r>
          <w:rPr>
            <w:color w:val="1155CC"/>
            <w:u w:val="single"/>
          </w:rPr>
          <w:t>https://www.rcpath.org/static/bf6094b6-2087-45a3-bef230c097d328ae/Letter-to-Medical-Royal-Colleges-and-Faculties-110723-final-WP.pdf</w:t>
        </w:r>
      </w:hyperlink>
    </w:p>
    <w:p w14:paraId="5CDB85F4" w14:textId="77777777" w:rsidR="003666C9" w:rsidRDefault="005C5F59">
      <w:r>
        <w:t xml:space="preserve">Greater London Authority. 2018. London Health Inequalities Strategy. </w:t>
      </w:r>
      <w:hyperlink r:id="rId14" w:history="1">
        <w:r>
          <w:rPr>
            <w:color w:val="1155CC"/>
            <w:u w:val="single"/>
          </w:rPr>
          <w:t>https://www.london.gov.uk</w:t>
        </w:r>
      </w:hyperlink>
    </w:p>
    <w:p w14:paraId="6CAEDA1F" w14:textId="77777777" w:rsidR="003666C9" w:rsidRDefault="005C5F59">
      <w:r>
        <w:t xml:space="preserve">Greater London Authority. 2021. London environment strategy. </w:t>
      </w:r>
      <w:hyperlink r:id="rId15" w:history="1">
        <w:r>
          <w:rPr>
            <w:color w:val="1155CC"/>
            <w:u w:val="single"/>
          </w:rPr>
          <w:t>https://www.london.gov.uk/programmes-strategies</w:t>
        </w:r>
      </w:hyperlink>
    </w:p>
    <w:p w14:paraId="0AF2DA77" w14:textId="77777777" w:rsidR="003666C9" w:rsidRDefault="005C5F59">
      <w:r>
        <w:t xml:space="preserve">Hunter, D.J., </w:t>
      </w:r>
      <w:proofErr w:type="spellStart"/>
      <w:r>
        <w:t>Littlejohns</w:t>
      </w:r>
      <w:proofErr w:type="spellEnd"/>
      <w:r>
        <w:t xml:space="preserve">, P. and Weale, A., 2022. Reforming the public health system in England. The Lancet Public Health, 7(9), </w:t>
      </w:r>
      <w:proofErr w:type="gramStart"/>
      <w:r>
        <w:t>pp.e</w:t>
      </w:r>
      <w:proofErr w:type="gramEnd"/>
      <w:r>
        <w:t xml:space="preserve">797-e800. </w:t>
      </w:r>
      <w:hyperlink r:id="rId16" w:history="1">
        <w:r>
          <w:rPr>
            <w:color w:val="1155CC"/>
            <w:u w:val="single"/>
          </w:rPr>
          <w:t>https://www.thelancet.com/pdfs/journals/lanpub/PIIS2468-2667(22)00199-2.pdf</w:t>
        </w:r>
      </w:hyperlink>
    </w:p>
    <w:p w14:paraId="21B3BCCE" w14:textId="77777777" w:rsidR="003666C9" w:rsidRDefault="005C5F59">
      <w:proofErr w:type="spellStart"/>
      <w:r>
        <w:t>Laguecir</w:t>
      </w:r>
      <w:proofErr w:type="spellEnd"/>
      <w:r>
        <w:t xml:space="preserve">, A., Chapman, C.S., </w:t>
      </w:r>
      <w:proofErr w:type="spellStart"/>
      <w:r>
        <w:t>Gebreiter</w:t>
      </w:r>
      <w:proofErr w:type="spellEnd"/>
      <w:r>
        <w:t xml:space="preserve">, F. and Lemaire, C., 2025, May. Patient empowerment in public healthcare funding system reform: A power network perspective. In Accounting Forum (Vol. 49, No. 3, pp. 634-667). Routledge. </w:t>
      </w:r>
      <w:hyperlink r:id="rId17" w:history="1">
        <w:r>
          <w:rPr>
            <w:color w:val="1155CC"/>
            <w:u w:val="single"/>
          </w:rPr>
          <w:t>https://www.tandfonline.com/doi/pdf/10.1080/01559982.2024.2364955</w:t>
        </w:r>
      </w:hyperlink>
    </w:p>
    <w:p w14:paraId="075EFFCF" w14:textId="77777777" w:rsidR="003666C9" w:rsidRDefault="005C5F59">
      <w:r>
        <w:t xml:space="preserve">Martinelli, A., 2024. Sustainable promotion of mental health and prevention of mental health disorders across the world. In Integrated Science for Sustainable Development Goal 3: Empowering Global Wellness Initiatives (pp. 1-23). Cham: Springer Nature Switzerland. </w:t>
      </w:r>
      <w:hyperlink r:id="rId18" w:history="1">
        <w:r>
          <w:rPr>
            <w:color w:val="1155CC"/>
            <w:u w:val="single"/>
          </w:rPr>
          <w:t>https://link.springer.com/chapter/10.1007/978-3-031-64288-3_1</w:t>
        </w:r>
      </w:hyperlink>
    </w:p>
    <w:p w14:paraId="62885AED" w14:textId="77777777" w:rsidR="003666C9" w:rsidRDefault="005C5F59">
      <w:r>
        <w:lastRenderedPageBreak/>
        <w:t xml:space="preserve">Nabiyeva, G.N., Wheeler, S.M., London, J.K. and Brazil, N., 2023. Implementation of sustainable development goal 11 (sustainable cities and communities): initial good practices data. Sustainability, 15(20), p.14810. </w:t>
      </w:r>
      <w:hyperlink r:id="rId19" w:history="1">
        <w:r>
          <w:rPr>
            <w:color w:val="1155CC"/>
            <w:u w:val="single"/>
          </w:rPr>
          <w:t>https://www.mdpi.com/2071-1050/15/20/14810</w:t>
        </w:r>
      </w:hyperlink>
    </w:p>
    <w:p w14:paraId="24150ED1" w14:textId="77777777" w:rsidR="003666C9" w:rsidRDefault="005C5F59">
      <w:r>
        <w:t xml:space="preserve">National Health Service. 2019. NHS Long Term Plan. </w:t>
      </w:r>
      <w:hyperlink r:id="rId20" w:history="1">
        <w:r>
          <w:rPr>
            <w:color w:val="1155CC"/>
            <w:u w:val="single"/>
          </w:rPr>
          <w:t>https://www.longtermplan.nhs.uk</w:t>
        </w:r>
      </w:hyperlink>
    </w:p>
    <w:p w14:paraId="56E61DCC" w14:textId="77777777" w:rsidR="003666C9" w:rsidRDefault="005C5F59">
      <w:r>
        <w:t xml:space="preserve">National Health Service. 2023. Mental health services. </w:t>
      </w:r>
      <w:hyperlink r:id="rId21" w:history="1">
        <w:r>
          <w:rPr>
            <w:color w:val="1155CC"/>
            <w:u w:val="single"/>
          </w:rPr>
          <w:t>https://www.nhs.uk/mental-health</w:t>
        </w:r>
      </w:hyperlink>
    </w:p>
    <w:p w14:paraId="55120BF3" w14:textId="77777777" w:rsidR="003666C9" w:rsidRDefault="005C5F59">
      <w:r>
        <w:t xml:space="preserve">Priestley, M., </w:t>
      </w:r>
      <w:proofErr w:type="spellStart"/>
      <w:r>
        <w:t>Broglia</w:t>
      </w:r>
      <w:proofErr w:type="spellEnd"/>
      <w:r>
        <w:t xml:space="preserve">, E., Hughes, G. and Spanner, L., 2022. Student perspectives on improving mental health support services at university. Counselling and Psychotherapy Research, 22(1). </w:t>
      </w:r>
      <w:hyperlink r:id="rId22" w:history="1">
        <w:r>
          <w:rPr>
            <w:color w:val="1155CC"/>
            <w:u w:val="single"/>
          </w:rPr>
          <w:t>https://onlinelibrary.wiley.com/doi/pdfdirect/10.1002/capr.12391?utm_source=consensus</w:t>
        </w:r>
      </w:hyperlink>
    </w:p>
    <w:p w14:paraId="3061583F" w14:textId="77777777" w:rsidR="003666C9" w:rsidRDefault="005C5F59">
      <w:r>
        <w:t xml:space="preserve">Public Health England. 2020. Health improvement and prevention. </w:t>
      </w:r>
      <w:hyperlink r:id="rId23" w:history="1">
        <w:r>
          <w:rPr>
            <w:color w:val="1155CC"/>
            <w:u w:val="single"/>
          </w:rPr>
          <w:t>https://www.gov.uk/government/organisations/public-health-england</w:t>
        </w:r>
      </w:hyperlink>
    </w:p>
    <w:p w14:paraId="2183431A" w14:textId="77777777" w:rsidR="003666C9" w:rsidRDefault="005C5F59">
      <w:r>
        <w:t xml:space="preserve">UK Government. 2021. Net Zero Strategy: Build Back Greener. </w:t>
      </w:r>
      <w:hyperlink r:id="rId24" w:history="1">
        <w:r>
          <w:rPr>
            <w:color w:val="1155CC"/>
            <w:u w:val="single"/>
          </w:rPr>
          <w:t>https://www.gov.uk/government/publications/net-zero-strategy</w:t>
        </w:r>
      </w:hyperlink>
    </w:p>
    <w:p w14:paraId="43B20A98" w14:textId="77777777" w:rsidR="003666C9" w:rsidRDefault="005C5F59">
      <w:r>
        <w:t xml:space="preserve">UK Government. 2022. Air quality and public health. </w:t>
      </w:r>
      <w:hyperlink r:id="rId25" w:history="1">
        <w:r>
          <w:rPr>
            <w:color w:val="1155CC"/>
            <w:u w:val="single"/>
          </w:rPr>
          <w:t>https://www.gov.uk/air-quality</w:t>
        </w:r>
      </w:hyperlink>
    </w:p>
    <w:p w14:paraId="204D545E" w14:textId="77777777" w:rsidR="003666C9" w:rsidRDefault="005C5F59">
      <w:r>
        <w:t xml:space="preserve">UN Environment Programme. 2022. Air pollution and health. </w:t>
      </w:r>
      <w:hyperlink r:id="rId26" w:history="1">
        <w:r>
          <w:rPr>
            <w:color w:val="1155CC"/>
            <w:u w:val="single"/>
          </w:rPr>
          <w:t>https://www.unep.org</w:t>
        </w:r>
      </w:hyperlink>
    </w:p>
    <w:p w14:paraId="51AA6A3F" w14:textId="77777777" w:rsidR="003666C9" w:rsidRDefault="005C5F59">
      <w:r>
        <w:t xml:space="preserve">United Nations. 2015. Transforming our world: The 2030 agenda for sustainable development. </w:t>
      </w:r>
      <w:hyperlink r:id="rId27" w:history="1">
        <w:r>
          <w:rPr>
            <w:color w:val="1155CC"/>
            <w:u w:val="single"/>
          </w:rPr>
          <w:t>https://sdgs.un.org/2030agenda</w:t>
        </w:r>
      </w:hyperlink>
    </w:p>
    <w:p w14:paraId="11BAD366" w14:textId="77777777" w:rsidR="003666C9" w:rsidRDefault="005C5F59">
      <w:r>
        <w:t xml:space="preserve">United Nations. 2023. Sustainable Development Goal 11: Sustainable cities and communities. </w:t>
      </w:r>
      <w:hyperlink r:id="rId28" w:history="1">
        <w:r>
          <w:rPr>
            <w:color w:val="1155CC"/>
            <w:u w:val="single"/>
          </w:rPr>
          <w:t>https://sdgs.un.org/goals/goal11</w:t>
        </w:r>
      </w:hyperlink>
    </w:p>
    <w:p w14:paraId="474CA1BB" w14:textId="77777777" w:rsidR="003666C9" w:rsidRDefault="005C5F59">
      <w:r>
        <w:t xml:space="preserve">United Nations. 2023. Sustainable Development Goal 3: Good health and wellbeing. </w:t>
      </w:r>
      <w:hyperlink r:id="rId29" w:history="1">
        <w:r>
          <w:rPr>
            <w:color w:val="1155CC"/>
            <w:u w:val="single"/>
          </w:rPr>
          <w:t>https://sdgs.un.org/goals/goal3</w:t>
        </w:r>
      </w:hyperlink>
    </w:p>
    <w:p w14:paraId="61E56D2E" w14:textId="77777777" w:rsidR="003666C9" w:rsidRDefault="005C5F59">
      <w:r>
        <w:t xml:space="preserve">World Health Organization. 2021. Urban green spaces and health. </w:t>
      </w:r>
      <w:hyperlink r:id="rId30" w:history="1">
        <w:r>
          <w:rPr>
            <w:color w:val="1155CC"/>
            <w:u w:val="single"/>
          </w:rPr>
          <w:t>https://www.who.int/publications</w:t>
        </w:r>
      </w:hyperlink>
    </w:p>
    <w:p w14:paraId="399A6D48" w14:textId="77777777" w:rsidR="003666C9" w:rsidRDefault="005C5F59">
      <w:r>
        <w:t xml:space="preserve">World Health Organization. 2022. Global health observatory data repository. </w:t>
      </w:r>
      <w:hyperlink r:id="rId31" w:history="1">
        <w:r>
          <w:rPr>
            <w:color w:val="1155CC"/>
            <w:u w:val="single"/>
          </w:rPr>
          <w:t>https://www.who.int/data</w:t>
        </w:r>
      </w:hyperlink>
    </w:p>
    <w:p w14:paraId="745F2863" w14:textId="77777777" w:rsidR="003666C9" w:rsidRDefault="005C5F59">
      <w:r>
        <w:t xml:space="preserve">World Health Organization. 2023. Universal health coverage. </w:t>
      </w:r>
      <w:hyperlink r:id="rId32" w:history="1">
        <w:r>
          <w:rPr>
            <w:color w:val="1155CC"/>
            <w:u w:val="single"/>
          </w:rPr>
          <w:t>https://www.who.int/health-topics/universal-health-coverage</w:t>
        </w:r>
      </w:hyperlink>
    </w:p>
    <w:sectPr w:rsidR="003666C9">
      <w:footerReference w:type="default" r:id="rId33"/>
      <w:footerReference w:type="first" r:id="rId3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7F78A2" w14:textId="77777777" w:rsidR="005C5F59" w:rsidRDefault="005C5F59">
      <w:pPr>
        <w:spacing w:line="240" w:lineRule="auto"/>
      </w:pPr>
      <w:r>
        <w:separator/>
      </w:r>
    </w:p>
  </w:endnote>
  <w:endnote w:type="continuationSeparator" w:id="0">
    <w:p w14:paraId="66189F16" w14:textId="77777777" w:rsidR="005C5F59" w:rsidRDefault="005C5F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00"/>
    <w:family w:val="auto"/>
    <w:pitch w:val="variabl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D46350" w14:textId="77777777" w:rsidR="003666C9" w:rsidRDefault="005C5F59">
    <w:pPr>
      <w:pStyle w:val="Footer"/>
      <w:jc w:val="right"/>
      <w:rPr>
        <w:rFonts w:ascii="Times New Roman" w:hAnsi="Times New Roman" w:cs="Times New Roman"/>
        <w:sz w:val="20"/>
        <w:szCs w:val="20"/>
      </w:rPr>
    </w:pPr>
    <w:r>
      <w:rPr>
        <w:rFonts w:ascii="Times New Roman" w:hAnsi="Times New Roman" w:cs="Times New Roman"/>
        <w:sz w:val="20"/>
        <w:szCs w:val="20"/>
      </w:rPr>
      <w:t xml:space="preserve">Page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PAGE </w:instrText>
    </w:r>
    <w:r>
      <w:rPr>
        <w:rFonts w:ascii="Times New Roman" w:hAnsi="Times New Roman" w:cs="Times New Roman"/>
        <w:sz w:val="20"/>
        <w:szCs w:val="20"/>
      </w:rPr>
      <w:fldChar w:fldCharType="separate"/>
    </w:r>
    <w:r>
      <w:rPr>
        <w:rFonts w:ascii="Times New Roman" w:hAnsi="Times New Roman" w:cs="Times New Roman"/>
        <w:sz w:val="20"/>
        <w:szCs w:val="20"/>
      </w:rPr>
      <w:t>2</w:t>
    </w:r>
    <w:r>
      <w:rPr>
        <w:rFonts w:ascii="Times New Roman" w:hAnsi="Times New Roman" w:cs="Times New Roman"/>
        <w:sz w:val="20"/>
        <w:szCs w:val="20"/>
      </w:rPr>
      <w:fldChar w:fldCharType="end"/>
    </w:r>
    <w:r>
      <w:rPr>
        <w:rFonts w:ascii="Times New Roman" w:hAnsi="Times New Roman" w:cs="Times New Roman"/>
        <w:sz w:val="20"/>
        <w:szCs w:val="20"/>
      </w:rPr>
      <w:t xml:space="preserve"> of </w:t>
    </w:r>
    <w:r>
      <w:rPr>
        <w:rFonts w:ascii="Times New Roman" w:hAnsi="Times New Roman" w:cs="Times New Roman"/>
        <w:sz w:val="20"/>
        <w:szCs w:val="20"/>
      </w:rPr>
      <w:fldChar w:fldCharType="begin"/>
    </w:r>
    <w:r>
      <w:rPr>
        <w:rFonts w:ascii="Times New Roman" w:hAnsi="Times New Roman" w:cs="Times New Roman"/>
        <w:sz w:val="20"/>
        <w:szCs w:val="20"/>
      </w:rPr>
      <w:instrText xml:space="preserve"> NUMPAGES  </w:instrText>
    </w:r>
    <w:r>
      <w:rPr>
        <w:rFonts w:ascii="Times New Roman" w:hAnsi="Times New Roman" w:cs="Times New Roman"/>
        <w:sz w:val="20"/>
        <w:szCs w:val="20"/>
      </w:rPr>
      <w:fldChar w:fldCharType="separate"/>
    </w:r>
    <w:r>
      <w:rPr>
        <w:rFonts w:ascii="Times New Roman" w:hAnsi="Times New Roman" w:cs="Times New Roman"/>
        <w:sz w:val="20"/>
        <w:szCs w:val="20"/>
      </w:rPr>
      <w:t>12</w:t>
    </w:r>
    <w:r>
      <w:rPr>
        <w:rFonts w:ascii="Times New Roman" w:hAnsi="Times New Roman" w:cs="Times New Roman"/>
        <w:sz w:val="20"/>
        <w:szCs w:val="20"/>
      </w:rPr>
      <w:fldChar w:fldCharType="end"/>
    </w:r>
  </w:p>
  <w:p w14:paraId="5AF2DBB0" w14:textId="77777777" w:rsidR="003666C9" w:rsidRDefault="003666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3566C" w14:textId="77777777" w:rsidR="003666C9" w:rsidRDefault="003666C9">
    <w:pPr>
      <w:pStyle w:val="Footer"/>
      <w:jc w:val="right"/>
      <w:rPr>
        <w:sz w:val="20"/>
        <w:szCs w:val="20"/>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6F66DB" w14:textId="77777777" w:rsidR="005C5F59" w:rsidRDefault="005C5F59">
      <w:pPr>
        <w:spacing w:line="240" w:lineRule="auto"/>
      </w:pPr>
      <w:r>
        <w:separator/>
      </w:r>
    </w:p>
  </w:footnote>
  <w:footnote w:type="continuationSeparator" w:id="0">
    <w:p w14:paraId="308AD869" w14:textId="77777777" w:rsidR="005C5F59" w:rsidRDefault="005C5F5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drawingGridHorizontalSpacing w:val="110"/>
  <w:drawingGridVerticalSpacing w:val="156"/>
  <w:displayHorizontalDrawingGridEvery w:val="0"/>
  <w:characterSpacingControl w:val="doNotCompress"/>
  <w:footnotePr>
    <w:footnote w:id="-1"/>
    <w:footnote w:id="0"/>
  </w:footnotePr>
  <w:endnotePr>
    <w:endnote w:id="-1"/>
    <w:endnote w:id="0"/>
  </w:endnotePr>
  <w:compat>
    <w:spaceForUL/>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6C9"/>
    <w:rsid w:val="002648A8"/>
    <w:rsid w:val="003666C9"/>
    <w:rsid w:val="00405E29"/>
    <w:rsid w:val="005C5F59"/>
    <w:rsid w:val="00830526"/>
    <w:rsid w:val="00A91A7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9EC3F"/>
  <w15:docId w15:val="{4AEBF323-42AD-418B-823C-38017613D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eastAsia="Arial" w:hAnsi="Arial" w:cs="Arial"/>
      <w:sz w:val="22"/>
      <w:szCs w:val="22"/>
      <w:lang w:val="en-GB" w:eastAsia="en-IN"/>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paragraph" w:styleId="Footer">
    <w:name w:val="footer"/>
    <w:basedOn w:val="Normal"/>
    <w:pPr>
      <w:tabs>
        <w:tab w:val="center" w:pos="4513"/>
        <w:tab w:val="right" w:pos="9026"/>
      </w:tabs>
      <w:spacing w:line="240" w:lineRule="auto"/>
    </w:pPr>
  </w:style>
  <w:style w:type="paragraph" w:customStyle="1" w:styleId="TOCHeading1">
    <w:name w:val="TOC Heading1"/>
    <w:basedOn w:val="Heading1"/>
    <w:next w:val="Normal"/>
    <w:pPr>
      <w:spacing w:before="240" w:line="259" w:lineRule="auto"/>
      <w:jc w:val="left"/>
      <w:outlineLvl w:val="9"/>
    </w:pPr>
    <w:rPr>
      <w:rFonts w:ascii="Calibri" w:eastAsia="SimSun" w:hAnsi="Calibri" w:cs="Times New Roman"/>
      <w:b w:val="0"/>
      <w:bCs w:val="0"/>
      <w:color w:val="365F91"/>
      <w:sz w:val="32"/>
      <w:szCs w:val="32"/>
      <w:lang w:val="en-US" w:eastAsia="en-US"/>
    </w:rPr>
  </w:style>
  <w:style w:type="paragraph" w:styleId="TOC1">
    <w:name w:val="toc 1"/>
    <w:basedOn w:val="Normal"/>
    <w:next w:val="Normal"/>
    <w:autoRedefine/>
    <w:pPr>
      <w:spacing w:after="100"/>
    </w:pPr>
  </w:style>
  <w:style w:type="character" w:styleId="Hyperlink">
    <w:name w:val="Hyperlink"/>
    <w:basedOn w:val="DefaultParagraphFont"/>
    <w:rPr>
      <w:color w:val="0000FF"/>
      <w:u w:val="single"/>
    </w:rPr>
  </w:style>
  <w:style w:type="paragraph" w:styleId="BalloonText">
    <w:name w:val="Balloon Text"/>
    <w:basedOn w:val="Normal"/>
    <w:pPr>
      <w:spacing w:line="240" w:lineRule="auto"/>
    </w:pPr>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rcpath.org/static/bf6094b6-2087-45a3-bef230c097d328ae/Letter-to-Medical-Royal-Colleges-and-Faculties-110723-final-WP.pdf" TargetMode="External"/><Relationship Id="rId18" Type="http://schemas.openxmlformats.org/officeDocument/2006/relationships/hyperlink" Target="https://link.springer.com/chapter/10.1007/978-3-031-64288-3_1" TargetMode="External"/><Relationship Id="rId26" Type="http://schemas.openxmlformats.org/officeDocument/2006/relationships/hyperlink" Target="https://www.unep.org" TargetMode="External"/><Relationship Id="rId3" Type="http://schemas.openxmlformats.org/officeDocument/2006/relationships/webSettings" Target="webSettings.xml"/><Relationship Id="rId21" Type="http://schemas.openxmlformats.org/officeDocument/2006/relationships/hyperlink" Target="https://www.nhs.uk/mental-health" TargetMode="External"/><Relationship Id="rId34" Type="http://schemas.openxmlformats.org/officeDocument/2006/relationships/footer" Target="footer2.xml"/><Relationship Id="rId7" Type="http://schemas.openxmlformats.org/officeDocument/2006/relationships/image" Target="media/image2.png"/><Relationship Id="rId12" Type="http://schemas.openxmlformats.org/officeDocument/2006/relationships/hyperlink" Target="https://link.springer.com/chapter/10.1007/978-981-99-1564-4_3" TargetMode="External"/><Relationship Id="rId17" Type="http://schemas.openxmlformats.org/officeDocument/2006/relationships/hyperlink" Target="https://www.tandfonline.com/doi/pdf/10.1080/01559982.2024.2364955" TargetMode="External"/><Relationship Id="rId25" Type="http://schemas.openxmlformats.org/officeDocument/2006/relationships/hyperlink" Target="https://www.gov.uk/air-quality"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thelancet.com/pdfs/journals/lanpub/PIIS2468-2667(22)00199-2.pdf" TargetMode="External"/><Relationship Id="rId20" Type="http://schemas.openxmlformats.org/officeDocument/2006/relationships/hyperlink" Target="https://www.longtermplan.nhs.uk" TargetMode="External"/><Relationship Id="rId29" Type="http://schemas.openxmlformats.org/officeDocument/2006/relationships/hyperlink" Target="https://sdgs.un.org/goals/goal3"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dpi.com/2071-1050/14/24/16808" TargetMode="External"/><Relationship Id="rId24" Type="http://schemas.openxmlformats.org/officeDocument/2006/relationships/hyperlink" Target="https://www.gov.uk/government/publications/net-zero-strategy" TargetMode="External"/><Relationship Id="rId32" Type="http://schemas.openxmlformats.org/officeDocument/2006/relationships/hyperlink" Target="https://www.who.int/health-topics/universal-health-coverage" TargetMode="External"/><Relationship Id="rId5" Type="http://schemas.openxmlformats.org/officeDocument/2006/relationships/endnotes" Target="endnotes.xml"/><Relationship Id="rId15" Type="http://schemas.openxmlformats.org/officeDocument/2006/relationships/hyperlink" Target="https://www.london.gov.uk/programmes-strategies" TargetMode="External"/><Relationship Id="rId23" Type="http://schemas.openxmlformats.org/officeDocument/2006/relationships/hyperlink" Target="https://www.gov.uk/government/organisations/public-health-england" TargetMode="External"/><Relationship Id="rId28" Type="http://schemas.openxmlformats.org/officeDocument/2006/relationships/hyperlink" Target="https://sdgs.un.org/goals/goal11" TargetMode="External"/><Relationship Id="rId36" Type="http://schemas.openxmlformats.org/officeDocument/2006/relationships/theme" Target="theme/theme1.xml"/><Relationship Id="rId10" Type="http://schemas.openxmlformats.org/officeDocument/2006/relationships/hyperlink" Target="https://www.elgaronline.com/edcollchap/book/9781839105449/book-part-9781839105449-15.xml" TargetMode="External"/><Relationship Id="rId19" Type="http://schemas.openxmlformats.org/officeDocument/2006/relationships/hyperlink" Target="https://www.mdpi.com/2071-1050/15/20/14810" TargetMode="External"/><Relationship Id="rId31" Type="http://schemas.openxmlformats.org/officeDocument/2006/relationships/hyperlink" Target="https://www.who.int/data" TargetMode="External"/><Relationship Id="rId4" Type="http://schemas.openxmlformats.org/officeDocument/2006/relationships/footnotes" Target="footnotes.xml"/><Relationship Id="rId9" Type="http://schemas.openxmlformats.org/officeDocument/2006/relationships/hyperlink" Target="https://www.mdpi.com/2073-4433/14/3/525" TargetMode="External"/><Relationship Id="rId14" Type="http://schemas.openxmlformats.org/officeDocument/2006/relationships/hyperlink" Target="https://www.london.gov.uk" TargetMode="External"/><Relationship Id="rId22" Type="http://schemas.openxmlformats.org/officeDocument/2006/relationships/hyperlink" Target="https://onlinelibrary.wiley.com/doi/pdfdirect/10.1002/capr.12391?utm_source=consensus" TargetMode="External"/><Relationship Id="rId27" Type="http://schemas.openxmlformats.org/officeDocument/2006/relationships/hyperlink" Target="https://sdgs.un.org/2030agenda" TargetMode="External"/><Relationship Id="rId30" Type="http://schemas.openxmlformats.org/officeDocument/2006/relationships/hyperlink" Target="https://www.who.int/publications" TargetMode="External"/><Relationship Id="rId35" Type="http://schemas.openxmlformats.org/officeDocument/2006/relationships/fontTable" Target="fontTable.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3207</Words>
  <Characters>18284</Characters>
  <Application>Microsoft Office Word</Application>
  <DocSecurity>0</DocSecurity>
  <Lines>152</Lines>
  <Paragraphs>42</Paragraphs>
  <ScaleCrop>false</ScaleCrop>
  <Company/>
  <LinksUpToDate>false</LinksUpToDate>
  <CharactersWithSpaces>21449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Maryam Anwar</dc:creator>
  <cp:lastModifiedBy>Maryam Anwar</cp:lastModifiedBy>
  <cp:revision>2</cp:revision>
  <dcterms:created xsi:type="dcterms:W3CDTF">2026-04-21T08:54:00Z</dcterms:created>
  <dcterms:modified xsi:type="dcterms:W3CDTF">2026-04-21T08:54:00Z</dcterms:modified>
</cp:coreProperties>
</file>