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10E691" w14:textId="77777777" w:rsidR="002B0791" w:rsidRDefault="00DA5639">
      <w:pPr>
        <w:spacing w:after="320"/>
        <w:jc w:val="center"/>
      </w:pPr>
      <w:r>
        <w:rPr>
          <w:b/>
          <w:sz w:val="36"/>
        </w:rPr>
        <w:t>Evaluation of Person-Centred Care and Partnership</w:t>
      </w:r>
      <w:r>
        <w:rPr>
          <w:b/>
          <w:sz w:val="36"/>
        </w:rPr>
        <w:br/>
        <w:t>Working in UK Health and Social Care Practice</w:t>
      </w:r>
    </w:p>
    <w:p w14:paraId="5F6A4A73" w14:textId="77777777" w:rsidR="002B0791" w:rsidRDefault="00DA5639">
      <w:pPr>
        <w:spacing w:after="320"/>
        <w:jc w:val="center"/>
      </w:pPr>
      <w:r>
        <w:rPr>
          <w:b/>
          <w:sz w:val="26"/>
        </w:rPr>
        <w:t>Component 2: Written Assignment (Report)</w:t>
      </w:r>
    </w:p>
    <w:p w14:paraId="0BB70EB3" w14:textId="77777777" w:rsidR="002B0791" w:rsidRDefault="002B0791"/>
    <w:tbl>
      <w:tblPr>
        <w:tblStyle w:val="TableGrid"/>
        <w:tblW w:w="0" w:type="auto"/>
        <w:jc w:val="center"/>
        <w:tblLook w:val="04A0" w:firstRow="1" w:lastRow="0" w:firstColumn="1" w:lastColumn="0" w:noHBand="0" w:noVBand="1"/>
      </w:tblPr>
      <w:tblGrid>
        <w:gridCol w:w="4891"/>
        <w:gridCol w:w="4891"/>
      </w:tblGrid>
      <w:tr w:rsidR="002B0791" w14:paraId="793E0023" w14:textId="77777777">
        <w:trPr>
          <w:jc w:val="center"/>
        </w:trPr>
        <w:tc>
          <w:tcPr>
            <w:tcW w:w="4896" w:type="dxa"/>
            <w:tcMar>
              <w:top w:w="100" w:type="dxa"/>
              <w:left w:w="100" w:type="dxa"/>
              <w:bottom w:w="100" w:type="dxa"/>
              <w:right w:w="100" w:type="dxa"/>
            </w:tcMar>
            <w:vAlign w:val="center"/>
          </w:tcPr>
          <w:p w14:paraId="08BB923E" w14:textId="77777777" w:rsidR="002B0791" w:rsidRDefault="00DA5639">
            <w:pPr>
              <w:spacing w:after="0" w:line="288" w:lineRule="auto"/>
              <w:jc w:val="left"/>
            </w:pPr>
            <w:r>
              <w:rPr>
                <w:b/>
              </w:rPr>
              <w:t>Programme</w:t>
            </w:r>
          </w:p>
        </w:tc>
        <w:tc>
          <w:tcPr>
            <w:tcW w:w="4896" w:type="dxa"/>
            <w:tcMar>
              <w:top w:w="100" w:type="dxa"/>
              <w:left w:w="100" w:type="dxa"/>
              <w:bottom w:w="100" w:type="dxa"/>
              <w:right w:w="100" w:type="dxa"/>
            </w:tcMar>
            <w:vAlign w:val="center"/>
          </w:tcPr>
          <w:p w14:paraId="1EE60441" w14:textId="77777777" w:rsidR="002B0791" w:rsidRDefault="00DA5639">
            <w:pPr>
              <w:spacing w:after="0" w:line="288" w:lineRule="auto"/>
              <w:jc w:val="left"/>
            </w:pPr>
            <w:r>
              <w:t>BSc Health and Social Care</w:t>
            </w:r>
          </w:p>
        </w:tc>
      </w:tr>
      <w:tr w:rsidR="002B0791" w14:paraId="1BF1A61F" w14:textId="77777777">
        <w:trPr>
          <w:jc w:val="center"/>
        </w:trPr>
        <w:tc>
          <w:tcPr>
            <w:tcW w:w="4896" w:type="dxa"/>
            <w:tcMar>
              <w:top w:w="100" w:type="dxa"/>
              <w:left w:w="100" w:type="dxa"/>
              <w:bottom w:w="100" w:type="dxa"/>
              <w:right w:w="100" w:type="dxa"/>
            </w:tcMar>
            <w:vAlign w:val="center"/>
          </w:tcPr>
          <w:p w14:paraId="5A982657" w14:textId="77777777" w:rsidR="002B0791" w:rsidRDefault="00DA5639">
            <w:pPr>
              <w:spacing w:after="0" w:line="288" w:lineRule="auto"/>
              <w:jc w:val="left"/>
            </w:pPr>
            <w:r>
              <w:rPr>
                <w:b/>
              </w:rPr>
              <w:t>Module code and title</w:t>
            </w:r>
          </w:p>
        </w:tc>
        <w:tc>
          <w:tcPr>
            <w:tcW w:w="4896" w:type="dxa"/>
            <w:tcMar>
              <w:top w:w="100" w:type="dxa"/>
              <w:left w:w="100" w:type="dxa"/>
              <w:bottom w:w="100" w:type="dxa"/>
              <w:right w:w="100" w:type="dxa"/>
            </w:tcMar>
            <w:vAlign w:val="center"/>
          </w:tcPr>
          <w:p w14:paraId="1A03B98A" w14:textId="77777777" w:rsidR="002B0791" w:rsidRDefault="00DA5639">
            <w:pPr>
              <w:spacing w:after="0" w:line="288" w:lineRule="auto"/>
              <w:jc w:val="left"/>
            </w:pPr>
            <w:r>
              <w:t>BMHP5016 - Principles of Health and Social Care Practice</w:t>
            </w:r>
          </w:p>
        </w:tc>
      </w:tr>
      <w:tr w:rsidR="002B0791" w14:paraId="3CD7E69F" w14:textId="77777777">
        <w:trPr>
          <w:jc w:val="center"/>
        </w:trPr>
        <w:tc>
          <w:tcPr>
            <w:tcW w:w="4896" w:type="dxa"/>
            <w:tcMar>
              <w:top w:w="100" w:type="dxa"/>
              <w:left w:w="100" w:type="dxa"/>
              <w:bottom w:w="100" w:type="dxa"/>
              <w:right w:w="100" w:type="dxa"/>
            </w:tcMar>
            <w:vAlign w:val="center"/>
          </w:tcPr>
          <w:p w14:paraId="207EB593" w14:textId="77777777" w:rsidR="002B0791" w:rsidRDefault="00DA5639">
            <w:pPr>
              <w:spacing w:after="0" w:line="288" w:lineRule="auto"/>
              <w:jc w:val="left"/>
            </w:pPr>
            <w:r>
              <w:rPr>
                <w:b/>
              </w:rPr>
              <w:t>Assessment</w:t>
            </w:r>
          </w:p>
        </w:tc>
        <w:tc>
          <w:tcPr>
            <w:tcW w:w="4896" w:type="dxa"/>
            <w:tcMar>
              <w:top w:w="100" w:type="dxa"/>
              <w:left w:w="100" w:type="dxa"/>
              <w:bottom w:w="100" w:type="dxa"/>
              <w:right w:w="100" w:type="dxa"/>
            </w:tcMar>
            <w:vAlign w:val="center"/>
          </w:tcPr>
          <w:p w14:paraId="380898BA" w14:textId="77777777" w:rsidR="002B0791" w:rsidRDefault="00DA5639">
            <w:pPr>
              <w:spacing w:after="0" w:line="288" w:lineRule="auto"/>
              <w:jc w:val="left"/>
            </w:pPr>
            <w:r>
              <w:t>Component 2: Written Assignment (Report)</w:t>
            </w:r>
          </w:p>
        </w:tc>
      </w:tr>
      <w:tr w:rsidR="002B0791" w14:paraId="459CDD74" w14:textId="77777777">
        <w:trPr>
          <w:jc w:val="center"/>
        </w:trPr>
        <w:tc>
          <w:tcPr>
            <w:tcW w:w="4896" w:type="dxa"/>
            <w:tcMar>
              <w:top w:w="100" w:type="dxa"/>
              <w:left w:w="100" w:type="dxa"/>
              <w:bottom w:w="100" w:type="dxa"/>
              <w:right w:w="100" w:type="dxa"/>
            </w:tcMar>
            <w:vAlign w:val="center"/>
          </w:tcPr>
          <w:p w14:paraId="41B72D71" w14:textId="77777777" w:rsidR="002B0791" w:rsidRDefault="00DA5639">
            <w:pPr>
              <w:spacing w:after="0" w:line="288" w:lineRule="auto"/>
              <w:jc w:val="left"/>
            </w:pPr>
            <w:r>
              <w:rPr>
                <w:b/>
              </w:rPr>
              <w:t>Student name</w:t>
            </w:r>
          </w:p>
        </w:tc>
        <w:tc>
          <w:tcPr>
            <w:tcW w:w="4896" w:type="dxa"/>
            <w:tcMar>
              <w:top w:w="100" w:type="dxa"/>
              <w:left w:w="100" w:type="dxa"/>
              <w:bottom w:w="100" w:type="dxa"/>
              <w:right w:w="100" w:type="dxa"/>
            </w:tcMar>
            <w:vAlign w:val="center"/>
          </w:tcPr>
          <w:p w14:paraId="2B570D10" w14:textId="09174DBA" w:rsidR="002B0791" w:rsidRDefault="0071185C" w:rsidP="0071185C">
            <w:pPr>
              <w:spacing w:after="0" w:line="288" w:lineRule="auto"/>
              <w:jc w:val="left"/>
            </w:pPr>
            <w:r>
              <w:t xml:space="preserve">Sabeel Saddique </w:t>
            </w:r>
          </w:p>
        </w:tc>
      </w:tr>
      <w:tr w:rsidR="002B0791" w14:paraId="6CEFD541" w14:textId="77777777">
        <w:trPr>
          <w:jc w:val="center"/>
        </w:trPr>
        <w:tc>
          <w:tcPr>
            <w:tcW w:w="4896" w:type="dxa"/>
            <w:tcMar>
              <w:top w:w="100" w:type="dxa"/>
              <w:left w:w="100" w:type="dxa"/>
              <w:bottom w:w="100" w:type="dxa"/>
              <w:right w:w="100" w:type="dxa"/>
            </w:tcMar>
            <w:vAlign w:val="center"/>
          </w:tcPr>
          <w:p w14:paraId="2DE87F49" w14:textId="77777777" w:rsidR="002B0791" w:rsidRDefault="00DA5639">
            <w:pPr>
              <w:spacing w:after="0" w:line="288" w:lineRule="auto"/>
              <w:jc w:val="left"/>
            </w:pPr>
            <w:r>
              <w:rPr>
                <w:b/>
              </w:rPr>
              <w:t>Student number</w:t>
            </w:r>
          </w:p>
        </w:tc>
        <w:tc>
          <w:tcPr>
            <w:tcW w:w="4896" w:type="dxa"/>
            <w:tcMar>
              <w:top w:w="100" w:type="dxa"/>
              <w:left w:w="100" w:type="dxa"/>
              <w:bottom w:w="100" w:type="dxa"/>
              <w:right w:w="100" w:type="dxa"/>
            </w:tcMar>
            <w:vAlign w:val="center"/>
          </w:tcPr>
          <w:p w14:paraId="4B67ECAF" w14:textId="32E4AE26" w:rsidR="002B0791" w:rsidRDefault="0071185C">
            <w:pPr>
              <w:spacing w:after="0" w:line="288" w:lineRule="auto"/>
              <w:jc w:val="left"/>
            </w:pPr>
            <w:r>
              <w:t>2420177</w:t>
            </w:r>
          </w:p>
        </w:tc>
      </w:tr>
      <w:tr w:rsidR="002B0791" w14:paraId="3E85887D" w14:textId="77777777">
        <w:trPr>
          <w:jc w:val="center"/>
        </w:trPr>
        <w:tc>
          <w:tcPr>
            <w:tcW w:w="4896" w:type="dxa"/>
            <w:tcMar>
              <w:top w:w="100" w:type="dxa"/>
              <w:left w:w="100" w:type="dxa"/>
              <w:bottom w:w="100" w:type="dxa"/>
              <w:right w:w="100" w:type="dxa"/>
            </w:tcMar>
            <w:vAlign w:val="center"/>
          </w:tcPr>
          <w:p w14:paraId="47D51D18" w14:textId="77777777" w:rsidR="002B0791" w:rsidRDefault="00DA5639">
            <w:pPr>
              <w:spacing w:after="0" w:line="288" w:lineRule="auto"/>
              <w:jc w:val="left"/>
            </w:pPr>
            <w:r>
              <w:rPr>
                <w:b/>
              </w:rPr>
              <w:t>Word count</w:t>
            </w:r>
          </w:p>
        </w:tc>
        <w:tc>
          <w:tcPr>
            <w:tcW w:w="4896" w:type="dxa"/>
            <w:tcMar>
              <w:top w:w="100" w:type="dxa"/>
              <w:left w:w="100" w:type="dxa"/>
              <w:bottom w:w="100" w:type="dxa"/>
              <w:right w:w="100" w:type="dxa"/>
            </w:tcMar>
            <w:vAlign w:val="center"/>
          </w:tcPr>
          <w:p w14:paraId="55C9EC92" w14:textId="237F2243" w:rsidR="002B0791" w:rsidRDefault="00EC1621">
            <w:pPr>
              <w:spacing w:after="0" w:line="288" w:lineRule="auto"/>
              <w:jc w:val="left"/>
            </w:pPr>
            <w:r>
              <w:t>2067s</w:t>
            </w:r>
          </w:p>
        </w:tc>
      </w:tr>
    </w:tbl>
    <w:p w14:paraId="5864971A" w14:textId="77777777" w:rsidR="002B0791" w:rsidRDefault="00DA5639">
      <w:pPr>
        <w:spacing w:before="500"/>
        <w:jc w:val="center"/>
      </w:pPr>
      <w:r>
        <w:t>Submission deadline: Sunday 26th July 2026, 14:00</w:t>
      </w:r>
    </w:p>
    <w:p w14:paraId="11C8E5BC" w14:textId="77777777" w:rsidR="000C5674" w:rsidRDefault="000C5674">
      <w:pPr>
        <w:spacing w:after="200" w:line="276" w:lineRule="auto"/>
        <w:jc w:val="left"/>
      </w:pPr>
      <w:r>
        <w:br w:type="page"/>
      </w:r>
    </w:p>
    <w:p w14:paraId="63221857" w14:textId="77777777" w:rsidR="000C5674" w:rsidRDefault="000C5674" w:rsidP="000C5674">
      <w:pPr>
        <w:pStyle w:val="Heading1"/>
        <w:jc w:val="left"/>
      </w:pPr>
      <w:bookmarkStart w:id="0" w:name="_Toc233465997"/>
      <w:r>
        <w:t>Executive Summary</w:t>
      </w:r>
      <w:bookmarkEnd w:id="0"/>
    </w:p>
    <w:p w14:paraId="2E0CA08B" w14:textId="77777777" w:rsidR="000C5674" w:rsidRDefault="000C5674" w:rsidP="000C5674">
      <w:r w:rsidRPr="00667723">
        <w:t>This report assesses person-centred care (PCC) and partnership working (PW) within the UK health and social care system focussing on adults with long-term health conditions and disabilities who are accessing care and support from community NHS services, local authority adult social care and the voluntary sector. It is not just about being nice to service users; PCC is a systematic way of acknowledging their identity, their choice, their rights, their strengths and their lived experience in the assessment, care planning and review process. The organisational condition for PCC is explored, looking at partnership working as an important element as many people's needs span professional, organisational and funding boundaries. The report explores PCC using the Person-centred Practice Framework with an evaluation of ethical principles, relevant legislation and applications of integrated community care. It finds that with strengthened workforce capacity, information sharing, accountability and co-production, PCC and PW can enhance autonomy, safety, continuity and outcomes but only in that context</w:t>
      </w:r>
      <w:r>
        <w:t>.</w:t>
      </w:r>
    </w:p>
    <w:p w14:paraId="4D859543" w14:textId="3006D93E" w:rsidR="000C5674" w:rsidRDefault="000C5674">
      <w:pPr>
        <w:spacing w:after="200" w:line="276" w:lineRule="auto"/>
        <w:jc w:val="left"/>
      </w:pPr>
      <w:r>
        <w:br w:type="page"/>
      </w:r>
    </w:p>
    <w:sdt>
      <w:sdtPr>
        <w:rPr>
          <w:rFonts w:ascii="Arial" w:eastAsia="Arial" w:hAnsi="Arial" w:cstheme="minorBidi"/>
          <w:b w:val="0"/>
          <w:bCs w:val="0"/>
          <w:sz w:val="22"/>
          <w:szCs w:val="22"/>
        </w:rPr>
        <w:id w:val="88509144"/>
        <w:docPartObj>
          <w:docPartGallery w:val="Table of Contents"/>
          <w:docPartUnique/>
        </w:docPartObj>
      </w:sdtPr>
      <w:sdtEndPr>
        <w:rPr>
          <w:noProof/>
        </w:rPr>
      </w:sdtEndPr>
      <w:sdtContent>
        <w:p w14:paraId="20056F8A" w14:textId="74DF2BD4" w:rsidR="000C5674" w:rsidRDefault="000C5674" w:rsidP="000C5674">
          <w:pPr>
            <w:pStyle w:val="TOCHeading"/>
            <w:jc w:val="center"/>
          </w:pPr>
          <w:r>
            <w:t>Table of Contents</w:t>
          </w:r>
        </w:p>
        <w:p w14:paraId="71810EB1" w14:textId="6E6AF94A" w:rsidR="00EC1621" w:rsidRDefault="000C5674">
          <w:pPr>
            <w:pStyle w:val="TOC1"/>
            <w:tabs>
              <w:tab w:val="right" w:leader="dot" w:pos="9782"/>
            </w:tabs>
            <w:rPr>
              <w:rFonts w:asciiTheme="minorHAnsi" w:eastAsiaTheme="minorEastAsia" w:hAnsiTheme="minorHAnsi"/>
              <w:noProof/>
              <w:kern w:val="2"/>
              <w:sz w:val="24"/>
              <w:szCs w:val="24"/>
              <w:lang/>
              <w14:ligatures w14:val="standardContextual"/>
            </w:rPr>
          </w:pPr>
          <w:r>
            <w:fldChar w:fldCharType="begin"/>
          </w:r>
          <w:r>
            <w:instrText xml:space="preserve"> TOC \o "1-3" \h \z \u </w:instrText>
          </w:r>
          <w:r>
            <w:fldChar w:fldCharType="separate"/>
          </w:r>
          <w:hyperlink w:anchor="_Toc233465997" w:history="1">
            <w:r w:rsidR="00EC1621" w:rsidRPr="00191DD2">
              <w:rPr>
                <w:rStyle w:val="Hyperlink"/>
                <w:noProof/>
              </w:rPr>
              <w:t>Executive Summary</w:t>
            </w:r>
            <w:r w:rsidR="00EC1621">
              <w:rPr>
                <w:noProof/>
                <w:webHidden/>
              </w:rPr>
              <w:tab/>
            </w:r>
            <w:r w:rsidR="00EC1621">
              <w:rPr>
                <w:noProof/>
                <w:webHidden/>
              </w:rPr>
              <w:fldChar w:fldCharType="begin"/>
            </w:r>
            <w:r w:rsidR="00EC1621">
              <w:rPr>
                <w:noProof/>
                <w:webHidden/>
              </w:rPr>
              <w:instrText xml:space="preserve"> PAGEREF _Toc233465997 \h </w:instrText>
            </w:r>
            <w:r w:rsidR="00EC1621">
              <w:rPr>
                <w:noProof/>
                <w:webHidden/>
              </w:rPr>
            </w:r>
            <w:r w:rsidR="00EC1621">
              <w:rPr>
                <w:noProof/>
                <w:webHidden/>
              </w:rPr>
              <w:fldChar w:fldCharType="separate"/>
            </w:r>
            <w:r w:rsidR="00EC1621">
              <w:rPr>
                <w:noProof/>
                <w:webHidden/>
              </w:rPr>
              <w:t>2</w:t>
            </w:r>
            <w:r w:rsidR="00EC1621">
              <w:rPr>
                <w:noProof/>
                <w:webHidden/>
              </w:rPr>
              <w:fldChar w:fldCharType="end"/>
            </w:r>
          </w:hyperlink>
        </w:p>
        <w:p w14:paraId="7F1D9A1A" w14:textId="78ED5B15" w:rsidR="00EC1621" w:rsidRDefault="00EC1621">
          <w:pPr>
            <w:pStyle w:val="TOC1"/>
            <w:tabs>
              <w:tab w:val="right" w:leader="dot" w:pos="9782"/>
            </w:tabs>
            <w:rPr>
              <w:rFonts w:asciiTheme="minorHAnsi" w:eastAsiaTheme="minorEastAsia" w:hAnsiTheme="minorHAnsi"/>
              <w:noProof/>
              <w:kern w:val="2"/>
              <w:sz w:val="24"/>
              <w:szCs w:val="24"/>
              <w:lang/>
              <w14:ligatures w14:val="standardContextual"/>
            </w:rPr>
          </w:pPr>
          <w:hyperlink w:anchor="_Toc233465998" w:history="1">
            <w:r w:rsidRPr="00191DD2">
              <w:rPr>
                <w:rStyle w:val="Hyperlink"/>
                <w:noProof/>
              </w:rPr>
              <w:t>1. Introduction</w:t>
            </w:r>
            <w:r>
              <w:rPr>
                <w:noProof/>
                <w:webHidden/>
              </w:rPr>
              <w:tab/>
            </w:r>
            <w:r>
              <w:rPr>
                <w:noProof/>
                <w:webHidden/>
              </w:rPr>
              <w:fldChar w:fldCharType="begin"/>
            </w:r>
            <w:r>
              <w:rPr>
                <w:noProof/>
                <w:webHidden/>
              </w:rPr>
              <w:instrText xml:space="preserve"> PAGEREF _Toc233465998 \h </w:instrText>
            </w:r>
            <w:r>
              <w:rPr>
                <w:noProof/>
                <w:webHidden/>
              </w:rPr>
            </w:r>
            <w:r>
              <w:rPr>
                <w:noProof/>
                <w:webHidden/>
              </w:rPr>
              <w:fldChar w:fldCharType="separate"/>
            </w:r>
            <w:r>
              <w:rPr>
                <w:noProof/>
                <w:webHidden/>
              </w:rPr>
              <w:t>4</w:t>
            </w:r>
            <w:r>
              <w:rPr>
                <w:noProof/>
                <w:webHidden/>
              </w:rPr>
              <w:fldChar w:fldCharType="end"/>
            </w:r>
          </w:hyperlink>
        </w:p>
        <w:p w14:paraId="2DADD6C0" w14:textId="6A0DB5F2" w:rsidR="00EC1621" w:rsidRDefault="00EC1621">
          <w:pPr>
            <w:pStyle w:val="TOC1"/>
            <w:tabs>
              <w:tab w:val="right" w:leader="dot" w:pos="9782"/>
            </w:tabs>
            <w:rPr>
              <w:rFonts w:asciiTheme="minorHAnsi" w:eastAsiaTheme="minorEastAsia" w:hAnsiTheme="minorHAnsi"/>
              <w:noProof/>
              <w:kern w:val="2"/>
              <w:sz w:val="24"/>
              <w:szCs w:val="24"/>
              <w:lang/>
              <w14:ligatures w14:val="standardContextual"/>
            </w:rPr>
          </w:pPr>
          <w:hyperlink w:anchor="_Toc233465999" w:history="1">
            <w:r w:rsidRPr="00191DD2">
              <w:rPr>
                <w:rStyle w:val="Hyperlink"/>
                <w:noProof/>
              </w:rPr>
              <w:t>2. Person-centred care: definition, benefits and limitations</w:t>
            </w:r>
            <w:r>
              <w:rPr>
                <w:noProof/>
                <w:webHidden/>
              </w:rPr>
              <w:tab/>
            </w:r>
            <w:r>
              <w:rPr>
                <w:noProof/>
                <w:webHidden/>
              </w:rPr>
              <w:fldChar w:fldCharType="begin"/>
            </w:r>
            <w:r>
              <w:rPr>
                <w:noProof/>
                <w:webHidden/>
              </w:rPr>
              <w:instrText xml:space="preserve"> PAGEREF _Toc233465999 \h </w:instrText>
            </w:r>
            <w:r>
              <w:rPr>
                <w:noProof/>
                <w:webHidden/>
              </w:rPr>
            </w:r>
            <w:r>
              <w:rPr>
                <w:noProof/>
                <w:webHidden/>
              </w:rPr>
              <w:fldChar w:fldCharType="separate"/>
            </w:r>
            <w:r>
              <w:rPr>
                <w:noProof/>
                <w:webHidden/>
              </w:rPr>
              <w:t>4</w:t>
            </w:r>
            <w:r>
              <w:rPr>
                <w:noProof/>
                <w:webHidden/>
              </w:rPr>
              <w:fldChar w:fldCharType="end"/>
            </w:r>
          </w:hyperlink>
        </w:p>
        <w:p w14:paraId="01144E9C" w14:textId="3A7BC12F" w:rsidR="00EC1621" w:rsidRDefault="00EC1621">
          <w:pPr>
            <w:pStyle w:val="TOC1"/>
            <w:tabs>
              <w:tab w:val="right" w:leader="dot" w:pos="9782"/>
            </w:tabs>
            <w:rPr>
              <w:rFonts w:asciiTheme="minorHAnsi" w:eastAsiaTheme="minorEastAsia" w:hAnsiTheme="minorHAnsi"/>
              <w:noProof/>
              <w:kern w:val="2"/>
              <w:sz w:val="24"/>
              <w:szCs w:val="24"/>
              <w:lang/>
              <w14:ligatures w14:val="standardContextual"/>
            </w:rPr>
          </w:pPr>
          <w:hyperlink w:anchor="_Toc233466000" w:history="1">
            <w:r w:rsidRPr="00191DD2">
              <w:rPr>
                <w:rStyle w:val="Hyperlink"/>
                <w:noProof/>
              </w:rPr>
              <w:t>3. Theory/model underpinning PCC</w:t>
            </w:r>
            <w:r>
              <w:rPr>
                <w:noProof/>
                <w:webHidden/>
              </w:rPr>
              <w:tab/>
            </w:r>
            <w:r>
              <w:rPr>
                <w:noProof/>
                <w:webHidden/>
              </w:rPr>
              <w:fldChar w:fldCharType="begin"/>
            </w:r>
            <w:r>
              <w:rPr>
                <w:noProof/>
                <w:webHidden/>
              </w:rPr>
              <w:instrText xml:space="preserve"> PAGEREF _Toc233466000 \h </w:instrText>
            </w:r>
            <w:r>
              <w:rPr>
                <w:noProof/>
                <w:webHidden/>
              </w:rPr>
            </w:r>
            <w:r>
              <w:rPr>
                <w:noProof/>
                <w:webHidden/>
              </w:rPr>
              <w:fldChar w:fldCharType="separate"/>
            </w:r>
            <w:r>
              <w:rPr>
                <w:noProof/>
                <w:webHidden/>
              </w:rPr>
              <w:t>4</w:t>
            </w:r>
            <w:r>
              <w:rPr>
                <w:noProof/>
                <w:webHidden/>
              </w:rPr>
              <w:fldChar w:fldCharType="end"/>
            </w:r>
          </w:hyperlink>
        </w:p>
        <w:p w14:paraId="03185566" w14:textId="2AFDB5CC" w:rsidR="00EC1621" w:rsidRDefault="00EC1621">
          <w:pPr>
            <w:pStyle w:val="TOC1"/>
            <w:tabs>
              <w:tab w:val="right" w:leader="dot" w:pos="9782"/>
            </w:tabs>
            <w:rPr>
              <w:rFonts w:asciiTheme="minorHAnsi" w:eastAsiaTheme="minorEastAsia" w:hAnsiTheme="minorHAnsi"/>
              <w:noProof/>
              <w:kern w:val="2"/>
              <w:sz w:val="24"/>
              <w:szCs w:val="24"/>
              <w:lang/>
              <w14:ligatures w14:val="standardContextual"/>
            </w:rPr>
          </w:pPr>
          <w:hyperlink w:anchor="_Toc233466001" w:history="1">
            <w:r w:rsidRPr="00191DD2">
              <w:rPr>
                <w:rStyle w:val="Hyperlink"/>
                <w:noProof/>
              </w:rPr>
              <w:t>4. Ethical fundamentals in health and social care</w:t>
            </w:r>
            <w:r>
              <w:rPr>
                <w:noProof/>
                <w:webHidden/>
              </w:rPr>
              <w:tab/>
            </w:r>
            <w:r>
              <w:rPr>
                <w:noProof/>
                <w:webHidden/>
              </w:rPr>
              <w:fldChar w:fldCharType="begin"/>
            </w:r>
            <w:r>
              <w:rPr>
                <w:noProof/>
                <w:webHidden/>
              </w:rPr>
              <w:instrText xml:space="preserve"> PAGEREF _Toc233466001 \h </w:instrText>
            </w:r>
            <w:r>
              <w:rPr>
                <w:noProof/>
                <w:webHidden/>
              </w:rPr>
            </w:r>
            <w:r>
              <w:rPr>
                <w:noProof/>
                <w:webHidden/>
              </w:rPr>
              <w:fldChar w:fldCharType="separate"/>
            </w:r>
            <w:r>
              <w:rPr>
                <w:noProof/>
                <w:webHidden/>
              </w:rPr>
              <w:t>5</w:t>
            </w:r>
            <w:r>
              <w:rPr>
                <w:noProof/>
                <w:webHidden/>
              </w:rPr>
              <w:fldChar w:fldCharType="end"/>
            </w:r>
          </w:hyperlink>
        </w:p>
        <w:p w14:paraId="5790C94D" w14:textId="02FB8280" w:rsidR="00EC1621" w:rsidRDefault="00EC1621">
          <w:pPr>
            <w:pStyle w:val="TOC1"/>
            <w:tabs>
              <w:tab w:val="right" w:leader="dot" w:pos="9782"/>
            </w:tabs>
            <w:rPr>
              <w:rFonts w:asciiTheme="minorHAnsi" w:eastAsiaTheme="minorEastAsia" w:hAnsiTheme="minorHAnsi"/>
              <w:noProof/>
              <w:kern w:val="2"/>
              <w:sz w:val="24"/>
              <w:szCs w:val="24"/>
              <w:lang/>
              <w14:ligatures w14:val="standardContextual"/>
            </w:rPr>
          </w:pPr>
          <w:hyperlink w:anchor="_Toc233466002" w:history="1">
            <w:r w:rsidRPr="00191DD2">
              <w:rPr>
                <w:rStyle w:val="Hyperlink"/>
                <w:noProof/>
              </w:rPr>
              <w:t>5. Evaluation of partnership working</w:t>
            </w:r>
            <w:r>
              <w:rPr>
                <w:noProof/>
                <w:webHidden/>
              </w:rPr>
              <w:tab/>
            </w:r>
            <w:r>
              <w:rPr>
                <w:noProof/>
                <w:webHidden/>
              </w:rPr>
              <w:fldChar w:fldCharType="begin"/>
            </w:r>
            <w:r>
              <w:rPr>
                <w:noProof/>
                <w:webHidden/>
              </w:rPr>
              <w:instrText xml:space="preserve"> PAGEREF _Toc233466002 \h </w:instrText>
            </w:r>
            <w:r>
              <w:rPr>
                <w:noProof/>
                <w:webHidden/>
              </w:rPr>
            </w:r>
            <w:r>
              <w:rPr>
                <w:noProof/>
                <w:webHidden/>
              </w:rPr>
              <w:fldChar w:fldCharType="separate"/>
            </w:r>
            <w:r>
              <w:rPr>
                <w:noProof/>
                <w:webHidden/>
              </w:rPr>
              <w:t>6</w:t>
            </w:r>
            <w:r>
              <w:rPr>
                <w:noProof/>
                <w:webHidden/>
              </w:rPr>
              <w:fldChar w:fldCharType="end"/>
            </w:r>
          </w:hyperlink>
        </w:p>
        <w:p w14:paraId="68876A7E" w14:textId="3785E1A4" w:rsidR="00EC1621" w:rsidRDefault="00EC1621">
          <w:pPr>
            <w:pStyle w:val="TOC1"/>
            <w:tabs>
              <w:tab w:val="right" w:leader="dot" w:pos="9782"/>
            </w:tabs>
            <w:rPr>
              <w:rFonts w:asciiTheme="minorHAnsi" w:eastAsiaTheme="minorEastAsia" w:hAnsiTheme="minorHAnsi"/>
              <w:noProof/>
              <w:kern w:val="2"/>
              <w:sz w:val="24"/>
              <w:szCs w:val="24"/>
              <w:lang/>
              <w14:ligatures w14:val="standardContextual"/>
            </w:rPr>
          </w:pPr>
          <w:hyperlink w:anchor="_Toc233466003" w:history="1">
            <w:r w:rsidRPr="00191DD2">
              <w:rPr>
                <w:rStyle w:val="Hyperlink"/>
                <w:noProof/>
              </w:rPr>
              <w:t>6. Application in a practical setting: integrated adult community care</w:t>
            </w:r>
            <w:r>
              <w:rPr>
                <w:noProof/>
                <w:webHidden/>
              </w:rPr>
              <w:tab/>
            </w:r>
            <w:r>
              <w:rPr>
                <w:noProof/>
                <w:webHidden/>
              </w:rPr>
              <w:fldChar w:fldCharType="begin"/>
            </w:r>
            <w:r>
              <w:rPr>
                <w:noProof/>
                <w:webHidden/>
              </w:rPr>
              <w:instrText xml:space="preserve"> PAGEREF _Toc233466003 \h </w:instrText>
            </w:r>
            <w:r>
              <w:rPr>
                <w:noProof/>
                <w:webHidden/>
              </w:rPr>
            </w:r>
            <w:r>
              <w:rPr>
                <w:noProof/>
                <w:webHidden/>
              </w:rPr>
              <w:fldChar w:fldCharType="separate"/>
            </w:r>
            <w:r>
              <w:rPr>
                <w:noProof/>
                <w:webHidden/>
              </w:rPr>
              <w:t>6</w:t>
            </w:r>
            <w:r>
              <w:rPr>
                <w:noProof/>
                <w:webHidden/>
              </w:rPr>
              <w:fldChar w:fldCharType="end"/>
            </w:r>
          </w:hyperlink>
        </w:p>
        <w:p w14:paraId="2E0D5B5C" w14:textId="50DC2609" w:rsidR="00EC1621" w:rsidRDefault="00EC1621">
          <w:pPr>
            <w:pStyle w:val="TOC1"/>
            <w:tabs>
              <w:tab w:val="right" w:leader="dot" w:pos="9782"/>
            </w:tabs>
            <w:rPr>
              <w:rFonts w:asciiTheme="minorHAnsi" w:eastAsiaTheme="minorEastAsia" w:hAnsiTheme="minorHAnsi"/>
              <w:noProof/>
              <w:kern w:val="2"/>
              <w:sz w:val="24"/>
              <w:szCs w:val="24"/>
              <w:lang/>
              <w14:ligatures w14:val="standardContextual"/>
            </w:rPr>
          </w:pPr>
          <w:hyperlink w:anchor="_Toc233466004" w:history="1">
            <w:r w:rsidRPr="00191DD2">
              <w:rPr>
                <w:rStyle w:val="Hyperlink"/>
                <w:noProof/>
              </w:rPr>
              <w:t>7. Policy and legislation</w:t>
            </w:r>
            <w:r>
              <w:rPr>
                <w:noProof/>
                <w:webHidden/>
              </w:rPr>
              <w:tab/>
            </w:r>
            <w:r>
              <w:rPr>
                <w:noProof/>
                <w:webHidden/>
              </w:rPr>
              <w:fldChar w:fldCharType="begin"/>
            </w:r>
            <w:r>
              <w:rPr>
                <w:noProof/>
                <w:webHidden/>
              </w:rPr>
              <w:instrText xml:space="preserve"> PAGEREF _Toc233466004 \h </w:instrText>
            </w:r>
            <w:r>
              <w:rPr>
                <w:noProof/>
                <w:webHidden/>
              </w:rPr>
            </w:r>
            <w:r>
              <w:rPr>
                <w:noProof/>
                <w:webHidden/>
              </w:rPr>
              <w:fldChar w:fldCharType="separate"/>
            </w:r>
            <w:r>
              <w:rPr>
                <w:noProof/>
                <w:webHidden/>
              </w:rPr>
              <w:t>7</w:t>
            </w:r>
            <w:r>
              <w:rPr>
                <w:noProof/>
                <w:webHidden/>
              </w:rPr>
              <w:fldChar w:fldCharType="end"/>
            </w:r>
          </w:hyperlink>
        </w:p>
        <w:p w14:paraId="5176AE5D" w14:textId="6A31DB27" w:rsidR="00EC1621" w:rsidRDefault="00EC1621">
          <w:pPr>
            <w:pStyle w:val="TOC1"/>
            <w:tabs>
              <w:tab w:val="right" w:leader="dot" w:pos="9782"/>
            </w:tabs>
            <w:rPr>
              <w:rFonts w:asciiTheme="minorHAnsi" w:eastAsiaTheme="minorEastAsia" w:hAnsiTheme="minorHAnsi"/>
              <w:noProof/>
              <w:kern w:val="2"/>
              <w:sz w:val="24"/>
              <w:szCs w:val="24"/>
              <w:lang/>
              <w14:ligatures w14:val="standardContextual"/>
            </w:rPr>
          </w:pPr>
          <w:hyperlink w:anchor="_Toc233466005" w:history="1">
            <w:r w:rsidRPr="00191DD2">
              <w:rPr>
                <w:rStyle w:val="Hyperlink"/>
                <w:noProof/>
              </w:rPr>
              <w:t>8. Recommendations for future development</w:t>
            </w:r>
            <w:r>
              <w:rPr>
                <w:noProof/>
                <w:webHidden/>
              </w:rPr>
              <w:tab/>
            </w:r>
            <w:r>
              <w:rPr>
                <w:noProof/>
                <w:webHidden/>
              </w:rPr>
              <w:fldChar w:fldCharType="begin"/>
            </w:r>
            <w:r>
              <w:rPr>
                <w:noProof/>
                <w:webHidden/>
              </w:rPr>
              <w:instrText xml:space="preserve"> PAGEREF _Toc233466005 \h </w:instrText>
            </w:r>
            <w:r>
              <w:rPr>
                <w:noProof/>
                <w:webHidden/>
              </w:rPr>
            </w:r>
            <w:r>
              <w:rPr>
                <w:noProof/>
                <w:webHidden/>
              </w:rPr>
              <w:fldChar w:fldCharType="separate"/>
            </w:r>
            <w:r>
              <w:rPr>
                <w:noProof/>
                <w:webHidden/>
              </w:rPr>
              <w:t>7</w:t>
            </w:r>
            <w:r>
              <w:rPr>
                <w:noProof/>
                <w:webHidden/>
              </w:rPr>
              <w:fldChar w:fldCharType="end"/>
            </w:r>
          </w:hyperlink>
        </w:p>
        <w:p w14:paraId="510C0CBC" w14:textId="4D98EA11" w:rsidR="00EC1621" w:rsidRDefault="00EC1621">
          <w:pPr>
            <w:pStyle w:val="TOC1"/>
            <w:tabs>
              <w:tab w:val="right" w:leader="dot" w:pos="9782"/>
            </w:tabs>
            <w:rPr>
              <w:rFonts w:asciiTheme="minorHAnsi" w:eastAsiaTheme="minorEastAsia" w:hAnsiTheme="minorHAnsi"/>
              <w:noProof/>
              <w:kern w:val="2"/>
              <w:sz w:val="24"/>
              <w:szCs w:val="24"/>
              <w:lang/>
              <w14:ligatures w14:val="standardContextual"/>
            </w:rPr>
          </w:pPr>
          <w:hyperlink w:anchor="_Toc233466006" w:history="1">
            <w:r w:rsidRPr="00191DD2">
              <w:rPr>
                <w:rStyle w:val="Hyperlink"/>
                <w:noProof/>
              </w:rPr>
              <w:t>9. Conclusion</w:t>
            </w:r>
            <w:r>
              <w:rPr>
                <w:noProof/>
                <w:webHidden/>
              </w:rPr>
              <w:tab/>
            </w:r>
            <w:r>
              <w:rPr>
                <w:noProof/>
                <w:webHidden/>
              </w:rPr>
              <w:fldChar w:fldCharType="begin"/>
            </w:r>
            <w:r>
              <w:rPr>
                <w:noProof/>
                <w:webHidden/>
              </w:rPr>
              <w:instrText xml:space="preserve"> PAGEREF _Toc233466006 \h </w:instrText>
            </w:r>
            <w:r>
              <w:rPr>
                <w:noProof/>
                <w:webHidden/>
              </w:rPr>
            </w:r>
            <w:r>
              <w:rPr>
                <w:noProof/>
                <w:webHidden/>
              </w:rPr>
              <w:fldChar w:fldCharType="separate"/>
            </w:r>
            <w:r>
              <w:rPr>
                <w:noProof/>
                <w:webHidden/>
              </w:rPr>
              <w:t>8</w:t>
            </w:r>
            <w:r>
              <w:rPr>
                <w:noProof/>
                <w:webHidden/>
              </w:rPr>
              <w:fldChar w:fldCharType="end"/>
            </w:r>
          </w:hyperlink>
        </w:p>
        <w:p w14:paraId="5651782A" w14:textId="24050BD0" w:rsidR="00EC1621" w:rsidRDefault="00EC1621">
          <w:pPr>
            <w:pStyle w:val="TOC1"/>
            <w:tabs>
              <w:tab w:val="right" w:leader="dot" w:pos="9782"/>
            </w:tabs>
            <w:rPr>
              <w:rFonts w:asciiTheme="minorHAnsi" w:eastAsiaTheme="minorEastAsia" w:hAnsiTheme="minorHAnsi"/>
              <w:noProof/>
              <w:kern w:val="2"/>
              <w:sz w:val="24"/>
              <w:szCs w:val="24"/>
              <w:lang/>
              <w14:ligatures w14:val="standardContextual"/>
            </w:rPr>
          </w:pPr>
          <w:hyperlink w:anchor="_Toc233466007" w:history="1">
            <w:r w:rsidRPr="00191DD2">
              <w:rPr>
                <w:rStyle w:val="Hyperlink"/>
                <w:noProof/>
              </w:rPr>
              <w:t>References</w:t>
            </w:r>
            <w:r>
              <w:rPr>
                <w:noProof/>
                <w:webHidden/>
              </w:rPr>
              <w:tab/>
            </w:r>
            <w:r>
              <w:rPr>
                <w:noProof/>
                <w:webHidden/>
              </w:rPr>
              <w:fldChar w:fldCharType="begin"/>
            </w:r>
            <w:r>
              <w:rPr>
                <w:noProof/>
                <w:webHidden/>
              </w:rPr>
              <w:instrText xml:space="preserve"> PAGEREF _Toc233466007 \h </w:instrText>
            </w:r>
            <w:r>
              <w:rPr>
                <w:noProof/>
                <w:webHidden/>
              </w:rPr>
            </w:r>
            <w:r>
              <w:rPr>
                <w:noProof/>
                <w:webHidden/>
              </w:rPr>
              <w:fldChar w:fldCharType="separate"/>
            </w:r>
            <w:r>
              <w:rPr>
                <w:noProof/>
                <w:webHidden/>
              </w:rPr>
              <w:t>9</w:t>
            </w:r>
            <w:r>
              <w:rPr>
                <w:noProof/>
                <w:webHidden/>
              </w:rPr>
              <w:fldChar w:fldCharType="end"/>
            </w:r>
          </w:hyperlink>
        </w:p>
        <w:p w14:paraId="0B94B776" w14:textId="0E7BC45E" w:rsidR="000C5674" w:rsidRDefault="000C5674">
          <w:r>
            <w:rPr>
              <w:b/>
              <w:bCs/>
              <w:noProof/>
            </w:rPr>
            <w:fldChar w:fldCharType="end"/>
          </w:r>
        </w:p>
      </w:sdtContent>
    </w:sdt>
    <w:p w14:paraId="0344632D" w14:textId="77777777" w:rsidR="000C5674" w:rsidRDefault="000C5674" w:rsidP="000C5674">
      <w:pPr>
        <w:spacing w:before="500"/>
      </w:pPr>
    </w:p>
    <w:p w14:paraId="2605AA52" w14:textId="77777777" w:rsidR="002B0791" w:rsidRDefault="00DA5639">
      <w:r>
        <w:br w:type="page"/>
      </w:r>
    </w:p>
    <w:p w14:paraId="139D47D3" w14:textId="77777777" w:rsidR="002B0791" w:rsidRDefault="00DA5639">
      <w:pPr>
        <w:pStyle w:val="Heading1"/>
        <w:jc w:val="left"/>
      </w:pPr>
      <w:bookmarkStart w:id="1" w:name="_Toc233465998"/>
      <w:r>
        <w:t>1. Introduction</w:t>
      </w:r>
      <w:bookmarkEnd w:id="1"/>
    </w:p>
    <w:p w14:paraId="13D932C9" w14:textId="1348C084" w:rsidR="002B0791" w:rsidRDefault="00FF2DAD">
      <w:r w:rsidRPr="00FF2DAD">
        <w:t>Today's health and social care service in the UK is based on a number of key principles, one of which is person-centred care and partnership working. They challenge the constraints of task-based and biomedical/service-based care by requesting services to plan around a person's preferences, rather than diagnosis, risk or eligibility. This is particularly relevant in adult community care as individuals with complex disabilities, frailty, multimorbidity or mental health needs may need the input from GPs, nurses, occupational therapists, social workers, paid carers, unpaid carers and voluntary organisations. These services might be disjointed, disconnected, and delayed, resulting in repetition, unsafe transitions, and poor continuity for people. Hence this report critically explores PCC and PW as related concepts in the context of a practice setting; Community Based Adult Care. It covers definitions, benefits and limitations, a relevant care model, ethical principles, partnership working in practice, policy and legislation, and recommendations for the future</w:t>
      </w:r>
      <w:r>
        <w:t>.</w:t>
      </w:r>
    </w:p>
    <w:p w14:paraId="0E7E074A" w14:textId="77777777" w:rsidR="002B0791" w:rsidRDefault="00DA5639">
      <w:pPr>
        <w:pStyle w:val="Heading1"/>
        <w:jc w:val="left"/>
      </w:pPr>
      <w:bookmarkStart w:id="2" w:name="_Toc233465999"/>
      <w:r>
        <w:t>2. Person-centred care: definition, benefits and limitations</w:t>
      </w:r>
      <w:bookmarkEnd w:id="2"/>
    </w:p>
    <w:p w14:paraId="217872A5" w14:textId="77777777" w:rsidR="007972B6" w:rsidRDefault="007972B6" w:rsidP="007972B6">
      <w:r>
        <w:t>One definition of person-centred care is care which views the service user as a whole person, an array of values, relationships, capabilities, preferences and legal rights, not just a patient, a diagnosis or a package of needs. Giusti et al. (2020) demonstrate that PCC is linked to dignity, communication, participation, and a holistic evaluation and responsiveness to individual priorities. Personalised care is also defined by NHS England (2021) as a move from a one-size-fits-all approach to services, to choice, control, supported self-management and shared decision-making.</w:t>
      </w:r>
    </w:p>
    <w:p w14:paraId="1F861FD9" w14:textId="49903F2B" w:rsidR="002B0791" w:rsidRDefault="007972B6" w:rsidP="007972B6">
      <w:r>
        <w:t>PCC has a lot of advantages. It can build trust, enhance adherence to agreed care plans, minimise unnecessary dependency and facilitate positive outcomes including, employment, social participation and independence. In community care, PCC can also enhance safety, knowing the person's routine, communication requirements, home and informal supports. But when PCC is done in a shallow way, it has drawbacks. Eklund et al. (2019) point out that person- and patient-centred language is sometimes not consistently used, making evaluation challenging. Additionally, PCC may be limited by time pressures, workforce shortages, funds eligibility, risk-averse cultures and unequal access to advocacy. Skills for Care (2025) cites ongoing challenges to the workforce in adult social care, which can lead to reduced continuity and make relational care challenging.</w:t>
      </w:r>
    </w:p>
    <w:p w14:paraId="77807F47" w14:textId="77777777" w:rsidR="002B0791" w:rsidRDefault="00DA5639">
      <w:pPr>
        <w:pStyle w:val="Heading1"/>
        <w:jc w:val="left"/>
      </w:pPr>
      <w:bookmarkStart w:id="3" w:name="_Toc233466000"/>
      <w:r>
        <w:t>3. Theory/model underpinning PCC</w:t>
      </w:r>
      <w:bookmarkEnd w:id="3"/>
    </w:p>
    <w:p w14:paraId="1276A960" w14:textId="54EE3950" w:rsidR="007972B6" w:rsidRDefault="007972B6" w:rsidP="007972B6">
      <w:r>
        <w:t>McCormack and McCance's Person-centred Practice Framework are helpful models for the understanding of PCC. The framework relates to four interrelated domains: prerequisites of staff, the care environment, person centred processes and outcomes. McCormack and McCance (2017) draw attention to the need for practitioners to be professionally competent, to have interpersonal skills, to be self-aware and committed to values and the need for organisations to develop supportive systems, skill mix and shared decision-making cultures.</w:t>
      </w:r>
    </w:p>
    <w:p w14:paraId="64439D2E" w14:textId="4AD914AE" w:rsidR="002B0791" w:rsidRDefault="007972B6" w:rsidP="007972B6">
      <w:r>
        <w:t xml:space="preserve">This model has value for the fact that it does not limit PCC to the level of friendliness. It demonstrates that PCC is possible to achieve, even if a care worker is compassionate, but cannot be achieved because of rota instability, ineffective leadership or inadequate staffing or record keeping. The model can also be used to assess PCC in community care. For instance, an adult with a spinal injury might need skilled personal assistance, equipment, transportation, social interaction and delegated clinical skills. The person-centred process would include listening to what the person wants, negotiating risk, arranging for professionals to support and coordinate and then checking if the care plan is working for the person and enhancing their quality of life. Tetzlaff et al. (2023) agree with this interprofessional perspective by suggesting that, for people with home-care needs, there should be coordinated, person-centred concepts that involve the person, the relatives and the professionals. The framework is inherently limited in that it outlines what good practice should </w:t>
      </w:r>
      <w:r w:rsidR="005D46C0">
        <w:t>include and</w:t>
      </w:r>
      <w:r>
        <w:t xml:space="preserve"> will not resolve resource shortages or inter-agency power issues.</w:t>
      </w:r>
    </w:p>
    <w:p w14:paraId="10F1D6C3" w14:textId="77777777" w:rsidR="002B0791" w:rsidRDefault="00DA5639">
      <w:pPr>
        <w:pStyle w:val="Heading1"/>
        <w:jc w:val="left"/>
      </w:pPr>
      <w:bookmarkStart w:id="4" w:name="_Toc233466001"/>
      <w:r>
        <w:t>4. Ethical fundamentals in health and social care</w:t>
      </w:r>
      <w:bookmarkEnd w:id="4"/>
    </w:p>
    <w:p w14:paraId="06D0DCDA" w14:textId="173F7ABA" w:rsidR="005D46C0" w:rsidRDefault="005D46C0" w:rsidP="005D46C0">
      <w:r>
        <w:t>Ethical principles that underlie PCC and PW are autonomy, beneficence, non-maleficence, justice, dignity, confidentiality and accountability. Autonomy, beneficence, non-maleficence, and justice are key components of the principles that can be used for the analysis of healthcare decisions, as described by Beauchamp and Childress (2019). In practice, autonomy means that people should be encouraged to make decisions for themselves</w:t>
      </w:r>
      <w:r w:rsidR="00E03180">
        <w:t xml:space="preserve">, </w:t>
      </w:r>
      <w:r>
        <w:t>decisions they may not choose for their own</w:t>
      </w:r>
      <w:r w:rsidR="0097717F">
        <w:t xml:space="preserve">, </w:t>
      </w:r>
      <w:r>
        <w:t>from information provided for them. The principles of beneficence and non-maleficence involve doing good and preventing harm to the children; justice involves providing fair access to services and reasonable care and service allocation.</w:t>
      </w:r>
    </w:p>
    <w:p w14:paraId="39064B63" w14:textId="650501C3" w:rsidR="002B0791" w:rsidRDefault="005D46C0" w:rsidP="005D46C0">
      <w:r>
        <w:t xml:space="preserve">PCC enhances ethics by making practitioners aware of the persona's values before making decisions about what is good for them. In the opinion of Tomaselli et al (2020) the relational ethics are central in safe and high-quality person centred care as care decisions are made through relationships, dialogue and trust. Jang et al. (2022) also correlates moral sensitivity to person centred practice and </w:t>
      </w:r>
      <w:r w:rsidR="00E03180">
        <w:t>demonstrates</w:t>
      </w:r>
      <w:r>
        <w:t xml:space="preserve"> that awareness of morality is correlated with respect to dignity, preferences and emotional needs. But ethical issues arise. A professional can have to weigh issues of autonomy against safeguarding, confidentiality against information sharing, and choice against constraints on public resources. The Mental Capacity Act 2005 is relevant here because it presumes capacity unless it is demonstrated otherwise and makes decisions only in the interests of the person when they lack capacity. Structured reasoning is needed in ethical care, not paternalism.</w:t>
      </w:r>
    </w:p>
    <w:p w14:paraId="4186E284" w14:textId="77777777" w:rsidR="002B0791" w:rsidRDefault="00DA5639">
      <w:pPr>
        <w:pStyle w:val="Heading1"/>
        <w:jc w:val="left"/>
      </w:pPr>
      <w:bookmarkStart w:id="5" w:name="_Toc233466002"/>
      <w:r>
        <w:t>5. Evaluation of partnership working</w:t>
      </w:r>
      <w:bookmarkEnd w:id="5"/>
    </w:p>
    <w:p w14:paraId="032067B9" w14:textId="1AE9D3FD" w:rsidR="00353F84" w:rsidRDefault="00353F84" w:rsidP="00353F84">
      <w:r>
        <w:t xml:space="preserve">Partnership working involves all professionals, organisations, service users and carers collaborating towards common objectives. In health and social care, the need for PW arises when individuals' needs are not confined to one professional domain. Integrated care systems (ICS) were formalised to integrate NHS organisations, local authorities and other partners in planning and delivering </w:t>
      </w:r>
      <w:r w:rsidR="00A83C8F">
        <w:t>joined-up</w:t>
      </w:r>
      <w:r>
        <w:t xml:space="preserve"> services (The King's Fund, 2022). Thomson and Chatterjee (2024) identified the following six elements as promoting integrated care: shared goals, shared leadership, shared trust, shared communication, combined resources, and person-centred coordination of care; integrated care is negatively impacted by fragmentation of funding, incompatible data systems, professional silos and short-term policy pressure.</w:t>
      </w:r>
    </w:p>
    <w:p w14:paraId="73AA4C8B" w14:textId="3C3717EF" w:rsidR="002B0791" w:rsidRDefault="00353F84" w:rsidP="00353F84">
      <w:r>
        <w:t xml:space="preserve">PW can enhance continuity, minimize duplication and facilitate early intervention. Often a community nurse can establish a risk to skin integrity, an occupational therapist can recommend equipment, a social worker can review direct payments, and a voluntary organisation can help to minimise social isolation. Unfortunately, PW is not without its drawbacks. If the meeting doesn't change the person's </w:t>
      </w:r>
      <w:r w:rsidR="00A83C8F">
        <w:t>experience,</w:t>
      </w:r>
      <w:r>
        <w:t xml:space="preserve"> then it's too much of a "bureaucratic task". The concept of accountability may be confused if multiple organisations are involved. There could be information governance issues that stifle sharing and unequal powers in organisations that marginalise social care and voluntary sector perspectives. Effective PW is not just about the presence of meetings or boards; it's about the provision of coordinated, timely and personalised support to people.</w:t>
      </w:r>
    </w:p>
    <w:p w14:paraId="67477471" w14:textId="77777777" w:rsidR="002B0791" w:rsidRDefault="00DA5639">
      <w:pPr>
        <w:pStyle w:val="Heading1"/>
        <w:jc w:val="left"/>
      </w:pPr>
      <w:bookmarkStart w:id="6" w:name="_Toc233466003"/>
      <w:r>
        <w:t>6. Application in a practical setting: integrated adult community care</w:t>
      </w:r>
      <w:bookmarkEnd w:id="6"/>
    </w:p>
    <w:p w14:paraId="05BED92F" w14:textId="294EE82C" w:rsidR="00A83C8F" w:rsidRDefault="00A83C8F" w:rsidP="00A83C8F">
      <w:r>
        <w:t>PCC and PW should be used in an integrated adult community care model of assessment, care planning, delivery and review. For example, a person with a long-term neurological disability living at home who has complex personal care, mobility, continence, respiratory or medication needs. PCC would start by exploring strengths-based needs which would include what the person would like to achieve, whether this is to be able to work, attend education, parent, maintain friendships, be able to access the community etc. The Care Act 2014 requires local authorities to promote people's wellbeing, including the promotion of people's dignity, their day-to-day life, their involvement in work or education and suitability of their living environment.</w:t>
      </w:r>
    </w:p>
    <w:p w14:paraId="059E88D7" w14:textId="77777777" w:rsidR="00A83C8F" w:rsidRDefault="00A83C8F" w:rsidP="00A83C8F">
      <w:r>
        <w:t>NHS community nurses, adult social care, occupational therapy, GP services, personal assistants, unpaid carers and voluntary support would then be linked up to partnership working. NICE (2021) recommends that information-sharing and discussions of options and supporting people to express their preferences should be integrated into routine care. Building on this, Montori et al. (2023) further define SDEM as a process of care, rather than a technique to select treatments. In this context, this translates to negotiations regarding equipment, personal budgets, delegated health tasks and risk management with the person.</w:t>
      </w:r>
    </w:p>
    <w:p w14:paraId="05555B21" w14:textId="2B3CBAEC" w:rsidR="002B0791" w:rsidRDefault="00A83C8F" w:rsidP="00A83C8F">
      <w:r>
        <w:t>The benefits of this are obvious and easy to see; there are less gaps between services, continuity of services, and support that is more appropriate and more independence. However, if assessments are limited to safety and not quality of life, implementation may be unsuccessful. Integrated community care is still not well developed as the pressures in access to and quality and local-system co-ordination identified by the Care Quality Commission (2025) continue to be present. A robust model should have a named coordinator, digital records shared, escalation pathways and regular reviews by the person's own outcomes.</w:t>
      </w:r>
    </w:p>
    <w:p w14:paraId="3695B67D" w14:textId="77777777" w:rsidR="002B0791" w:rsidRDefault="00DA5639">
      <w:pPr>
        <w:pStyle w:val="Heading1"/>
        <w:jc w:val="left"/>
      </w:pPr>
      <w:bookmarkStart w:id="7" w:name="_Toc233466004"/>
      <w:r>
        <w:t>7. Policy and legislation</w:t>
      </w:r>
      <w:bookmarkEnd w:id="7"/>
    </w:p>
    <w:p w14:paraId="0A0E3B15" w14:textId="71290DB9" w:rsidR="00A83C8F" w:rsidRDefault="00A83C8F" w:rsidP="00A83C8F">
      <w:r>
        <w:t xml:space="preserve">PCC and PW are supported by several policies and laws. Wellbeing, prevention, assessment, personal budgets and safeguarding are at the heart of adult social care practice, and the Care Act 2014 is the key piece of legislation for adult social care in England. The Health and Care Act 2022 places greater emphasis on partnership working, with integrated care boards and integrated care partnerships introduced as new statutory frameworks for working collaboratively between local NHS, local authority and wider partners. Health and Social Care (Department of Health and Social Care, 2022) defines integration as an approach to bringing together care for </w:t>
      </w:r>
      <w:r w:rsidR="00CA37F0">
        <w:t>people</w:t>
      </w:r>
      <w:r>
        <w:t>, places and populations, especially when care provision sits across the two sectors of health and social care.</w:t>
      </w:r>
    </w:p>
    <w:p w14:paraId="50D1445B" w14:textId="5BA8808D" w:rsidR="002B0791" w:rsidRDefault="00A83C8F" w:rsidP="00A83C8F">
      <w:r>
        <w:t xml:space="preserve">Equality law is at the heart of it too. If PCC is to be more than a verbal commitment it is important that the Equality Act 2010 is adhered to avoid discrimination, and to make reasonable adjustments for disabled people. The Mental Capacity Act 2005 promotes autonomy by emphasising the need to facilitate a person's ability to make decisions before deciding they are incapable. NICE (2021) further underpins these legal principles with guidance on shared decision making and NHS England (2021) link personalised care to social prescribing, supported self-management, personal health budgets and choice. But policy implementation is not consistent. While the Health and Care Act 2022 is establishing </w:t>
      </w:r>
      <w:r w:rsidR="00CA37F0">
        <w:t>partnership</w:t>
      </w:r>
      <w:r>
        <w:t xml:space="preserve"> structures, no law can ensure collaboration if there is a lack of local services capacity, shared incentives, shared records or sustainable funding. This is why policy should be assessed with service user outcomes, rather than compliance papers.</w:t>
      </w:r>
    </w:p>
    <w:p w14:paraId="07382F67" w14:textId="77777777" w:rsidR="002B0791" w:rsidRDefault="00DA5639">
      <w:pPr>
        <w:pStyle w:val="Heading1"/>
        <w:jc w:val="left"/>
      </w:pPr>
      <w:bookmarkStart w:id="8" w:name="_Toc233466005"/>
      <w:r>
        <w:t>8. Recommendations for future development</w:t>
      </w:r>
      <w:bookmarkEnd w:id="8"/>
    </w:p>
    <w:p w14:paraId="7FACA5CD" w14:textId="597250B4" w:rsidR="00CA37F0" w:rsidRDefault="00CA37F0" w:rsidP="00CA37F0">
      <w:r>
        <w:t>There is a need to increase the co-production of services by the active participation of service users and carers in assessment forms, care-plan templates, service evaluation and ICS priorities in the UK.In the UK, services should strengthen co-production by actively involving service users and carers to assess and develop services, care-plans, service evaluation forms and priorities for ICS. It would lessen the likelihood of PCC descending into a 'professional-led personalisation' rather than having a sense of control. Second, there should be named care coordinators across the integrated adult community teams to oversee the actions for those with complex needs, with one accountable care coordinator able to monitor the work of the teams of NHS, social care and voluntary services involved. Thirdly, organisations need to put in place collaborative training to enable staff to work in a common language around the Person-centred Practice Framework, shared decision-making, mental capacity, safeguarding and equality duties.</w:t>
      </w:r>
    </w:p>
    <w:p w14:paraId="592679A5" w14:textId="118EDDEA" w:rsidR="002B0791" w:rsidRDefault="00CA37F0" w:rsidP="00CA37F0">
      <w:r>
        <w:t>Fourth, interoperability and informed consent for sharing information should be enhanced, and confidentiality and data protection should be kept. Fifthly, workforce development needs to be considered a PCC issue - there is no continuity when people are moved from one carer to another or when they wait a long time for assessment. Finally, person-centred measures of evaluation of the recommendations should be used, such as if the person can engage in valued activities, is supported consistently, can make decisions and feels respected. There is one major constraint however, these recommendations are time, money and culture dependent. PCC and PW, however, cannot be realized without these investments.</w:t>
      </w:r>
    </w:p>
    <w:p w14:paraId="34159C0A" w14:textId="77777777" w:rsidR="002B0791" w:rsidRDefault="00DA5639">
      <w:pPr>
        <w:pStyle w:val="Heading1"/>
        <w:jc w:val="left"/>
      </w:pPr>
      <w:bookmarkStart w:id="9" w:name="_Toc233466006"/>
      <w:r>
        <w:t>9. Conclusion</w:t>
      </w:r>
      <w:bookmarkEnd w:id="9"/>
    </w:p>
    <w:p w14:paraId="4AA0E7CE" w14:textId="55D87FC7" w:rsidR="002B0791" w:rsidRDefault="001E6A28" w:rsidP="001E6A28">
      <w:r w:rsidRPr="001E6A28">
        <w:t xml:space="preserve">The concepts of person-centred care and partnership working are interdependent. PCC describes purpose of care as: underpinning dignity, autonomy, wellbeing and meaningful life outcomes. PW provides a mechanism to support meeting complex needs and across professional and organisational boundaries. There is evidence and policy support for both principles, but the pressures of the workforce, a fragmented system, and inconsistent information sharing and resource constraints hinder implementation. In the adult community care context, the best way to do this is to integrate: Ethics, shared </w:t>
      </w:r>
      <w:r w:rsidR="000C5674" w:rsidRPr="001E6A28">
        <w:t>decisions</w:t>
      </w:r>
      <w:r w:rsidRPr="001E6A28">
        <w:t>, personalisation, integrated teams and legal accountability. There is a need to develop co-production, continuity of care, named co-ordination, shared training, and shared evaluation of outcomes, such that the person's life is the focus of care, not just safety.</w:t>
      </w:r>
      <w:r>
        <w:br w:type="page"/>
      </w:r>
    </w:p>
    <w:p w14:paraId="19E9AB9F" w14:textId="77777777" w:rsidR="002B0791" w:rsidRDefault="00DA5639">
      <w:pPr>
        <w:pStyle w:val="Heading1"/>
      </w:pPr>
      <w:bookmarkStart w:id="10" w:name="_Toc233466007"/>
      <w:r>
        <w:t>References</w:t>
      </w:r>
      <w:bookmarkEnd w:id="10"/>
    </w:p>
    <w:p w14:paraId="3469A7D0" w14:textId="77777777" w:rsidR="002B0791" w:rsidRDefault="00DA5639">
      <w:pPr>
        <w:spacing w:line="252" w:lineRule="auto"/>
        <w:ind w:left="432" w:hanging="432"/>
        <w:jc w:val="left"/>
      </w:pPr>
      <w:r>
        <w:rPr>
          <w:sz w:val="19"/>
        </w:rPr>
        <w:t>Beauchamp, T.L. and Childress, J.F. (2019) Principles of Biomedical Ethics. 8th edn. New York: Oxford University Press.</w:t>
      </w:r>
    </w:p>
    <w:p w14:paraId="5457A11E" w14:textId="1C83D27B" w:rsidR="002B0791" w:rsidRDefault="00DA5639">
      <w:pPr>
        <w:spacing w:line="252" w:lineRule="auto"/>
        <w:ind w:left="432" w:hanging="432"/>
        <w:jc w:val="left"/>
      </w:pPr>
      <w:r>
        <w:rPr>
          <w:sz w:val="19"/>
        </w:rPr>
        <w:t xml:space="preserve">Care Act 2014 (c. 23). London: The Stationery Office. Available at: </w:t>
      </w:r>
      <w:hyperlink r:id="rId8" w:history="1">
        <w:r w:rsidR="001A55B9" w:rsidRPr="00ED3FD1">
          <w:rPr>
            <w:rStyle w:val="Hyperlink"/>
            <w:sz w:val="19"/>
          </w:rPr>
          <w:t>https://www.legislation.gov.uk/ukpga/2014/23/contents</w:t>
        </w:r>
      </w:hyperlink>
      <w:r w:rsidR="001A55B9">
        <w:rPr>
          <w:sz w:val="19"/>
        </w:rPr>
        <w:t xml:space="preserve"> </w:t>
      </w:r>
      <w:r>
        <w:rPr>
          <w:sz w:val="19"/>
        </w:rPr>
        <w:t>(Accessed: 27 June 2026).</w:t>
      </w:r>
    </w:p>
    <w:p w14:paraId="40CCCB79" w14:textId="7029311A" w:rsidR="002B0791" w:rsidRDefault="00DA5639">
      <w:pPr>
        <w:spacing w:line="252" w:lineRule="auto"/>
        <w:ind w:left="432" w:hanging="432"/>
        <w:jc w:val="left"/>
      </w:pPr>
      <w:r>
        <w:rPr>
          <w:sz w:val="19"/>
        </w:rPr>
        <w:t xml:space="preserve">Care Quality Commission (2025) The state of health care and adult social care in England 2024/25. London: CQC. Available at: </w:t>
      </w:r>
      <w:hyperlink r:id="rId9" w:history="1">
        <w:r w:rsidR="001A55B9" w:rsidRPr="00ED3FD1">
          <w:rPr>
            <w:rStyle w:val="Hyperlink"/>
            <w:sz w:val="19"/>
          </w:rPr>
          <w:t>https://www.cqc.org.uk/publications/major-report/state-care/2024-2025</w:t>
        </w:r>
      </w:hyperlink>
      <w:r w:rsidR="001A55B9">
        <w:rPr>
          <w:sz w:val="19"/>
        </w:rPr>
        <w:t xml:space="preserve"> </w:t>
      </w:r>
      <w:r>
        <w:rPr>
          <w:sz w:val="19"/>
        </w:rPr>
        <w:t>(Accessed: 27 June 2026).</w:t>
      </w:r>
    </w:p>
    <w:p w14:paraId="0BA6B70E" w14:textId="72D8A095" w:rsidR="002B0791" w:rsidRDefault="00DA5639">
      <w:pPr>
        <w:spacing w:line="252" w:lineRule="auto"/>
        <w:ind w:left="432" w:hanging="432"/>
        <w:jc w:val="left"/>
      </w:pPr>
      <w:r>
        <w:rPr>
          <w:sz w:val="19"/>
        </w:rPr>
        <w:t xml:space="preserve">Department of Health and Social Care (2022) Health and social care integration: joining up care for people, places and populations. London: DHSC. Available at: </w:t>
      </w:r>
      <w:hyperlink r:id="rId10" w:history="1">
        <w:r w:rsidR="001A55B9" w:rsidRPr="00ED3FD1">
          <w:rPr>
            <w:rStyle w:val="Hyperlink"/>
            <w:sz w:val="19"/>
          </w:rPr>
          <w:t>https://www.gov.uk/government/publications/health-and-social-care-integration-joining-up-care-for-people-places-and-populations</w:t>
        </w:r>
      </w:hyperlink>
      <w:r w:rsidR="001A55B9">
        <w:rPr>
          <w:sz w:val="19"/>
        </w:rPr>
        <w:t xml:space="preserve"> </w:t>
      </w:r>
      <w:r>
        <w:rPr>
          <w:sz w:val="19"/>
        </w:rPr>
        <w:t>(Accessed: 27 June 2026).</w:t>
      </w:r>
    </w:p>
    <w:p w14:paraId="15C93C40" w14:textId="40FB3CBA" w:rsidR="002B0791" w:rsidRDefault="00DA5639">
      <w:pPr>
        <w:spacing w:line="252" w:lineRule="auto"/>
        <w:ind w:left="432" w:hanging="432"/>
        <w:jc w:val="left"/>
      </w:pPr>
      <w:r>
        <w:rPr>
          <w:sz w:val="19"/>
        </w:rPr>
        <w:t xml:space="preserve">Eklund, J.H., Holmstrom, I.K., Kumlin, T., Kaminsky, E., Skoglund, K., Hoglander, J., Sundler, A.J., Condén, E. and Meranius, M.S. (2019) 'Same same or different? A review of reviews of person-centered and patient-centered care', Patient Education and Counseling, 102(1), pp. 3-11. </w:t>
      </w:r>
      <w:hyperlink r:id="rId11" w:history="1">
        <w:r w:rsidR="001A55B9" w:rsidRPr="00ED3FD1">
          <w:rPr>
            <w:rStyle w:val="Hyperlink"/>
            <w:sz w:val="19"/>
          </w:rPr>
          <w:t>https://doi.org/10.1016/j.pec.2018.08.029</w:t>
        </w:r>
      </w:hyperlink>
      <w:r w:rsidR="001A55B9">
        <w:rPr>
          <w:sz w:val="19"/>
        </w:rPr>
        <w:t>.</w:t>
      </w:r>
    </w:p>
    <w:p w14:paraId="64192483" w14:textId="1F6E6433" w:rsidR="002B0791" w:rsidRDefault="00DA5639">
      <w:pPr>
        <w:spacing w:line="252" w:lineRule="auto"/>
        <w:ind w:left="432" w:hanging="432"/>
        <w:jc w:val="left"/>
      </w:pPr>
      <w:r>
        <w:rPr>
          <w:sz w:val="19"/>
        </w:rPr>
        <w:t xml:space="preserve">Equality Act 2010 (c. 15). London: The Stationery Office. Available at: </w:t>
      </w:r>
      <w:hyperlink r:id="rId12" w:history="1">
        <w:r w:rsidR="001A55B9" w:rsidRPr="00ED3FD1">
          <w:rPr>
            <w:rStyle w:val="Hyperlink"/>
            <w:sz w:val="19"/>
          </w:rPr>
          <w:t>https://www.legislation.gov.uk/ukpga/2010/15/contents</w:t>
        </w:r>
      </w:hyperlink>
      <w:r w:rsidR="001A55B9">
        <w:rPr>
          <w:sz w:val="19"/>
        </w:rPr>
        <w:t xml:space="preserve"> </w:t>
      </w:r>
      <w:r>
        <w:rPr>
          <w:sz w:val="19"/>
        </w:rPr>
        <w:t>(Accessed: 27 June 2026).</w:t>
      </w:r>
    </w:p>
    <w:p w14:paraId="339A9773" w14:textId="2D7CC455" w:rsidR="002B0791" w:rsidRDefault="00DA5639">
      <w:pPr>
        <w:spacing w:line="252" w:lineRule="auto"/>
        <w:ind w:left="432" w:hanging="432"/>
        <w:jc w:val="left"/>
      </w:pPr>
      <w:r>
        <w:rPr>
          <w:sz w:val="19"/>
        </w:rPr>
        <w:t xml:space="preserve">Giusti, A., Nkhoma, K., Petrus, R., Petersen, I., Gwyther, L., Farrant, L., Venkatapuram, S. and Harding, R. (2020) 'The empirical evidence underpinning the concept and practice of person-centred care for serious illness: a systematic review', BMJ Global Health, 5(12), e003330. </w:t>
      </w:r>
      <w:hyperlink r:id="rId13" w:history="1">
        <w:r w:rsidR="001A55B9" w:rsidRPr="00ED3FD1">
          <w:rPr>
            <w:rStyle w:val="Hyperlink"/>
            <w:sz w:val="19"/>
          </w:rPr>
          <w:t>https://doi.org/10.1136/bmjgh-2020-003330</w:t>
        </w:r>
      </w:hyperlink>
      <w:r w:rsidR="001A55B9">
        <w:rPr>
          <w:sz w:val="19"/>
        </w:rPr>
        <w:t>.</w:t>
      </w:r>
    </w:p>
    <w:p w14:paraId="4CB0D2CB" w14:textId="4163B730" w:rsidR="002B0791" w:rsidRDefault="00DA5639">
      <w:pPr>
        <w:spacing w:line="252" w:lineRule="auto"/>
        <w:ind w:left="432" w:hanging="432"/>
        <w:jc w:val="left"/>
      </w:pPr>
      <w:r>
        <w:rPr>
          <w:sz w:val="19"/>
        </w:rPr>
        <w:t xml:space="preserve">Health and Care Act 2022 (c. 31). London: The Stationery Office. Available at: </w:t>
      </w:r>
      <w:hyperlink r:id="rId14" w:history="1">
        <w:r w:rsidR="001A55B9" w:rsidRPr="00ED3FD1">
          <w:rPr>
            <w:rStyle w:val="Hyperlink"/>
            <w:sz w:val="19"/>
          </w:rPr>
          <w:t>https://www.legislation.gov.uk/ukpga/2022/31/contents</w:t>
        </w:r>
      </w:hyperlink>
      <w:r w:rsidR="001A55B9">
        <w:rPr>
          <w:sz w:val="19"/>
        </w:rPr>
        <w:t xml:space="preserve"> </w:t>
      </w:r>
      <w:r>
        <w:rPr>
          <w:sz w:val="19"/>
        </w:rPr>
        <w:t>(Accessed: 27 June 2026).</w:t>
      </w:r>
    </w:p>
    <w:p w14:paraId="3693A28B" w14:textId="1679277D" w:rsidR="002B0791" w:rsidRDefault="00DA5639">
      <w:pPr>
        <w:spacing w:line="252" w:lineRule="auto"/>
        <w:ind w:left="432" w:hanging="432"/>
        <w:jc w:val="left"/>
      </w:pPr>
      <w:r>
        <w:rPr>
          <w:sz w:val="19"/>
        </w:rPr>
        <w:t xml:space="preserve">Jang, S.J., Kim, E.H. and Lee, H. (2022) 'Moral sensitivity and person-centred care among mental health nurses in South Korea: A cross-sectional study', Journal of Nursing Management, 30(7), pp. 2227-2235. </w:t>
      </w:r>
      <w:hyperlink r:id="rId15" w:history="1">
        <w:r w:rsidR="001A55B9" w:rsidRPr="00ED3FD1">
          <w:rPr>
            <w:rStyle w:val="Hyperlink"/>
            <w:sz w:val="19"/>
          </w:rPr>
          <w:t>https://doi.org/10.1111/jonm.13554</w:t>
        </w:r>
      </w:hyperlink>
      <w:r w:rsidR="001A55B9">
        <w:rPr>
          <w:sz w:val="19"/>
        </w:rPr>
        <w:t xml:space="preserve">. </w:t>
      </w:r>
    </w:p>
    <w:p w14:paraId="58CF7E72" w14:textId="77777777" w:rsidR="002B0791" w:rsidRDefault="00DA5639">
      <w:pPr>
        <w:spacing w:line="252" w:lineRule="auto"/>
        <w:ind w:left="432" w:hanging="432"/>
        <w:jc w:val="left"/>
      </w:pPr>
      <w:r>
        <w:rPr>
          <w:sz w:val="19"/>
        </w:rPr>
        <w:t>McCormack, B. and McCance, T. (2017) Person-Centred Practice in Nursing and Health Care: Theory and Practice. 2nd edn. Chichester: Wiley Blackwell.</w:t>
      </w:r>
    </w:p>
    <w:p w14:paraId="2B32ADFD" w14:textId="1F0E960E" w:rsidR="002B0791" w:rsidRDefault="00DA5639">
      <w:pPr>
        <w:spacing w:line="252" w:lineRule="auto"/>
        <w:ind w:left="432" w:hanging="432"/>
        <w:jc w:val="left"/>
      </w:pPr>
      <w:r>
        <w:rPr>
          <w:sz w:val="19"/>
        </w:rPr>
        <w:t xml:space="preserve">Mental Capacity Act 2005 (c. 9). London: The Stationery Office. Available at: </w:t>
      </w:r>
      <w:hyperlink r:id="rId16" w:history="1">
        <w:r w:rsidR="001A55B9" w:rsidRPr="00ED3FD1">
          <w:rPr>
            <w:rStyle w:val="Hyperlink"/>
            <w:sz w:val="19"/>
          </w:rPr>
          <w:t>https://www.legislation.gov.uk/ukpga/2005/9/contents</w:t>
        </w:r>
      </w:hyperlink>
      <w:r w:rsidR="001A55B9">
        <w:rPr>
          <w:sz w:val="19"/>
        </w:rPr>
        <w:t xml:space="preserve"> </w:t>
      </w:r>
      <w:r>
        <w:rPr>
          <w:sz w:val="19"/>
        </w:rPr>
        <w:t>(Accessed: 27 June 2026).</w:t>
      </w:r>
    </w:p>
    <w:p w14:paraId="52497CD4" w14:textId="450A8285" w:rsidR="002B0791" w:rsidRDefault="00DA5639">
      <w:pPr>
        <w:spacing w:line="252" w:lineRule="auto"/>
        <w:ind w:left="432" w:hanging="432"/>
        <w:jc w:val="left"/>
      </w:pPr>
      <w:r>
        <w:rPr>
          <w:sz w:val="19"/>
        </w:rPr>
        <w:t xml:space="preserve">Montori, V.M., Ruissen, M.M., Hargraves, I.G., Brito, J.P. and Kunneman, M. (2023) 'Shared decision-making as a method of care', BMJ Evidence-Based Medicine, 28(4), pp. 213-217. </w:t>
      </w:r>
      <w:hyperlink r:id="rId17" w:history="1">
        <w:r w:rsidR="001A55B9" w:rsidRPr="00ED3FD1">
          <w:rPr>
            <w:rStyle w:val="Hyperlink"/>
            <w:sz w:val="19"/>
          </w:rPr>
          <w:t>https://doi.org/10.1136/bmjebm-2022-112068</w:t>
        </w:r>
      </w:hyperlink>
      <w:r w:rsidR="001A55B9">
        <w:rPr>
          <w:sz w:val="19"/>
        </w:rPr>
        <w:t>.</w:t>
      </w:r>
    </w:p>
    <w:p w14:paraId="6846BA83" w14:textId="477D7D92" w:rsidR="002B0791" w:rsidRDefault="00DA5639">
      <w:pPr>
        <w:spacing w:line="252" w:lineRule="auto"/>
        <w:ind w:left="432" w:hanging="432"/>
        <w:jc w:val="left"/>
      </w:pPr>
      <w:r>
        <w:rPr>
          <w:sz w:val="19"/>
        </w:rPr>
        <w:t xml:space="preserve">NHS England (2021) Personalised care operating model. London: NHS England. Available at: </w:t>
      </w:r>
      <w:hyperlink r:id="rId18" w:history="1">
        <w:r w:rsidR="001A55B9" w:rsidRPr="00ED3FD1">
          <w:rPr>
            <w:rStyle w:val="Hyperlink"/>
            <w:sz w:val="19"/>
          </w:rPr>
          <w:t>https://www.england.nhs.uk/publication/personalised-care-operating-model/</w:t>
        </w:r>
      </w:hyperlink>
      <w:r w:rsidR="001A55B9">
        <w:rPr>
          <w:sz w:val="19"/>
        </w:rPr>
        <w:t xml:space="preserve"> </w:t>
      </w:r>
      <w:r>
        <w:rPr>
          <w:sz w:val="19"/>
        </w:rPr>
        <w:t>(Accessed: 27 June 2026).</w:t>
      </w:r>
    </w:p>
    <w:p w14:paraId="7C6E2A33" w14:textId="0B7B9642" w:rsidR="002B0791" w:rsidRDefault="00DA5639">
      <w:pPr>
        <w:spacing w:line="252" w:lineRule="auto"/>
        <w:ind w:left="432" w:hanging="432"/>
        <w:jc w:val="left"/>
      </w:pPr>
      <w:r>
        <w:rPr>
          <w:sz w:val="19"/>
        </w:rPr>
        <w:t xml:space="preserve">National Institute for Health and Care Excellence (2021) Shared decision making. NICE guideline NG197. London: NICE. Available at: </w:t>
      </w:r>
      <w:hyperlink r:id="rId19" w:history="1">
        <w:r w:rsidR="001A55B9" w:rsidRPr="00ED3FD1">
          <w:rPr>
            <w:rStyle w:val="Hyperlink"/>
            <w:sz w:val="19"/>
          </w:rPr>
          <w:t>https://www.nice.org.uk/guidance/ng197</w:t>
        </w:r>
      </w:hyperlink>
      <w:r w:rsidR="001A55B9">
        <w:rPr>
          <w:sz w:val="19"/>
        </w:rPr>
        <w:t xml:space="preserve"> </w:t>
      </w:r>
      <w:r>
        <w:rPr>
          <w:sz w:val="19"/>
        </w:rPr>
        <w:t>(Accessed: 27 June 2026).</w:t>
      </w:r>
    </w:p>
    <w:p w14:paraId="2955D4F9" w14:textId="3B2D2A28" w:rsidR="002B0791" w:rsidRDefault="00DA5639">
      <w:pPr>
        <w:spacing w:line="252" w:lineRule="auto"/>
        <w:ind w:left="432" w:hanging="432"/>
        <w:jc w:val="left"/>
      </w:pPr>
      <w:r>
        <w:rPr>
          <w:sz w:val="19"/>
        </w:rPr>
        <w:t xml:space="preserve">Skills for Care (2025) The state of the adult social care sector and workforce in England. Leeds: Skills for Care. Available at: </w:t>
      </w:r>
      <w:hyperlink r:id="rId20" w:history="1">
        <w:r w:rsidR="001A55B9" w:rsidRPr="00ED3FD1">
          <w:rPr>
            <w:rStyle w:val="Hyperlink"/>
            <w:sz w:val="19"/>
          </w:rPr>
          <w:t>https://www.skillsforcare.org.uk/Adult-Social-Care-Workforce-Data/workforceintelligence/Reports-and-visualisations/National-information/The-State-of-report.aspx</w:t>
        </w:r>
      </w:hyperlink>
      <w:r w:rsidR="001A55B9">
        <w:rPr>
          <w:sz w:val="19"/>
        </w:rPr>
        <w:t xml:space="preserve"> </w:t>
      </w:r>
      <w:r>
        <w:rPr>
          <w:sz w:val="19"/>
        </w:rPr>
        <w:t>(Accessed: 27 June 2026).</w:t>
      </w:r>
    </w:p>
    <w:p w14:paraId="5CD82467" w14:textId="7AC00AF4" w:rsidR="002B0791" w:rsidRDefault="00DA5639">
      <w:pPr>
        <w:spacing w:line="252" w:lineRule="auto"/>
        <w:ind w:left="432" w:hanging="432"/>
        <w:jc w:val="left"/>
      </w:pPr>
      <w:r>
        <w:rPr>
          <w:sz w:val="19"/>
        </w:rPr>
        <w:t xml:space="preserve">Tetzlaff, B., Scherer, M., Balzer, K., Steyer, L., Kopke, S., Friede, T., Maurer, I., Weber, C.E., Konig, H.H., Konnopka, A., Ruppel, T., Mazur, A., Hummers, E. and Mueller, C.A. (2023) 'Development of an interprofessional person-centred care concept for persons with care needs living in their own homes (interprof HOME): study protocol for a mixed-methods study', BMJ Open, 13(7), e069597. </w:t>
      </w:r>
      <w:hyperlink r:id="rId21" w:history="1">
        <w:r w:rsidR="001A55B9" w:rsidRPr="00ED3FD1">
          <w:rPr>
            <w:rStyle w:val="Hyperlink"/>
            <w:sz w:val="19"/>
          </w:rPr>
          <w:t>https://doi.org/10.1136/bmjopen-2022-069597</w:t>
        </w:r>
      </w:hyperlink>
      <w:r w:rsidR="001A55B9">
        <w:rPr>
          <w:sz w:val="19"/>
        </w:rPr>
        <w:t>.</w:t>
      </w:r>
    </w:p>
    <w:p w14:paraId="6AF97C5A" w14:textId="0D98E6B8" w:rsidR="002B0791" w:rsidRDefault="00DA5639">
      <w:pPr>
        <w:spacing w:line="252" w:lineRule="auto"/>
        <w:ind w:left="432" w:hanging="432"/>
        <w:jc w:val="left"/>
      </w:pPr>
      <w:r>
        <w:rPr>
          <w:sz w:val="19"/>
        </w:rPr>
        <w:t xml:space="preserve">The King's Fund (2022) Integrated care systems explained. London: The King's Fund. Available at: </w:t>
      </w:r>
      <w:hyperlink r:id="rId22" w:history="1">
        <w:r w:rsidR="001A55B9" w:rsidRPr="00ED3FD1">
          <w:rPr>
            <w:rStyle w:val="Hyperlink"/>
            <w:sz w:val="19"/>
          </w:rPr>
          <w:t>https://www.kingsfund.org.uk/insight-and-analysis/long-reads/integrated-care-systems-explained</w:t>
        </w:r>
      </w:hyperlink>
      <w:r w:rsidR="001A55B9">
        <w:rPr>
          <w:sz w:val="19"/>
        </w:rPr>
        <w:t xml:space="preserve"> </w:t>
      </w:r>
      <w:r>
        <w:rPr>
          <w:sz w:val="19"/>
        </w:rPr>
        <w:t>(Accessed: 27 June 2026).</w:t>
      </w:r>
    </w:p>
    <w:p w14:paraId="002468FB" w14:textId="7A0F89EA" w:rsidR="002B0791" w:rsidRDefault="00DA5639">
      <w:pPr>
        <w:spacing w:line="252" w:lineRule="auto"/>
        <w:ind w:left="432" w:hanging="432"/>
        <w:jc w:val="left"/>
      </w:pPr>
      <w:r>
        <w:rPr>
          <w:sz w:val="19"/>
        </w:rPr>
        <w:t xml:space="preserve">Thomson, L.J.M. and Chatterjee, H.J. (2024) 'Barriers and enablers of integrated care in the UK: a rapid evidence review of review articles and grey literature 2018-2022', Frontiers in Public Health, 11, 1286479. </w:t>
      </w:r>
      <w:hyperlink r:id="rId23" w:history="1">
        <w:r w:rsidR="001A55B9" w:rsidRPr="00ED3FD1">
          <w:rPr>
            <w:rStyle w:val="Hyperlink"/>
            <w:sz w:val="19"/>
          </w:rPr>
          <w:t>https://doi.org/10.3389/fpubh.2023.1286479</w:t>
        </w:r>
      </w:hyperlink>
      <w:r w:rsidR="001A55B9">
        <w:rPr>
          <w:sz w:val="19"/>
        </w:rPr>
        <w:t>.</w:t>
      </w:r>
    </w:p>
    <w:p w14:paraId="0FDC2866" w14:textId="0B81A494" w:rsidR="002B0791" w:rsidRDefault="00DA5639">
      <w:pPr>
        <w:spacing w:line="252" w:lineRule="auto"/>
        <w:ind w:left="432" w:hanging="432"/>
        <w:jc w:val="left"/>
      </w:pPr>
      <w:r>
        <w:rPr>
          <w:sz w:val="19"/>
        </w:rPr>
        <w:t xml:space="preserve">Tomaselli, G., Buttigieg, S.C., Rosano, A., Cassar, M. and Grima, G. (2020) 'Person-centered care from a relational ethics perspective for the delivery of high quality and safe healthcare: a scoping review', Frontiers in Public Health, 8, 44. </w:t>
      </w:r>
      <w:hyperlink r:id="rId24" w:history="1">
        <w:r w:rsidR="001A55B9" w:rsidRPr="00ED3FD1">
          <w:rPr>
            <w:rStyle w:val="Hyperlink"/>
            <w:sz w:val="19"/>
          </w:rPr>
          <w:t>https://doi.org/10.3389/fpubh.2020.00044</w:t>
        </w:r>
      </w:hyperlink>
      <w:r w:rsidR="001A55B9">
        <w:rPr>
          <w:sz w:val="19"/>
        </w:rPr>
        <w:t>.</w:t>
      </w:r>
    </w:p>
    <w:sectPr w:rsidR="002B0791" w:rsidSect="00034616">
      <w:footerReference w:type="default" r:id="rId25"/>
      <w:pgSz w:w="12240" w:h="15840"/>
      <w:pgMar w:top="1008" w:right="1224" w:bottom="1008" w:left="122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37A82D" w14:textId="77777777" w:rsidR="009D3E56" w:rsidRDefault="009D3E56">
      <w:pPr>
        <w:spacing w:after="0" w:line="240" w:lineRule="auto"/>
      </w:pPr>
      <w:r>
        <w:separator/>
      </w:r>
    </w:p>
  </w:endnote>
  <w:endnote w:type="continuationSeparator" w:id="0">
    <w:p w14:paraId="59AF317B" w14:textId="77777777" w:rsidR="009D3E56" w:rsidRDefault="009D3E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64D4F5" w14:textId="77777777" w:rsidR="002B0791" w:rsidRDefault="00DA5639">
    <w:pPr>
      <w:pStyle w:val="Footer"/>
      <w:jc w:val="center"/>
    </w:pPr>
    <w:r>
      <w:rPr>
        <w:sz w:val="20"/>
      </w:rPr>
      <w:t xml:space="preserve">Page </w:t>
    </w:r>
    <w:r>
      <w:fldChar w:fldCharType="begin"/>
    </w:r>
    <w:r>
      <w:instrText xml:space="preserve"> PAGE </w:instrText>
    </w:r>
    <w:r>
      <w:fldChar w:fldCharType="separate"/>
    </w:r>
    <w:r w:rsidR="00BA348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EC8017" w14:textId="77777777" w:rsidR="009D3E56" w:rsidRDefault="009D3E56">
      <w:pPr>
        <w:spacing w:after="0" w:line="240" w:lineRule="auto"/>
      </w:pPr>
      <w:r>
        <w:separator/>
      </w:r>
    </w:p>
  </w:footnote>
  <w:footnote w:type="continuationSeparator" w:id="0">
    <w:p w14:paraId="3B72AC18" w14:textId="77777777" w:rsidR="009D3E56" w:rsidRDefault="009D3E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002006930">
    <w:abstractNumId w:val="8"/>
  </w:num>
  <w:num w:numId="2" w16cid:durableId="1596093998">
    <w:abstractNumId w:val="6"/>
  </w:num>
  <w:num w:numId="3" w16cid:durableId="1626959623">
    <w:abstractNumId w:val="5"/>
  </w:num>
  <w:num w:numId="4" w16cid:durableId="1781147434">
    <w:abstractNumId w:val="4"/>
  </w:num>
  <w:num w:numId="5" w16cid:durableId="920990208">
    <w:abstractNumId w:val="7"/>
  </w:num>
  <w:num w:numId="6" w16cid:durableId="781531551">
    <w:abstractNumId w:val="3"/>
  </w:num>
  <w:num w:numId="7" w16cid:durableId="1848326813">
    <w:abstractNumId w:val="2"/>
  </w:num>
  <w:num w:numId="8" w16cid:durableId="228686410">
    <w:abstractNumId w:val="1"/>
  </w:num>
  <w:num w:numId="9" w16cid:durableId="1753852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C5674"/>
    <w:rsid w:val="0015074B"/>
    <w:rsid w:val="001A55B9"/>
    <w:rsid w:val="001E6A28"/>
    <w:rsid w:val="00256227"/>
    <w:rsid w:val="0029639D"/>
    <w:rsid w:val="002B0791"/>
    <w:rsid w:val="00326F90"/>
    <w:rsid w:val="00353F84"/>
    <w:rsid w:val="00456A04"/>
    <w:rsid w:val="004573D3"/>
    <w:rsid w:val="005D46C0"/>
    <w:rsid w:val="00667723"/>
    <w:rsid w:val="0071185C"/>
    <w:rsid w:val="007972B6"/>
    <w:rsid w:val="007A5127"/>
    <w:rsid w:val="0097717F"/>
    <w:rsid w:val="009D3E56"/>
    <w:rsid w:val="00A83C8F"/>
    <w:rsid w:val="00AA1D8D"/>
    <w:rsid w:val="00B47730"/>
    <w:rsid w:val="00BA3484"/>
    <w:rsid w:val="00CA37F0"/>
    <w:rsid w:val="00CB0664"/>
    <w:rsid w:val="00DA5639"/>
    <w:rsid w:val="00E03180"/>
    <w:rsid w:val="00EC1621"/>
    <w:rsid w:val="00FC693F"/>
    <w:rsid w:val="00FF2DA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1DEA6EF"/>
  <w14:defaultImageDpi w14:val="300"/>
  <w15:docId w15:val="{A5ACF989-5834-46FB-82BE-304FD31AC6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60" w:line="360" w:lineRule="auto"/>
      <w:jc w:val="both"/>
    </w:pPr>
    <w:rPr>
      <w:rFonts w:ascii="Arial" w:eastAsia="Arial" w:hAnsi="Arial"/>
    </w:rPr>
  </w:style>
  <w:style w:type="paragraph" w:styleId="Heading1">
    <w:name w:val="heading 1"/>
    <w:basedOn w:val="Normal"/>
    <w:next w:val="Normal"/>
    <w:link w:val="Heading1Char"/>
    <w:uiPriority w:val="9"/>
    <w:qFormat/>
    <w:rsid w:val="00BA3484"/>
    <w:pPr>
      <w:keepNext/>
      <w:keepLines/>
      <w:spacing w:before="200" w:after="80"/>
      <w:outlineLvl w:val="0"/>
    </w:pPr>
    <w:rPr>
      <w:rFonts w:asciiTheme="minorBidi" w:eastAsiaTheme="majorEastAsia" w:hAnsiTheme="minorBidi" w:cstheme="majorBidi"/>
      <w:b/>
      <w:bCs/>
      <w:sz w:val="26"/>
      <w:szCs w:val="28"/>
    </w:rPr>
  </w:style>
  <w:style w:type="paragraph" w:styleId="Heading2">
    <w:name w:val="heading 2"/>
    <w:basedOn w:val="Normal"/>
    <w:next w:val="Normal"/>
    <w:link w:val="Heading2Char"/>
    <w:uiPriority w:val="9"/>
    <w:unhideWhenUsed/>
    <w:qFormat/>
    <w:rsid w:val="00FC693F"/>
    <w:pPr>
      <w:keepNext/>
      <w:keepLines/>
      <w:spacing w:before="200" w:after="80"/>
      <w:outlineLvl w:val="1"/>
    </w:pPr>
    <w:rPr>
      <w:rFonts w:asciiTheme="majorHAnsi" w:eastAsiaTheme="majorEastAsia" w:hAnsiTheme="majorHAnsi" w:cstheme="majorBidi"/>
      <w:b/>
      <w:bCs/>
      <w:color w:val="4F81BD" w:themeColor="accent1"/>
      <w:sz w:val="24"/>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BA3484"/>
    <w:rPr>
      <w:rFonts w:asciiTheme="minorBidi" w:eastAsiaTheme="majorEastAsia" w:hAnsiTheme="minorBidi" w:cstheme="majorBidi"/>
      <w:b/>
      <w:bCs/>
      <w:sz w:val="26"/>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b/>
      <w:color w:val="17365D" w:themeColor="text2" w:themeShade="BF"/>
      <w:spacing w:val="5"/>
      <w:kern w:val="28"/>
      <w:sz w:val="36"/>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1A55B9"/>
    <w:rPr>
      <w:color w:val="0000FF" w:themeColor="hyperlink"/>
      <w:u w:val="single"/>
    </w:rPr>
  </w:style>
  <w:style w:type="character" w:styleId="UnresolvedMention">
    <w:name w:val="Unresolved Mention"/>
    <w:basedOn w:val="DefaultParagraphFont"/>
    <w:uiPriority w:val="99"/>
    <w:semiHidden/>
    <w:unhideWhenUsed/>
    <w:rsid w:val="001A55B9"/>
    <w:rPr>
      <w:color w:val="605E5C"/>
      <w:shd w:val="clear" w:color="auto" w:fill="E1DFDD"/>
    </w:rPr>
  </w:style>
  <w:style w:type="paragraph" w:styleId="TOC1">
    <w:name w:val="toc 1"/>
    <w:basedOn w:val="Normal"/>
    <w:next w:val="Normal"/>
    <w:autoRedefine/>
    <w:uiPriority w:val="39"/>
    <w:unhideWhenUsed/>
    <w:rsid w:val="000C567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4/23/contents" TargetMode="External" /><Relationship Id="rId13" Type="http://schemas.openxmlformats.org/officeDocument/2006/relationships/hyperlink" Target="https://doi.org/10.1136/bmjgh-2020-003330" TargetMode="External" /><Relationship Id="rId18" Type="http://schemas.openxmlformats.org/officeDocument/2006/relationships/hyperlink" Target="https://www.england.nhs.uk/publication/personalised-care-operating-model/" TargetMode="External" /><Relationship Id="rId26" Type="http://schemas.openxmlformats.org/officeDocument/2006/relationships/fontTable" Target="fontTable.xml" /><Relationship Id="rId3" Type="http://schemas.openxmlformats.org/officeDocument/2006/relationships/styles" Target="styles.xml" /><Relationship Id="rId21" Type="http://schemas.openxmlformats.org/officeDocument/2006/relationships/hyperlink" Target="https://doi.org/10.1136/bmjopen-2022-069597" TargetMode="External" /><Relationship Id="rId7" Type="http://schemas.openxmlformats.org/officeDocument/2006/relationships/endnotes" Target="endnotes.xml" /><Relationship Id="rId12" Type="http://schemas.openxmlformats.org/officeDocument/2006/relationships/hyperlink" Target="https://www.legislation.gov.uk/ukpga/2010/15/contents" TargetMode="External" /><Relationship Id="rId17" Type="http://schemas.openxmlformats.org/officeDocument/2006/relationships/hyperlink" Target="https://doi.org/10.1136/bmjebm-2022-112068" TargetMode="External" /><Relationship Id="rId25" Type="http://schemas.openxmlformats.org/officeDocument/2006/relationships/footer" Target="footer1.xml" /><Relationship Id="rId2" Type="http://schemas.openxmlformats.org/officeDocument/2006/relationships/numbering" Target="numbering.xml" /><Relationship Id="rId16" Type="http://schemas.openxmlformats.org/officeDocument/2006/relationships/hyperlink" Target="https://www.legislation.gov.uk/ukpga/2005/9/contents" TargetMode="External" /><Relationship Id="rId20" Type="http://schemas.openxmlformats.org/officeDocument/2006/relationships/hyperlink" Target="https://www.skillsforcare.org.uk/Adult-Social-Care-Workforce-Data/workforceintelligence/Reports-and-visualisations/National-information/The-State-of-report.aspx"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doi.org/10.1016/j.pec.2018.08.029" TargetMode="External" /><Relationship Id="rId24" Type="http://schemas.openxmlformats.org/officeDocument/2006/relationships/hyperlink" Target="https://doi.org/10.3389/fpubh.2020.00044" TargetMode="External" /><Relationship Id="rId5" Type="http://schemas.openxmlformats.org/officeDocument/2006/relationships/webSettings" Target="webSettings.xml" /><Relationship Id="rId15" Type="http://schemas.openxmlformats.org/officeDocument/2006/relationships/hyperlink" Target="https://doi.org/10.1111/jonm.13554" TargetMode="External" /><Relationship Id="rId23" Type="http://schemas.openxmlformats.org/officeDocument/2006/relationships/hyperlink" Target="https://doi.org/10.3389/fpubh.2023.1286479" TargetMode="External" /><Relationship Id="rId10" Type="http://schemas.openxmlformats.org/officeDocument/2006/relationships/hyperlink" Target="https://www.gov.uk/government/publications/health-and-social-care-integration-joining-up-care-for-people-places-and-populations" TargetMode="External" /><Relationship Id="rId19" Type="http://schemas.openxmlformats.org/officeDocument/2006/relationships/hyperlink" Target="https://www.nice.org.uk/guidance/ng197" TargetMode="External" /><Relationship Id="rId4" Type="http://schemas.openxmlformats.org/officeDocument/2006/relationships/settings" Target="settings.xml" /><Relationship Id="rId9" Type="http://schemas.openxmlformats.org/officeDocument/2006/relationships/hyperlink" Target="https://www.cqc.org.uk/publications/major-report/state-care/2024-2025" TargetMode="External" /><Relationship Id="rId14" Type="http://schemas.openxmlformats.org/officeDocument/2006/relationships/hyperlink" Target="https://www.legislation.gov.uk/ukpga/2022/31/contents" TargetMode="External" /><Relationship Id="rId22" Type="http://schemas.openxmlformats.org/officeDocument/2006/relationships/hyperlink" Target="https://www.kingsfund.org.uk/insight-and-analysis/long-reads/integrated-care-systems-explained" TargetMode="External" /><Relationship Id="rId27"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3385</Words>
  <Characters>19296</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BMHP5016 Component 2 Report</vt:lpstr>
    </vt:vector>
  </TitlesOfParts>
  <Manager/>
  <Company/>
  <LinksUpToDate>false</LinksUpToDate>
  <CharactersWithSpaces>22636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BMHP5016 Component 2 Report</dc:title>
  <dc:subject>Principles of Health and Social Care Practice</dc:subject>
  <dc:creator>HP Laptop</dc:creator>
  <cp:keywords/>
  <dc:description/>
  <cp:lastModifiedBy>SSS Housing</cp:lastModifiedBy>
  <cp:revision>2</cp:revision>
  <dcterms:created xsi:type="dcterms:W3CDTF">2026-07-19T12:21:00Z</dcterms:created>
  <dcterms:modified xsi:type="dcterms:W3CDTF">2026-07-19T12:21:00Z</dcterms:modified>
  <cp:category/>
</cp:coreProperties>
</file>