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92FFA" w14:textId="589F067E" w:rsidR="00DB741F" w:rsidRPr="00313C27" w:rsidRDefault="00DB741F" w:rsidP="00313C27">
      <w:pPr>
        <w:jc w:val="center"/>
        <w:rPr>
          <w:rFonts w:ascii="Arial" w:hAnsi="Arial" w:cs="Arial"/>
          <w:b/>
          <w:bCs/>
        </w:rPr>
      </w:pPr>
      <w:r w:rsidRPr="00313C27">
        <w:rPr>
          <w:rFonts w:ascii="Arial" w:hAnsi="Arial" w:cs="Arial"/>
          <w:b/>
          <w:bCs/>
        </w:rPr>
        <w:t>References</w:t>
      </w:r>
    </w:p>
    <w:p w14:paraId="1CC64757" w14:textId="402D2AF7" w:rsidR="00DB741F" w:rsidRPr="00313C27" w:rsidRDefault="00DB741F" w:rsidP="00313C27">
      <w:pPr>
        <w:jc w:val="center"/>
        <w:rPr>
          <w:rFonts w:ascii="Arial" w:hAnsi="Arial" w:cs="Arial"/>
          <w:b/>
          <w:bCs/>
          <w:i/>
          <w:iCs/>
          <w:u w:val="single"/>
        </w:rPr>
      </w:pPr>
      <w:r w:rsidRPr="00313C27">
        <w:rPr>
          <w:rFonts w:ascii="Arial" w:hAnsi="Arial" w:cs="Arial"/>
          <w:b/>
          <w:bCs/>
          <w:i/>
          <w:iCs/>
          <w:u w:val="single"/>
        </w:rPr>
        <w:t>Lesson - Policin</w:t>
      </w:r>
      <w:r w:rsidR="00313C27" w:rsidRPr="00313C27">
        <w:rPr>
          <w:rFonts w:ascii="Arial" w:hAnsi="Arial" w:cs="Arial"/>
          <w:b/>
          <w:bCs/>
          <w:i/>
          <w:iCs/>
          <w:u w:val="single"/>
        </w:rPr>
        <w:t>g:</w:t>
      </w:r>
      <w:r w:rsidRPr="00313C27">
        <w:rPr>
          <w:rFonts w:ascii="Arial" w:hAnsi="Arial" w:cs="Arial"/>
          <w:b/>
          <w:bCs/>
          <w:i/>
          <w:iCs/>
          <w:u w:val="single"/>
        </w:rPr>
        <w:t xml:space="preserve"> Legitimacy, Fairness &amp; Equality</w:t>
      </w:r>
    </w:p>
    <w:p w14:paraId="38F34750" w14:textId="6803A173" w:rsidR="00313C27" w:rsidRPr="00313C27" w:rsidRDefault="00313C27" w:rsidP="00313C27">
      <w:pPr>
        <w:jc w:val="center"/>
        <w:rPr>
          <w:rFonts w:ascii="Arial" w:hAnsi="Arial" w:cs="Arial"/>
        </w:rPr>
      </w:pPr>
    </w:p>
    <w:p w14:paraId="459AA7B1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Allport, G.W. (1954) </w:t>
      </w:r>
      <w:r w:rsidRPr="00313C27">
        <w:rPr>
          <w:rFonts w:ascii="Arial" w:eastAsiaTheme="minorEastAsia" w:hAnsi="Arial" w:cs="Arial"/>
          <w:i/>
          <w:iCs/>
          <w:color w:val="000000" w:themeColor="text1"/>
          <w:kern w:val="24"/>
          <w:sz w:val="22"/>
          <w:szCs w:val="22"/>
        </w:rPr>
        <w:t>The nature of prejudice</w:t>
      </w: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. Perseus, New York.</w:t>
      </w:r>
    </w:p>
    <w:p w14:paraId="59200B70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Bolger, P. C., &amp; Walters, G. D. (2019). The relationship between police procedural justice, police legitimacy, and people's willingness to cooperate with law enforcement: A meta-analysis. </w:t>
      </w:r>
      <w:r w:rsidRPr="00313C27">
        <w:rPr>
          <w:rFonts w:ascii="Arial" w:eastAsiaTheme="minorEastAsia" w:hAnsi="Arial" w:cs="Arial"/>
          <w:i/>
          <w:iCs/>
          <w:color w:val="333333"/>
          <w:kern w:val="24"/>
          <w:sz w:val="22"/>
          <w:szCs w:val="22"/>
        </w:rPr>
        <w:t>Journal of Criminal Justice, 60,</w:t>
      </w: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 93–99. </w:t>
      </w:r>
      <w:hyperlink r:id="rId4" w:history="1">
        <w:r w:rsidRPr="00313C27">
          <w:rPr>
            <w:rStyle w:val="Hyperlink"/>
            <w:rFonts w:ascii="Arial" w:eastAsiaTheme="minorEastAsia" w:hAnsi="Arial" w:cs="Arial"/>
            <w:color w:val="2C72B7"/>
            <w:kern w:val="24"/>
            <w:sz w:val="22"/>
            <w:szCs w:val="22"/>
          </w:rPr>
          <w:t>https://doi.org/10.1016/j.jcrimjus.2019.01.001</w:t>
        </w:r>
      </w:hyperlink>
    </w:p>
    <w:p w14:paraId="3D63B53C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Bowling, B &amp; Phillips, C (2002) Racism Crime and Justice. London. Pearson. </w:t>
      </w:r>
    </w:p>
    <w:p w14:paraId="352C87B4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 xml:space="preserve">Bowling, B., Reiner, R., </w:t>
      </w:r>
      <w:proofErr w:type="spellStart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Sheptycki</w:t>
      </w:r>
      <w:proofErr w:type="spellEnd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, J. (2019). The politics of the Police (5th ed.). Oxford University Press. </w:t>
      </w:r>
    </w:p>
    <w:p w14:paraId="085ED41E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Bragias,A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.</w:t>
      </w:r>
      <w:proofErr w:type="gram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, Hine, K., &amp; Fleet, R.(2021) ‘Only in our best interest, right?’ Public perceptions of police use of facial recognition technology, Police Practice and Research, 22:6, 1637-1654, DOI: 10.1080/15614263.2021.1942873 </w:t>
      </w:r>
    </w:p>
    <w:p w14:paraId="38FC4091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Cornelius, N (2020) ‘From slavery and colonialism to Black Lives Matter: new mood music or more fundamental change?’ Diversity, </w:t>
      </w:r>
      <w:proofErr w:type="gram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Equality</w:t>
      </w:r>
      <w:proofErr w:type="gram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and Inclusion. 40(1): 8-20. </w:t>
      </w:r>
    </w:p>
    <w:p w14:paraId="4045C0F5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Devine, PG (1989) ‘Stereotypes and prejudice: their automatic and controlled components’.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Journal of Personality and Social Psychology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56(1): 5–18.</w:t>
      </w:r>
    </w:p>
    <w:p w14:paraId="4F085F61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Devine, PG, 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Forscher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PS, Austin, AJ &amp; Cox, WTL (2012) ‘Long-term reduction in implicit race bias: a prejudice habit-breaking intervention’.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Journal of Experimental Social Psychology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48(6): 1267–1278. </w:t>
      </w:r>
    </w:p>
    <w:p w14:paraId="0F3FE70E" w14:textId="53001700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Dovidio, JF, Kawakami, K, Johnson, C, Johnson, B &amp; Howard, A (1997) ‘On the nature of prejudice: automatic and controlled </w:t>
      </w:r>
      <w:proofErr w:type="gram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processes’</w:t>
      </w:r>
      <w:proofErr w:type="gram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Journal of Experimental Social Psychology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33(5): 510–540.</w:t>
      </w:r>
    </w:p>
    <w:p w14:paraId="4C4BF8E6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eastAsia="Calibri" w:hAnsi="Arial" w:cs="Arial"/>
          <w:color w:val="111111"/>
          <w:kern w:val="24"/>
          <w:sz w:val="22"/>
          <w:szCs w:val="22"/>
        </w:rPr>
        <w:t>Fridell</w:t>
      </w:r>
      <w:proofErr w:type="spellEnd"/>
      <w:r w:rsidRPr="00313C27">
        <w:rPr>
          <w:rFonts w:ascii="Arial" w:eastAsia="Calibri" w:hAnsi="Arial" w:cs="Arial"/>
          <w:color w:val="111111"/>
          <w:kern w:val="24"/>
          <w:sz w:val="22"/>
          <w:szCs w:val="22"/>
        </w:rPr>
        <w:t>, L. (2013</w:t>
      </w:r>
      <w:proofErr w:type="gramStart"/>
      <w:r w:rsidRPr="00313C27">
        <w:rPr>
          <w:rFonts w:ascii="Arial" w:eastAsia="Calibri" w:hAnsi="Arial" w:cs="Arial"/>
          <w:color w:val="111111"/>
          <w:kern w:val="24"/>
          <w:sz w:val="22"/>
          <w:szCs w:val="22"/>
        </w:rPr>
        <w:t>).“</w:t>
      </w:r>
      <w:proofErr w:type="gramEnd"/>
      <w:r w:rsidRPr="00313C27">
        <w:rPr>
          <w:rFonts w:ascii="Arial" w:eastAsia="Calibri" w:hAnsi="Arial" w:cs="Arial"/>
          <w:color w:val="111111"/>
          <w:kern w:val="24"/>
          <w:sz w:val="22"/>
          <w:szCs w:val="22"/>
        </w:rPr>
        <w:t xml:space="preserve">This Is Not Your Grandparents’ Prejudice: The Implications of the Modern Science of Bias for Police Training, </w:t>
      </w:r>
      <w:r w:rsidRPr="00313C27">
        <w:rPr>
          <w:rFonts w:ascii="Arial" w:eastAsia="Calibri" w:hAnsi="Arial" w:cs="Arial"/>
          <w:i/>
          <w:iCs/>
          <w:color w:val="111111"/>
          <w:kern w:val="24"/>
          <w:sz w:val="22"/>
          <w:szCs w:val="22"/>
        </w:rPr>
        <w:t>Translational Criminology</w:t>
      </w:r>
      <w:r w:rsidRPr="00313C27">
        <w:rPr>
          <w:rFonts w:ascii="Arial" w:eastAsia="Calibri" w:hAnsi="Arial" w:cs="Arial"/>
          <w:color w:val="111111"/>
          <w:kern w:val="24"/>
          <w:sz w:val="22"/>
          <w:szCs w:val="22"/>
        </w:rPr>
        <w:t>, Fall 2013: 10-11.</w:t>
      </w:r>
    </w:p>
    <w:p w14:paraId="1998728A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Greenwald, AG &amp; Banaji, MR (1995) ‘Implicit social cognition: attitudes, self-esteem, and </w:t>
      </w:r>
      <w:proofErr w:type="gram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stereotypes’</w:t>
      </w:r>
      <w:proofErr w:type="gram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Psychological Review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102(1): 4–27.</w:t>
      </w:r>
    </w:p>
    <w:p w14:paraId="086EE098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Harris, S. </w:t>
      </w:r>
      <w:r w:rsidRPr="00313C27">
        <w:rPr>
          <w:rFonts w:ascii="Arial" w:eastAsiaTheme="minorEastAsia" w:hAnsi="Arial" w:cs="Arial"/>
          <w:i/>
          <w:iCs/>
          <w:color w:val="333333"/>
          <w:kern w:val="24"/>
          <w:sz w:val="22"/>
          <w:szCs w:val="22"/>
        </w:rPr>
        <w:t>et al.</w:t>
      </w: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 (2022) ‘Notes on policing, racism and the Covid-19 pandemic in the UK’, </w:t>
      </w:r>
      <w:r w:rsidRPr="00313C27">
        <w:rPr>
          <w:rFonts w:ascii="Arial" w:eastAsiaTheme="minorEastAsia" w:hAnsi="Arial" w:cs="Arial"/>
          <w:i/>
          <w:iCs/>
          <w:color w:val="333333"/>
          <w:kern w:val="24"/>
          <w:sz w:val="22"/>
          <w:szCs w:val="22"/>
        </w:rPr>
        <w:t>Race &amp; Class</w:t>
      </w: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 xml:space="preserve">, 63(3), pp. 92–102. </w:t>
      </w:r>
      <w:proofErr w:type="spellStart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doi</w:t>
      </w:r>
      <w:proofErr w:type="spellEnd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: </w:t>
      </w:r>
      <w:hyperlink r:id="rId5" w:history="1">
        <w:r w:rsidRPr="00313C27">
          <w:rPr>
            <w:rStyle w:val="Hyperlink"/>
            <w:rFonts w:ascii="Arial" w:eastAsiaTheme="minorEastAsia" w:hAnsi="Arial" w:cs="Arial"/>
            <w:color w:val="006ACC"/>
            <w:kern w:val="24"/>
            <w:sz w:val="22"/>
            <w:szCs w:val="22"/>
          </w:rPr>
          <w:t>10.1177/03063968211063436</w:t>
        </w:r>
      </w:hyperlink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.</w:t>
      </w:r>
    </w:p>
    <w:p w14:paraId="20AACD22" w14:textId="77777777" w:rsidR="00313C27" w:rsidRPr="00313C27" w:rsidRDefault="00313C27" w:rsidP="00313C27">
      <w:pPr>
        <w:pStyle w:val="NormalWeb"/>
        <w:spacing w:before="58" w:beforeAutospacing="0" w:after="0" w:afterAutospacing="0"/>
        <w:jc w:val="both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hAnsi="Arial" w:cs="Arial"/>
          <w:color w:val="000000" w:themeColor="text1"/>
          <w:kern w:val="24"/>
          <w:sz w:val="22"/>
          <w:szCs w:val="22"/>
        </w:rPr>
        <w:t>Holdaway</w:t>
      </w:r>
      <w:proofErr w:type="spellEnd"/>
      <w:r w:rsidRPr="00313C27">
        <w:rPr>
          <w:rFonts w:ascii="Arial" w:hAnsi="Arial" w:cs="Arial"/>
          <w:color w:val="000000" w:themeColor="text1"/>
          <w:kern w:val="24"/>
          <w:sz w:val="22"/>
          <w:szCs w:val="22"/>
        </w:rPr>
        <w:t>, S. (1996) The Racialisation of British Policing. Basingstoke: Macmillan Publishing</w:t>
      </w:r>
    </w:p>
    <w:p w14:paraId="538C67BE" w14:textId="77777777" w:rsidR="00313C27" w:rsidRPr="00313C27" w:rsidRDefault="00313C27" w:rsidP="00313C27">
      <w:pPr>
        <w:pStyle w:val="NormalWeb"/>
        <w:spacing w:before="58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hAnsi="Arial" w:cs="Arial"/>
          <w:color w:val="000000" w:themeColor="text1"/>
          <w:kern w:val="24"/>
          <w:sz w:val="22"/>
          <w:szCs w:val="22"/>
        </w:rPr>
        <w:t>Home Office (2014</w:t>
      </w:r>
      <w:proofErr w:type="gramStart"/>
      <w:r w:rsidRPr="00313C27">
        <w:rPr>
          <w:rFonts w:ascii="Arial" w:hAnsi="Arial" w:cs="Arial"/>
          <w:color w:val="000000" w:themeColor="text1"/>
          <w:kern w:val="24"/>
          <w:sz w:val="22"/>
          <w:szCs w:val="22"/>
        </w:rPr>
        <w:t>)  Best</w:t>
      </w:r>
      <w:proofErr w:type="gramEnd"/>
      <w:r w:rsidRPr="00313C27">
        <w:rPr>
          <w:rFonts w:ascii="Arial" w:hAnsi="Arial" w:cs="Arial"/>
          <w:color w:val="000000" w:themeColor="text1"/>
          <w:kern w:val="24"/>
          <w:sz w:val="22"/>
          <w:szCs w:val="22"/>
        </w:rPr>
        <w:t xml:space="preserve"> Use of Stop Search Scheme. Crown Copyright. </w:t>
      </w:r>
    </w:p>
    <w:p w14:paraId="4C74CE6C" w14:textId="77777777" w:rsidR="00313C27" w:rsidRPr="00313C27" w:rsidRDefault="00313C27" w:rsidP="00313C27">
      <w:pPr>
        <w:pStyle w:val="NormalWeb"/>
        <w:spacing w:before="12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Hogg, M. A &amp; Vaughan, G.M. Social Psychology (8th Edition). Pearson UK.</w:t>
      </w:r>
    </w:p>
    <w:p w14:paraId="381FDC60" w14:textId="77777777" w:rsidR="00313C27" w:rsidRPr="00313C27" w:rsidRDefault="00313C27" w:rsidP="00313C27">
      <w:pPr>
        <w:pStyle w:val="NormalWeb"/>
        <w:spacing w:before="12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Jackson, J., &amp; Bradford, </w:t>
      </w:r>
      <w:proofErr w:type="gram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B.,.</w:t>
      </w:r>
      <w:proofErr w:type="gram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(2010). What is Trust and Confidence in the </w:t>
      </w:r>
      <w:proofErr w:type="gram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Police?.</w:t>
      </w:r>
      <w:proofErr w:type="gram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Policing. 4. 241-248. 10.1093/police/paq020. </w:t>
      </w:r>
    </w:p>
    <w:p w14:paraId="3956323B" w14:textId="77777777" w:rsidR="00313C27" w:rsidRPr="00313C27" w:rsidRDefault="00313C27" w:rsidP="00313C27">
      <w:pPr>
        <w:pStyle w:val="NormalWeb"/>
        <w:spacing w:before="12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1C1D1E"/>
          <w:kern w:val="24"/>
          <w:sz w:val="22"/>
          <w:szCs w:val="22"/>
        </w:rPr>
        <w:t xml:space="preserve">James, L., James, S.M. and Vila, B.J. (2016), The Reverse Racism Effect. </w:t>
      </w:r>
      <w:r w:rsidRPr="00313C27">
        <w:rPr>
          <w:rFonts w:ascii="Arial" w:eastAsia="Calibri" w:hAnsi="Arial" w:cs="Arial"/>
          <w:i/>
          <w:iCs/>
          <w:color w:val="1C1D1E"/>
          <w:kern w:val="24"/>
          <w:sz w:val="22"/>
          <w:szCs w:val="22"/>
        </w:rPr>
        <w:t>Criminology &amp; Public Policy</w:t>
      </w:r>
      <w:r w:rsidRPr="00313C27">
        <w:rPr>
          <w:rFonts w:ascii="Arial" w:eastAsia="Calibri" w:hAnsi="Arial" w:cs="Arial"/>
          <w:color w:val="1C1D1E"/>
          <w:kern w:val="24"/>
          <w:sz w:val="22"/>
          <w:szCs w:val="22"/>
        </w:rPr>
        <w:t>, 15: 457-479. </w:t>
      </w:r>
      <w:hyperlink r:id="rId6" w:history="1">
        <w:r w:rsidRPr="00313C27">
          <w:rPr>
            <w:rStyle w:val="Hyperlink"/>
            <w:rFonts w:ascii="Arial" w:eastAsia="Calibri" w:hAnsi="Arial" w:cs="Arial"/>
            <w:kern w:val="24"/>
            <w:sz w:val="22"/>
            <w:szCs w:val="22"/>
          </w:rPr>
          <w:t>https://doi.org/10.1111/1745-9133.12187</w:t>
        </w:r>
      </w:hyperlink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3AD1D5BB" w14:textId="77777777" w:rsidR="00313C27" w:rsidRPr="00313C27" w:rsidRDefault="00313C27" w:rsidP="00313C27">
      <w:pPr>
        <w:pStyle w:val="NormalWeb"/>
        <w:spacing w:before="12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James, L. (2018). The Stability of Implicit Racial Bias in Police Officers. </w:t>
      </w:r>
      <w:r w:rsidRPr="00313C27">
        <w:rPr>
          <w:rFonts w:ascii="Arial" w:eastAsia="Calibri" w:hAnsi="Arial" w:cs="Arial"/>
          <w:i/>
          <w:iCs/>
          <w:color w:val="333333"/>
          <w:kern w:val="24"/>
          <w:sz w:val="22"/>
          <w:szCs w:val="22"/>
        </w:rPr>
        <w:t>Police Quarterly</w:t>
      </w:r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, </w:t>
      </w:r>
      <w:r w:rsidRPr="00313C27">
        <w:rPr>
          <w:rFonts w:ascii="Arial" w:eastAsia="Calibri" w:hAnsi="Arial" w:cs="Arial"/>
          <w:i/>
          <w:iCs/>
          <w:color w:val="333333"/>
          <w:kern w:val="24"/>
          <w:sz w:val="22"/>
          <w:szCs w:val="22"/>
        </w:rPr>
        <w:t>21</w:t>
      </w:r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(1), 30–52. </w:t>
      </w:r>
      <w:hyperlink r:id="rId7" w:history="1">
        <w:r w:rsidRPr="00313C27">
          <w:rPr>
            <w:rStyle w:val="Hyperlink"/>
            <w:rFonts w:ascii="Arial" w:eastAsia="Calibri" w:hAnsi="Arial" w:cs="Arial"/>
            <w:color w:val="006ACC"/>
            <w:kern w:val="24"/>
            <w:sz w:val="22"/>
            <w:szCs w:val="22"/>
          </w:rPr>
          <w:t>https://doi.org/10.1177/1098611117732974</w:t>
        </w:r>
      </w:hyperlink>
    </w:p>
    <w:p w14:paraId="1F0127AD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 xml:space="preserve">Joseph-Salisbury, R., Connelly, L., &amp; Wangari-Jones, P. (2020). “The UK is not innocent”: Black Lives Matter, policing and abolition in the UK. Equality, </w:t>
      </w:r>
      <w:proofErr w:type="gramStart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Diversity</w:t>
      </w:r>
      <w:proofErr w:type="gramEnd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 xml:space="preserve"> and Inclusion: An International Journal. ahead-of-print. 10.1108/EDI-06-2020-0170.</w:t>
      </w:r>
    </w:p>
    <w:p w14:paraId="3D84C8B5" w14:textId="2F608AFD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Kahneman, D (2011) Thinking, fast and slow. Penguin Books Ltd, London.</w:t>
      </w:r>
    </w:p>
    <w:p w14:paraId="2A14AF9B" w14:textId="77777777" w:rsidR="00313C27" w:rsidRPr="00313C27" w:rsidRDefault="00313C27" w:rsidP="00313C27">
      <w:pPr>
        <w:pStyle w:val="NormalWeb"/>
        <w:spacing w:before="58" w:beforeAutospacing="0" w:after="0" w:afterAutospacing="0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Kandola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 B (2009) The Value of Difference: Eliminating bias in organisations. 1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position w:val="7"/>
          <w:sz w:val="22"/>
          <w:szCs w:val="22"/>
          <w:vertAlign w:val="superscript"/>
        </w:rPr>
        <w:t>st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Edition. 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Pearn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Kandola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publishing.</w:t>
      </w:r>
    </w:p>
    <w:p w14:paraId="76A19DB4" w14:textId="77777777" w:rsidR="00313C27" w:rsidRPr="00313C27" w:rsidRDefault="00313C27" w:rsidP="00313C27">
      <w:pPr>
        <w:pStyle w:val="NormalWeb"/>
        <w:spacing w:before="58" w:beforeAutospacing="0" w:after="0" w:afterAutospacing="0"/>
        <w:jc w:val="both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lastRenderedPageBreak/>
        <w:t>Kleg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M (1993) Hate, Prejudice and Racism. In: Bowling, B, Reiner, R and 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Sheptycki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 J (2019) The Politics of the Police. (5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position w:val="7"/>
          <w:sz w:val="22"/>
          <w:szCs w:val="22"/>
          <w:vertAlign w:val="superscript"/>
        </w:rPr>
        <w:t>th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Edition). Oxford University Press.  </w:t>
      </w:r>
    </w:p>
    <w:p w14:paraId="312BFEC6" w14:textId="77777777" w:rsidR="00313C27" w:rsidRPr="00313C27" w:rsidRDefault="00313C27" w:rsidP="00313C27">
      <w:pPr>
        <w:pStyle w:val="NormalWeb"/>
        <w:spacing w:before="58" w:beforeAutospacing="0" w:after="0" w:afterAutospacing="0"/>
        <w:jc w:val="both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Kyprianides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A, </w:t>
      </w:r>
      <w:proofErr w:type="spell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Yesberg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JA, Milani J, Bradford B, Quinton P and Clark-Darby O (2020</w:t>
      </w:r>
      <w:proofErr w:type="gram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)  Perceptions</w:t>
      </w:r>
      <w:proofErr w:type="gram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of police use of force: The importance of trust. Policing: An International Journal 44(1): 175-190</w:t>
      </w:r>
    </w:p>
    <w:p w14:paraId="7FD9B97C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Martin, R. and Bradford, B. (2021) ‘The anatomy of police legitimacy: Dialogue, power and procedural justice’, </w:t>
      </w:r>
      <w:r w:rsidRPr="00313C27">
        <w:rPr>
          <w:rFonts w:ascii="Arial" w:eastAsiaTheme="minorEastAsia" w:hAnsi="Arial" w:cs="Arial"/>
          <w:i/>
          <w:iCs/>
          <w:color w:val="000000" w:themeColor="text1"/>
          <w:kern w:val="24"/>
          <w:sz w:val="22"/>
          <w:szCs w:val="22"/>
        </w:rPr>
        <w:t>Theoretical Criminology</w:t>
      </w: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, </w:t>
      </w: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 xml:space="preserve">25(4), pp. 559–577. </w:t>
      </w:r>
      <w:proofErr w:type="spellStart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doi</w:t>
      </w:r>
      <w:proofErr w:type="spellEnd"/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: </w:t>
      </w:r>
      <w:hyperlink r:id="rId8" w:history="1">
        <w:r w:rsidRPr="00313C27">
          <w:rPr>
            <w:rStyle w:val="Hyperlink"/>
            <w:rFonts w:ascii="Arial" w:eastAsiaTheme="minorEastAsia" w:hAnsi="Arial" w:cs="Arial"/>
            <w:color w:val="006ACC"/>
            <w:kern w:val="24"/>
            <w:sz w:val="22"/>
            <w:szCs w:val="22"/>
          </w:rPr>
          <w:t>10.1177/1362480619890605</w:t>
        </w:r>
      </w:hyperlink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>.</w:t>
      </w:r>
    </w:p>
    <w:p w14:paraId="5EADB5CB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333333"/>
          <w:kern w:val="24"/>
          <w:sz w:val="22"/>
          <w:szCs w:val="22"/>
        </w:rPr>
        <w:t xml:space="preserve">NPCC (2018) </w:t>
      </w: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  <w:lang w:val="en-US"/>
        </w:rPr>
        <w:t xml:space="preserve">Diversity, Equality &amp; Inclusion Strategy </w:t>
      </w:r>
    </w:p>
    <w:p w14:paraId="49240E61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Olatokun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, M.A. (2021) Does the law think that black lives matter? A reflection upon the role of the public sector equality duty in promoting racial equality before the law, The Theory and Practice of Legislation, 9:1, 83-95, DOI: 10.1080/20508840.2021.1909367 </w:t>
      </w:r>
    </w:p>
    <w:p w14:paraId="07486CB8" w14:textId="25C0D9C1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Paluck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E.L., </w:t>
      </w:r>
      <w:proofErr w:type="spellStart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Porat</w:t>
      </w:r>
      <w:proofErr w:type="spellEnd"/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R., Clark, C.S., Green, D.P. (2021) Prejudice Reduction: Progress and Challenges.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Annual Review of Psychology 2021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72:1, 533-560</w:t>
      </w:r>
    </w:p>
    <w:p w14:paraId="551018F5" w14:textId="77777777" w:rsidR="00313C27" w:rsidRPr="00313C27" w:rsidRDefault="00313C27" w:rsidP="00313C27">
      <w:pPr>
        <w:pStyle w:val="NormalWeb"/>
        <w:spacing w:before="62" w:beforeAutospacing="0" w:after="160" w:afterAutospacing="0" w:line="256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Scrase, S. (2021) Re-Thinking Procedural Justice Theory Through Stop and Search: Shame, Anger, and Police Legitimacy, </w:t>
      </w:r>
      <w:r w:rsidRPr="00313C27">
        <w:rPr>
          <w:rFonts w:ascii="Arial" w:eastAsiaTheme="minorEastAsia" w:hAnsi="Arial" w:cs="Arial"/>
          <w:i/>
          <w:iCs/>
          <w:color w:val="000000" w:themeColor="text1"/>
          <w:kern w:val="24"/>
          <w:sz w:val="22"/>
          <w:szCs w:val="22"/>
        </w:rPr>
        <w:t>Policing: A Journal of Policy and Practice</w:t>
      </w: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, Volume 15, Issue 2, June 2021, Pages 1476–1490, </w:t>
      </w:r>
      <w:hyperlink r:id="rId9" w:history="1">
        <w:r w:rsidRPr="00313C2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2"/>
            <w:szCs w:val="22"/>
          </w:rPr>
          <w:t>https://doi.org/10.1093/police/paaa039</w:t>
        </w:r>
      </w:hyperlink>
    </w:p>
    <w:p w14:paraId="659A4399" w14:textId="77777777" w:rsidR="00313C27" w:rsidRPr="00313C27" w:rsidRDefault="00313C27" w:rsidP="00313C27">
      <w:pPr>
        <w:pStyle w:val="NormalWeb"/>
        <w:spacing w:before="58" w:beforeAutospacing="0" w:after="160" w:afterAutospacing="0" w:line="256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  <w:lang w:val="en-US"/>
        </w:rPr>
        <w:t xml:space="preserve">Sunshine, J., &amp; Tyler, T. R. (2003). The role of procedural justice and legitimacy in shaping public support for policing.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  <w:lang w:val="en-US"/>
        </w:rPr>
        <w:t>Law &amp; Society Review, 37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  <w:lang w:val="en-US"/>
        </w:rPr>
        <w:t>(3), 513-548.</w:t>
      </w:r>
    </w:p>
    <w:p w14:paraId="6A202131" w14:textId="77777777" w:rsidR="00313C27" w:rsidRPr="00313C27" w:rsidRDefault="00313C27" w:rsidP="00313C27">
      <w:pPr>
        <w:pStyle w:val="NormalWeb"/>
        <w:spacing w:before="58" w:beforeAutospacing="0" w:after="160" w:afterAutospacing="0" w:line="256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Tiratelli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, M., Quinton, P., &amp; Bradford, B., (2018</w:t>
      </w:r>
      <w:proofErr w:type="gram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)  Does</w:t>
      </w:r>
      <w:proofErr w:type="gram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Stop and Search Deter Crime? Evidence From Ten Years of London-wide Data, </w:t>
      </w:r>
      <w:r w:rsidRPr="00313C27">
        <w:rPr>
          <w:rFonts w:ascii="Arial" w:eastAsiaTheme="minorEastAsia" w:hAnsi="Arial" w:cs="Arial"/>
          <w:i/>
          <w:iCs/>
          <w:color w:val="000000" w:themeColor="text1"/>
          <w:kern w:val="24"/>
          <w:sz w:val="22"/>
          <w:szCs w:val="22"/>
        </w:rPr>
        <w:t>The British Journal of Criminology</w:t>
      </w: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, Volume 58, Issue 5, September 2018, Pages 1212–1231, </w:t>
      </w:r>
      <w:hyperlink r:id="rId10" w:history="1">
        <w:r w:rsidRPr="00313C2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2"/>
            <w:szCs w:val="22"/>
          </w:rPr>
          <w:t>https://doi.org/10.1093/bjc/azx085</w:t>
        </w:r>
      </w:hyperlink>
    </w:p>
    <w:p w14:paraId="6DA6421E" w14:textId="77777777" w:rsidR="00313C27" w:rsidRPr="00313C27" w:rsidRDefault="00313C27" w:rsidP="00313C27">
      <w:pPr>
        <w:pStyle w:val="NormalWeb"/>
        <w:spacing w:before="58" w:beforeAutospacing="0" w:after="160" w:afterAutospacing="0" w:line="256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Tyler, T. (2006) ‘Psychological </w:t>
      </w:r>
      <w:proofErr w:type="spell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Perspecvtive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on legitimacy and legitimation’. Annual Review of Psychology 57: 375-400</w:t>
      </w:r>
    </w:p>
    <w:p w14:paraId="1E4379A1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Tyler, T. and </w:t>
      </w:r>
      <w:proofErr w:type="spellStart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Huo</w:t>
      </w:r>
      <w:proofErr w:type="spellEnd"/>
      <w:r w:rsidRPr="00313C27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, Y. J. (2002). Trust in the Law: Encouraging Public Cooperation with the Police and Courts. New York, NY: Russell Sage Foundation. </w:t>
      </w:r>
    </w:p>
    <w:p w14:paraId="1D9DCB5D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="Arial" w:hAnsi="Arial" w:cs="Arial"/>
          <w:sz w:val="22"/>
          <w:szCs w:val="22"/>
        </w:rPr>
      </w:pPr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 xml:space="preserve">Waters, I., Hardy, N., Delgado, D., &amp; </w:t>
      </w:r>
      <w:proofErr w:type="spellStart"/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Dahlmann</w:t>
      </w:r>
      <w:proofErr w:type="spellEnd"/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, S. (2007). Ethnic Minorities and the Challenge of Police Recruitment. </w:t>
      </w:r>
      <w:r w:rsidRPr="00313C27">
        <w:rPr>
          <w:rFonts w:ascii="Arial" w:eastAsia="Calibri" w:hAnsi="Arial" w:cs="Arial"/>
          <w:i/>
          <w:iCs/>
          <w:color w:val="333333"/>
          <w:kern w:val="24"/>
          <w:sz w:val="22"/>
          <w:szCs w:val="22"/>
        </w:rPr>
        <w:t>The Police Journal</w:t>
      </w:r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, </w:t>
      </w:r>
      <w:r w:rsidRPr="00313C27">
        <w:rPr>
          <w:rFonts w:ascii="Arial" w:eastAsia="Calibri" w:hAnsi="Arial" w:cs="Arial"/>
          <w:i/>
          <w:iCs/>
          <w:color w:val="333333"/>
          <w:kern w:val="24"/>
          <w:sz w:val="22"/>
          <w:szCs w:val="22"/>
        </w:rPr>
        <w:t>80</w:t>
      </w:r>
      <w:r w:rsidRPr="00313C27">
        <w:rPr>
          <w:rFonts w:ascii="Arial" w:eastAsia="Calibri" w:hAnsi="Arial" w:cs="Arial"/>
          <w:color w:val="333333"/>
          <w:kern w:val="24"/>
          <w:sz w:val="22"/>
          <w:szCs w:val="22"/>
        </w:rPr>
        <w:t>(3), 191–16. </w:t>
      </w:r>
      <w:hyperlink r:id="rId11" w:history="1">
        <w:r w:rsidRPr="00313C27">
          <w:rPr>
            <w:rStyle w:val="Hyperlink"/>
            <w:rFonts w:ascii="Arial" w:eastAsia="Calibri" w:hAnsi="Arial" w:cs="Arial"/>
            <w:color w:val="006ACC"/>
            <w:kern w:val="24"/>
            <w:sz w:val="22"/>
            <w:szCs w:val="22"/>
          </w:rPr>
          <w:t>https://doi.org/10.1350/pojo.2007.80.3.191</w:t>
        </w:r>
      </w:hyperlink>
    </w:p>
    <w:p w14:paraId="498F7943" w14:textId="77777777" w:rsidR="00313C27" w:rsidRDefault="00313C27" w:rsidP="00313C27">
      <w:pPr>
        <w:pStyle w:val="NormalWeb"/>
        <w:spacing w:before="120" w:beforeAutospacing="0" w:after="0" w:afterAutospacing="0"/>
        <w:jc w:val="both"/>
      </w:pP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Wheeler, S.C &amp; Petty, R.E. (2001) The effects of stereotype activation on behaviour: A review of possible mechanisms. </w:t>
      </w:r>
      <w:r w:rsidRPr="00313C27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Psychological Bulletin</w:t>
      </w:r>
      <w:r w:rsidRPr="00313C2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 Vol 127 (6) 797–826.</w:t>
      </w:r>
    </w:p>
    <w:p w14:paraId="726E8123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Theme="minorHAnsi" w:hAnsiTheme="minorHAnsi"/>
        </w:rPr>
      </w:pPr>
    </w:p>
    <w:p w14:paraId="457F3AFC" w14:textId="77777777" w:rsidR="00313C27" w:rsidRPr="00313C27" w:rsidRDefault="00313C27" w:rsidP="00313C27">
      <w:pPr>
        <w:pStyle w:val="NormalWeb"/>
        <w:spacing w:before="120" w:beforeAutospacing="0" w:after="0" w:afterAutospacing="0" w:line="288" w:lineRule="auto"/>
        <w:jc w:val="both"/>
        <w:rPr>
          <w:rFonts w:asciiTheme="minorHAnsi" w:hAnsiTheme="minorHAnsi"/>
        </w:rPr>
      </w:pPr>
    </w:p>
    <w:p w14:paraId="6E55AD5D" w14:textId="77777777" w:rsidR="00313C27" w:rsidRDefault="00313C27" w:rsidP="00313C27"/>
    <w:sectPr w:rsidR="00313C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41F"/>
    <w:rsid w:val="00313C27"/>
    <w:rsid w:val="00DB7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AC4EB"/>
  <w15:chartTrackingRefBased/>
  <w15:docId w15:val="{FA606E50-753E-4F8A-A9BA-03A6CC495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13C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13C2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88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4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362480619890605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177/1098611117732974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11/1745-9133.12187" TargetMode="External"/><Relationship Id="rId11" Type="http://schemas.openxmlformats.org/officeDocument/2006/relationships/hyperlink" Target="https://doi.org/10.1350/pojo.2007.80.3.191" TargetMode="External"/><Relationship Id="rId5" Type="http://schemas.openxmlformats.org/officeDocument/2006/relationships/hyperlink" Target="https://doi.org/10.1177/03063968211063436" TargetMode="External"/><Relationship Id="rId10" Type="http://schemas.openxmlformats.org/officeDocument/2006/relationships/hyperlink" Target="https://doi.org/10.1093/bjc/azx085" TargetMode="External"/><Relationship Id="rId4" Type="http://schemas.openxmlformats.org/officeDocument/2006/relationships/hyperlink" Target="https://psycnet.apa.org/doi/10.1016/j.jcrimjus.2019.01.001" TargetMode="External"/><Relationship Id="rId9" Type="http://schemas.openxmlformats.org/officeDocument/2006/relationships/hyperlink" Target="https://doi.org/10.1093/police/paaa0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876</Words>
  <Characters>4995</Characters>
  <Application>Microsoft Office Word</Application>
  <DocSecurity>0</DocSecurity>
  <Lines>41</Lines>
  <Paragraphs>11</Paragraphs>
  <ScaleCrop>false</ScaleCrop>
  <Company/>
  <LinksUpToDate>false</LinksUpToDate>
  <CharactersWithSpaces>5860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COOKE</dc:creator>
  <cp:keywords/>
  <dc:description/>
  <cp:lastModifiedBy>Ali COOKE</cp:lastModifiedBy>
  <cp:revision>3</cp:revision>
  <dcterms:created xsi:type="dcterms:W3CDTF">2024-07-01T21:39:00Z</dcterms:created>
  <dcterms:modified xsi:type="dcterms:W3CDTF">2024-07-01T21:45:00Z</dcterms:modified>
</cp:coreProperties>
</file>