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0376661"/>
        <w:docPartObj>
          <w:docPartGallery w:val="Cover Pages"/>
          <w:docPartUnique/>
        </w:docPartObj>
      </w:sdtPr>
      <w:sdtEndPr>
        <w:rPr>
          <w:rFonts w:ascii="Arial" w:hAnsi="Arial" w:cs="Arial"/>
        </w:rPr>
      </w:sdtEndPr>
      <w:sdtContent>
        <w:p w14:paraId="53A0D317" w14:textId="343F5346" w:rsidR="003A460D" w:rsidRDefault="003A460D"/>
        <w:tbl>
          <w:tblPr>
            <w:tblpPr w:leftFromText="187" w:rightFromText="187" w:horzAnchor="margin" w:tblpXSpec="center" w:tblpY="2881"/>
            <w:tblW w:w="4790" w:type="pct"/>
            <w:tblBorders>
              <w:left w:val="single" w:sz="12" w:space="0" w:color="156082" w:themeColor="accent1"/>
            </w:tblBorders>
            <w:tblCellMar>
              <w:left w:w="144" w:type="dxa"/>
              <w:right w:w="115" w:type="dxa"/>
            </w:tblCellMar>
            <w:tblLook w:val="04A0" w:firstRow="1" w:lastRow="0" w:firstColumn="1" w:lastColumn="0" w:noHBand="0" w:noVBand="1"/>
          </w:tblPr>
          <w:tblGrid>
            <w:gridCol w:w="8633"/>
          </w:tblGrid>
          <w:tr w:rsidR="003A460D" w14:paraId="2BE4A764" w14:textId="77777777" w:rsidTr="003A460D">
            <w:tc>
              <w:tcPr>
                <w:tcW w:w="8632" w:type="dxa"/>
                <w:tcMar>
                  <w:top w:w="216" w:type="dxa"/>
                  <w:left w:w="115" w:type="dxa"/>
                  <w:bottom w:w="216" w:type="dxa"/>
                  <w:right w:w="115" w:type="dxa"/>
                </w:tcMar>
              </w:tcPr>
              <w:p w14:paraId="5BCEE99A" w14:textId="191C6E9C" w:rsidR="003A460D" w:rsidRDefault="003A460D">
                <w:pPr>
                  <w:pStyle w:val="NoSpacing"/>
                  <w:rPr>
                    <w:color w:val="0F4761" w:themeColor="accent1" w:themeShade="BF"/>
                    <w:sz w:val="24"/>
                  </w:rPr>
                </w:pPr>
              </w:p>
            </w:tc>
          </w:tr>
          <w:tr w:rsidR="003A460D" w14:paraId="7344F19F" w14:textId="77777777" w:rsidTr="003A460D">
            <w:tc>
              <w:tcPr>
                <w:tcW w:w="8632" w:type="dxa"/>
              </w:tcPr>
              <w:sdt>
                <w:sdtPr>
                  <w:rPr>
                    <w:rFonts w:ascii="Arial Black" w:eastAsiaTheme="majorEastAsia" w:hAnsi="Arial Black" w:cs="Times New Roman"/>
                    <w:b/>
                    <w:bCs/>
                    <w:color w:val="156082" w:themeColor="accent1"/>
                    <w:sz w:val="96"/>
                    <w:szCs w:val="96"/>
                  </w:rPr>
                  <w:alias w:val="Title"/>
                  <w:id w:val="13406919"/>
                  <w:placeholder>
                    <w:docPart w:val="EE17011B25A0471EBDFCDF0B6DF9CF44"/>
                  </w:placeholder>
                  <w:dataBinding w:prefixMappings="xmlns:ns0='http://schemas.openxmlformats.org/package/2006/metadata/core-properties' xmlns:ns1='http://purl.org/dc/elements/1.1/'" w:xpath="/ns0:coreProperties[1]/ns1:title[1]" w:storeItemID="{6C3C8BC8-F283-45AE-878A-BAB7291924A1}"/>
                  <w:text/>
                </w:sdtPr>
                <w:sdtContent>
                  <w:p w14:paraId="7DF67720" w14:textId="65DC1AE9" w:rsidR="003A460D" w:rsidRPr="003A460D" w:rsidRDefault="003A460D" w:rsidP="003A460D">
                    <w:pPr>
                      <w:pStyle w:val="NoSpacing"/>
                      <w:spacing w:line="216" w:lineRule="auto"/>
                      <w:jc w:val="center"/>
                      <w:rPr>
                        <w:rFonts w:ascii="Times New Roman" w:eastAsiaTheme="majorEastAsia" w:hAnsi="Times New Roman" w:cs="Times New Roman"/>
                        <w:color w:val="156082" w:themeColor="accent1"/>
                        <w:sz w:val="96"/>
                        <w:szCs w:val="96"/>
                      </w:rPr>
                    </w:pPr>
                    <w:r w:rsidRPr="003A460D">
                      <w:rPr>
                        <w:rFonts w:ascii="Arial Black" w:eastAsiaTheme="majorEastAsia" w:hAnsi="Arial Black" w:cs="Times New Roman"/>
                        <w:b/>
                        <w:bCs/>
                        <w:color w:val="156082" w:themeColor="accent1"/>
                        <w:sz w:val="96"/>
                        <w:szCs w:val="96"/>
                      </w:rPr>
                      <w:t xml:space="preserve">Apple Financial Analysis </w:t>
                    </w:r>
                  </w:p>
                </w:sdtContent>
              </w:sdt>
            </w:tc>
          </w:tr>
          <w:tr w:rsidR="003A460D" w14:paraId="21665E59" w14:textId="77777777" w:rsidTr="003A460D">
            <w:tc>
              <w:tcPr>
                <w:tcW w:w="8632" w:type="dxa"/>
                <w:tcMar>
                  <w:top w:w="216" w:type="dxa"/>
                  <w:left w:w="115" w:type="dxa"/>
                  <w:bottom w:w="216" w:type="dxa"/>
                  <w:right w:w="115" w:type="dxa"/>
                </w:tcMar>
              </w:tcPr>
              <w:p w14:paraId="36F6494A" w14:textId="66E12743" w:rsidR="003A460D" w:rsidRDefault="003A460D">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3A460D" w14:paraId="75F43E79" w14:textId="77777777">
            <w:tc>
              <w:tcPr>
                <w:tcW w:w="7221" w:type="dxa"/>
                <w:tcMar>
                  <w:top w:w="216" w:type="dxa"/>
                  <w:left w:w="115" w:type="dxa"/>
                  <w:bottom w:w="216" w:type="dxa"/>
                  <w:right w:w="115" w:type="dxa"/>
                </w:tcMar>
              </w:tcPr>
              <w:sdt>
                <w:sdtPr>
                  <w:rPr>
                    <w:rFonts w:ascii="Arial Black" w:hAnsi="Arial Black"/>
                    <w:color w:val="156082" w:themeColor="accent1"/>
                    <w:sz w:val="36"/>
                    <w:szCs w:val="36"/>
                  </w:rPr>
                  <w:alias w:val="Author"/>
                  <w:id w:val="13406928"/>
                  <w:placeholder>
                    <w:docPart w:val="1545A0A7B281411396B785EA84A451BA"/>
                  </w:placeholder>
                  <w:dataBinding w:prefixMappings="xmlns:ns0='http://schemas.openxmlformats.org/package/2006/metadata/core-properties' xmlns:ns1='http://purl.org/dc/elements/1.1/'" w:xpath="/ns0:coreProperties[1]/ns1:creator[1]" w:storeItemID="{6C3C8BC8-F283-45AE-878A-BAB7291924A1}"/>
                  <w:text/>
                </w:sdtPr>
                <w:sdtContent>
                  <w:p w14:paraId="6F3E343A" w14:textId="03F00875" w:rsidR="003A460D" w:rsidRPr="003A460D" w:rsidRDefault="003A460D">
                    <w:pPr>
                      <w:pStyle w:val="NoSpacing"/>
                      <w:rPr>
                        <w:rFonts w:ascii="Arial Black" w:hAnsi="Arial Black"/>
                        <w:color w:val="156082" w:themeColor="accent1"/>
                        <w:sz w:val="36"/>
                        <w:szCs w:val="36"/>
                      </w:rPr>
                    </w:pPr>
                    <w:r w:rsidRPr="003A460D">
                      <w:rPr>
                        <w:rFonts w:ascii="Arial Black" w:hAnsi="Arial Black"/>
                        <w:color w:val="156082" w:themeColor="accent1"/>
                        <w:sz w:val="36"/>
                        <w:szCs w:val="36"/>
                      </w:rPr>
                      <w:t>Student name: Daniel Boubatrin</w:t>
                    </w:r>
                  </w:p>
                </w:sdtContent>
              </w:sdt>
              <w:sdt>
                <w:sdtPr>
                  <w:rPr>
                    <w:rFonts w:ascii="Arial Black" w:hAnsi="Arial Black"/>
                    <w:color w:val="156082" w:themeColor="accent1"/>
                    <w:sz w:val="36"/>
                    <w:szCs w:val="36"/>
                  </w:rPr>
                  <w:alias w:val="Date"/>
                  <w:tag w:val="Date"/>
                  <w:id w:val="13406932"/>
                  <w:placeholder>
                    <w:docPart w:val="DBF862F98CA24E53833E916CC7CDFEDC"/>
                  </w:placeholder>
                  <w:dataBinding w:prefixMappings="xmlns:ns0='http://schemas.microsoft.com/office/2006/coverPageProps'" w:xpath="/ns0:CoverPageProperties[1]/ns0:PublishDate[1]" w:storeItemID="{55AF091B-3C7A-41E3-B477-F2FDAA23CFDA}"/>
                  <w:date w:fullDate="2025-04-11T00:00:00Z">
                    <w:dateFormat w:val="M-d-yyyy"/>
                    <w:lid w:val="en-US"/>
                    <w:storeMappedDataAs w:val="dateTime"/>
                    <w:calendar w:val="gregorian"/>
                  </w:date>
                </w:sdtPr>
                <w:sdtContent>
                  <w:p w14:paraId="4066823E" w14:textId="6B9E1EF7" w:rsidR="003A460D" w:rsidRPr="003A460D" w:rsidRDefault="003A460D">
                    <w:pPr>
                      <w:pStyle w:val="NoSpacing"/>
                      <w:rPr>
                        <w:rFonts w:ascii="Arial Black" w:hAnsi="Arial Black"/>
                        <w:color w:val="156082" w:themeColor="accent1"/>
                        <w:sz w:val="36"/>
                        <w:szCs w:val="36"/>
                      </w:rPr>
                    </w:pPr>
                    <w:r w:rsidRPr="003A460D">
                      <w:rPr>
                        <w:rFonts w:ascii="Arial Black" w:hAnsi="Arial Black"/>
                        <w:color w:val="156082" w:themeColor="accent1"/>
                        <w:sz w:val="36"/>
                        <w:szCs w:val="36"/>
                      </w:rPr>
                      <w:t>4-11-2025</w:t>
                    </w:r>
                  </w:p>
                </w:sdtContent>
              </w:sdt>
              <w:p w14:paraId="379F5107" w14:textId="77777777" w:rsidR="003A460D" w:rsidRDefault="003A460D">
                <w:pPr>
                  <w:pStyle w:val="NoSpacing"/>
                  <w:rPr>
                    <w:color w:val="156082" w:themeColor="accent1"/>
                  </w:rPr>
                </w:pPr>
              </w:p>
            </w:tc>
          </w:tr>
        </w:tbl>
        <w:p w14:paraId="75C2F794" w14:textId="6AAE1A99" w:rsidR="003A460D" w:rsidRDefault="003A460D">
          <w:pPr>
            <w:rPr>
              <w:rFonts w:ascii="Arial" w:hAnsi="Arial" w:cs="Arial"/>
            </w:rPr>
          </w:pPr>
          <w:r>
            <w:rPr>
              <w:rFonts w:ascii="Arial" w:hAnsi="Arial" w:cs="Arial"/>
            </w:rPr>
            <w:br w:type="page"/>
          </w:r>
        </w:p>
      </w:sdtContent>
    </w:sdt>
    <w:p w14:paraId="259514E4" w14:textId="7FD05111" w:rsidR="004D42E9" w:rsidRPr="004D42E9" w:rsidRDefault="004D42E9" w:rsidP="004D42E9">
      <w:pPr>
        <w:pStyle w:val="ListParagraph"/>
        <w:numPr>
          <w:ilvl w:val="0"/>
          <w:numId w:val="1"/>
        </w:numPr>
        <w:spacing w:line="480" w:lineRule="auto"/>
        <w:rPr>
          <w:rFonts w:ascii="Arial" w:hAnsi="Arial" w:cs="Arial"/>
        </w:rPr>
      </w:pPr>
      <w:r w:rsidRPr="004D42E9">
        <w:rPr>
          <w:rFonts w:ascii="Arial" w:hAnsi="Arial" w:cs="Arial"/>
        </w:rPr>
        <w:lastRenderedPageBreak/>
        <w:t>Introduction</w:t>
      </w:r>
    </w:p>
    <w:p w14:paraId="32D6C6D2" w14:textId="77777777" w:rsidR="004D42E9" w:rsidRDefault="004D42E9" w:rsidP="004D42E9">
      <w:pPr>
        <w:spacing w:line="480" w:lineRule="auto"/>
        <w:rPr>
          <w:rFonts w:ascii="Arial" w:hAnsi="Arial" w:cs="Arial"/>
        </w:rPr>
      </w:pPr>
      <w:r w:rsidRPr="004D42E9">
        <w:rPr>
          <w:rFonts w:ascii="Arial" w:hAnsi="Arial" w:cs="Arial"/>
        </w:rPr>
        <w:t xml:space="preserve">In this report, we </w:t>
      </w:r>
      <w:r w:rsidRPr="004D42E9">
        <w:rPr>
          <w:rFonts w:ascii="Arial" w:hAnsi="Arial" w:cs="Arial"/>
        </w:rPr>
        <w:t>analyse</w:t>
      </w:r>
      <w:r w:rsidRPr="004D42E9">
        <w:rPr>
          <w:rFonts w:ascii="Arial" w:hAnsi="Arial" w:cs="Arial"/>
        </w:rPr>
        <w:t xml:space="preserve"> two years of ratio analysis based on Apple Inc.'s audited financial statements contained in their 10-K for the years ending September 2022 and September 2023. Ratio analysis provides the decision maker with key indicators that have taken raw financial data and converted them into financial ratios which depict liquidity, profitability, efficiency, and solvency. Ratio analysis </w:t>
      </w:r>
      <w:r w:rsidRPr="004D42E9">
        <w:rPr>
          <w:rFonts w:ascii="Arial" w:hAnsi="Arial" w:cs="Arial"/>
        </w:rPr>
        <w:t>clarifies</w:t>
      </w:r>
      <w:r w:rsidRPr="004D42E9">
        <w:rPr>
          <w:rFonts w:ascii="Arial" w:hAnsi="Arial" w:cs="Arial"/>
        </w:rPr>
        <w:t xml:space="preserve"> trends over time, as well as overall financial health (Kothari, 2001; Ohlson, 1995).</w:t>
      </w:r>
    </w:p>
    <w:p w14:paraId="67CE3B9F" w14:textId="77777777" w:rsidR="004D42E9" w:rsidRDefault="004D42E9" w:rsidP="004D42E9">
      <w:pPr>
        <w:pStyle w:val="ListParagraph"/>
        <w:numPr>
          <w:ilvl w:val="0"/>
          <w:numId w:val="1"/>
        </w:numPr>
        <w:spacing w:line="480" w:lineRule="auto"/>
        <w:rPr>
          <w:rFonts w:ascii="Arial" w:hAnsi="Arial" w:cs="Arial"/>
        </w:rPr>
      </w:pPr>
      <w:r w:rsidRPr="004D42E9">
        <w:rPr>
          <w:rFonts w:ascii="Arial" w:hAnsi="Arial" w:cs="Arial"/>
        </w:rPr>
        <w:t>Data and Assumptions</w:t>
      </w:r>
    </w:p>
    <w:p w14:paraId="45D895E5" w14:textId="77777777" w:rsidR="004D42E9" w:rsidRDefault="004D42E9" w:rsidP="004D42E9">
      <w:pPr>
        <w:spacing w:line="480" w:lineRule="auto"/>
        <w:rPr>
          <w:rFonts w:ascii="Arial" w:hAnsi="Arial" w:cs="Arial"/>
        </w:rPr>
      </w:pPr>
      <w:r w:rsidRPr="004D42E9">
        <w:rPr>
          <w:rFonts w:ascii="Arial" w:hAnsi="Arial" w:cs="Arial"/>
        </w:rPr>
        <w:t xml:space="preserve">The figures used in the next set of calculations were taken from the financial statements provided in the documents. To simplify interpretational </w:t>
      </w:r>
      <w:r w:rsidRPr="004D42E9">
        <w:rPr>
          <w:rFonts w:ascii="Arial" w:hAnsi="Arial" w:cs="Arial"/>
        </w:rPr>
        <w:t>concerns,</w:t>
      </w:r>
      <w:r w:rsidRPr="004D42E9">
        <w:rPr>
          <w:rFonts w:ascii="Arial" w:hAnsi="Arial" w:cs="Arial"/>
        </w:rPr>
        <w:t xml:space="preserve"> we use example values which are illustrative of the values in Apple's 10-K filings.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97"/>
        <w:gridCol w:w="2127"/>
        <w:gridCol w:w="2126"/>
      </w:tblGrid>
      <w:tr w:rsidR="004D42E9" w:rsidRPr="004D42E9" w14:paraId="4DE06C89" w14:textId="77777777" w:rsidTr="004D42E9">
        <w:trPr>
          <w:tblHeader/>
          <w:tblCellSpacing w:w="15" w:type="dxa"/>
        </w:trPr>
        <w:tc>
          <w:tcPr>
            <w:tcW w:w="3352" w:type="dxa"/>
            <w:vAlign w:val="center"/>
            <w:hideMark/>
          </w:tcPr>
          <w:p w14:paraId="2C610D64" w14:textId="77777777" w:rsidR="004D42E9" w:rsidRPr="004D42E9" w:rsidRDefault="004D42E9" w:rsidP="004D42E9">
            <w:pPr>
              <w:spacing w:after="0" w:line="240" w:lineRule="auto"/>
              <w:jc w:val="center"/>
              <w:rPr>
                <w:rFonts w:ascii="Arial" w:eastAsia="Times New Roman" w:hAnsi="Arial" w:cs="Arial"/>
                <w:b/>
                <w:bCs/>
                <w:kern w:val="0"/>
                <w:lang w:eastAsia="en-GB"/>
                <w14:ligatures w14:val="none"/>
              </w:rPr>
            </w:pPr>
            <w:r w:rsidRPr="004D42E9">
              <w:rPr>
                <w:rFonts w:ascii="Arial" w:eastAsia="Times New Roman" w:hAnsi="Arial" w:cs="Arial"/>
                <w:b/>
                <w:bCs/>
                <w:kern w:val="0"/>
                <w:lang w:eastAsia="en-GB"/>
                <w14:ligatures w14:val="none"/>
              </w:rPr>
              <w:t>Metric</w:t>
            </w:r>
          </w:p>
        </w:tc>
        <w:tc>
          <w:tcPr>
            <w:tcW w:w="2097" w:type="dxa"/>
            <w:vAlign w:val="center"/>
            <w:hideMark/>
          </w:tcPr>
          <w:p w14:paraId="224B8188" w14:textId="77777777" w:rsidR="004D42E9" w:rsidRPr="004D42E9" w:rsidRDefault="004D42E9" w:rsidP="004D42E9">
            <w:pPr>
              <w:spacing w:after="0" w:line="240" w:lineRule="auto"/>
              <w:jc w:val="center"/>
              <w:rPr>
                <w:rFonts w:ascii="Arial" w:eastAsia="Times New Roman" w:hAnsi="Arial" w:cs="Arial"/>
                <w:b/>
                <w:bCs/>
                <w:kern w:val="0"/>
                <w:lang w:eastAsia="en-GB"/>
                <w14:ligatures w14:val="none"/>
              </w:rPr>
            </w:pPr>
            <w:r w:rsidRPr="004D42E9">
              <w:rPr>
                <w:rFonts w:ascii="Arial" w:eastAsia="Times New Roman" w:hAnsi="Arial" w:cs="Arial"/>
                <w:b/>
                <w:bCs/>
                <w:kern w:val="0"/>
                <w:lang w:eastAsia="en-GB"/>
                <w14:ligatures w14:val="none"/>
              </w:rPr>
              <w:t>FY 2022</w:t>
            </w:r>
          </w:p>
        </w:tc>
        <w:tc>
          <w:tcPr>
            <w:tcW w:w="2081" w:type="dxa"/>
            <w:vAlign w:val="center"/>
            <w:hideMark/>
          </w:tcPr>
          <w:p w14:paraId="45B50DD5" w14:textId="77777777" w:rsidR="004D42E9" w:rsidRPr="004D42E9" w:rsidRDefault="004D42E9" w:rsidP="004D42E9">
            <w:pPr>
              <w:spacing w:after="0" w:line="240" w:lineRule="auto"/>
              <w:jc w:val="center"/>
              <w:rPr>
                <w:rFonts w:ascii="Arial" w:eastAsia="Times New Roman" w:hAnsi="Arial" w:cs="Arial"/>
                <w:b/>
                <w:bCs/>
                <w:kern w:val="0"/>
                <w:lang w:eastAsia="en-GB"/>
                <w14:ligatures w14:val="none"/>
              </w:rPr>
            </w:pPr>
            <w:r w:rsidRPr="004D42E9">
              <w:rPr>
                <w:rFonts w:ascii="Arial" w:eastAsia="Times New Roman" w:hAnsi="Arial" w:cs="Arial"/>
                <w:b/>
                <w:bCs/>
                <w:kern w:val="0"/>
                <w:lang w:eastAsia="en-GB"/>
                <w14:ligatures w14:val="none"/>
              </w:rPr>
              <w:t>FY 2023</w:t>
            </w:r>
          </w:p>
        </w:tc>
      </w:tr>
      <w:tr w:rsidR="004D42E9" w:rsidRPr="004D42E9" w14:paraId="0E1D5756" w14:textId="77777777" w:rsidTr="004D42E9">
        <w:trPr>
          <w:tblCellSpacing w:w="15" w:type="dxa"/>
        </w:trPr>
        <w:tc>
          <w:tcPr>
            <w:tcW w:w="3352" w:type="dxa"/>
            <w:vAlign w:val="center"/>
            <w:hideMark/>
          </w:tcPr>
          <w:p w14:paraId="35B09A8A"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Revenue</w:t>
            </w:r>
          </w:p>
        </w:tc>
        <w:tc>
          <w:tcPr>
            <w:tcW w:w="2097" w:type="dxa"/>
            <w:vAlign w:val="center"/>
            <w:hideMark/>
          </w:tcPr>
          <w:p w14:paraId="532560A5"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394,328</w:t>
            </w:r>
          </w:p>
        </w:tc>
        <w:tc>
          <w:tcPr>
            <w:tcW w:w="2081" w:type="dxa"/>
            <w:vAlign w:val="center"/>
            <w:hideMark/>
          </w:tcPr>
          <w:p w14:paraId="5BF982D7"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365,817</w:t>
            </w:r>
          </w:p>
        </w:tc>
      </w:tr>
      <w:tr w:rsidR="004D42E9" w:rsidRPr="004D42E9" w14:paraId="068D8D5C" w14:textId="77777777" w:rsidTr="004D42E9">
        <w:trPr>
          <w:tblCellSpacing w:w="15" w:type="dxa"/>
        </w:trPr>
        <w:tc>
          <w:tcPr>
            <w:tcW w:w="3352" w:type="dxa"/>
            <w:vAlign w:val="center"/>
            <w:hideMark/>
          </w:tcPr>
          <w:p w14:paraId="16AC40EE"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Cost of Goods Sold (COGS)</w:t>
            </w:r>
          </w:p>
        </w:tc>
        <w:tc>
          <w:tcPr>
            <w:tcW w:w="2097" w:type="dxa"/>
            <w:vAlign w:val="center"/>
            <w:hideMark/>
          </w:tcPr>
          <w:p w14:paraId="6943B743"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234,000</w:t>
            </w:r>
          </w:p>
        </w:tc>
        <w:tc>
          <w:tcPr>
            <w:tcW w:w="2081" w:type="dxa"/>
            <w:vAlign w:val="center"/>
            <w:hideMark/>
          </w:tcPr>
          <w:p w14:paraId="65DA6625"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220,000</w:t>
            </w:r>
          </w:p>
        </w:tc>
      </w:tr>
      <w:tr w:rsidR="004D42E9" w:rsidRPr="004D42E9" w14:paraId="32D908C3" w14:textId="77777777" w:rsidTr="004D42E9">
        <w:trPr>
          <w:tblCellSpacing w:w="15" w:type="dxa"/>
        </w:trPr>
        <w:tc>
          <w:tcPr>
            <w:tcW w:w="3352" w:type="dxa"/>
            <w:vAlign w:val="center"/>
            <w:hideMark/>
          </w:tcPr>
          <w:p w14:paraId="7F74B5D2"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Gross Profit</w:t>
            </w:r>
          </w:p>
        </w:tc>
        <w:tc>
          <w:tcPr>
            <w:tcW w:w="2097" w:type="dxa"/>
            <w:vAlign w:val="center"/>
            <w:hideMark/>
          </w:tcPr>
          <w:p w14:paraId="3B702A5B"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160,328</w:t>
            </w:r>
          </w:p>
        </w:tc>
        <w:tc>
          <w:tcPr>
            <w:tcW w:w="2081" w:type="dxa"/>
            <w:vAlign w:val="center"/>
            <w:hideMark/>
          </w:tcPr>
          <w:p w14:paraId="5915C2A5"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145,817</w:t>
            </w:r>
          </w:p>
        </w:tc>
      </w:tr>
      <w:tr w:rsidR="004D42E9" w:rsidRPr="004D42E9" w14:paraId="18FBA942" w14:textId="77777777" w:rsidTr="004D42E9">
        <w:trPr>
          <w:tblCellSpacing w:w="15" w:type="dxa"/>
        </w:trPr>
        <w:tc>
          <w:tcPr>
            <w:tcW w:w="3352" w:type="dxa"/>
            <w:vAlign w:val="center"/>
            <w:hideMark/>
          </w:tcPr>
          <w:p w14:paraId="4B31EBFE"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Net Income</w:t>
            </w:r>
          </w:p>
        </w:tc>
        <w:tc>
          <w:tcPr>
            <w:tcW w:w="2097" w:type="dxa"/>
            <w:vAlign w:val="center"/>
            <w:hideMark/>
          </w:tcPr>
          <w:p w14:paraId="5537503B"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99,800</w:t>
            </w:r>
          </w:p>
        </w:tc>
        <w:tc>
          <w:tcPr>
            <w:tcW w:w="2081" w:type="dxa"/>
            <w:vAlign w:val="center"/>
            <w:hideMark/>
          </w:tcPr>
          <w:p w14:paraId="460DC2EC"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88,000</w:t>
            </w:r>
          </w:p>
        </w:tc>
      </w:tr>
      <w:tr w:rsidR="004D42E9" w:rsidRPr="004D42E9" w14:paraId="2E650AC1" w14:textId="77777777" w:rsidTr="004D42E9">
        <w:trPr>
          <w:tblCellSpacing w:w="15" w:type="dxa"/>
        </w:trPr>
        <w:tc>
          <w:tcPr>
            <w:tcW w:w="3352" w:type="dxa"/>
            <w:vAlign w:val="center"/>
            <w:hideMark/>
          </w:tcPr>
          <w:p w14:paraId="0999146F"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Current Assets</w:t>
            </w:r>
          </w:p>
        </w:tc>
        <w:tc>
          <w:tcPr>
            <w:tcW w:w="2097" w:type="dxa"/>
            <w:vAlign w:val="center"/>
            <w:hideMark/>
          </w:tcPr>
          <w:p w14:paraId="50B1966D"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135,000</w:t>
            </w:r>
          </w:p>
        </w:tc>
        <w:tc>
          <w:tcPr>
            <w:tcW w:w="2081" w:type="dxa"/>
            <w:vAlign w:val="center"/>
            <w:hideMark/>
          </w:tcPr>
          <w:p w14:paraId="47E4C4F7"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140,000</w:t>
            </w:r>
          </w:p>
        </w:tc>
      </w:tr>
      <w:tr w:rsidR="004D42E9" w:rsidRPr="004D42E9" w14:paraId="7B02960D" w14:textId="77777777" w:rsidTr="004D42E9">
        <w:trPr>
          <w:tblCellSpacing w:w="15" w:type="dxa"/>
        </w:trPr>
        <w:tc>
          <w:tcPr>
            <w:tcW w:w="3352" w:type="dxa"/>
            <w:vAlign w:val="center"/>
            <w:hideMark/>
          </w:tcPr>
          <w:p w14:paraId="755A4B7A"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Current Liabilities</w:t>
            </w:r>
          </w:p>
        </w:tc>
        <w:tc>
          <w:tcPr>
            <w:tcW w:w="2097" w:type="dxa"/>
            <w:vAlign w:val="center"/>
            <w:hideMark/>
          </w:tcPr>
          <w:p w14:paraId="240E7E75"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107,000</w:t>
            </w:r>
          </w:p>
        </w:tc>
        <w:tc>
          <w:tcPr>
            <w:tcW w:w="2081" w:type="dxa"/>
            <w:vAlign w:val="center"/>
            <w:hideMark/>
          </w:tcPr>
          <w:p w14:paraId="5B162126"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115,000</w:t>
            </w:r>
          </w:p>
        </w:tc>
      </w:tr>
      <w:tr w:rsidR="004D42E9" w:rsidRPr="004D42E9" w14:paraId="023D415A" w14:textId="77777777" w:rsidTr="004D42E9">
        <w:trPr>
          <w:tblCellSpacing w:w="15" w:type="dxa"/>
        </w:trPr>
        <w:tc>
          <w:tcPr>
            <w:tcW w:w="3352" w:type="dxa"/>
            <w:vAlign w:val="center"/>
            <w:hideMark/>
          </w:tcPr>
          <w:p w14:paraId="2D437C77"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Total Assets</w:t>
            </w:r>
          </w:p>
        </w:tc>
        <w:tc>
          <w:tcPr>
            <w:tcW w:w="2097" w:type="dxa"/>
            <w:vAlign w:val="center"/>
            <w:hideMark/>
          </w:tcPr>
          <w:p w14:paraId="110AB1EE"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352,800</w:t>
            </w:r>
          </w:p>
        </w:tc>
        <w:tc>
          <w:tcPr>
            <w:tcW w:w="2081" w:type="dxa"/>
            <w:vAlign w:val="center"/>
            <w:hideMark/>
          </w:tcPr>
          <w:p w14:paraId="6258C2FD"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365,000</w:t>
            </w:r>
          </w:p>
        </w:tc>
      </w:tr>
      <w:tr w:rsidR="004D42E9" w:rsidRPr="004D42E9" w14:paraId="71C6A473" w14:textId="77777777" w:rsidTr="004D42E9">
        <w:trPr>
          <w:tblCellSpacing w:w="15" w:type="dxa"/>
        </w:trPr>
        <w:tc>
          <w:tcPr>
            <w:tcW w:w="3352" w:type="dxa"/>
            <w:vAlign w:val="center"/>
            <w:hideMark/>
          </w:tcPr>
          <w:p w14:paraId="0300BA38"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Total Liabilities</w:t>
            </w:r>
          </w:p>
        </w:tc>
        <w:tc>
          <w:tcPr>
            <w:tcW w:w="2097" w:type="dxa"/>
            <w:vAlign w:val="center"/>
            <w:hideMark/>
          </w:tcPr>
          <w:p w14:paraId="4DF4A361"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287,900</w:t>
            </w:r>
          </w:p>
        </w:tc>
        <w:tc>
          <w:tcPr>
            <w:tcW w:w="2081" w:type="dxa"/>
            <w:vAlign w:val="center"/>
            <w:hideMark/>
          </w:tcPr>
          <w:p w14:paraId="3D2C9115"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295,000</w:t>
            </w:r>
          </w:p>
        </w:tc>
      </w:tr>
      <w:tr w:rsidR="004D42E9" w:rsidRPr="004D42E9" w14:paraId="26FAA9F2" w14:textId="77777777" w:rsidTr="004D42E9">
        <w:trPr>
          <w:tblCellSpacing w:w="15" w:type="dxa"/>
        </w:trPr>
        <w:tc>
          <w:tcPr>
            <w:tcW w:w="3352" w:type="dxa"/>
            <w:vAlign w:val="center"/>
            <w:hideMark/>
          </w:tcPr>
          <w:p w14:paraId="6C9FB71A"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b/>
                <w:bCs/>
                <w:kern w:val="0"/>
                <w:lang w:eastAsia="en-GB"/>
                <w14:ligatures w14:val="none"/>
              </w:rPr>
              <w:t>Shareholders’ Equity</w:t>
            </w:r>
          </w:p>
        </w:tc>
        <w:tc>
          <w:tcPr>
            <w:tcW w:w="2097" w:type="dxa"/>
            <w:vAlign w:val="center"/>
            <w:hideMark/>
          </w:tcPr>
          <w:p w14:paraId="46404CDE"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64,900</w:t>
            </w:r>
          </w:p>
        </w:tc>
        <w:tc>
          <w:tcPr>
            <w:tcW w:w="2081" w:type="dxa"/>
            <w:vAlign w:val="center"/>
            <w:hideMark/>
          </w:tcPr>
          <w:p w14:paraId="2BD1B432" w14:textId="77777777" w:rsidR="004D42E9" w:rsidRPr="004D42E9" w:rsidRDefault="004D42E9" w:rsidP="004D42E9">
            <w:pPr>
              <w:spacing w:after="0" w:line="240" w:lineRule="auto"/>
              <w:rPr>
                <w:rFonts w:ascii="Arial" w:eastAsia="Times New Roman" w:hAnsi="Arial" w:cs="Arial"/>
                <w:kern w:val="0"/>
                <w:lang w:eastAsia="en-GB"/>
                <w14:ligatures w14:val="none"/>
              </w:rPr>
            </w:pPr>
            <w:r w:rsidRPr="004D42E9">
              <w:rPr>
                <w:rFonts w:ascii="Arial" w:eastAsia="Times New Roman" w:hAnsi="Arial" w:cs="Arial"/>
                <w:kern w:val="0"/>
                <w:lang w:eastAsia="en-GB"/>
                <w14:ligatures w14:val="none"/>
              </w:rPr>
              <w:t>70,000</w:t>
            </w:r>
          </w:p>
        </w:tc>
      </w:tr>
    </w:tbl>
    <w:p w14:paraId="3FF1E5F3" w14:textId="77777777" w:rsidR="004D42E9" w:rsidRDefault="004D42E9" w:rsidP="004D42E9">
      <w:pPr>
        <w:spacing w:line="480" w:lineRule="auto"/>
        <w:rPr>
          <w:rFonts w:ascii="Arial" w:hAnsi="Arial" w:cs="Arial"/>
        </w:rPr>
      </w:pPr>
    </w:p>
    <w:p w14:paraId="7F2F6FFA" w14:textId="59E7C9F2" w:rsidR="004D42E9" w:rsidRPr="004D42E9" w:rsidRDefault="004D42E9" w:rsidP="004D42E9">
      <w:pPr>
        <w:pStyle w:val="ListParagraph"/>
        <w:numPr>
          <w:ilvl w:val="0"/>
          <w:numId w:val="1"/>
        </w:numPr>
        <w:spacing w:line="480" w:lineRule="auto"/>
        <w:rPr>
          <w:rFonts w:ascii="Arial" w:hAnsi="Arial" w:cs="Arial"/>
        </w:rPr>
      </w:pPr>
      <w:r w:rsidRPr="004D42E9">
        <w:rPr>
          <w:rFonts w:ascii="Arial" w:hAnsi="Arial" w:cs="Arial"/>
        </w:rPr>
        <w:t xml:space="preserve">Ratio Calculations </w:t>
      </w:r>
    </w:p>
    <w:p w14:paraId="21BB838F" w14:textId="5DBAE988" w:rsidR="004D42E9" w:rsidRPr="00172A44" w:rsidRDefault="004D42E9" w:rsidP="00172A44">
      <w:pPr>
        <w:pStyle w:val="ListParagraph"/>
        <w:numPr>
          <w:ilvl w:val="0"/>
          <w:numId w:val="2"/>
        </w:numPr>
        <w:spacing w:line="480" w:lineRule="auto"/>
        <w:rPr>
          <w:rFonts w:ascii="Arial" w:hAnsi="Arial" w:cs="Arial"/>
        </w:rPr>
      </w:pPr>
      <w:r w:rsidRPr="00172A44">
        <w:rPr>
          <w:rFonts w:ascii="Arial" w:hAnsi="Arial" w:cs="Arial"/>
        </w:rPr>
        <w:t>Liquidity Ratio</w:t>
      </w:r>
    </w:p>
    <w:p w14:paraId="258F1F49" w14:textId="77777777" w:rsidR="004D42E9" w:rsidRDefault="004D42E9" w:rsidP="004D42E9">
      <w:pPr>
        <w:spacing w:line="480" w:lineRule="auto"/>
        <w:rPr>
          <w:rFonts w:ascii="Arial" w:hAnsi="Arial" w:cs="Arial"/>
        </w:rPr>
      </w:pPr>
      <w:r w:rsidRPr="004D42E9">
        <w:rPr>
          <w:rFonts w:ascii="Arial" w:hAnsi="Arial" w:cs="Arial"/>
        </w:rPr>
        <w:t>Current Ratio</w:t>
      </w:r>
      <w:r>
        <w:rPr>
          <w:rFonts w:ascii="Arial" w:hAnsi="Arial" w:cs="Arial"/>
        </w:rPr>
        <w:t xml:space="preserve"> </w:t>
      </w:r>
      <w:r w:rsidRPr="004D42E9">
        <w:rPr>
          <w:rFonts w:ascii="Arial" w:hAnsi="Arial" w:cs="Arial"/>
        </w:rPr>
        <w:t xml:space="preserve">Formula: </w:t>
      </w:r>
    </w:p>
    <w:p w14:paraId="798DC35F" w14:textId="77777777" w:rsidR="004D42E9" w:rsidRDefault="004D42E9" w:rsidP="004D42E9">
      <w:pPr>
        <w:spacing w:line="480" w:lineRule="auto"/>
        <w:rPr>
          <w:rFonts w:ascii="Arial" w:hAnsi="Arial" w:cs="Arial"/>
        </w:rPr>
      </w:pPr>
      <w:r w:rsidRPr="004D42E9">
        <w:rPr>
          <w:rFonts w:ascii="Arial" w:hAnsi="Arial" w:cs="Arial"/>
        </w:rPr>
        <w:t xml:space="preserve">Current Ratio = Current Assets </w:t>
      </w:r>
      <w:r>
        <w:rPr>
          <w:rFonts w:ascii="Arial" w:hAnsi="Arial" w:cs="Arial"/>
        </w:rPr>
        <w:t>/</w:t>
      </w:r>
      <w:r w:rsidRPr="004D42E9">
        <w:rPr>
          <w:rFonts w:ascii="Arial" w:hAnsi="Arial" w:cs="Arial"/>
        </w:rPr>
        <w:t xml:space="preserve"> Current Liabilities </w:t>
      </w:r>
    </w:p>
    <w:p w14:paraId="34E69114" w14:textId="1A04A871" w:rsidR="004D42E9" w:rsidRDefault="004D42E9" w:rsidP="004D42E9">
      <w:pPr>
        <w:spacing w:line="480" w:lineRule="auto"/>
        <w:rPr>
          <w:rFonts w:ascii="Arial" w:hAnsi="Arial" w:cs="Arial"/>
        </w:rPr>
      </w:pPr>
      <w:r w:rsidRPr="004D42E9">
        <w:rPr>
          <w:rFonts w:ascii="Arial" w:hAnsi="Arial" w:cs="Arial"/>
        </w:rPr>
        <w:lastRenderedPageBreak/>
        <w:t xml:space="preserve">FY </w:t>
      </w:r>
      <w:r w:rsidRPr="004D42E9">
        <w:rPr>
          <w:rFonts w:ascii="Arial" w:hAnsi="Arial" w:cs="Arial"/>
        </w:rPr>
        <w:t>2022 =</w:t>
      </w:r>
      <w:r w:rsidRPr="004D42E9">
        <w:rPr>
          <w:rFonts w:ascii="Arial" w:hAnsi="Arial" w:cs="Arial"/>
        </w:rPr>
        <w:t xml:space="preserve"> 135,000 </w:t>
      </w:r>
      <w:r>
        <w:rPr>
          <w:rFonts w:ascii="Arial" w:hAnsi="Arial" w:cs="Arial"/>
        </w:rPr>
        <w:t xml:space="preserve">/ </w:t>
      </w:r>
      <w:r w:rsidRPr="004D42E9">
        <w:rPr>
          <w:rFonts w:ascii="Arial" w:hAnsi="Arial" w:cs="Arial"/>
        </w:rPr>
        <w:t xml:space="preserve">107,000 </w:t>
      </w:r>
      <w:r>
        <w:rPr>
          <w:rFonts w:ascii="Arial" w:hAnsi="Arial" w:cs="Arial"/>
        </w:rPr>
        <w:t>=</w:t>
      </w:r>
      <w:r w:rsidRPr="004D42E9">
        <w:rPr>
          <w:rFonts w:ascii="Arial" w:hAnsi="Arial" w:cs="Arial"/>
        </w:rPr>
        <w:t xml:space="preserve"> 1.26</w:t>
      </w:r>
    </w:p>
    <w:p w14:paraId="68E307F3" w14:textId="7F68964D" w:rsidR="004D42E9" w:rsidRDefault="004D42E9" w:rsidP="004D42E9">
      <w:pPr>
        <w:spacing w:line="480" w:lineRule="auto"/>
        <w:rPr>
          <w:rFonts w:ascii="Arial" w:hAnsi="Arial" w:cs="Arial"/>
        </w:rPr>
      </w:pPr>
      <w:r w:rsidRPr="004D42E9">
        <w:rPr>
          <w:rFonts w:ascii="Arial" w:hAnsi="Arial" w:cs="Arial"/>
        </w:rPr>
        <w:t xml:space="preserve">FY </w:t>
      </w:r>
      <w:r w:rsidRPr="004D42E9">
        <w:rPr>
          <w:rFonts w:ascii="Arial" w:hAnsi="Arial" w:cs="Arial"/>
        </w:rPr>
        <w:t>2023 =</w:t>
      </w:r>
      <w:r w:rsidRPr="004D42E9">
        <w:rPr>
          <w:rFonts w:ascii="Arial" w:hAnsi="Arial" w:cs="Arial"/>
        </w:rPr>
        <w:t xml:space="preserve"> 140,000 </w:t>
      </w:r>
      <w:r>
        <w:rPr>
          <w:rFonts w:ascii="Arial" w:hAnsi="Arial" w:cs="Arial"/>
        </w:rPr>
        <w:t>/</w:t>
      </w:r>
      <w:r w:rsidRPr="004D42E9">
        <w:rPr>
          <w:rFonts w:ascii="Arial" w:hAnsi="Arial" w:cs="Arial"/>
        </w:rPr>
        <w:t xml:space="preserve"> 115,000 </w:t>
      </w:r>
      <w:r>
        <w:rPr>
          <w:rFonts w:ascii="Arial" w:hAnsi="Arial" w:cs="Arial"/>
        </w:rPr>
        <w:t>=</w:t>
      </w:r>
      <w:r w:rsidRPr="004D42E9">
        <w:rPr>
          <w:rFonts w:ascii="Arial" w:hAnsi="Arial" w:cs="Arial"/>
        </w:rPr>
        <w:t xml:space="preserve"> 1.22</w:t>
      </w:r>
    </w:p>
    <w:p w14:paraId="767DFBB8" w14:textId="77777777" w:rsidR="004D42E9" w:rsidRDefault="004D42E9" w:rsidP="004D42E9">
      <w:pPr>
        <w:spacing w:line="480" w:lineRule="auto"/>
        <w:rPr>
          <w:rFonts w:ascii="Arial" w:hAnsi="Arial" w:cs="Arial"/>
        </w:rPr>
      </w:pPr>
      <w:r w:rsidRPr="004D42E9">
        <w:rPr>
          <w:rFonts w:ascii="Arial" w:hAnsi="Arial" w:cs="Arial"/>
        </w:rPr>
        <w:t>The current ratio is above 1, which means it provides evidence that Apple's short -term assets are greater than its short -term liabilities.</w:t>
      </w:r>
      <w:r>
        <w:rPr>
          <w:rFonts w:ascii="Arial" w:hAnsi="Arial" w:cs="Arial"/>
        </w:rPr>
        <w:t xml:space="preserve"> </w:t>
      </w:r>
      <w:r w:rsidRPr="004D42E9">
        <w:rPr>
          <w:rFonts w:ascii="Arial" w:hAnsi="Arial" w:cs="Arial"/>
        </w:rPr>
        <w:t xml:space="preserve">The small decrease from 1.26 to 1.22 indicates a slight decrease in liquidity in FY 2023, but the company appears to have liquidity levels that are satisfactory. </w:t>
      </w:r>
    </w:p>
    <w:p w14:paraId="4C789352" w14:textId="46198945" w:rsidR="004D42E9" w:rsidRPr="00172A44" w:rsidRDefault="004D42E9" w:rsidP="00172A44">
      <w:pPr>
        <w:pStyle w:val="ListParagraph"/>
        <w:numPr>
          <w:ilvl w:val="0"/>
          <w:numId w:val="2"/>
        </w:numPr>
        <w:spacing w:line="480" w:lineRule="auto"/>
        <w:rPr>
          <w:rFonts w:ascii="Arial" w:hAnsi="Arial" w:cs="Arial"/>
        </w:rPr>
      </w:pPr>
      <w:r w:rsidRPr="00172A44">
        <w:rPr>
          <w:rFonts w:ascii="Arial" w:hAnsi="Arial" w:cs="Arial"/>
        </w:rPr>
        <w:t xml:space="preserve">Profitability Ratios </w:t>
      </w:r>
    </w:p>
    <w:p w14:paraId="68AE4B0C" w14:textId="77777777" w:rsidR="004D42E9" w:rsidRDefault="004D42E9" w:rsidP="004D42E9">
      <w:pPr>
        <w:spacing w:line="480" w:lineRule="auto"/>
        <w:rPr>
          <w:rFonts w:ascii="Arial" w:hAnsi="Arial" w:cs="Arial"/>
        </w:rPr>
      </w:pPr>
      <w:r w:rsidRPr="004D42E9">
        <w:rPr>
          <w:rFonts w:ascii="Arial" w:hAnsi="Arial" w:cs="Arial"/>
        </w:rPr>
        <w:t xml:space="preserve">Gross Profit Margin Formula: </w:t>
      </w:r>
    </w:p>
    <w:p w14:paraId="41BC5128" w14:textId="77777777" w:rsidR="004D42E9" w:rsidRDefault="004D42E9" w:rsidP="004D42E9">
      <w:pPr>
        <w:spacing w:line="480" w:lineRule="auto"/>
        <w:rPr>
          <w:rFonts w:ascii="Arial" w:hAnsi="Arial" w:cs="Arial"/>
        </w:rPr>
      </w:pPr>
      <w:r w:rsidRPr="004D42E9">
        <w:rPr>
          <w:rFonts w:ascii="Arial" w:hAnsi="Arial" w:cs="Arial"/>
        </w:rPr>
        <w:t xml:space="preserve">Gross Profit Margin = (Gross Profit </w:t>
      </w:r>
      <w:r>
        <w:rPr>
          <w:rFonts w:ascii="Arial" w:hAnsi="Arial" w:cs="Arial"/>
        </w:rPr>
        <w:t>/</w:t>
      </w:r>
      <w:r w:rsidRPr="004D42E9">
        <w:rPr>
          <w:rFonts w:ascii="Arial" w:hAnsi="Arial" w:cs="Arial"/>
        </w:rPr>
        <w:t xml:space="preserve"> Revenue) x 100 </w:t>
      </w:r>
    </w:p>
    <w:p w14:paraId="0E4F2E75" w14:textId="77777777" w:rsidR="004D42E9" w:rsidRDefault="004D42E9" w:rsidP="004D42E9">
      <w:pPr>
        <w:spacing w:line="480" w:lineRule="auto"/>
        <w:rPr>
          <w:rFonts w:ascii="Arial" w:hAnsi="Arial" w:cs="Arial"/>
        </w:rPr>
      </w:pPr>
      <w:r w:rsidRPr="004D42E9">
        <w:rPr>
          <w:rFonts w:ascii="Arial" w:hAnsi="Arial" w:cs="Arial"/>
        </w:rPr>
        <w:t xml:space="preserve">FY 2022: (160,328 </w:t>
      </w:r>
      <w:r>
        <w:rPr>
          <w:rFonts w:ascii="Arial" w:hAnsi="Arial" w:cs="Arial"/>
        </w:rPr>
        <w:t>/</w:t>
      </w:r>
      <w:r w:rsidRPr="004D42E9">
        <w:rPr>
          <w:rFonts w:ascii="Arial" w:hAnsi="Arial" w:cs="Arial"/>
        </w:rPr>
        <w:t xml:space="preserve"> 394,328) x 100 </w:t>
      </w:r>
      <w:r>
        <w:rPr>
          <w:rFonts w:ascii="Arial" w:hAnsi="Arial" w:cs="Arial"/>
        </w:rPr>
        <w:t>=</w:t>
      </w:r>
      <w:r w:rsidRPr="004D42E9">
        <w:rPr>
          <w:rFonts w:ascii="Arial" w:hAnsi="Arial" w:cs="Arial"/>
        </w:rPr>
        <w:t xml:space="preserve"> 40.65% </w:t>
      </w:r>
    </w:p>
    <w:p w14:paraId="1DCCEC72" w14:textId="77777777" w:rsidR="004D42E9" w:rsidRDefault="004D42E9" w:rsidP="004D42E9">
      <w:pPr>
        <w:spacing w:line="480" w:lineRule="auto"/>
        <w:rPr>
          <w:rFonts w:ascii="Arial" w:hAnsi="Arial" w:cs="Arial"/>
        </w:rPr>
      </w:pPr>
      <w:r w:rsidRPr="004D42E9">
        <w:rPr>
          <w:rFonts w:ascii="Arial" w:hAnsi="Arial" w:cs="Arial"/>
        </w:rPr>
        <w:t xml:space="preserve">FY 2023: (145,817 </w:t>
      </w:r>
      <w:r>
        <w:rPr>
          <w:rFonts w:ascii="Arial" w:hAnsi="Arial" w:cs="Arial"/>
        </w:rPr>
        <w:t>/</w:t>
      </w:r>
      <w:r w:rsidRPr="004D42E9">
        <w:rPr>
          <w:rFonts w:ascii="Arial" w:hAnsi="Arial" w:cs="Arial"/>
        </w:rPr>
        <w:t xml:space="preserve"> 365,817) x 100 </w:t>
      </w:r>
      <w:r>
        <w:rPr>
          <w:rFonts w:ascii="Arial" w:hAnsi="Arial" w:cs="Arial"/>
        </w:rPr>
        <w:t>=</w:t>
      </w:r>
      <w:r w:rsidRPr="004D42E9">
        <w:rPr>
          <w:rFonts w:ascii="Arial" w:hAnsi="Arial" w:cs="Arial"/>
        </w:rPr>
        <w:t xml:space="preserve"> 39.87% </w:t>
      </w:r>
    </w:p>
    <w:p w14:paraId="243C773A" w14:textId="77777777" w:rsidR="004D42E9" w:rsidRDefault="004D42E9" w:rsidP="004D42E9">
      <w:pPr>
        <w:spacing w:line="480" w:lineRule="auto"/>
        <w:rPr>
          <w:rFonts w:ascii="Arial" w:hAnsi="Arial" w:cs="Arial"/>
        </w:rPr>
      </w:pPr>
      <w:r w:rsidRPr="004D42E9">
        <w:rPr>
          <w:rFonts w:ascii="Arial" w:hAnsi="Arial" w:cs="Arial"/>
        </w:rPr>
        <w:t xml:space="preserve">Net Profit Margin Formula: </w:t>
      </w:r>
    </w:p>
    <w:p w14:paraId="166BD4F4" w14:textId="77777777" w:rsidR="004D42E9" w:rsidRDefault="004D42E9" w:rsidP="004D42E9">
      <w:pPr>
        <w:spacing w:line="480" w:lineRule="auto"/>
        <w:rPr>
          <w:rFonts w:ascii="Arial" w:hAnsi="Arial" w:cs="Arial"/>
        </w:rPr>
      </w:pPr>
      <w:r w:rsidRPr="004D42E9">
        <w:rPr>
          <w:rFonts w:ascii="Arial" w:hAnsi="Arial" w:cs="Arial"/>
        </w:rPr>
        <w:t xml:space="preserve">Net Profit Margin = (Net Income </w:t>
      </w:r>
      <w:r>
        <w:rPr>
          <w:rFonts w:ascii="Arial" w:hAnsi="Arial" w:cs="Arial"/>
        </w:rPr>
        <w:t>/</w:t>
      </w:r>
      <w:r w:rsidRPr="004D42E9">
        <w:rPr>
          <w:rFonts w:ascii="Arial" w:hAnsi="Arial" w:cs="Arial"/>
        </w:rPr>
        <w:t xml:space="preserve"> Revenue) x 100 </w:t>
      </w:r>
    </w:p>
    <w:p w14:paraId="1557C968" w14:textId="77777777" w:rsidR="004D42E9" w:rsidRDefault="004D42E9" w:rsidP="004D42E9">
      <w:pPr>
        <w:spacing w:line="480" w:lineRule="auto"/>
        <w:rPr>
          <w:rFonts w:ascii="Arial" w:hAnsi="Arial" w:cs="Arial"/>
        </w:rPr>
      </w:pPr>
      <w:r w:rsidRPr="004D42E9">
        <w:rPr>
          <w:rFonts w:ascii="Arial" w:hAnsi="Arial" w:cs="Arial"/>
        </w:rPr>
        <w:t xml:space="preserve">FY 2022: (99,800 </w:t>
      </w:r>
      <w:r>
        <w:rPr>
          <w:rFonts w:ascii="Arial" w:hAnsi="Arial" w:cs="Arial"/>
        </w:rPr>
        <w:t>/</w:t>
      </w:r>
      <w:r w:rsidRPr="004D42E9">
        <w:rPr>
          <w:rFonts w:ascii="Arial" w:hAnsi="Arial" w:cs="Arial"/>
        </w:rPr>
        <w:t xml:space="preserve"> 394,328) x 100 </w:t>
      </w:r>
      <w:r>
        <w:rPr>
          <w:rFonts w:ascii="Arial" w:hAnsi="Arial" w:cs="Arial"/>
        </w:rPr>
        <w:t xml:space="preserve">= </w:t>
      </w:r>
      <w:r w:rsidRPr="004D42E9">
        <w:rPr>
          <w:rFonts w:ascii="Arial" w:hAnsi="Arial" w:cs="Arial"/>
        </w:rPr>
        <w:t xml:space="preserve">25.30% </w:t>
      </w:r>
    </w:p>
    <w:p w14:paraId="49BBE241" w14:textId="77777777" w:rsidR="004D42E9" w:rsidRDefault="004D42E9" w:rsidP="004D42E9">
      <w:pPr>
        <w:spacing w:line="480" w:lineRule="auto"/>
        <w:rPr>
          <w:rFonts w:ascii="Arial" w:hAnsi="Arial" w:cs="Arial"/>
        </w:rPr>
      </w:pPr>
      <w:r w:rsidRPr="004D42E9">
        <w:rPr>
          <w:rFonts w:ascii="Arial" w:hAnsi="Arial" w:cs="Arial"/>
        </w:rPr>
        <w:t xml:space="preserve">FY 2023: (88,000 </w:t>
      </w:r>
      <w:r>
        <w:rPr>
          <w:rFonts w:ascii="Arial" w:hAnsi="Arial" w:cs="Arial"/>
        </w:rPr>
        <w:t>/</w:t>
      </w:r>
      <w:r w:rsidRPr="004D42E9">
        <w:rPr>
          <w:rFonts w:ascii="Arial" w:hAnsi="Arial" w:cs="Arial"/>
        </w:rPr>
        <w:t xml:space="preserve"> 365,817) x 100 </w:t>
      </w:r>
      <w:r>
        <w:rPr>
          <w:rFonts w:ascii="Arial" w:hAnsi="Arial" w:cs="Arial"/>
        </w:rPr>
        <w:t>=</w:t>
      </w:r>
      <w:r w:rsidRPr="004D42E9">
        <w:rPr>
          <w:rFonts w:ascii="Arial" w:hAnsi="Arial" w:cs="Arial"/>
        </w:rPr>
        <w:t xml:space="preserve"> 24.04% </w:t>
      </w:r>
    </w:p>
    <w:p w14:paraId="07F59FF8" w14:textId="77777777" w:rsidR="004D42E9" w:rsidRDefault="004D42E9" w:rsidP="004D42E9">
      <w:pPr>
        <w:spacing w:line="480" w:lineRule="auto"/>
        <w:rPr>
          <w:rFonts w:ascii="Arial" w:hAnsi="Arial" w:cs="Arial"/>
        </w:rPr>
      </w:pPr>
      <w:r w:rsidRPr="004D42E9">
        <w:rPr>
          <w:rFonts w:ascii="Arial" w:hAnsi="Arial" w:cs="Arial"/>
        </w:rPr>
        <w:t xml:space="preserve">Return on Assets (ROA) Formula: </w:t>
      </w:r>
    </w:p>
    <w:p w14:paraId="07CC8F60" w14:textId="77777777" w:rsidR="004D42E9" w:rsidRDefault="004D42E9" w:rsidP="004D42E9">
      <w:pPr>
        <w:spacing w:line="480" w:lineRule="auto"/>
        <w:rPr>
          <w:rFonts w:ascii="Arial" w:hAnsi="Arial" w:cs="Arial"/>
        </w:rPr>
      </w:pPr>
      <w:r w:rsidRPr="004D42E9">
        <w:rPr>
          <w:rFonts w:ascii="Arial" w:hAnsi="Arial" w:cs="Arial"/>
        </w:rPr>
        <w:t xml:space="preserve">ROA = (Net Income </w:t>
      </w:r>
      <w:r>
        <w:rPr>
          <w:rFonts w:ascii="Arial" w:hAnsi="Arial" w:cs="Arial"/>
        </w:rPr>
        <w:t>/</w:t>
      </w:r>
      <w:r w:rsidRPr="004D42E9">
        <w:rPr>
          <w:rFonts w:ascii="Arial" w:hAnsi="Arial" w:cs="Arial"/>
        </w:rPr>
        <w:t xml:space="preserve"> Total Assets) x 100 </w:t>
      </w:r>
    </w:p>
    <w:p w14:paraId="63155D8C" w14:textId="77777777" w:rsidR="004D42E9" w:rsidRDefault="004D42E9" w:rsidP="004D42E9">
      <w:pPr>
        <w:spacing w:line="480" w:lineRule="auto"/>
        <w:rPr>
          <w:rFonts w:ascii="Arial" w:hAnsi="Arial" w:cs="Arial"/>
        </w:rPr>
      </w:pPr>
      <w:r w:rsidRPr="004D42E9">
        <w:rPr>
          <w:rFonts w:ascii="Arial" w:hAnsi="Arial" w:cs="Arial"/>
        </w:rPr>
        <w:t xml:space="preserve">FY 2022: (99,800 </w:t>
      </w:r>
      <w:r>
        <w:rPr>
          <w:rFonts w:ascii="Arial" w:hAnsi="Arial" w:cs="Arial"/>
        </w:rPr>
        <w:t>/</w:t>
      </w:r>
      <w:r w:rsidRPr="004D42E9">
        <w:rPr>
          <w:rFonts w:ascii="Arial" w:hAnsi="Arial" w:cs="Arial"/>
        </w:rPr>
        <w:t xml:space="preserve"> 352,800) x 100 </w:t>
      </w:r>
      <w:r>
        <w:rPr>
          <w:rFonts w:ascii="Arial" w:hAnsi="Arial" w:cs="Arial"/>
        </w:rPr>
        <w:t>=</w:t>
      </w:r>
      <w:r w:rsidRPr="004D42E9">
        <w:rPr>
          <w:rFonts w:ascii="Arial" w:hAnsi="Arial" w:cs="Arial"/>
        </w:rPr>
        <w:t xml:space="preserve"> 28.3% </w:t>
      </w:r>
    </w:p>
    <w:p w14:paraId="5EBD7F87" w14:textId="77777777" w:rsidR="004D42E9" w:rsidRDefault="004D42E9" w:rsidP="004D42E9">
      <w:pPr>
        <w:spacing w:line="480" w:lineRule="auto"/>
        <w:rPr>
          <w:rFonts w:ascii="Arial" w:hAnsi="Arial" w:cs="Arial"/>
        </w:rPr>
      </w:pPr>
      <w:r w:rsidRPr="004D42E9">
        <w:rPr>
          <w:rFonts w:ascii="Arial" w:hAnsi="Arial" w:cs="Arial"/>
        </w:rPr>
        <w:t xml:space="preserve">FY 2023: (88,000 </w:t>
      </w:r>
      <w:r>
        <w:rPr>
          <w:rFonts w:ascii="Arial" w:hAnsi="Arial" w:cs="Arial"/>
        </w:rPr>
        <w:t>/</w:t>
      </w:r>
      <w:r w:rsidRPr="004D42E9">
        <w:rPr>
          <w:rFonts w:ascii="Arial" w:hAnsi="Arial" w:cs="Arial"/>
        </w:rPr>
        <w:t xml:space="preserve"> 365,000) x 100 </w:t>
      </w:r>
      <w:r>
        <w:rPr>
          <w:rFonts w:ascii="Arial" w:hAnsi="Arial" w:cs="Arial"/>
        </w:rPr>
        <w:t>=</w:t>
      </w:r>
      <w:r w:rsidRPr="004D42E9">
        <w:rPr>
          <w:rFonts w:ascii="Arial" w:hAnsi="Arial" w:cs="Arial"/>
        </w:rPr>
        <w:t xml:space="preserve"> 24.1%</w:t>
      </w:r>
    </w:p>
    <w:p w14:paraId="6DD59B4F" w14:textId="77777777" w:rsidR="004D42E9" w:rsidRDefault="004D42E9" w:rsidP="004D42E9">
      <w:pPr>
        <w:spacing w:line="480" w:lineRule="auto"/>
        <w:rPr>
          <w:rFonts w:ascii="Arial" w:hAnsi="Arial" w:cs="Arial"/>
        </w:rPr>
      </w:pPr>
      <w:r w:rsidRPr="004D42E9">
        <w:rPr>
          <w:rFonts w:ascii="Arial" w:hAnsi="Arial" w:cs="Arial"/>
        </w:rPr>
        <w:t xml:space="preserve">Return on Equity (ROE) Formula: </w:t>
      </w:r>
    </w:p>
    <w:p w14:paraId="3737DCFA" w14:textId="77777777" w:rsidR="00E67025" w:rsidRDefault="004D42E9" w:rsidP="004D42E9">
      <w:pPr>
        <w:spacing w:line="480" w:lineRule="auto"/>
        <w:rPr>
          <w:rFonts w:ascii="Arial" w:hAnsi="Arial" w:cs="Arial"/>
        </w:rPr>
      </w:pPr>
      <w:r w:rsidRPr="004D42E9">
        <w:rPr>
          <w:rFonts w:ascii="Arial" w:hAnsi="Arial" w:cs="Arial"/>
        </w:rPr>
        <w:lastRenderedPageBreak/>
        <w:t xml:space="preserve">ROE = (Net Income </w:t>
      </w:r>
      <w:r w:rsidR="00E67025">
        <w:rPr>
          <w:rFonts w:ascii="Arial" w:hAnsi="Arial" w:cs="Arial"/>
        </w:rPr>
        <w:t>/</w:t>
      </w:r>
      <w:r w:rsidRPr="004D42E9">
        <w:rPr>
          <w:rFonts w:ascii="Arial" w:hAnsi="Arial" w:cs="Arial"/>
        </w:rPr>
        <w:t xml:space="preserve"> Shareholders' Equity) x 100 </w:t>
      </w:r>
    </w:p>
    <w:p w14:paraId="60CC94E3" w14:textId="77777777" w:rsidR="00E67025" w:rsidRDefault="004D42E9" w:rsidP="004D42E9">
      <w:pPr>
        <w:spacing w:line="480" w:lineRule="auto"/>
        <w:rPr>
          <w:rFonts w:ascii="Arial" w:hAnsi="Arial" w:cs="Arial"/>
        </w:rPr>
      </w:pPr>
      <w:r w:rsidRPr="004D42E9">
        <w:rPr>
          <w:rFonts w:ascii="Arial" w:hAnsi="Arial" w:cs="Arial"/>
        </w:rPr>
        <w:t xml:space="preserve">FY 2022: (99,800 </w:t>
      </w:r>
      <w:r w:rsidR="00E67025">
        <w:rPr>
          <w:rFonts w:ascii="Arial" w:hAnsi="Arial" w:cs="Arial"/>
        </w:rPr>
        <w:t>/</w:t>
      </w:r>
      <w:r w:rsidRPr="004D42E9">
        <w:rPr>
          <w:rFonts w:ascii="Arial" w:hAnsi="Arial" w:cs="Arial"/>
        </w:rPr>
        <w:t xml:space="preserve"> 64,900) x 100 </w:t>
      </w:r>
      <w:r w:rsidR="00E67025">
        <w:rPr>
          <w:rFonts w:ascii="Arial" w:hAnsi="Arial" w:cs="Arial"/>
        </w:rPr>
        <w:t>=</w:t>
      </w:r>
      <w:r w:rsidRPr="004D42E9">
        <w:rPr>
          <w:rFonts w:ascii="Arial" w:hAnsi="Arial" w:cs="Arial"/>
        </w:rPr>
        <w:t xml:space="preserve"> 153.8% </w:t>
      </w:r>
    </w:p>
    <w:p w14:paraId="2A9D7083" w14:textId="77777777" w:rsidR="00E67025" w:rsidRDefault="004D42E9" w:rsidP="004D42E9">
      <w:pPr>
        <w:spacing w:line="480" w:lineRule="auto"/>
        <w:rPr>
          <w:rFonts w:ascii="Arial" w:hAnsi="Arial" w:cs="Arial"/>
        </w:rPr>
      </w:pPr>
      <w:r w:rsidRPr="004D42E9">
        <w:rPr>
          <w:rFonts w:ascii="Arial" w:hAnsi="Arial" w:cs="Arial"/>
        </w:rPr>
        <w:t xml:space="preserve">FY 2023: (88,000 </w:t>
      </w:r>
      <w:r w:rsidR="00E67025">
        <w:rPr>
          <w:rFonts w:ascii="Arial" w:hAnsi="Arial" w:cs="Arial"/>
        </w:rPr>
        <w:t>/</w:t>
      </w:r>
      <w:r w:rsidRPr="004D42E9">
        <w:rPr>
          <w:rFonts w:ascii="Arial" w:hAnsi="Arial" w:cs="Arial"/>
        </w:rPr>
        <w:t xml:space="preserve"> 70,000) x 100 </w:t>
      </w:r>
      <w:r w:rsidR="00E67025">
        <w:rPr>
          <w:rFonts w:ascii="Arial" w:hAnsi="Arial" w:cs="Arial"/>
        </w:rPr>
        <w:t>=</w:t>
      </w:r>
      <w:r w:rsidRPr="004D42E9">
        <w:rPr>
          <w:rFonts w:ascii="Arial" w:hAnsi="Arial" w:cs="Arial"/>
        </w:rPr>
        <w:t xml:space="preserve"> 125.7% </w:t>
      </w:r>
    </w:p>
    <w:p w14:paraId="45E7C75B" w14:textId="77777777" w:rsidR="00E67025" w:rsidRDefault="004D42E9" w:rsidP="004D42E9">
      <w:pPr>
        <w:spacing w:line="480" w:lineRule="auto"/>
        <w:rPr>
          <w:rFonts w:ascii="Arial" w:hAnsi="Arial" w:cs="Arial"/>
        </w:rPr>
      </w:pPr>
      <w:r w:rsidRPr="004D42E9">
        <w:rPr>
          <w:rFonts w:ascii="Arial" w:hAnsi="Arial" w:cs="Arial"/>
        </w:rPr>
        <w:t xml:space="preserve">Interpretation: The gross profit margin declined slightly, indicating that either </w:t>
      </w:r>
      <w:r w:rsidR="00E67025" w:rsidRPr="004D42E9">
        <w:rPr>
          <w:rFonts w:ascii="Arial" w:hAnsi="Arial" w:cs="Arial"/>
        </w:rPr>
        <w:t>labour</w:t>
      </w:r>
      <w:r w:rsidRPr="004D42E9">
        <w:rPr>
          <w:rFonts w:ascii="Arial" w:hAnsi="Arial" w:cs="Arial"/>
        </w:rPr>
        <w:t xml:space="preserve"> or materials costs increased, which negatively affected efficiency in FY 2023. Decreases in both net profit margin and ROA indicate reduced effectiveness overall in FY 2023 vs FY 2022. The ROE percentages are still quite high for both fiscal years, demonstrating that Apple is employing its equity capital quite profitably. The percentage drop from approximately 154% to 126% from FY 2022 to FY 2023 is likely due to a combination of lower net income and equity increases attributable to share purchases and other equity-related factors. </w:t>
      </w:r>
    </w:p>
    <w:p w14:paraId="75143370" w14:textId="03BE2B48" w:rsidR="00E67025" w:rsidRPr="00172A44" w:rsidRDefault="004D42E9" w:rsidP="00172A44">
      <w:pPr>
        <w:pStyle w:val="ListParagraph"/>
        <w:numPr>
          <w:ilvl w:val="0"/>
          <w:numId w:val="2"/>
        </w:numPr>
        <w:spacing w:line="480" w:lineRule="auto"/>
        <w:rPr>
          <w:rFonts w:ascii="Arial" w:hAnsi="Arial" w:cs="Arial"/>
        </w:rPr>
      </w:pPr>
      <w:r w:rsidRPr="00172A44">
        <w:rPr>
          <w:rFonts w:ascii="Arial" w:hAnsi="Arial" w:cs="Arial"/>
        </w:rPr>
        <w:t xml:space="preserve">Efficiency Ratio </w:t>
      </w:r>
    </w:p>
    <w:p w14:paraId="456181EC" w14:textId="56EFD058" w:rsidR="00E67025" w:rsidRDefault="004D42E9" w:rsidP="004D42E9">
      <w:pPr>
        <w:spacing w:line="480" w:lineRule="auto"/>
        <w:rPr>
          <w:rFonts w:ascii="Arial" w:hAnsi="Arial" w:cs="Arial"/>
        </w:rPr>
      </w:pPr>
      <w:r w:rsidRPr="004D42E9">
        <w:rPr>
          <w:rFonts w:ascii="Arial" w:hAnsi="Arial" w:cs="Arial"/>
        </w:rPr>
        <w:t xml:space="preserve"> Asset Turnover </w:t>
      </w:r>
      <w:r w:rsidR="00E67025" w:rsidRPr="004D42E9">
        <w:rPr>
          <w:rFonts w:ascii="Arial" w:hAnsi="Arial" w:cs="Arial"/>
        </w:rPr>
        <w:t>Ratio Formula</w:t>
      </w:r>
      <w:r w:rsidRPr="004D42E9">
        <w:rPr>
          <w:rFonts w:ascii="Arial" w:hAnsi="Arial" w:cs="Arial"/>
        </w:rPr>
        <w:t xml:space="preserve">: </w:t>
      </w:r>
    </w:p>
    <w:p w14:paraId="6B8A0408" w14:textId="77777777" w:rsidR="00E67025" w:rsidRDefault="004D42E9" w:rsidP="004D42E9">
      <w:pPr>
        <w:spacing w:line="480" w:lineRule="auto"/>
        <w:rPr>
          <w:rFonts w:ascii="Arial" w:hAnsi="Arial" w:cs="Arial"/>
        </w:rPr>
      </w:pPr>
      <w:r w:rsidRPr="004D42E9">
        <w:rPr>
          <w:rFonts w:ascii="Arial" w:hAnsi="Arial" w:cs="Arial"/>
        </w:rPr>
        <w:t xml:space="preserve">Asset Turnover = Revenue </w:t>
      </w:r>
      <w:r w:rsidR="00E67025">
        <w:rPr>
          <w:rFonts w:ascii="Arial" w:hAnsi="Arial" w:cs="Arial"/>
        </w:rPr>
        <w:t>/</w:t>
      </w:r>
      <w:r w:rsidRPr="004D42E9">
        <w:rPr>
          <w:rFonts w:ascii="Arial" w:hAnsi="Arial" w:cs="Arial"/>
        </w:rPr>
        <w:t xml:space="preserve"> Total Assets  </w:t>
      </w:r>
    </w:p>
    <w:p w14:paraId="1D05F154" w14:textId="77777777" w:rsidR="00E67025" w:rsidRDefault="004D42E9" w:rsidP="004D42E9">
      <w:pPr>
        <w:spacing w:line="480" w:lineRule="auto"/>
        <w:rPr>
          <w:rFonts w:ascii="Arial" w:hAnsi="Arial" w:cs="Arial"/>
        </w:rPr>
      </w:pPr>
      <w:r w:rsidRPr="004D42E9">
        <w:rPr>
          <w:rFonts w:ascii="Arial" w:hAnsi="Arial" w:cs="Arial"/>
        </w:rPr>
        <w:t xml:space="preserve">FY 2022: 394,328 </w:t>
      </w:r>
      <w:r w:rsidR="00E67025">
        <w:rPr>
          <w:rFonts w:ascii="Arial" w:hAnsi="Arial" w:cs="Arial"/>
        </w:rPr>
        <w:t>/</w:t>
      </w:r>
      <w:r w:rsidRPr="004D42E9">
        <w:rPr>
          <w:rFonts w:ascii="Arial" w:hAnsi="Arial" w:cs="Arial"/>
        </w:rPr>
        <w:t xml:space="preserve"> 352,800 </w:t>
      </w:r>
      <w:r w:rsidR="00E67025">
        <w:rPr>
          <w:rFonts w:ascii="Arial" w:hAnsi="Arial" w:cs="Arial"/>
        </w:rPr>
        <w:t>=</w:t>
      </w:r>
      <w:r w:rsidRPr="004D42E9">
        <w:rPr>
          <w:rFonts w:ascii="Arial" w:hAnsi="Arial" w:cs="Arial"/>
        </w:rPr>
        <w:t xml:space="preserve"> 1.12 times  </w:t>
      </w:r>
    </w:p>
    <w:p w14:paraId="0E5FA0A4" w14:textId="77777777" w:rsidR="00E67025" w:rsidRDefault="004D42E9" w:rsidP="004D42E9">
      <w:pPr>
        <w:spacing w:line="480" w:lineRule="auto"/>
        <w:rPr>
          <w:rFonts w:ascii="Arial" w:hAnsi="Arial" w:cs="Arial"/>
        </w:rPr>
      </w:pPr>
      <w:r w:rsidRPr="004D42E9">
        <w:rPr>
          <w:rFonts w:ascii="Arial" w:hAnsi="Arial" w:cs="Arial"/>
        </w:rPr>
        <w:t xml:space="preserve">FY 2023: 365,817 </w:t>
      </w:r>
      <w:r w:rsidR="00E67025">
        <w:rPr>
          <w:rFonts w:ascii="Arial" w:hAnsi="Arial" w:cs="Arial"/>
        </w:rPr>
        <w:t>/</w:t>
      </w:r>
      <w:r w:rsidRPr="004D42E9">
        <w:rPr>
          <w:rFonts w:ascii="Arial" w:hAnsi="Arial" w:cs="Arial"/>
        </w:rPr>
        <w:t xml:space="preserve"> 365,000 </w:t>
      </w:r>
      <w:r w:rsidR="00E67025">
        <w:rPr>
          <w:rFonts w:ascii="Arial" w:hAnsi="Arial" w:cs="Arial"/>
        </w:rPr>
        <w:t>=</w:t>
      </w:r>
      <w:r w:rsidRPr="004D42E9">
        <w:rPr>
          <w:rFonts w:ascii="Arial" w:hAnsi="Arial" w:cs="Arial"/>
        </w:rPr>
        <w:t xml:space="preserve"> 1.00 times  </w:t>
      </w:r>
    </w:p>
    <w:p w14:paraId="40FC8568" w14:textId="77777777" w:rsidR="00E67025" w:rsidRDefault="004D42E9" w:rsidP="004D42E9">
      <w:pPr>
        <w:spacing w:line="480" w:lineRule="auto"/>
        <w:rPr>
          <w:rFonts w:ascii="Arial" w:hAnsi="Arial" w:cs="Arial"/>
        </w:rPr>
      </w:pPr>
      <w:r w:rsidRPr="004D42E9">
        <w:rPr>
          <w:rFonts w:ascii="Arial" w:hAnsi="Arial" w:cs="Arial"/>
        </w:rPr>
        <w:t xml:space="preserve">Interpretation: The decline in the asset turnover ratio meant that each dollar of assets produced a little less revenue in FY 2023 compared to FY 2022. This suggested a dip in operational efficiency. </w:t>
      </w:r>
    </w:p>
    <w:p w14:paraId="107C4A4A" w14:textId="77777777" w:rsidR="00E67025" w:rsidRDefault="00E67025" w:rsidP="004D42E9">
      <w:pPr>
        <w:spacing w:line="480" w:lineRule="auto"/>
        <w:rPr>
          <w:rFonts w:ascii="Arial" w:hAnsi="Arial" w:cs="Arial"/>
        </w:rPr>
      </w:pPr>
    </w:p>
    <w:p w14:paraId="65045651" w14:textId="77777777" w:rsidR="00E67025" w:rsidRDefault="00E67025" w:rsidP="004D42E9">
      <w:pPr>
        <w:spacing w:line="480" w:lineRule="auto"/>
        <w:rPr>
          <w:rFonts w:ascii="Arial" w:hAnsi="Arial" w:cs="Arial"/>
        </w:rPr>
      </w:pPr>
    </w:p>
    <w:p w14:paraId="58985A9D" w14:textId="77777777" w:rsidR="00E67025" w:rsidRDefault="00E67025" w:rsidP="004D42E9">
      <w:pPr>
        <w:spacing w:line="480" w:lineRule="auto"/>
        <w:rPr>
          <w:rFonts w:ascii="Arial" w:hAnsi="Arial" w:cs="Arial"/>
        </w:rPr>
      </w:pPr>
    </w:p>
    <w:p w14:paraId="38A737DC" w14:textId="5E130951" w:rsidR="00E67025" w:rsidRPr="00172A44" w:rsidRDefault="004D42E9" w:rsidP="00172A44">
      <w:pPr>
        <w:pStyle w:val="ListParagraph"/>
        <w:numPr>
          <w:ilvl w:val="0"/>
          <w:numId w:val="2"/>
        </w:numPr>
        <w:spacing w:line="480" w:lineRule="auto"/>
        <w:rPr>
          <w:rFonts w:ascii="Arial" w:hAnsi="Arial" w:cs="Arial"/>
        </w:rPr>
      </w:pPr>
      <w:r w:rsidRPr="00172A44">
        <w:rPr>
          <w:rFonts w:ascii="Arial" w:hAnsi="Arial" w:cs="Arial"/>
        </w:rPr>
        <w:lastRenderedPageBreak/>
        <w:t xml:space="preserve">Leverage Ratio  </w:t>
      </w:r>
    </w:p>
    <w:p w14:paraId="3ED150FD" w14:textId="0E2B49FE" w:rsidR="00E67025" w:rsidRDefault="004D42E9" w:rsidP="004D42E9">
      <w:pPr>
        <w:spacing w:line="480" w:lineRule="auto"/>
        <w:rPr>
          <w:rFonts w:ascii="Arial" w:hAnsi="Arial" w:cs="Arial"/>
        </w:rPr>
      </w:pPr>
      <w:r w:rsidRPr="004D42E9">
        <w:rPr>
          <w:rFonts w:ascii="Arial" w:hAnsi="Arial" w:cs="Arial"/>
        </w:rPr>
        <w:t xml:space="preserve">Debt to Equity </w:t>
      </w:r>
      <w:r w:rsidR="00E67025" w:rsidRPr="004D42E9">
        <w:rPr>
          <w:rFonts w:ascii="Arial" w:hAnsi="Arial" w:cs="Arial"/>
        </w:rPr>
        <w:t>Ratio Formula</w:t>
      </w:r>
      <w:r w:rsidRPr="004D42E9">
        <w:rPr>
          <w:rFonts w:ascii="Arial" w:hAnsi="Arial" w:cs="Arial"/>
        </w:rPr>
        <w:t xml:space="preserve">: </w:t>
      </w:r>
    </w:p>
    <w:p w14:paraId="254CE6EB" w14:textId="77777777" w:rsidR="00E67025" w:rsidRDefault="004D42E9" w:rsidP="004D42E9">
      <w:pPr>
        <w:spacing w:line="480" w:lineRule="auto"/>
        <w:rPr>
          <w:rFonts w:ascii="Arial" w:hAnsi="Arial" w:cs="Arial"/>
        </w:rPr>
      </w:pPr>
      <w:r w:rsidRPr="004D42E9">
        <w:rPr>
          <w:rFonts w:ascii="Arial" w:hAnsi="Arial" w:cs="Arial"/>
        </w:rPr>
        <w:t xml:space="preserve">Debt to Equity = Total Liabilities </w:t>
      </w:r>
      <w:r w:rsidR="00E67025">
        <w:rPr>
          <w:rFonts w:ascii="Arial" w:hAnsi="Arial" w:cs="Arial"/>
        </w:rPr>
        <w:t>/</w:t>
      </w:r>
      <w:r w:rsidRPr="004D42E9">
        <w:rPr>
          <w:rFonts w:ascii="Arial" w:hAnsi="Arial" w:cs="Arial"/>
        </w:rPr>
        <w:t xml:space="preserve"> Shareholders’ Equity </w:t>
      </w:r>
    </w:p>
    <w:p w14:paraId="7F4750FE" w14:textId="77777777" w:rsidR="00E67025" w:rsidRDefault="004D42E9" w:rsidP="004D42E9">
      <w:pPr>
        <w:spacing w:line="480" w:lineRule="auto"/>
        <w:rPr>
          <w:rFonts w:ascii="Arial" w:hAnsi="Arial" w:cs="Arial"/>
        </w:rPr>
      </w:pPr>
      <w:r w:rsidRPr="004D42E9">
        <w:rPr>
          <w:rFonts w:ascii="Arial" w:hAnsi="Arial" w:cs="Arial"/>
        </w:rPr>
        <w:t xml:space="preserve">FY 2022: 287,900 </w:t>
      </w:r>
      <w:r w:rsidR="00E67025">
        <w:rPr>
          <w:rFonts w:ascii="Arial" w:hAnsi="Arial" w:cs="Arial"/>
        </w:rPr>
        <w:t>/</w:t>
      </w:r>
      <w:r w:rsidRPr="004D42E9">
        <w:rPr>
          <w:rFonts w:ascii="Arial" w:hAnsi="Arial" w:cs="Arial"/>
        </w:rPr>
        <w:t xml:space="preserve"> 64,900 </w:t>
      </w:r>
      <w:r w:rsidR="00E67025">
        <w:rPr>
          <w:rFonts w:ascii="Arial" w:hAnsi="Arial" w:cs="Arial"/>
        </w:rPr>
        <w:t>=</w:t>
      </w:r>
      <w:r w:rsidRPr="004D42E9">
        <w:rPr>
          <w:rFonts w:ascii="Arial" w:hAnsi="Arial" w:cs="Arial"/>
        </w:rPr>
        <w:t xml:space="preserve"> 4.43  </w:t>
      </w:r>
    </w:p>
    <w:p w14:paraId="66341FED" w14:textId="77777777" w:rsidR="00E67025" w:rsidRDefault="004D42E9" w:rsidP="004D42E9">
      <w:pPr>
        <w:spacing w:line="480" w:lineRule="auto"/>
        <w:rPr>
          <w:rFonts w:ascii="Arial" w:hAnsi="Arial" w:cs="Arial"/>
        </w:rPr>
      </w:pPr>
      <w:r w:rsidRPr="004D42E9">
        <w:rPr>
          <w:rFonts w:ascii="Arial" w:hAnsi="Arial" w:cs="Arial"/>
        </w:rPr>
        <w:t xml:space="preserve">FY 2023: 295,000 </w:t>
      </w:r>
      <w:r w:rsidR="00E67025">
        <w:rPr>
          <w:rFonts w:ascii="Arial" w:hAnsi="Arial" w:cs="Arial"/>
        </w:rPr>
        <w:t>/</w:t>
      </w:r>
      <w:r w:rsidRPr="004D42E9">
        <w:rPr>
          <w:rFonts w:ascii="Arial" w:hAnsi="Arial" w:cs="Arial"/>
        </w:rPr>
        <w:t xml:space="preserve"> 70,000 </w:t>
      </w:r>
      <w:r w:rsidR="00E67025">
        <w:rPr>
          <w:rFonts w:ascii="Arial" w:hAnsi="Arial" w:cs="Arial"/>
        </w:rPr>
        <w:t>=</w:t>
      </w:r>
      <w:r w:rsidRPr="004D42E9">
        <w:rPr>
          <w:rFonts w:ascii="Arial" w:hAnsi="Arial" w:cs="Arial"/>
        </w:rPr>
        <w:t xml:space="preserve"> 4.21  </w:t>
      </w:r>
    </w:p>
    <w:p w14:paraId="057F5BEE" w14:textId="672DF44E" w:rsidR="00E67025" w:rsidRDefault="004D42E9" w:rsidP="004D42E9">
      <w:pPr>
        <w:spacing w:line="480" w:lineRule="auto"/>
        <w:rPr>
          <w:rFonts w:ascii="Arial" w:hAnsi="Arial" w:cs="Arial"/>
        </w:rPr>
      </w:pPr>
      <w:r w:rsidRPr="004D42E9">
        <w:rPr>
          <w:rFonts w:ascii="Arial" w:hAnsi="Arial" w:cs="Arial"/>
        </w:rPr>
        <w:t xml:space="preserve">Interpretation: A slight dip in the </w:t>
      </w:r>
      <w:r w:rsidR="00E67025" w:rsidRPr="004D42E9">
        <w:rPr>
          <w:rFonts w:ascii="Arial" w:hAnsi="Arial" w:cs="Arial"/>
        </w:rPr>
        <w:t>debt-to-equity</w:t>
      </w:r>
      <w:r w:rsidRPr="004D42E9">
        <w:rPr>
          <w:rFonts w:ascii="Arial" w:hAnsi="Arial" w:cs="Arial"/>
        </w:rPr>
        <w:t xml:space="preserve"> ratio means that Apple has slightly decreased reliance on debt financing compared to its equity base, which is a good signal from the perspective of financial risk management.  </w:t>
      </w:r>
    </w:p>
    <w:p w14:paraId="6CFAEDB3" w14:textId="37295E2D" w:rsidR="00E67025" w:rsidRPr="00172A44" w:rsidRDefault="004D42E9" w:rsidP="00172A44">
      <w:pPr>
        <w:pStyle w:val="ListParagraph"/>
        <w:numPr>
          <w:ilvl w:val="0"/>
          <w:numId w:val="1"/>
        </w:numPr>
        <w:spacing w:line="480" w:lineRule="auto"/>
        <w:rPr>
          <w:rFonts w:ascii="Arial" w:hAnsi="Arial" w:cs="Arial"/>
        </w:rPr>
      </w:pPr>
      <w:r w:rsidRPr="00172A44">
        <w:rPr>
          <w:rFonts w:ascii="Arial" w:hAnsi="Arial" w:cs="Arial"/>
        </w:rPr>
        <w:t xml:space="preserve">Comparative Analysis  </w:t>
      </w:r>
    </w:p>
    <w:p w14:paraId="0674E9D7" w14:textId="21968432" w:rsidR="00E67025" w:rsidRPr="00172A44" w:rsidRDefault="004D42E9" w:rsidP="00172A44">
      <w:pPr>
        <w:pStyle w:val="ListParagraph"/>
        <w:numPr>
          <w:ilvl w:val="0"/>
          <w:numId w:val="3"/>
        </w:numPr>
        <w:spacing w:line="480" w:lineRule="auto"/>
        <w:rPr>
          <w:rFonts w:ascii="Arial" w:hAnsi="Arial" w:cs="Arial"/>
        </w:rPr>
      </w:pPr>
      <w:r w:rsidRPr="00172A44">
        <w:rPr>
          <w:rFonts w:ascii="Arial" w:hAnsi="Arial" w:cs="Arial"/>
        </w:rPr>
        <w:t xml:space="preserve">Liquidity </w:t>
      </w:r>
    </w:p>
    <w:p w14:paraId="77A7D0CD" w14:textId="77777777" w:rsidR="00E67025" w:rsidRDefault="004D42E9" w:rsidP="004D42E9">
      <w:pPr>
        <w:spacing w:line="480" w:lineRule="auto"/>
        <w:rPr>
          <w:rFonts w:ascii="Arial" w:hAnsi="Arial" w:cs="Arial"/>
        </w:rPr>
      </w:pPr>
      <w:r w:rsidRPr="004D42E9">
        <w:rPr>
          <w:rFonts w:ascii="Arial" w:hAnsi="Arial" w:cs="Arial"/>
        </w:rPr>
        <w:t xml:space="preserve">Apple's liquidity ratios from FY 2023, as measured by the current ratio have slightly </w:t>
      </w:r>
      <w:r w:rsidR="00E67025">
        <w:rPr>
          <w:rFonts w:ascii="Arial" w:hAnsi="Arial" w:cs="Arial"/>
        </w:rPr>
        <w:t>go</w:t>
      </w:r>
      <w:r w:rsidRPr="004D42E9">
        <w:rPr>
          <w:rFonts w:ascii="Arial" w:hAnsi="Arial" w:cs="Arial"/>
        </w:rPr>
        <w:t xml:space="preserve"> </w:t>
      </w:r>
      <w:r w:rsidR="00E67025" w:rsidRPr="004D42E9">
        <w:rPr>
          <w:rFonts w:ascii="Arial" w:hAnsi="Arial" w:cs="Arial"/>
        </w:rPr>
        <w:t>down, FY</w:t>
      </w:r>
      <w:r w:rsidRPr="004D42E9">
        <w:rPr>
          <w:rFonts w:ascii="Arial" w:hAnsi="Arial" w:cs="Arial"/>
        </w:rPr>
        <w:t xml:space="preserve"> 2023 (1.22) vs. FY 2022 (1.26). This indicates an overall drop in the cushion available for short-term obligations although still measured above 1 gives Apple sufficient liquidity to cover immediate liabilities. This result indicates a slight measure </w:t>
      </w:r>
      <w:r w:rsidR="00E67025">
        <w:rPr>
          <w:rFonts w:ascii="Arial" w:hAnsi="Arial" w:cs="Arial"/>
        </w:rPr>
        <w:t>for</w:t>
      </w:r>
      <w:r w:rsidRPr="004D42E9">
        <w:rPr>
          <w:rFonts w:ascii="Arial" w:hAnsi="Arial" w:cs="Arial"/>
        </w:rPr>
        <w:t xml:space="preserve"> short-term obligation coverage without significance (He et al., 2022). </w:t>
      </w:r>
    </w:p>
    <w:p w14:paraId="15AF8839" w14:textId="11390A40" w:rsidR="00E67025" w:rsidRPr="00172A44" w:rsidRDefault="004D42E9" w:rsidP="00172A44">
      <w:pPr>
        <w:pStyle w:val="ListParagraph"/>
        <w:numPr>
          <w:ilvl w:val="0"/>
          <w:numId w:val="3"/>
        </w:numPr>
        <w:spacing w:line="480" w:lineRule="auto"/>
        <w:rPr>
          <w:rFonts w:ascii="Arial" w:hAnsi="Arial" w:cs="Arial"/>
        </w:rPr>
      </w:pPr>
      <w:r w:rsidRPr="00172A44">
        <w:rPr>
          <w:rFonts w:ascii="Arial" w:hAnsi="Arial" w:cs="Arial"/>
        </w:rPr>
        <w:t xml:space="preserve">Profitability  </w:t>
      </w:r>
    </w:p>
    <w:p w14:paraId="7E26AC8A" w14:textId="77777777" w:rsidR="00E67025" w:rsidRDefault="004D42E9" w:rsidP="004D42E9">
      <w:pPr>
        <w:spacing w:line="480" w:lineRule="auto"/>
        <w:rPr>
          <w:rFonts w:ascii="Arial" w:hAnsi="Arial" w:cs="Arial"/>
        </w:rPr>
      </w:pPr>
      <w:r w:rsidRPr="004D42E9">
        <w:rPr>
          <w:rFonts w:ascii="Arial" w:hAnsi="Arial" w:cs="Arial"/>
        </w:rPr>
        <w:t xml:space="preserve">Profitability ratios indicate some pressures on margins during FY 2023 and the gross profit margin decreased from 40.65% to 39.87% which may indicate either rising production costs and/or pressure from competition.  </w:t>
      </w:r>
    </w:p>
    <w:p w14:paraId="13584E91" w14:textId="2996FE07" w:rsidR="00E67025" w:rsidRPr="00172A44" w:rsidRDefault="004D42E9" w:rsidP="00172A44">
      <w:pPr>
        <w:pStyle w:val="ListParagraph"/>
        <w:numPr>
          <w:ilvl w:val="0"/>
          <w:numId w:val="4"/>
        </w:numPr>
        <w:spacing w:line="480" w:lineRule="auto"/>
        <w:rPr>
          <w:rFonts w:ascii="Arial" w:hAnsi="Arial" w:cs="Arial"/>
        </w:rPr>
      </w:pPr>
      <w:r w:rsidRPr="00172A44">
        <w:rPr>
          <w:rFonts w:ascii="Arial" w:hAnsi="Arial" w:cs="Arial"/>
        </w:rPr>
        <w:t xml:space="preserve">Net Profit Margin: Decreasing 25.30% to 24.04% reflects a similar </w:t>
      </w:r>
      <w:r w:rsidR="00E67025" w:rsidRPr="00172A44">
        <w:rPr>
          <w:rFonts w:ascii="Arial" w:hAnsi="Arial" w:cs="Arial"/>
        </w:rPr>
        <w:t xml:space="preserve">trend, </w:t>
      </w:r>
      <w:r w:rsidRPr="00172A44">
        <w:rPr>
          <w:rFonts w:ascii="Arial" w:hAnsi="Arial" w:cs="Arial"/>
        </w:rPr>
        <w:t xml:space="preserve">Apple showed overall high profitability, but the percentage drop indicates </w:t>
      </w:r>
      <w:r w:rsidRPr="00172A44">
        <w:rPr>
          <w:rFonts w:ascii="Arial" w:hAnsi="Arial" w:cs="Arial"/>
        </w:rPr>
        <w:lastRenderedPageBreak/>
        <w:t xml:space="preserve">either overall expenses, or pressures related to external factors have increased. </w:t>
      </w:r>
    </w:p>
    <w:p w14:paraId="6663AFED" w14:textId="1960F3DD" w:rsidR="00E67025" w:rsidRPr="00172A44" w:rsidRDefault="004D42E9" w:rsidP="00172A44">
      <w:pPr>
        <w:pStyle w:val="ListParagraph"/>
        <w:numPr>
          <w:ilvl w:val="0"/>
          <w:numId w:val="4"/>
        </w:numPr>
        <w:spacing w:line="480" w:lineRule="auto"/>
        <w:rPr>
          <w:rFonts w:ascii="Arial" w:hAnsi="Arial" w:cs="Arial"/>
        </w:rPr>
      </w:pPr>
      <w:r w:rsidRPr="00172A44">
        <w:rPr>
          <w:rFonts w:ascii="Arial" w:hAnsi="Arial" w:cs="Arial"/>
        </w:rPr>
        <w:t xml:space="preserve">ROA &amp; ROE: Both successful return ratios decline substantially (ROA from 28.3% decreased to 24.1% and ROE from 153.8% decreased to 125.7%), indicating less efficiency in producing profits derived to assets and shareholders' funds, respectively. </w:t>
      </w:r>
      <w:r w:rsidR="00E67025" w:rsidRPr="00172A44">
        <w:rPr>
          <w:rFonts w:ascii="Arial" w:hAnsi="Arial" w:cs="Arial"/>
        </w:rPr>
        <w:t>This</w:t>
      </w:r>
      <w:r w:rsidRPr="00172A44">
        <w:rPr>
          <w:rFonts w:ascii="Arial" w:hAnsi="Arial" w:cs="Arial"/>
        </w:rPr>
        <w:t xml:space="preserve"> ROE value is driven by share repurchase and overall high levels of profit. Less profit achieved overall, or net income, is in </w:t>
      </w:r>
      <w:r w:rsidR="00E67025" w:rsidRPr="00172A44">
        <w:rPr>
          <w:rFonts w:ascii="Arial" w:hAnsi="Arial" w:cs="Arial"/>
        </w:rPr>
        <w:t>signalled</w:t>
      </w:r>
      <w:r w:rsidRPr="00172A44">
        <w:rPr>
          <w:rFonts w:ascii="Arial" w:hAnsi="Arial" w:cs="Arial"/>
        </w:rPr>
        <w:t xml:space="preserve"> by the reduction of ROA value. (Ohlson, </w:t>
      </w:r>
      <w:r w:rsidR="00E67025" w:rsidRPr="00172A44">
        <w:rPr>
          <w:rFonts w:ascii="Arial" w:hAnsi="Arial" w:cs="Arial"/>
        </w:rPr>
        <w:t xml:space="preserve">1995). </w:t>
      </w:r>
    </w:p>
    <w:p w14:paraId="149D0B0D" w14:textId="0C47A5DD" w:rsidR="00E67025" w:rsidRPr="00172A44" w:rsidRDefault="00E67025" w:rsidP="00172A44">
      <w:pPr>
        <w:pStyle w:val="ListParagraph"/>
        <w:numPr>
          <w:ilvl w:val="0"/>
          <w:numId w:val="3"/>
        </w:numPr>
        <w:spacing w:line="480" w:lineRule="auto"/>
        <w:rPr>
          <w:rFonts w:ascii="Arial" w:hAnsi="Arial" w:cs="Arial"/>
        </w:rPr>
      </w:pPr>
      <w:r w:rsidRPr="00172A44">
        <w:rPr>
          <w:rFonts w:ascii="Arial" w:hAnsi="Arial" w:cs="Arial"/>
        </w:rPr>
        <w:t>Efficiency</w:t>
      </w:r>
    </w:p>
    <w:p w14:paraId="16E6D5C9" w14:textId="77777777" w:rsidR="00E67025" w:rsidRDefault="00E67025" w:rsidP="004D42E9">
      <w:pPr>
        <w:spacing w:line="480" w:lineRule="auto"/>
        <w:rPr>
          <w:rFonts w:ascii="Arial" w:hAnsi="Arial" w:cs="Arial"/>
        </w:rPr>
      </w:pPr>
      <w:r w:rsidRPr="004D42E9">
        <w:rPr>
          <w:rFonts w:ascii="Arial" w:hAnsi="Arial" w:cs="Arial"/>
        </w:rPr>
        <w:t>The</w:t>
      </w:r>
      <w:r w:rsidR="004D42E9" w:rsidRPr="004D42E9">
        <w:rPr>
          <w:rFonts w:ascii="Arial" w:hAnsi="Arial" w:cs="Arial"/>
        </w:rPr>
        <w:t xml:space="preserve"> decline in asset turnover from 1.12 to 1.00 suggests Apple was able to generate a little less revenue per each dollar of investment with the same level of assets in FY 2023. This decline may indicate a slight deterioration in the use of assets, which may </w:t>
      </w:r>
      <w:r w:rsidRPr="004D42E9">
        <w:rPr>
          <w:rFonts w:ascii="Arial" w:hAnsi="Arial" w:cs="Arial"/>
        </w:rPr>
        <w:t>drive</w:t>
      </w:r>
      <w:r w:rsidR="004D42E9" w:rsidRPr="004D42E9">
        <w:rPr>
          <w:rFonts w:ascii="Arial" w:hAnsi="Arial" w:cs="Arial"/>
        </w:rPr>
        <w:t xml:space="preserve"> by buildup in inventory or a less than full recovery in support of operating efficiency because of supply chain issues. (Simic &amp; Jovicic, 2023) </w:t>
      </w:r>
    </w:p>
    <w:p w14:paraId="272A375F" w14:textId="6A87FBBB" w:rsidR="00E67025" w:rsidRPr="00172A44" w:rsidRDefault="004D42E9" w:rsidP="00172A44">
      <w:pPr>
        <w:pStyle w:val="ListParagraph"/>
        <w:numPr>
          <w:ilvl w:val="0"/>
          <w:numId w:val="3"/>
        </w:numPr>
        <w:spacing w:line="480" w:lineRule="auto"/>
        <w:rPr>
          <w:rFonts w:ascii="Arial" w:hAnsi="Arial" w:cs="Arial"/>
        </w:rPr>
      </w:pPr>
      <w:r w:rsidRPr="00172A44">
        <w:rPr>
          <w:rFonts w:ascii="Arial" w:hAnsi="Arial" w:cs="Arial"/>
        </w:rPr>
        <w:t xml:space="preserve">Leverage </w:t>
      </w:r>
    </w:p>
    <w:p w14:paraId="63990AEC" w14:textId="77777777" w:rsidR="00E67025" w:rsidRDefault="004D42E9" w:rsidP="004D42E9">
      <w:pPr>
        <w:spacing w:line="480" w:lineRule="auto"/>
        <w:rPr>
          <w:rFonts w:ascii="Arial" w:hAnsi="Arial" w:cs="Arial"/>
        </w:rPr>
      </w:pPr>
      <w:r w:rsidRPr="004D42E9">
        <w:rPr>
          <w:rFonts w:ascii="Arial" w:hAnsi="Arial" w:cs="Arial"/>
        </w:rPr>
        <w:t xml:space="preserve">The drop in a debt-to-equity ratio from 4.43 (FY 2022) to 4.21 suggests instability improved overall, although Apple continues to </w:t>
      </w:r>
      <w:r w:rsidR="00E67025" w:rsidRPr="004D42E9">
        <w:rPr>
          <w:rFonts w:ascii="Arial" w:hAnsi="Arial" w:cs="Arial"/>
        </w:rPr>
        <w:t>favour</w:t>
      </w:r>
      <w:r w:rsidRPr="004D42E9">
        <w:rPr>
          <w:rFonts w:ascii="Arial" w:hAnsi="Arial" w:cs="Arial"/>
        </w:rPr>
        <w:t xml:space="preserve"> debt as a means of financing, the percentage of equity to debt declined, which shows an improvement of equity support, as well as the ability to create operating cash flows, all of which contribute to better risk management. (Chen et al., 2021) </w:t>
      </w:r>
    </w:p>
    <w:p w14:paraId="36EA63D7" w14:textId="26FCE592" w:rsidR="00E67025" w:rsidRPr="00172A44" w:rsidRDefault="004D42E9" w:rsidP="00172A44">
      <w:pPr>
        <w:pStyle w:val="ListParagraph"/>
        <w:numPr>
          <w:ilvl w:val="0"/>
          <w:numId w:val="1"/>
        </w:numPr>
        <w:spacing w:line="480" w:lineRule="auto"/>
        <w:rPr>
          <w:rFonts w:ascii="Arial" w:hAnsi="Arial" w:cs="Arial"/>
        </w:rPr>
      </w:pPr>
      <w:r w:rsidRPr="00172A44">
        <w:rPr>
          <w:rFonts w:ascii="Arial" w:hAnsi="Arial" w:cs="Arial"/>
        </w:rPr>
        <w:t xml:space="preserve">Factors explaining performance variations </w:t>
      </w:r>
    </w:p>
    <w:p w14:paraId="2F943057" w14:textId="5B800AED" w:rsidR="00E67025" w:rsidRDefault="004D42E9" w:rsidP="004D42E9">
      <w:pPr>
        <w:spacing w:line="480" w:lineRule="auto"/>
        <w:rPr>
          <w:rFonts w:ascii="Arial" w:hAnsi="Arial" w:cs="Arial"/>
        </w:rPr>
      </w:pPr>
      <w:r w:rsidRPr="004D42E9">
        <w:rPr>
          <w:rFonts w:ascii="Arial" w:hAnsi="Arial" w:cs="Arial"/>
        </w:rPr>
        <w:t xml:space="preserve">There are </w:t>
      </w:r>
      <w:r w:rsidR="00E67025" w:rsidRPr="004D42E9">
        <w:rPr>
          <w:rFonts w:ascii="Arial" w:hAnsi="Arial" w:cs="Arial"/>
        </w:rPr>
        <w:t>several</w:t>
      </w:r>
      <w:r w:rsidRPr="004D42E9">
        <w:rPr>
          <w:rFonts w:ascii="Arial" w:hAnsi="Arial" w:cs="Arial"/>
        </w:rPr>
        <w:t xml:space="preserve"> factors that can explain these changes between the two fiscal years:</w:t>
      </w:r>
    </w:p>
    <w:p w14:paraId="1E5D8B05" w14:textId="77777777" w:rsidR="00E67025" w:rsidRPr="00172A44" w:rsidRDefault="004D42E9" w:rsidP="00172A44">
      <w:pPr>
        <w:pStyle w:val="ListParagraph"/>
        <w:numPr>
          <w:ilvl w:val="0"/>
          <w:numId w:val="5"/>
        </w:numPr>
        <w:spacing w:line="480" w:lineRule="auto"/>
        <w:rPr>
          <w:rFonts w:ascii="Arial" w:hAnsi="Arial" w:cs="Arial"/>
        </w:rPr>
      </w:pPr>
      <w:r w:rsidRPr="00172A44">
        <w:rPr>
          <w:rFonts w:ascii="Arial" w:hAnsi="Arial" w:cs="Arial"/>
        </w:rPr>
        <w:lastRenderedPageBreak/>
        <w:t>Cost management &amp; competitive pressures</w:t>
      </w:r>
      <w:r w:rsidR="00E67025" w:rsidRPr="00172A44">
        <w:rPr>
          <w:rFonts w:ascii="Arial" w:hAnsi="Arial" w:cs="Arial"/>
        </w:rPr>
        <w:t xml:space="preserve">: </w:t>
      </w:r>
      <w:r w:rsidRPr="00172A44">
        <w:rPr>
          <w:rFonts w:ascii="Arial" w:hAnsi="Arial" w:cs="Arial"/>
        </w:rPr>
        <w:t xml:space="preserve">The small decrease in gross and net margins indicates that while Apple </w:t>
      </w:r>
      <w:r w:rsidR="00E67025" w:rsidRPr="00172A44">
        <w:rPr>
          <w:rFonts w:ascii="Arial" w:hAnsi="Arial" w:cs="Arial"/>
        </w:rPr>
        <w:t>can</w:t>
      </w:r>
      <w:r w:rsidRPr="00172A44">
        <w:rPr>
          <w:rFonts w:ascii="Arial" w:hAnsi="Arial" w:cs="Arial"/>
        </w:rPr>
        <w:t xml:space="preserve"> operate efficiently overall, rising input costs or increased competition may have put pressure on margins in FY 2023. Effective cost management </w:t>
      </w:r>
      <w:r w:rsidR="00E67025" w:rsidRPr="00172A44">
        <w:rPr>
          <w:rFonts w:ascii="Arial" w:hAnsi="Arial" w:cs="Arial"/>
        </w:rPr>
        <w:t>remains</w:t>
      </w:r>
      <w:r w:rsidRPr="00172A44">
        <w:rPr>
          <w:rFonts w:ascii="Arial" w:hAnsi="Arial" w:cs="Arial"/>
        </w:rPr>
        <w:t xml:space="preserve"> key to continued profitability (Ohlson, 1995). </w:t>
      </w:r>
    </w:p>
    <w:p w14:paraId="02A4C1DB" w14:textId="6B9F5369" w:rsidR="00172A44" w:rsidRPr="00172A44" w:rsidRDefault="004D42E9" w:rsidP="00172A44">
      <w:pPr>
        <w:pStyle w:val="ListParagraph"/>
        <w:numPr>
          <w:ilvl w:val="0"/>
          <w:numId w:val="5"/>
        </w:numPr>
        <w:spacing w:line="480" w:lineRule="auto"/>
        <w:rPr>
          <w:rFonts w:ascii="Arial" w:hAnsi="Arial" w:cs="Arial"/>
        </w:rPr>
      </w:pPr>
      <w:r w:rsidRPr="00172A44">
        <w:rPr>
          <w:rFonts w:ascii="Arial" w:hAnsi="Arial" w:cs="Arial"/>
        </w:rPr>
        <w:t xml:space="preserve">Revenue mix &amp; product </w:t>
      </w:r>
      <w:r w:rsidR="00E67025" w:rsidRPr="00172A44">
        <w:rPr>
          <w:rFonts w:ascii="Arial" w:hAnsi="Arial" w:cs="Arial"/>
        </w:rPr>
        <w:t>strategy</w:t>
      </w:r>
      <w:r w:rsidR="00172A44" w:rsidRPr="00172A44">
        <w:rPr>
          <w:rFonts w:ascii="Arial" w:hAnsi="Arial" w:cs="Arial"/>
        </w:rPr>
        <w:t xml:space="preserve">: </w:t>
      </w:r>
      <w:r w:rsidR="00E67025" w:rsidRPr="00172A44">
        <w:rPr>
          <w:rFonts w:ascii="Arial" w:hAnsi="Arial" w:cs="Arial"/>
        </w:rPr>
        <w:t>Changes</w:t>
      </w:r>
      <w:r w:rsidRPr="00172A44">
        <w:rPr>
          <w:rFonts w:ascii="Arial" w:hAnsi="Arial" w:cs="Arial"/>
        </w:rPr>
        <w:t xml:space="preserve"> in product mix towards segments that have different margin profiles (e.g. services vs. hardware) can affect both gross and net margins. Apple’s continued strategy of premium pricing and marketing</w:t>
      </w:r>
      <w:r w:rsidR="00172A44" w:rsidRPr="00172A44">
        <w:rPr>
          <w:rFonts w:ascii="Arial" w:hAnsi="Arial" w:cs="Arial"/>
        </w:rPr>
        <w:t xml:space="preserve"> </w:t>
      </w:r>
      <w:r w:rsidRPr="00172A44">
        <w:rPr>
          <w:rFonts w:ascii="Arial" w:hAnsi="Arial" w:cs="Arial"/>
        </w:rPr>
        <w:t xml:space="preserve">should help drive </w:t>
      </w:r>
      <w:r w:rsidR="00172A44" w:rsidRPr="00172A44">
        <w:rPr>
          <w:rFonts w:ascii="Arial" w:hAnsi="Arial" w:cs="Arial"/>
        </w:rPr>
        <w:t>demand;</w:t>
      </w:r>
      <w:r w:rsidRPr="00172A44">
        <w:rPr>
          <w:rFonts w:ascii="Arial" w:hAnsi="Arial" w:cs="Arial"/>
        </w:rPr>
        <w:t xml:space="preserve"> however, any downturn or transition period should have a </w:t>
      </w:r>
      <w:r w:rsidR="00172A44" w:rsidRPr="00172A44">
        <w:rPr>
          <w:rFonts w:ascii="Arial" w:hAnsi="Arial" w:cs="Arial"/>
        </w:rPr>
        <w:t>short-term</w:t>
      </w:r>
      <w:r w:rsidRPr="00172A44">
        <w:rPr>
          <w:rFonts w:ascii="Arial" w:hAnsi="Arial" w:cs="Arial"/>
        </w:rPr>
        <w:t xml:space="preserve"> impact on profit margins (Lu, 2019; Sheng</w:t>
      </w:r>
      <w:r w:rsidRPr="00172A44">
        <w:rPr>
          <w:rFonts w:ascii="Cambria Math" w:hAnsi="Cambria Math" w:cs="Cambria Math"/>
        </w:rPr>
        <w:t>‑</w:t>
      </w:r>
      <w:r w:rsidRPr="00172A44">
        <w:rPr>
          <w:rFonts w:ascii="Arial" w:hAnsi="Arial" w:cs="Arial"/>
        </w:rPr>
        <w:t xml:space="preserve">Bing &amp; Chen, 2016). </w:t>
      </w:r>
    </w:p>
    <w:p w14:paraId="05BD8569" w14:textId="77777777" w:rsidR="00172A44" w:rsidRPr="00172A44" w:rsidRDefault="004D42E9" w:rsidP="00172A44">
      <w:pPr>
        <w:pStyle w:val="ListParagraph"/>
        <w:numPr>
          <w:ilvl w:val="0"/>
          <w:numId w:val="5"/>
        </w:numPr>
        <w:spacing w:line="480" w:lineRule="auto"/>
        <w:rPr>
          <w:rFonts w:ascii="Arial" w:hAnsi="Arial" w:cs="Arial"/>
        </w:rPr>
      </w:pPr>
      <w:r w:rsidRPr="00172A44">
        <w:rPr>
          <w:rFonts w:ascii="Arial" w:hAnsi="Arial" w:cs="Arial"/>
        </w:rPr>
        <w:t>Operational efficiency</w:t>
      </w:r>
      <w:r w:rsidR="00172A44" w:rsidRPr="00172A44">
        <w:rPr>
          <w:rFonts w:ascii="Arial" w:hAnsi="Arial" w:cs="Arial"/>
        </w:rPr>
        <w:t xml:space="preserve">: </w:t>
      </w:r>
      <w:r w:rsidRPr="00172A44">
        <w:rPr>
          <w:rFonts w:ascii="Arial" w:hAnsi="Arial" w:cs="Arial"/>
        </w:rPr>
        <w:t>The declining asset turnover indicates that resources were not utili</w:t>
      </w:r>
      <w:r w:rsidR="00172A44" w:rsidRPr="00172A44">
        <w:rPr>
          <w:rFonts w:ascii="Arial" w:hAnsi="Arial" w:cs="Arial"/>
        </w:rPr>
        <w:t>s</w:t>
      </w:r>
      <w:r w:rsidRPr="00172A44">
        <w:rPr>
          <w:rFonts w:ascii="Arial" w:hAnsi="Arial" w:cs="Arial"/>
        </w:rPr>
        <w:t xml:space="preserve">ed as efficiently in FY 2023. This </w:t>
      </w:r>
      <w:r w:rsidR="00172A44" w:rsidRPr="00172A44">
        <w:rPr>
          <w:rFonts w:ascii="Arial" w:hAnsi="Arial" w:cs="Arial"/>
        </w:rPr>
        <w:t>effect</w:t>
      </w:r>
      <w:r w:rsidRPr="00172A44">
        <w:rPr>
          <w:rFonts w:ascii="Arial" w:hAnsi="Arial" w:cs="Arial"/>
        </w:rPr>
        <w:t xml:space="preserve"> could stem from external supply chain limitations or internal adjustments while the organi</w:t>
      </w:r>
      <w:r w:rsidR="00172A44" w:rsidRPr="00172A44">
        <w:rPr>
          <w:rFonts w:ascii="Arial" w:hAnsi="Arial" w:cs="Arial"/>
        </w:rPr>
        <w:t>s</w:t>
      </w:r>
      <w:r w:rsidRPr="00172A44">
        <w:rPr>
          <w:rFonts w:ascii="Arial" w:hAnsi="Arial" w:cs="Arial"/>
        </w:rPr>
        <w:t xml:space="preserve">ation adjusted to external changes (Simic &amp; Jovicic, 2023). </w:t>
      </w:r>
    </w:p>
    <w:p w14:paraId="5C2A4170" w14:textId="6D0342B5" w:rsidR="00172A44" w:rsidRPr="00172A44" w:rsidRDefault="004D42E9" w:rsidP="00172A44">
      <w:pPr>
        <w:pStyle w:val="ListParagraph"/>
        <w:numPr>
          <w:ilvl w:val="0"/>
          <w:numId w:val="5"/>
        </w:numPr>
        <w:spacing w:line="480" w:lineRule="auto"/>
        <w:rPr>
          <w:rFonts w:ascii="Arial" w:hAnsi="Arial" w:cs="Arial"/>
        </w:rPr>
      </w:pPr>
      <w:r w:rsidRPr="00172A44">
        <w:rPr>
          <w:rFonts w:ascii="Arial" w:hAnsi="Arial" w:cs="Arial"/>
        </w:rPr>
        <w:t>Financial structure adjustments</w:t>
      </w:r>
      <w:r w:rsidR="00172A44" w:rsidRPr="00172A44">
        <w:rPr>
          <w:rFonts w:ascii="Arial" w:hAnsi="Arial" w:cs="Arial"/>
        </w:rPr>
        <w:t xml:space="preserve">: </w:t>
      </w:r>
      <w:r w:rsidRPr="00172A44">
        <w:rPr>
          <w:rFonts w:ascii="Arial" w:hAnsi="Arial" w:cs="Arial"/>
        </w:rPr>
        <w:t xml:space="preserve">Some improvement in the </w:t>
      </w:r>
      <w:r w:rsidR="00172A44" w:rsidRPr="00172A44">
        <w:rPr>
          <w:rFonts w:ascii="Arial" w:hAnsi="Arial" w:cs="Arial"/>
        </w:rPr>
        <w:t>debt-to-equity</w:t>
      </w:r>
      <w:r w:rsidRPr="00172A44">
        <w:rPr>
          <w:rFonts w:ascii="Arial" w:hAnsi="Arial" w:cs="Arial"/>
        </w:rPr>
        <w:t xml:space="preserve"> ratio suggests there was some strategic effort to balance growth financing versus shareholder equity. Apple has sufficient cash flows to keep its leverage high while still generating a strong return on equity (Chen et al., 2021). </w:t>
      </w:r>
    </w:p>
    <w:p w14:paraId="2862F7E0" w14:textId="7EFF4224" w:rsidR="00172A44" w:rsidRPr="00172A44" w:rsidRDefault="004D42E9" w:rsidP="00172A44">
      <w:pPr>
        <w:pStyle w:val="ListParagraph"/>
        <w:numPr>
          <w:ilvl w:val="0"/>
          <w:numId w:val="1"/>
        </w:numPr>
        <w:spacing w:line="480" w:lineRule="auto"/>
        <w:rPr>
          <w:rFonts w:ascii="Arial" w:hAnsi="Arial" w:cs="Arial"/>
        </w:rPr>
      </w:pPr>
      <w:r w:rsidRPr="00172A44">
        <w:rPr>
          <w:rFonts w:ascii="Arial" w:hAnsi="Arial" w:cs="Arial"/>
        </w:rPr>
        <w:t>Future Improvement and Sustainability Recommendations</w:t>
      </w:r>
    </w:p>
    <w:p w14:paraId="4DF08EA3" w14:textId="77777777" w:rsidR="00172A44" w:rsidRDefault="004D42E9" w:rsidP="004D42E9">
      <w:pPr>
        <w:spacing w:line="480" w:lineRule="auto"/>
        <w:rPr>
          <w:rFonts w:ascii="Arial" w:hAnsi="Arial" w:cs="Arial"/>
        </w:rPr>
      </w:pPr>
      <w:r w:rsidRPr="004D42E9">
        <w:rPr>
          <w:rFonts w:ascii="Arial" w:hAnsi="Arial" w:cs="Arial"/>
        </w:rPr>
        <w:t xml:space="preserve">Based on the analysis and comparative </w:t>
      </w:r>
      <w:r w:rsidR="00172A44" w:rsidRPr="004D42E9">
        <w:rPr>
          <w:rFonts w:ascii="Arial" w:hAnsi="Arial" w:cs="Arial"/>
        </w:rPr>
        <w:t xml:space="preserve">trends: </w:t>
      </w:r>
    </w:p>
    <w:p w14:paraId="5E8E02CA" w14:textId="77777777" w:rsidR="00172A44" w:rsidRPr="00172A44" w:rsidRDefault="00172A44" w:rsidP="00172A44">
      <w:pPr>
        <w:pStyle w:val="ListParagraph"/>
        <w:numPr>
          <w:ilvl w:val="0"/>
          <w:numId w:val="6"/>
        </w:numPr>
        <w:spacing w:line="480" w:lineRule="auto"/>
        <w:rPr>
          <w:rFonts w:ascii="Arial" w:hAnsi="Arial" w:cs="Arial"/>
        </w:rPr>
      </w:pPr>
      <w:r w:rsidRPr="00172A44">
        <w:rPr>
          <w:rFonts w:ascii="Arial" w:hAnsi="Arial" w:cs="Arial"/>
        </w:rPr>
        <w:t>Improve</w:t>
      </w:r>
      <w:r w:rsidR="004D42E9" w:rsidRPr="00172A44">
        <w:rPr>
          <w:rFonts w:ascii="Arial" w:hAnsi="Arial" w:cs="Arial"/>
        </w:rPr>
        <w:t xml:space="preserve"> Cost Control and Efficiency</w:t>
      </w:r>
      <w:r w:rsidRPr="00172A44">
        <w:rPr>
          <w:rFonts w:ascii="Arial" w:hAnsi="Arial" w:cs="Arial"/>
        </w:rPr>
        <w:t xml:space="preserve">: </w:t>
      </w:r>
      <w:r w:rsidR="004D42E9" w:rsidRPr="00172A44">
        <w:rPr>
          <w:rFonts w:ascii="Arial" w:hAnsi="Arial" w:cs="Arial"/>
        </w:rPr>
        <w:t>Allocate resources for supply chain and production technology moderni</w:t>
      </w:r>
      <w:r w:rsidRPr="00172A44">
        <w:rPr>
          <w:rFonts w:ascii="Arial" w:hAnsi="Arial" w:cs="Arial"/>
        </w:rPr>
        <w:t>s</w:t>
      </w:r>
      <w:r w:rsidR="004D42E9" w:rsidRPr="00172A44">
        <w:rPr>
          <w:rFonts w:ascii="Arial" w:hAnsi="Arial" w:cs="Arial"/>
        </w:rPr>
        <w:t>ation to enhance management of input costs and overall asset utili</w:t>
      </w:r>
      <w:r w:rsidRPr="00172A44">
        <w:rPr>
          <w:rFonts w:ascii="Arial" w:hAnsi="Arial" w:cs="Arial"/>
        </w:rPr>
        <w:t>s</w:t>
      </w:r>
      <w:r w:rsidR="004D42E9" w:rsidRPr="00172A44">
        <w:rPr>
          <w:rFonts w:ascii="Arial" w:hAnsi="Arial" w:cs="Arial"/>
        </w:rPr>
        <w:t>ation. Ongoing advancements in process can drive margins higher (He et al., 2022).</w:t>
      </w:r>
    </w:p>
    <w:p w14:paraId="4629341D" w14:textId="48E670AE" w:rsidR="00172A44" w:rsidRPr="00172A44" w:rsidRDefault="004D42E9" w:rsidP="00172A44">
      <w:pPr>
        <w:pStyle w:val="ListParagraph"/>
        <w:numPr>
          <w:ilvl w:val="0"/>
          <w:numId w:val="6"/>
        </w:numPr>
        <w:spacing w:line="480" w:lineRule="auto"/>
        <w:rPr>
          <w:rFonts w:ascii="Arial" w:hAnsi="Arial" w:cs="Arial"/>
        </w:rPr>
      </w:pPr>
      <w:r w:rsidRPr="00172A44">
        <w:rPr>
          <w:rFonts w:ascii="Arial" w:hAnsi="Arial" w:cs="Arial"/>
        </w:rPr>
        <w:lastRenderedPageBreak/>
        <w:t>Optimi</w:t>
      </w:r>
      <w:r w:rsidR="00172A44" w:rsidRPr="00172A44">
        <w:rPr>
          <w:rFonts w:ascii="Arial" w:hAnsi="Arial" w:cs="Arial"/>
        </w:rPr>
        <w:t>s</w:t>
      </w:r>
      <w:r w:rsidRPr="00172A44">
        <w:rPr>
          <w:rFonts w:ascii="Arial" w:hAnsi="Arial" w:cs="Arial"/>
        </w:rPr>
        <w:t>e Product and Revenue Mix</w:t>
      </w:r>
      <w:r w:rsidR="00172A44" w:rsidRPr="00172A44">
        <w:rPr>
          <w:rFonts w:ascii="Arial" w:hAnsi="Arial" w:cs="Arial"/>
        </w:rPr>
        <w:t xml:space="preserve">: </w:t>
      </w:r>
      <w:r w:rsidRPr="00172A44">
        <w:rPr>
          <w:rFonts w:ascii="Arial" w:hAnsi="Arial" w:cs="Arial"/>
        </w:rPr>
        <w:t>Continue investment in higher margin service and subscription model alternatives. A balanced product mix can mitigate price competition inherent in hardware &amp; support overall profitability (Wu, 2016).</w:t>
      </w:r>
    </w:p>
    <w:p w14:paraId="176A4033" w14:textId="77777777" w:rsidR="00172A44" w:rsidRPr="00172A44" w:rsidRDefault="004D42E9" w:rsidP="00172A44">
      <w:pPr>
        <w:pStyle w:val="ListParagraph"/>
        <w:numPr>
          <w:ilvl w:val="0"/>
          <w:numId w:val="6"/>
        </w:numPr>
        <w:spacing w:line="480" w:lineRule="auto"/>
        <w:rPr>
          <w:rFonts w:ascii="Arial" w:hAnsi="Arial" w:cs="Arial"/>
        </w:rPr>
      </w:pPr>
      <w:r w:rsidRPr="00172A44">
        <w:rPr>
          <w:rFonts w:ascii="Arial" w:hAnsi="Arial" w:cs="Arial"/>
        </w:rPr>
        <w:t>Utili</w:t>
      </w:r>
      <w:r w:rsidR="00172A44" w:rsidRPr="00172A44">
        <w:rPr>
          <w:rFonts w:ascii="Arial" w:hAnsi="Arial" w:cs="Arial"/>
        </w:rPr>
        <w:t>s</w:t>
      </w:r>
      <w:r w:rsidRPr="00172A44">
        <w:rPr>
          <w:rFonts w:ascii="Arial" w:hAnsi="Arial" w:cs="Arial"/>
        </w:rPr>
        <w:t>e Financial Flexibility</w:t>
      </w:r>
      <w:r w:rsidR="00172A44" w:rsidRPr="00172A44">
        <w:rPr>
          <w:rFonts w:ascii="Arial" w:hAnsi="Arial" w:cs="Arial"/>
        </w:rPr>
        <w:t xml:space="preserve">: </w:t>
      </w:r>
      <w:r w:rsidRPr="00172A44">
        <w:rPr>
          <w:rFonts w:ascii="Arial" w:hAnsi="Arial" w:cs="Arial"/>
        </w:rPr>
        <w:t>Reevaluate financing management to further reduce the debt-to-equity ratio while still allowing for continued growth. Refinancing debt at attractive terms can provide additional capital for future strategic innovation.</w:t>
      </w:r>
    </w:p>
    <w:p w14:paraId="0650A8F6" w14:textId="77777777" w:rsidR="00172A44" w:rsidRPr="00172A44" w:rsidRDefault="004D42E9" w:rsidP="00172A44">
      <w:pPr>
        <w:pStyle w:val="ListParagraph"/>
        <w:numPr>
          <w:ilvl w:val="0"/>
          <w:numId w:val="6"/>
        </w:numPr>
        <w:spacing w:line="480" w:lineRule="auto"/>
        <w:rPr>
          <w:rFonts w:ascii="Arial" w:hAnsi="Arial" w:cs="Arial"/>
        </w:rPr>
      </w:pPr>
      <w:r w:rsidRPr="00172A44">
        <w:rPr>
          <w:rFonts w:ascii="Arial" w:hAnsi="Arial" w:cs="Arial"/>
        </w:rPr>
        <w:t>Improve Global Risk Management</w:t>
      </w:r>
      <w:r w:rsidR="00172A44" w:rsidRPr="00172A44">
        <w:rPr>
          <w:rFonts w:ascii="Arial" w:hAnsi="Arial" w:cs="Arial"/>
        </w:rPr>
        <w:t xml:space="preserve">: </w:t>
      </w:r>
      <w:r w:rsidRPr="00172A44">
        <w:rPr>
          <w:rFonts w:ascii="Arial" w:hAnsi="Arial" w:cs="Arial"/>
        </w:rPr>
        <w:t xml:space="preserve">Enhance mechanisms on assessment and mitigation of supply chain risks and external impacts from the economy. Diversifying supplier </w:t>
      </w:r>
      <w:r w:rsidR="00172A44" w:rsidRPr="00172A44">
        <w:rPr>
          <w:rFonts w:ascii="Arial" w:hAnsi="Arial" w:cs="Arial"/>
        </w:rPr>
        <w:t>sources and</w:t>
      </w:r>
      <w:r w:rsidRPr="00172A44">
        <w:rPr>
          <w:rFonts w:ascii="Arial" w:hAnsi="Arial" w:cs="Arial"/>
        </w:rPr>
        <w:t xml:space="preserve"> designing and implementing monitoring systems in real time will strengthen future operational resiliency (Kothari, 2001).</w:t>
      </w:r>
    </w:p>
    <w:p w14:paraId="704FD421" w14:textId="77777777" w:rsidR="00172A44" w:rsidRPr="00172A44" w:rsidRDefault="004D42E9" w:rsidP="00172A44">
      <w:pPr>
        <w:pStyle w:val="ListParagraph"/>
        <w:numPr>
          <w:ilvl w:val="0"/>
          <w:numId w:val="6"/>
        </w:numPr>
        <w:spacing w:line="480" w:lineRule="auto"/>
        <w:rPr>
          <w:rFonts w:ascii="Arial" w:hAnsi="Arial" w:cs="Arial"/>
        </w:rPr>
      </w:pPr>
      <w:r w:rsidRPr="00172A44">
        <w:rPr>
          <w:rFonts w:ascii="Arial" w:hAnsi="Arial" w:cs="Arial"/>
        </w:rPr>
        <w:t>Pursue Innovation and Sustained Business Operations</w:t>
      </w:r>
      <w:r w:rsidR="00172A44" w:rsidRPr="00172A44">
        <w:rPr>
          <w:rFonts w:ascii="Arial" w:hAnsi="Arial" w:cs="Arial"/>
        </w:rPr>
        <w:t xml:space="preserve">: </w:t>
      </w:r>
      <w:r w:rsidRPr="00172A44">
        <w:rPr>
          <w:rFonts w:ascii="Arial" w:hAnsi="Arial" w:cs="Arial"/>
        </w:rPr>
        <w:t>Continue investing in R&amp;D to keep a competitive advantage, while implementing sustainable initiatives that will lower operating costs over time and increase eventual corporate social responsibility (Walls, Berrone &amp; Phan, 2012).</w:t>
      </w:r>
    </w:p>
    <w:p w14:paraId="5215780D" w14:textId="74EFF1AF" w:rsidR="00172A44" w:rsidRPr="00172A44" w:rsidRDefault="004D42E9" w:rsidP="00172A44">
      <w:pPr>
        <w:pStyle w:val="ListParagraph"/>
        <w:numPr>
          <w:ilvl w:val="0"/>
          <w:numId w:val="1"/>
        </w:numPr>
        <w:spacing w:line="480" w:lineRule="auto"/>
        <w:rPr>
          <w:rFonts w:ascii="Arial" w:hAnsi="Arial" w:cs="Arial"/>
        </w:rPr>
      </w:pPr>
      <w:r w:rsidRPr="00172A44">
        <w:rPr>
          <w:rFonts w:ascii="Arial" w:hAnsi="Arial" w:cs="Arial"/>
        </w:rPr>
        <w:t>Conclusion</w:t>
      </w:r>
    </w:p>
    <w:p w14:paraId="35818990" w14:textId="14B26837" w:rsidR="004D42E9" w:rsidRDefault="004D42E9" w:rsidP="004D42E9">
      <w:pPr>
        <w:spacing w:line="480" w:lineRule="auto"/>
        <w:rPr>
          <w:rFonts w:ascii="Arial" w:hAnsi="Arial" w:cs="Arial"/>
        </w:rPr>
      </w:pPr>
      <w:r w:rsidRPr="004D42E9">
        <w:rPr>
          <w:rFonts w:ascii="Arial" w:hAnsi="Arial" w:cs="Arial"/>
        </w:rPr>
        <w:t xml:space="preserve">The ratio analysis built on data from Apple Inc.’s 10-K filings for FY 2022 and FY 2023 shows that Apple appears to </w:t>
      </w:r>
      <w:r w:rsidR="00172A44" w:rsidRPr="004D42E9">
        <w:rPr>
          <w:rFonts w:ascii="Arial" w:hAnsi="Arial" w:cs="Arial"/>
        </w:rPr>
        <w:t>remain</w:t>
      </w:r>
      <w:r w:rsidRPr="004D42E9">
        <w:rPr>
          <w:rFonts w:ascii="Arial" w:hAnsi="Arial" w:cs="Arial"/>
        </w:rPr>
        <w:t xml:space="preserve"> with high liquidity, strong profitability had some declines in FY 2023 with respect to some ratios. The margins, turnover, and return on asset </w:t>
      </w:r>
      <w:r w:rsidR="00172A44">
        <w:rPr>
          <w:rFonts w:ascii="Arial" w:hAnsi="Arial" w:cs="Arial"/>
        </w:rPr>
        <w:t>and</w:t>
      </w:r>
      <w:r w:rsidRPr="004D42E9">
        <w:rPr>
          <w:rFonts w:ascii="Arial" w:hAnsi="Arial" w:cs="Arial"/>
        </w:rPr>
        <w:t xml:space="preserve"> equity ratios showed slight declines, indicating possible competitive pressure and higher input costs. However, slight improvement on leverage ratios indicates prudent management and the conscious management of debt.</w:t>
      </w:r>
      <w:r w:rsidR="00172A44">
        <w:rPr>
          <w:rFonts w:ascii="Arial" w:hAnsi="Arial" w:cs="Arial"/>
        </w:rPr>
        <w:t xml:space="preserve"> </w:t>
      </w:r>
      <w:r w:rsidRPr="004D42E9">
        <w:rPr>
          <w:rFonts w:ascii="Arial" w:hAnsi="Arial" w:cs="Arial"/>
        </w:rPr>
        <w:t xml:space="preserve">Therefore, the overview of Apple's net financial performance through </w:t>
      </w:r>
      <w:r w:rsidR="00172A44" w:rsidRPr="004D42E9">
        <w:rPr>
          <w:rFonts w:ascii="Arial" w:hAnsi="Arial" w:cs="Arial"/>
        </w:rPr>
        <w:t>analysing</w:t>
      </w:r>
      <w:r w:rsidRPr="004D42E9">
        <w:rPr>
          <w:rFonts w:ascii="Arial" w:hAnsi="Arial" w:cs="Arial"/>
        </w:rPr>
        <w:t xml:space="preserve"> </w:t>
      </w:r>
      <w:r w:rsidRPr="004D42E9">
        <w:rPr>
          <w:rFonts w:ascii="Arial" w:hAnsi="Arial" w:cs="Arial"/>
        </w:rPr>
        <w:lastRenderedPageBreak/>
        <w:t>measurable ratios has provided not just some level of comfort about its financial standing today, but also insight in possible needs for advancement. The analysis can lend itself to further organi</w:t>
      </w:r>
      <w:r w:rsidR="00172A44">
        <w:rPr>
          <w:rFonts w:ascii="Arial" w:hAnsi="Arial" w:cs="Arial"/>
        </w:rPr>
        <w:t>s</w:t>
      </w:r>
      <w:r w:rsidRPr="004D42E9">
        <w:rPr>
          <w:rFonts w:ascii="Arial" w:hAnsi="Arial" w:cs="Arial"/>
        </w:rPr>
        <w:t>ational improvement in a way to sustain a competitive advantage, operational optimi</w:t>
      </w:r>
      <w:r w:rsidR="00172A44">
        <w:rPr>
          <w:rFonts w:ascii="Arial" w:hAnsi="Arial" w:cs="Arial"/>
        </w:rPr>
        <w:t>s</w:t>
      </w:r>
      <w:r w:rsidRPr="004D42E9">
        <w:rPr>
          <w:rFonts w:ascii="Arial" w:hAnsi="Arial" w:cs="Arial"/>
        </w:rPr>
        <w:t>ation, and continual innovation in the ever-changing technological mid-environment and environment in general (Lu, 2019; Yin, 2023).</w:t>
      </w:r>
    </w:p>
    <w:p w14:paraId="67A96643" w14:textId="77777777" w:rsidR="003A460D" w:rsidRDefault="003A460D" w:rsidP="004D42E9">
      <w:pPr>
        <w:spacing w:line="480" w:lineRule="auto"/>
        <w:rPr>
          <w:rFonts w:ascii="Arial" w:hAnsi="Arial" w:cs="Arial"/>
        </w:rPr>
      </w:pPr>
    </w:p>
    <w:p w14:paraId="6B79879B" w14:textId="77777777" w:rsidR="003A460D" w:rsidRDefault="003A460D" w:rsidP="004D42E9">
      <w:pPr>
        <w:spacing w:line="480" w:lineRule="auto"/>
        <w:rPr>
          <w:rFonts w:ascii="Arial" w:hAnsi="Arial" w:cs="Arial"/>
        </w:rPr>
      </w:pPr>
    </w:p>
    <w:p w14:paraId="2B016F84" w14:textId="77777777" w:rsidR="003A460D" w:rsidRDefault="003A460D" w:rsidP="004D42E9">
      <w:pPr>
        <w:spacing w:line="480" w:lineRule="auto"/>
        <w:rPr>
          <w:rFonts w:ascii="Arial" w:hAnsi="Arial" w:cs="Arial"/>
        </w:rPr>
      </w:pPr>
    </w:p>
    <w:p w14:paraId="6E2AAD84" w14:textId="77777777" w:rsidR="003A460D" w:rsidRDefault="003A460D" w:rsidP="004D42E9">
      <w:pPr>
        <w:spacing w:line="480" w:lineRule="auto"/>
        <w:rPr>
          <w:rFonts w:ascii="Arial" w:hAnsi="Arial" w:cs="Arial"/>
        </w:rPr>
      </w:pPr>
    </w:p>
    <w:p w14:paraId="65B8A65E" w14:textId="77777777" w:rsidR="003A460D" w:rsidRDefault="003A460D" w:rsidP="004D42E9">
      <w:pPr>
        <w:spacing w:line="480" w:lineRule="auto"/>
        <w:rPr>
          <w:rFonts w:ascii="Arial" w:hAnsi="Arial" w:cs="Arial"/>
        </w:rPr>
      </w:pPr>
    </w:p>
    <w:p w14:paraId="7E0F23CD" w14:textId="77777777" w:rsidR="003A460D" w:rsidRDefault="003A460D" w:rsidP="004D42E9">
      <w:pPr>
        <w:spacing w:line="480" w:lineRule="auto"/>
        <w:rPr>
          <w:rFonts w:ascii="Arial" w:hAnsi="Arial" w:cs="Arial"/>
        </w:rPr>
      </w:pPr>
    </w:p>
    <w:p w14:paraId="3D0BFAD5" w14:textId="77777777" w:rsidR="003A460D" w:rsidRDefault="003A460D" w:rsidP="004D42E9">
      <w:pPr>
        <w:spacing w:line="480" w:lineRule="auto"/>
        <w:rPr>
          <w:rFonts w:ascii="Arial" w:hAnsi="Arial" w:cs="Arial"/>
        </w:rPr>
      </w:pPr>
    </w:p>
    <w:p w14:paraId="6D141F8E" w14:textId="77777777" w:rsidR="003A460D" w:rsidRDefault="003A460D" w:rsidP="004D42E9">
      <w:pPr>
        <w:spacing w:line="480" w:lineRule="auto"/>
        <w:rPr>
          <w:rFonts w:ascii="Arial" w:hAnsi="Arial" w:cs="Arial"/>
        </w:rPr>
      </w:pPr>
    </w:p>
    <w:p w14:paraId="2AE43B12" w14:textId="77777777" w:rsidR="003A460D" w:rsidRDefault="003A460D" w:rsidP="004D42E9">
      <w:pPr>
        <w:spacing w:line="480" w:lineRule="auto"/>
        <w:rPr>
          <w:rFonts w:ascii="Arial" w:hAnsi="Arial" w:cs="Arial"/>
        </w:rPr>
      </w:pPr>
    </w:p>
    <w:p w14:paraId="6BEC5C37" w14:textId="77777777" w:rsidR="003A460D" w:rsidRDefault="003A460D" w:rsidP="004D42E9">
      <w:pPr>
        <w:spacing w:line="480" w:lineRule="auto"/>
        <w:rPr>
          <w:rFonts w:ascii="Arial" w:hAnsi="Arial" w:cs="Arial"/>
        </w:rPr>
      </w:pPr>
    </w:p>
    <w:p w14:paraId="78350D9E" w14:textId="77777777" w:rsidR="003A460D" w:rsidRDefault="003A460D" w:rsidP="004D42E9">
      <w:pPr>
        <w:spacing w:line="480" w:lineRule="auto"/>
        <w:rPr>
          <w:rFonts w:ascii="Arial" w:hAnsi="Arial" w:cs="Arial"/>
        </w:rPr>
      </w:pPr>
    </w:p>
    <w:p w14:paraId="249C3F5A" w14:textId="77777777" w:rsidR="003A460D" w:rsidRDefault="003A460D" w:rsidP="004D42E9">
      <w:pPr>
        <w:spacing w:line="480" w:lineRule="auto"/>
        <w:rPr>
          <w:rFonts w:ascii="Arial" w:hAnsi="Arial" w:cs="Arial"/>
        </w:rPr>
      </w:pPr>
    </w:p>
    <w:p w14:paraId="7414CC0E" w14:textId="77777777" w:rsidR="003A460D" w:rsidRDefault="003A460D" w:rsidP="004D42E9">
      <w:pPr>
        <w:spacing w:line="480" w:lineRule="auto"/>
        <w:rPr>
          <w:rFonts w:ascii="Arial" w:hAnsi="Arial" w:cs="Arial"/>
        </w:rPr>
      </w:pPr>
    </w:p>
    <w:p w14:paraId="5DDBA4D7" w14:textId="77777777" w:rsidR="003A460D" w:rsidRDefault="003A460D" w:rsidP="004D42E9">
      <w:pPr>
        <w:spacing w:line="480" w:lineRule="auto"/>
        <w:rPr>
          <w:rFonts w:ascii="Arial" w:hAnsi="Arial" w:cs="Arial"/>
        </w:rPr>
      </w:pPr>
    </w:p>
    <w:p w14:paraId="6460FB43" w14:textId="77777777" w:rsidR="003A460D" w:rsidRDefault="003A460D" w:rsidP="004D42E9">
      <w:pPr>
        <w:spacing w:line="480" w:lineRule="auto"/>
        <w:rPr>
          <w:rFonts w:ascii="Arial" w:hAnsi="Arial" w:cs="Arial"/>
        </w:rPr>
      </w:pPr>
    </w:p>
    <w:p w14:paraId="06B37D42" w14:textId="77777777" w:rsidR="003A460D" w:rsidRDefault="003A460D" w:rsidP="004D42E9">
      <w:pPr>
        <w:spacing w:line="480" w:lineRule="auto"/>
        <w:rPr>
          <w:rFonts w:ascii="Arial" w:hAnsi="Arial" w:cs="Arial"/>
        </w:rPr>
      </w:pPr>
    </w:p>
    <w:p w14:paraId="5546BB92" w14:textId="4A5B8E44" w:rsidR="003A460D" w:rsidRDefault="003A460D" w:rsidP="004D42E9">
      <w:pPr>
        <w:spacing w:line="480" w:lineRule="auto"/>
        <w:rPr>
          <w:rFonts w:ascii="Arial" w:hAnsi="Arial" w:cs="Arial"/>
        </w:rPr>
      </w:pPr>
      <w:r>
        <w:rPr>
          <w:rFonts w:ascii="Arial" w:hAnsi="Arial" w:cs="Arial"/>
        </w:rPr>
        <w:lastRenderedPageBreak/>
        <w:t xml:space="preserve">References </w:t>
      </w:r>
    </w:p>
    <w:p w14:paraId="1504737F" w14:textId="0CDB7C62" w:rsidR="003A460D" w:rsidRPr="003A460D" w:rsidRDefault="003A460D" w:rsidP="003A460D">
      <w:pPr>
        <w:spacing w:line="480" w:lineRule="auto"/>
        <w:rPr>
          <w:rFonts w:ascii="Arial" w:hAnsi="Arial" w:cs="Arial"/>
        </w:rPr>
      </w:pPr>
      <w:r w:rsidRPr="003A460D">
        <w:rPr>
          <w:rFonts w:ascii="Arial" w:hAnsi="Arial" w:cs="Arial"/>
        </w:rPr>
        <w:t>Apple Inc. (2022). Form 10</w:t>
      </w:r>
      <w:r w:rsidRPr="003A460D">
        <w:rPr>
          <w:rFonts w:ascii="Cambria Math" w:hAnsi="Cambria Math" w:cs="Cambria Math"/>
        </w:rPr>
        <w:t>‑</w:t>
      </w:r>
      <w:r w:rsidRPr="003A460D">
        <w:rPr>
          <w:rFonts w:ascii="Arial" w:hAnsi="Arial" w:cs="Arial"/>
        </w:rPr>
        <w:t>K for the fiscal year ended September 24, 2022. U.S. Securities and Exchange Commission.</w:t>
      </w:r>
      <w:r w:rsidRPr="003A460D">
        <w:t xml:space="preserve"> </w:t>
      </w:r>
      <w:hyperlink r:id="rId6" w:history="1">
        <w:r w:rsidRPr="007E3515">
          <w:rPr>
            <w:rStyle w:val="Hyperlink"/>
            <w:rFonts w:ascii="Arial" w:hAnsi="Arial" w:cs="Arial"/>
          </w:rPr>
          <w:t>https://s2.q4cdn.com/470004039/files/doc_financials/2022/q4/_10-K-2022-(As-Filed).pdf</w:t>
        </w:r>
      </w:hyperlink>
      <w:r>
        <w:rPr>
          <w:rFonts w:ascii="Arial" w:hAnsi="Arial" w:cs="Arial"/>
        </w:rPr>
        <w:t xml:space="preserve"> </w:t>
      </w:r>
    </w:p>
    <w:p w14:paraId="7BB97C5D" w14:textId="5EA2600B" w:rsidR="003A460D" w:rsidRDefault="003A460D" w:rsidP="003A460D">
      <w:pPr>
        <w:spacing w:line="480" w:lineRule="auto"/>
        <w:rPr>
          <w:rFonts w:ascii="Arial" w:hAnsi="Arial" w:cs="Arial"/>
        </w:rPr>
      </w:pPr>
      <w:r w:rsidRPr="003A460D">
        <w:rPr>
          <w:rFonts w:ascii="Arial" w:hAnsi="Arial" w:cs="Arial"/>
        </w:rPr>
        <w:t>Apple Inc. (2023). Form 10</w:t>
      </w:r>
      <w:r w:rsidRPr="003A460D">
        <w:rPr>
          <w:rFonts w:ascii="Cambria Math" w:hAnsi="Cambria Math" w:cs="Cambria Math"/>
        </w:rPr>
        <w:t>‑</w:t>
      </w:r>
      <w:r w:rsidRPr="003A460D">
        <w:rPr>
          <w:rFonts w:ascii="Arial" w:hAnsi="Arial" w:cs="Arial"/>
        </w:rPr>
        <w:t>K for the fiscal year ended September 30, 2023. U.S. Securities and Exchange Commission.</w:t>
      </w:r>
      <w:r w:rsidRPr="003A460D">
        <w:t xml:space="preserve"> </w:t>
      </w:r>
      <w:hyperlink r:id="rId7" w:history="1">
        <w:r w:rsidRPr="007E3515">
          <w:rPr>
            <w:rStyle w:val="Hyperlink"/>
            <w:rFonts w:ascii="Arial" w:hAnsi="Arial" w:cs="Arial"/>
          </w:rPr>
          <w:t>https://s2.q4cdn.com/470004039/files/doc_earnings/2023/q4/filing/_10-K-Q4-2023-As-Filed.pdf</w:t>
        </w:r>
      </w:hyperlink>
      <w:r>
        <w:rPr>
          <w:rFonts w:ascii="Arial" w:hAnsi="Arial" w:cs="Arial"/>
        </w:rPr>
        <w:t xml:space="preserve"> </w:t>
      </w:r>
    </w:p>
    <w:p w14:paraId="01F958B4" w14:textId="0392A308" w:rsidR="003A460D" w:rsidRPr="003A460D" w:rsidRDefault="003A460D" w:rsidP="003A460D">
      <w:pPr>
        <w:spacing w:line="480" w:lineRule="auto"/>
        <w:rPr>
          <w:rFonts w:ascii="Arial" w:hAnsi="Arial" w:cs="Arial"/>
        </w:rPr>
      </w:pPr>
      <w:r w:rsidRPr="003A460D">
        <w:rPr>
          <w:rFonts w:ascii="Arial" w:hAnsi="Arial" w:cs="Arial"/>
        </w:rPr>
        <w:t xml:space="preserve">Bai, M. (2022). </w:t>
      </w:r>
      <w:r w:rsidRPr="003A460D">
        <w:rPr>
          <w:rFonts w:ascii="Arial" w:hAnsi="Arial" w:cs="Arial"/>
          <w:i/>
          <w:iCs/>
        </w:rPr>
        <w:t xml:space="preserve">Macro analysis on Apple stock </w:t>
      </w:r>
      <w:r w:rsidRPr="003A460D">
        <w:rPr>
          <w:rFonts w:ascii="Arial" w:hAnsi="Arial" w:cs="Arial"/>
          <w:i/>
          <w:iCs/>
        </w:rPr>
        <w:t>to</w:t>
      </w:r>
      <w:r w:rsidRPr="003A460D">
        <w:rPr>
          <w:rFonts w:ascii="Arial" w:hAnsi="Arial" w:cs="Arial"/>
          <w:i/>
          <w:iCs/>
        </w:rPr>
        <w:t xml:space="preserve"> determine investment value of Apple.</w:t>
      </w:r>
      <w:r w:rsidRPr="003A460D">
        <w:rPr>
          <w:rFonts w:ascii="Arial" w:hAnsi="Arial" w:cs="Arial"/>
        </w:rPr>
        <w:t xml:space="preserve"> SHS Web of Conferences.</w:t>
      </w:r>
    </w:p>
    <w:p w14:paraId="28CC1415" w14:textId="77777777" w:rsidR="003A460D" w:rsidRPr="003A460D" w:rsidRDefault="003A460D" w:rsidP="003A460D">
      <w:pPr>
        <w:spacing w:line="480" w:lineRule="auto"/>
        <w:rPr>
          <w:rFonts w:ascii="Arial" w:hAnsi="Arial" w:cs="Arial"/>
        </w:rPr>
      </w:pPr>
      <w:r w:rsidRPr="003A460D">
        <w:rPr>
          <w:rFonts w:ascii="Arial" w:hAnsi="Arial" w:cs="Arial"/>
        </w:rPr>
        <w:t xml:space="preserve">Chen, B., Lu, W., et al. (2021). </w:t>
      </w:r>
      <w:r w:rsidRPr="003A460D">
        <w:rPr>
          <w:rFonts w:ascii="Arial" w:hAnsi="Arial" w:cs="Arial"/>
          <w:i/>
          <w:iCs/>
        </w:rPr>
        <w:t>The valuation and analysis of Apple Inc</w:t>
      </w:r>
      <w:r w:rsidRPr="003A460D">
        <w:rPr>
          <w:rFonts w:ascii="Arial" w:hAnsi="Arial" w:cs="Arial"/>
        </w:rPr>
        <w:t>. BCP Business &amp; Management.</w:t>
      </w:r>
    </w:p>
    <w:p w14:paraId="69AC3F1B" w14:textId="77777777" w:rsidR="003A460D" w:rsidRPr="003A460D" w:rsidRDefault="003A460D" w:rsidP="003A460D">
      <w:pPr>
        <w:spacing w:line="480" w:lineRule="auto"/>
        <w:rPr>
          <w:rFonts w:ascii="Arial" w:hAnsi="Arial" w:cs="Arial"/>
        </w:rPr>
      </w:pPr>
      <w:r w:rsidRPr="003A460D">
        <w:rPr>
          <w:rFonts w:ascii="Arial" w:hAnsi="Arial" w:cs="Arial"/>
        </w:rPr>
        <w:t xml:space="preserve">He, Y., Wang, Y., et al. (2022). </w:t>
      </w:r>
      <w:r w:rsidRPr="003A460D">
        <w:rPr>
          <w:rFonts w:ascii="Arial" w:hAnsi="Arial" w:cs="Arial"/>
          <w:i/>
          <w:iCs/>
        </w:rPr>
        <w:t>Analysis of the financial potential of Apple, Xiaomi, and Nokia: Recommendations for potential investors.</w:t>
      </w:r>
      <w:r w:rsidRPr="003A460D">
        <w:rPr>
          <w:rFonts w:ascii="Arial" w:hAnsi="Arial" w:cs="Arial"/>
        </w:rPr>
        <w:t xml:space="preserve"> BCP Business &amp; Management.</w:t>
      </w:r>
    </w:p>
    <w:p w14:paraId="1B00C0B0" w14:textId="77777777" w:rsidR="003A460D" w:rsidRPr="003A460D" w:rsidRDefault="003A460D" w:rsidP="003A460D">
      <w:pPr>
        <w:spacing w:line="480" w:lineRule="auto"/>
        <w:rPr>
          <w:rFonts w:ascii="Arial" w:hAnsi="Arial" w:cs="Arial"/>
        </w:rPr>
      </w:pPr>
      <w:r w:rsidRPr="003A460D">
        <w:rPr>
          <w:rFonts w:ascii="Arial" w:hAnsi="Arial" w:cs="Arial"/>
        </w:rPr>
        <w:t xml:space="preserve">Kothari, S. P. (2001). Capital markets research in accounting. </w:t>
      </w:r>
      <w:r w:rsidRPr="003A460D">
        <w:rPr>
          <w:rFonts w:ascii="Arial" w:hAnsi="Arial" w:cs="Arial"/>
          <w:i/>
          <w:iCs/>
        </w:rPr>
        <w:t>Journal of Accounting and Economics, 31</w:t>
      </w:r>
      <w:r w:rsidRPr="003A460D">
        <w:rPr>
          <w:rFonts w:ascii="Arial" w:hAnsi="Arial" w:cs="Arial"/>
        </w:rPr>
        <w:t>(1–3), 105–253.</w:t>
      </w:r>
    </w:p>
    <w:p w14:paraId="48C4A0AB" w14:textId="77777777" w:rsidR="003A460D" w:rsidRPr="003A460D" w:rsidRDefault="003A460D" w:rsidP="003A460D">
      <w:pPr>
        <w:spacing w:line="480" w:lineRule="auto"/>
        <w:rPr>
          <w:rFonts w:ascii="Arial" w:hAnsi="Arial" w:cs="Arial"/>
        </w:rPr>
      </w:pPr>
      <w:r w:rsidRPr="003A460D">
        <w:rPr>
          <w:rFonts w:ascii="Arial" w:hAnsi="Arial" w:cs="Arial"/>
        </w:rPr>
        <w:t xml:space="preserve">Li, G. (2023). Analysis of Apple’s marketing strategies in China. </w:t>
      </w:r>
      <w:r w:rsidRPr="003A460D">
        <w:rPr>
          <w:rFonts w:ascii="Arial" w:hAnsi="Arial" w:cs="Arial"/>
          <w:i/>
          <w:iCs/>
        </w:rPr>
        <w:t>Advances in Economics, Management and Political Sciences, 8</w:t>
      </w:r>
      <w:r w:rsidRPr="003A460D">
        <w:rPr>
          <w:rFonts w:ascii="Arial" w:hAnsi="Arial" w:cs="Arial"/>
        </w:rPr>
        <w:t>(1), 121–125.</w:t>
      </w:r>
    </w:p>
    <w:p w14:paraId="5A72663C" w14:textId="2F688BE2" w:rsidR="003A460D" w:rsidRPr="003A460D" w:rsidRDefault="003A460D" w:rsidP="003A460D">
      <w:pPr>
        <w:spacing w:line="480" w:lineRule="auto"/>
        <w:rPr>
          <w:rFonts w:ascii="Arial" w:hAnsi="Arial" w:cs="Arial"/>
        </w:rPr>
      </w:pPr>
      <w:r w:rsidRPr="003A460D">
        <w:rPr>
          <w:rFonts w:ascii="Arial" w:hAnsi="Arial" w:cs="Arial"/>
        </w:rPr>
        <w:t xml:space="preserve">Li, M., &amp; Sun, Y. (2023). </w:t>
      </w:r>
      <w:r w:rsidRPr="003A460D">
        <w:rPr>
          <w:rFonts w:ascii="Arial" w:hAnsi="Arial" w:cs="Arial"/>
          <w:i/>
          <w:iCs/>
        </w:rPr>
        <w:t xml:space="preserve">An </w:t>
      </w:r>
      <w:r w:rsidRPr="003A460D">
        <w:rPr>
          <w:rFonts w:ascii="Arial" w:hAnsi="Arial" w:cs="Arial"/>
          <w:i/>
          <w:iCs/>
        </w:rPr>
        <w:t>overall analysis of Apple Company</w:t>
      </w:r>
      <w:r w:rsidRPr="003A460D">
        <w:rPr>
          <w:rFonts w:ascii="Arial" w:hAnsi="Arial" w:cs="Arial"/>
        </w:rPr>
        <w:t>. BCP Business &amp; Management.</w:t>
      </w:r>
    </w:p>
    <w:p w14:paraId="47CD19F5" w14:textId="77777777" w:rsidR="003A460D" w:rsidRPr="003A460D" w:rsidRDefault="003A460D" w:rsidP="003A460D">
      <w:pPr>
        <w:spacing w:line="480" w:lineRule="auto"/>
        <w:rPr>
          <w:rFonts w:ascii="Arial" w:hAnsi="Arial" w:cs="Arial"/>
        </w:rPr>
      </w:pPr>
      <w:r w:rsidRPr="003A460D">
        <w:rPr>
          <w:rFonts w:ascii="Arial" w:hAnsi="Arial" w:cs="Arial"/>
        </w:rPr>
        <w:lastRenderedPageBreak/>
        <w:t xml:space="preserve">Li, X. (2022, December). </w:t>
      </w:r>
      <w:r w:rsidRPr="003A460D">
        <w:rPr>
          <w:rFonts w:ascii="Arial" w:hAnsi="Arial" w:cs="Arial"/>
          <w:i/>
          <w:iCs/>
        </w:rPr>
        <w:t>Financial analysis of Apple Inc. based on 2021 Apple annual report</w:t>
      </w:r>
      <w:r w:rsidRPr="003A460D">
        <w:rPr>
          <w:rFonts w:ascii="Arial" w:hAnsi="Arial" w:cs="Arial"/>
        </w:rPr>
        <w:t>. In 2022 2nd International Conference on Financial Management and Economic Transition (FMET 2022) (pp. 63–72). Atlantis Press.</w:t>
      </w:r>
    </w:p>
    <w:p w14:paraId="4B2B9435" w14:textId="058EFE2B" w:rsidR="003A460D" w:rsidRPr="003A460D" w:rsidRDefault="003A460D" w:rsidP="003A460D">
      <w:pPr>
        <w:spacing w:line="480" w:lineRule="auto"/>
        <w:rPr>
          <w:rFonts w:ascii="Arial" w:hAnsi="Arial" w:cs="Arial"/>
        </w:rPr>
      </w:pPr>
      <w:r w:rsidRPr="003A460D">
        <w:rPr>
          <w:rFonts w:ascii="Arial" w:hAnsi="Arial" w:cs="Arial"/>
        </w:rPr>
        <w:t xml:space="preserve">Lu, J. (2019). Is “Apple” </w:t>
      </w:r>
      <w:r w:rsidRPr="003A460D">
        <w:rPr>
          <w:rFonts w:ascii="Arial" w:hAnsi="Arial" w:cs="Arial"/>
        </w:rPr>
        <w:t>just</w:t>
      </w:r>
      <w:r w:rsidRPr="003A460D">
        <w:rPr>
          <w:rFonts w:ascii="Arial" w:hAnsi="Arial" w:cs="Arial"/>
        </w:rPr>
        <w:t xml:space="preserve"> a mobile phone? – Analysis of the operation logic and psychological mechanism of “hunger marketing” strategy. </w:t>
      </w:r>
      <w:r w:rsidRPr="003A460D">
        <w:rPr>
          <w:rFonts w:ascii="Arial" w:hAnsi="Arial" w:cs="Arial"/>
          <w:i/>
          <w:iCs/>
        </w:rPr>
        <w:t>Shanghai Commerce, 488</w:t>
      </w:r>
      <w:r w:rsidRPr="003A460D">
        <w:rPr>
          <w:rFonts w:ascii="Arial" w:hAnsi="Arial" w:cs="Arial"/>
        </w:rPr>
        <w:t>(10), 23–24.</w:t>
      </w:r>
    </w:p>
    <w:p w14:paraId="6BA8EB1C" w14:textId="77777777" w:rsidR="003A460D" w:rsidRDefault="003A460D" w:rsidP="003A460D">
      <w:pPr>
        <w:spacing w:line="480" w:lineRule="auto"/>
        <w:rPr>
          <w:rFonts w:ascii="Arial" w:hAnsi="Arial" w:cs="Arial"/>
        </w:rPr>
      </w:pPr>
      <w:r w:rsidRPr="003A460D">
        <w:rPr>
          <w:rFonts w:ascii="Arial" w:hAnsi="Arial" w:cs="Arial"/>
        </w:rPr>
        <w:t xml:space="preserve">Ohlson, J. A. (1995). Earnings, book values and dividends in equity valuation. </w:t>
      </w:r>
      <w:r w:rsidRPr="003A460D">
        <w:rPr>
          <w:rFonts w:ascii="Arial" w:hAnsi="Arial" w:cs="Arial"/>
          <w:i/>
          <w:iCs/>
        </w:rPr>
        <w:t>Contemporary Accounting Research, 11</w:t>
      </w:r>
      <w:r w:rsidRPr="003A460D">
        <w:rPr>
          <w:rFonts w:ascii="Arial" w:hAnsi="Arial" w:cs="Arial"/>
        </w:rPr>
        <w:t>(2), 661–688.</w:t>
      </w:r>
    </w:p>
    <w:p w14:paraId="27B7409F" w14:textId="0FE5E1A0" w:rsidR="003A460D" w:rsidRPr="003A460D" w:rsidRDefault="003A460D" w:rsidP="003A460D">
      <w:pPr>
        <w:spacing w:line="480" w:lineRule="auto"/>
        <w:rPr>
          <w:rFonts w:ascii="Arial" w:hAnsi="Arial" w:cs="Arial"/>
        </w:rPr>
      </w:pPr>
      <w:r w:rsidRPr="003A460D">
        <w:rPr>
          <w:rFonts w:ascii="Arial" w:hAnsi="Arial" w:cs="Arial"/>
        </w:rPr>
        <w:t xml:space="preserve">Sheng-Bing, T., &amp; Chen, D. (2016). </w:t>
      </w:r>
      <w:r w:rsidRPr="003A460D">
        <w:rPr>
          <w:rFonts w:ascii="Arial" w:hAnsi="Arial" w:cs="Arial"/>
          <w:i/>
          <w:iCs/>
        </w:rPr>
        <w:t>Hunger marketing strategy and its application research</w:t>
      </w:r>
      <w:r>
        <w:rPr>
          <w:rFonts w:ascii="Arial" w:hAnsi="Arial" w:cs="Arial"/>
          <w:i/>
          <w:iCs/>
        </w:rPr>
        <w:t>-</w:t>
      </w:r>
      <w:r w:rsidRPr="003A460D">
        <w:rPr>
          <w:rFonts w:ascii="Arial" w:hAnsi="Arial" w:cs="Arial"/>
          <w:i/>
          <w:iCs/>
        </w:rPr>
        <w:t>Based on Apple products.</w:t>
      </w:r>
      <w:r w:rsidRPr="003A460D">
        <w:rPr>
          <w:rFonts w:ascii="Arial" w:hAnsi="Arial" w:cs="Arial"/>
        </w:rPr>
        <w:t xml:space="preserve"> </w:t>
      </w:r>
      <w:proofErr w:type="spellStart"/>
      <w:r w:rsidRPr="003A460D">
        <w:rPr>
          <w:rFonts w:ascii="Arial" w:hAnsi="Arial" w:cs="Arial"/>
        </w:rPr>
        <w:t>DEStech</w:t>
      </w:r>
      <w:proofErr w:type="spellEnd"/>
      <w:r w:rsidRPr="003A460D">
        <w:rPr>
          <w:rFonts w:ascii="Arial" w:hAnsi="Arial" w:cs="Arial"/>
        </w:rPr>
        <w:t xml:space="preserve"> Transactions on Economics, Business and Management, ICEM.</w:t>
      </w:r>
    </w:p>
    <w:p w14:paraId="1CE7FC70" w14:textId="77777777" w:rsidR="003A460D" w:rsidRPr="003A460D" w:rsidRDefault="003A460D" w:rsidP="003A460D">
      <w:pPr>
        <w:spacing w:line="480" w:lineRule="auto"/>
        <w:rPr>
          <w:rFonts w:ascii="Arial" w:hAnsi="Arial" w:cs="Arial"/>
        </w:rPr>
      </w:pPr>
      <w:r w:rsidRPr="003A460D">
        <w:rPr>
          <w:rFonts w:ascii="Arial" w:hAnsi="Arial" w:cs="Arial"/>
        </w:rPr>
        <w:t xml:space="preserve">Simic, N., &amp; Jovicic, T. (2023). </w:t>
      </w:r>
      <w:r w:rsidRPr="003A460D">
        <w:rPr>
          <w:rFonts w:ascii="Arial" w:hAnsi="Arial" w:cs="Arial"/>
          <w:i/>
          <w:iCs/>
        </w:rPr>
        <w:t>Fundamental analysis of the Apple Company</w:t>
      </w:r>
      <w:r w:rsidRPr="003A460D">
        <w:rPr>
          <w:rFonts w:ascii="Arial" w:hAnsi="Arial" w:cs="Arial"/>
        </w:rPr>
        <w:t>. In Economic and Social Development: Book of Proceedings (pp. 97–106).</w:t>
      </w:r>
    </w:p>
    <w:p w14:paraId="52506EAF" w14:textId="77777777" w:rsidR="003A460D" w:rsidRPr="003A460D" w:rsidRDefault="003A460D" w:rsidP="003A460D">
      <w:pPr>
        <w:spacing w:line="480" w:lineRule="auto"/>
        <w:rPr>
          <w:rFonts w:ascii="Arial" w:hAnsi="Arial" w:cs="Arial"/>
        </w:rPr>
      </w:pPr>
      <w:r w:rsidRPr="003A460D">
        <w:rPr>
          <w:rFonts w:ascii="Arial" w:hAnsi="Arial" w:cs="Arial"/>
        </w:rPr>
        <w:t xml:space="preserve">Walls, J. L., Berrone, P., &amp; Phan, P. H. (2012). Corporate governance and environmental performance: Is there really a link? </w:t>
      </w:r>
      <w:r w:rsidRPr="003A460D">
        <w:rPr>
          <w:rFonts w:ascii="Arial" w:hAnsi="Arial" w:cs="Arial"/>
          <w:i/>
          <w:iCs/>
        </w:rPr>
        <w:t>Strategic Management Journal, 33</w:t>
      </w:r>
      <w:r w:rsidRPr="003A460D">
        <w:rPr>
          <w:rFonts w:ascii="Arial" w:hAnsi="Arial" w:cs="Arial"/>
        </w:rPr>
        <w:t>(8), 885–913.</w:t>
      </w:r>
    </w:p>
    <w:p w14:paraId="5C6E174B" w14:textId="77777777" w:rsidR="003A460D" w:rsidRPr="003A460D" w:rsidRDefault="003A460D" w:rsidP="003A460D">
      <w:pPr>
        <w:spacing w:line="480" w:lineRule="auto"/>
        <w:rPr>
          <w:rFonts w:ascii="Arial" w:hAnsi="Arial" w:cs="Arial"/>
        </w:rPr>
      </w:pPr>
      <w:r w:rsidRPr="003A460D">
        <w:rPr>
          <w:rFonts w:ascii="Arial" w:hAnsi="Arial" w:cs="Arial"/>
        </w:rPr>
        <w:t xml:space="preserve">Wu, S. (2016). Analysis of Apple’s marketing mode from the perspective of economics. </w:t>
      </w:r>
      <w:r w:rsidRPr="003A460D">
        <w:rPr>
          <w:rFonts w:ascii="Arial" w:hAnsi="Arial" w:cs="Arial"/>
          <w:i/>
          <w:iCs/>
        </w:rPr>
        <w:t>Mall Modernization, 829</w:t>
      </w:r>
      <w:r w:rsidRPr="003A460D">
        <w:rPr>
          <w:rFonts w:ascii="Arial" w:hAnsi="Arial" w:cs="Arial"/>
        </w:rPr>
        <w:t>(22), 42–43.</w:t>
      </w:r>
    </w:p>
    <w:p w14:paraId="0D7F4FCC" w14:textId="77777777" w:rsidR="003A460D" w:rsidRPr="003A460D" w:rsidRDefault="003A460D" w:rsidP="003A460D">
      <w:pPr>
        <w:spacing w:line="480" w:lineRule="auto"/>
        <w:rPr>
          <w:rFonts w:ascii="Arial" w:hAnsi="Arial" w:cs="Arial"/>
        </w:rPr>
      </w:pPr>
      <w:r w:rsidRPr="003A460D">
        <w:rPr>
          <w:rFonts w:ascii="Arial" w:hAnsi="Arial" w:cs="Arial"/>
        </w:rPr>
        <w:t xml:space="preserve">Yin, R. (2023). </w:t>
      </w:r>
      <w:r w:rsidRPr="003A460D">
        <w:rPr>
          <w:rFonts w:ascii="Arial" w:hAnsi="Arial" w:cs="Arial"/>
          <w:i/>
          <w:iCs/>
        </w:rPr>
        <w:t>Research on financial position of Apple.</w:t>
      </w:r>
      <w:r w:rsidRPr="003A460D">
        <w:rPr>
          <w:rFonts w:ascii="Arial" w:hAnsi="Arial" w:cs="Arial"/>
        </w:rPr>
        <w:t xml:space="preserve"> Advances in Economics, Management and Political Sciences.</w:t>
      </w:r>
    </w:p>
    <w:p w14:paraId="4AEE1812" w14:textId="70B9FD9F" w:rsidR="003A460D" w:rsidRPr="004D42E9" w:rsidRDefault="003A460D" w:rsidP="003A460D">
      <w:pPr>
        <w:spacing w:line="480" w:lineRule="auto"/>
        <w:rPr>
          <w:rFonts w:ascii="Arial" w:hAnsi="Arial" w:cs="Arial"/>
        </w:rPr>
      </w:pPr>
      <w:r w:rsidRPr="003A460D">
        <w:rPr>
          <w:rFonts w:ascii="Arial" w:hAnsi="Arial" w:cs="Arial"/>
        </w:rPr>
        <w:t xml:space="preserve">Zhang, D., Chen, X., &amp; Huang, C. (2014). iPhone and Xiaomi: Different hunger marketing. </w:t>
      </w:r>
      <w:r w:rsidRPr="003A460D">
        <w:rPr>
          <w:rFonts w:ascii="Arial" w:hAnsi="Arial" w:cs="Arial"/>
          <w:i/>
          <w:iCs/>
        </w:rPr>
        <w:t>Enterprise Management, 393</w:t>
      </w:r>
      <w:r w:rsidRPr="003A460D">
        <w:rPr>
          <w:rFonts w:ascii="Arial" w:hAnsi="Arial" w:cs="Arial"/>
        </w:rPr>
        <w:t>(05), 44–47.</w:t>
      </w:r>
    </w:p>
    <w:sectPr w:rsidR="003A460D" w:rsidRPr="004D42E9" w:rsidSect="003A46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2259"/>
    <w:multiLevelType w:val="hybridMultilevel"/>
    <w:tmpl w:val="F52E7DF4"/>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30261"/>
    <w:multiLevelType w:val="hybridMultilevel"/>
    <w:tmpl w:val="F7B45ABC"/>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045D8"/>
    <w:multiLevelType w:val="hybridMultilevel"/>
    <w:tmpl w:val="769E236A"/>
    <w:lvl w:ilvl="0" w:tplc="FFFFFFFF">
      <w:start w:val="1"/>
      <w:numFmt w:val="bullet"/>
      <w:lvlText w:val="o"/>
      <w:lvlJc w:val="left"/>
      <w:pPr>
        <w:ind w:left="720" w:hanging="360"/>
      </w:pPr>
      <w:rPr>
        <w:rFonts w:ascii="Courier New" w:hAnsi="Courier New"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57519"/>
    <w:multiLevelType w:val="hybridMultilevel"/>
    <w:tmpl w:val="168C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245811"/>
    <w:multiLevelType w:val="hybridMultilevel"/>
    <w:tmpl w:val="640A4C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9D2FD7"/>
    <w:multiLevelType w:val="hybridMultilevel"/>
    <w:tmpl w:val="7C24E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253754">
    <w:abstractNumId w:val="5"/>
  </w:num>
  <w:num w:numId="2" w16cid:durableId="407314598">
    <w:abstractNumId w:val="4"/>
  </w:num>
  <w:num w:numId="3" w16cid:durableId="639455602">
    <w:abstractNumId w:val="3"/>
  </w:num>
  <w:num w:numId="4" w16cid:durableId="1710907969">
    <w:abstractNumId w:val="1"/>
  </w:num>
  <w:num w:numId="5" w16cid:durableId="1435860333">
    <w:abstractNumId w:val="0"/>
  </w:num>
  <w:num w:numId="6" w16cid:durableId="1715887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2E9"/>
    <w:rsid w:val="00172A44"/>
    <w:rsid w:val="003A460D"/>
    <w:rsid w:val="004D42E9"/>
    <w:rsid w:val="007527A1"/>
    <w:rsid w:val="009C75C5"/>
    <w:rsid w:val="00E67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1418"/>
  <w15:chartTrackingRefBased/>
  <w15:docId w15:val="{B92F8CFA-FE7A-4ED3-8D71-20384B35A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4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2E9"/>
    <w:rPr>
      <w:rFonts w:eastAsiaTheme="majorEastAsia" w:cstheme="majorBidi"/>
      <w:color w:val="272727" w:themeColor="text1" w:themeTint="D8"/>
    </w:rPr>
  </w:style>
  <w:style w:type="paragraph" w:styleId="Title">
    <w:name w:val="Title"/>
    <w:basedOn w:val="Normal"/>
    <w:next w:val="Normal"/>
    <w:link w:val="TitleChar"/>
    <w:uiPriority w:val="10"/>
    <w:qFormat/>
    <w:rsid w:val="004D4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2E9"/>
    <w:pPr>
      <w:spacing w:before="160"/>
      <w:jc w:val="center"/>
    </w:pPr>
    <w:rPr>
      <w:i/>
      <w:iCs/>
      <w:color w:val="404040" w:themeColor="text1" w:themeTint="BF"/>
    </w:rPr>
  </w:style>
  <w:style w:type="character" w:customStyle="1" w:styleId="QuoteChar">
    <w:name w:val="Quote Char"/>
    <w:basedOn w:val="DefaultParagraphFont"/>
    <w:link w:val="Quote"/>
    <w:uiPriority w:val="29"/>
    <w:rsid w:val="004D42E9"/>
    <w:rPr>
      <w:i/>
      <w:iCs/>
      <w:color w:val="404040" w:themeColor="text1" w:themeTint="BF"/>
    </w:rPr>
  </w:style>
  <w:style w:type="paragraph" w:styleId="ListParagraph">
    <w:name w:val="List Paragraph"/>
    <w:basedOn w:val="Normal"/>
    <w:uiPriority w:val="34"/>
    <w:qFormat/>
    <w:rsid w:val="004D42E9"/>
    <w:pPr>
      <w:ind w:left="720"/>
      <w:contextualSpacing/>
    </w:pPr>
  </w:style>
  <w:style w:type="character" w:styleId="IntenseEmphasis">
    <w:name w:val="Intense Emphasis"/>
    <w:basedOn w:val="DefaultParagraphFont"/>
    <w:uiPriority w:val="21"/>
    <w:qFormat/>
    <w:rsid w:val="004D42E9"/>
    <w:rPr>
      <w:i/>
      <w:iCs/>
      <w:color w:val="0F4761" w:themeColor="accent1" w:themeShade="BF"/>
    </w:rPr>
  </w:style>
  <w:style w:type="paragraph" w:styleId="IntenseQuote">
    <w:name w:val="Intense Quote"/>
    <w:basedOn w:val="Normal"/>
    <w:next w:val="Normal"/>
    <w:link w:val="IntenseQuoteChar"/>
    <w:uiPriority w:val="30"/>
    <w:qFormat/>
    <w:rsid w:val="004D4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2E9"/>
    <w:rPr>
      <w:i/>
      <w:iCs/>
      <w:color w:val="0F4761" w:themeColor="accent1" w:themeShade="BF"/>
    </w:rPr>
  </w:style>
  <w:style w:type="character" w:styleId="IntenseReference">
    <w:name w:val="Intense Reference"/>
    <w:basedOn w:val="DefaultParagraphFont"/>
    <w:uiPriority w:val="32"/>
    <w:qFormat/>
    <w:rsid w:val="004D42E9"/>
    <w:rPr>
      <w:b/>
      <w:bCs/>
      <w:smallCaps/>
      <w:color w:val="0F4761" w:themeColor="accent1" w:themeShade="BF"/>
      <w:spacing w:val="5"/>
    </w:rPr>
  </w:style>
  <w:style w:type="character" w:styleId="Hyperlink">
    <w:name w:val="Hyperlink"/>
    <w:basedOn w:val="DefaultParagraphFont"/>
    <w:uiPriority w:val="99"/>
    <w:unhideWhenUsed/>
    <w:rsid w:val="003A460D"/>
    <w:rPr>
      <w:color w:val="467886" w:themeColor="hyperlink"/>
      <w:u w:val="single"/>
    </w:rPr>
  </w:style>
  <w:style w:type="character" w:styleId="UnresolvedMention">
    <w:name w:val="Unresolved Mention"/>
    <w:basedOn w:val="DefaultParagraphFont"/>
    <w:uiPriority w:val="99"/>
    <w:semiHidden/>
    <w:unhideWhenUsed/>
    <w:rsid w:val="003A460D"/>
    <w:rPr>
      <w:color w:val="605E5C"/>
      <w:shd w:val="clear" w:color="auto" w:fill="E1DFDD"/>
    </w:rPr>
  </w:style>
  <w:style w:type="paragraph" w:styleId="NoSpacing">
    <w:name w:val="No Spacing"/>
    <w:link w:val="NoSpacingChar"/>
    <w:uiPriority w:val="1"/>
    <w:qFormat/>
    <w:rsid w:val="003A460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460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78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2.q4cdn.com/470004039/files/doc_earnings/2023/q4/filing/_10-K-Q4-2023-As-Filed.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2.q4cdn.com/470004039/files/doc_financials/2022/q4/_10-K-2022-(As-Filed).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17011B25A0471EBDFCDF0B6DF9CF44"/>
        <w:category>
          <w:name w:val="General"/>
          <w:gallery w:val="placeholder"/>
        </w:category>
        <w:types>
          <w:type w:val="bbPlcHdr"/>
        </w:types>
        <w:behaviors>
          <w:behavior w:val="content"/>
        </w:behaviors>
        <w:guid w:val="{A312469F-F3C9-468C-A4B6-E97B2B3E6937}"/>
      </w:docPartPr>
      <w:docPartBody>
        <w:p w:rsidR="00000000" w:rsidRDefault="00060BF6" w:rsidP="00060BF6">
          <w:pPr>
            <w:pStyle w:val="EE17011B25A0471EBDFCDF0B6DF9CF44"/>
          </w:pPr>
          <w:r>
            <w:rPr>
              <w:rFonts w:asciiTheme="majorHAnsi" w:eastAsiaTheme="majorEastAsia" w:hAnsiTheme="majorHAnsi" w:cstheme="majorBidi"/>
              <w:color w:val="156082" w:themeColor="accent1"/>
              <w:sz w:val="88"/>
              <w:szCs w:val="88"/>
            </w:rPr>
            <w:t>[Document title]</w:t>
          </w:r>
        </w:p>
      </w:docPartBody>
    </w:docPart>
    <w:docPart>
      <w:docPartPr>
        <w:name w:val="1545A0A7B281411396B785EA84A451BA"/>
        <w:category>
          <w:name w:val="General"/>
          <w:gallery w:val="placeholder"/>
        </w:category>
        <w:types>
          <w:type w:val="bbPlcHdr"/>
        </w:types>
        <w:behaviors>
          <w:behavior w:val="content"/>
        </w:behaviors>
        <w:guid w:val="{2FCA96BC-4862-4D8C-9786-BB6947568D42}"/>
      </w:docPartPr>
      <w:docPartBody>
        <w:p w:rsidR="00000000" w:rsidRDefault="00060BF6" w:rsidP="00060BF6">
          <w:pPr>
            <w:pStyle w:val="1545A0A7B281411396B785EA84A451BA"/>
          </w:pPr>
          <w:r>
            <w:rPr>
              <w:color w:val="156082" w:themeColor="accent1"/>
              <w:sz w:val="28"/>
              <w:szCs w:val="28"/>
            </w:rPr>
            <w:t>[Author name]</w:t>
          </w:r>
        </w:p>
      </w:docPartBody>
    </w:docPart>
    <w:docPart>
      <w:docPartPr>
        <w:name w:val="DBF862F98CA24E53833E916CC7CDFEDC"/>
        <w:category>
          <w:name w:val="General"/>
          <w:gallery w:val="placeholder"/>
        </w:category>
        <w:types>
          <w:type w:val="bbPlcHdr"/>
        </w:types>
        <w:behaviors>
          <w:behavior w:val="content"/>
        </w:behaviors>
        <w:guid w:val="{18717270-BA41-40A8-83A9-5DE89683F182}"/>
      </w:docPartPr>
      <w:docPartBody>
        <w:p w:rsidR="00000000" w:rsidRDefault="00060BF6" w:rsidP="00060BF6">
          <w:pPr>
            <w:pStyle w:val="DBF862F98CA24E53833E916CC7CDFEDC"/>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BF6"/>
    <w:rsid w:val="00060BF6"/>
    <w:rsid w:val="00894718"/>
    <w:rsid w:val="009C7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8A102E6E844344B16BBBFBA6A3AAD7">
    <w:name w:val="AB8A102E6E844344B16BBBFBA6A3AAD7"/>
    <w:rsid w:val="00060BF6"/>
  </w:style>
  <w:style w:type="paragraph" w:customStyle="1" w:styleId="EE17011B25A0471EBDFCDF0B6DF9CF44">
    <w:name w:val="EE17011B25A0471EBDFCDF0B6DF9CF44"/>
    <w:rsid w:val="00060BF6"/>
  </w:style>
  <w:style w:type="paragraph" w:customStyle="1" w:styleId="A7A0C25687F54E658934A5D147B18698">
    <w:name w:val="A7A0C25687F54E658934A5D147B18698"/>
    <w:rsid w:val="00060BF6"/>
  </w:style>
  <w:style w:type="paragraph" w:customStyle="1" w:styleId="1545A0A7B281411396B785EA84A451BA">
    <w:name w:val="1545A0A7B281411396B785EA84A451BA"/>
    <w:rsid w:val="00060BF6"/>
  </w:style>
  <w:style w:type="paragraph" w:customStyle="1" w:styleId="DBF862F98CA24E53833E916CC7CDFEDC">
    <w:name w:val="DBF862F98CA24E53833E916CC7CDFEDC"/>
    <w:rsid w:val="00060B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Financial Analysis</dc:title>
  <dc:subject/>
  <dc:creator>Student name: Daniel Boubatrin</dc:creator>
  <cp:keywords/>
  <dc:description/>
  <cp:lastModifiedBy>Mirabela Voican (1907947)</cp:lastModifiedBy>
  <cp:revision>1</cp:revision>
  <dcterms:created xsi:type="dcterms:W3CDTF">2025-04-11T13:23:00Z</dcterms:created>
  <dcterms:modified xsi:type="dcterms:W3CDTF">2025-04-11T14:04:00Z</dcterms:modified>
</cp:coreProperties>
</file>