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BD9AE" w14:textId="2BDDC78F" w:rsidR="00FC5524" w:rsidRDefault="00FC5524">
      <w:pPr>
        <w:rPr>
          <w:noProof/>
        </w:rPr>
      </w:pPr>
      <w:r>
        <w:rPr>
          <w:noProof/>
        </w:rPr>
        <w:drawing>
          <wp:inline distT="0" distB="0" distL="0" distR="0" wp14:anchorId="763D940F" wp14:editId="640CD1C2">
            <wp:extent cx="5829300" cy="2124075"/>
            <wp:effectExtent l="0" t="0" r="0" b="9525"/>
            <wp:docPr id="109665845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658452" name="Picture 1"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829300" cy="2124075"/>
                    </a:xfrm>
                    <a:prstGeom prst="rect">
                      <a:avLst/>
                    </a:prstGeom>
                  </pic:spPr>
                </pic:pic>
              </a:graphicData>
            </a:graphic>
          </wp:inline>
        </w:drawing>
      </w:r>
    </w:p>
    <w:p w14:paraId="493805D5" w14:textId="77777777" w:rsidR="00FC5524" w:rsidRDefault="00FC5524" w:rsidP="00FC5524">
      <w:pPr>
        <w:rPr>
          <w:noProof/>
        </w:rPr>
      </w:pPr>
    </w:p>
    <w:p w14:paraId="16780AD0" w14:textId="5605407E" w:rsidR="00FC5524" w:rsidRDefault="004F0EB0" w:rsidP="00FC5524">
      <w:pPr>
        <w:spacing w:before="100" w:beforeAutospacing="1" w:after="200" w:line="360" w:lineRule="auto"/>
        <w:jc w:val="center"/>
        <w:rPr>
          <w:rFonts w:ascii="Times New Roman" w:eastAsia="Calibri" w:hAnsi="Times New Roman" w:cs="Times New Roman"/>
          <w:b/>
          <w:bCs/>
          <w:kern w:val="0"/>
          <w:sz w:val="48"/>
          <w:szCs w:val="48"/>
          <w:u w:val="single"/>
          <w:lang w:eastAsia="en-GB"/>
          <w14:ligatures w14:val="none"/>
        </w:rPr>
      </w:pPr>
      <w:r>
        <w:rPr>
          <w:rFonts w:ascii="Times New Roman" w:eastAsia="Calibri" w:hAnsi="Times New Roman" w:cs="Times New Roman"/>
          <w:b/>
          <w:bCs/>
          <w:kern w:val="0"/>
          <w:sz w:val="48"/>
          <w:szCs w:val="48"/>
          <w:u w:val="single"/>
          <w:lang w:eastAsia="en-GB"/>
          <w14:ligatures w14:val="none"/>
        </w:rPr>
        <w:t>N</w:t>
      </w:r>
      <w:r w:rsidR="00FC5524">
        <w:rPr>
          <w:rFonts w:ascii="Times New Roman" w:eastAsia="Calibri" w:hAnsi="Times New Roman" w:cs="Times New Roman"/>
          <w:b/>
          <w:bCs/>
          <w:kern w:val="0"/>
          <w:sz w:val="48"/>
          <w:szCs w:val="48"/>
          <w:u w:val="single"/>
          <w:lang w:eastAsia="en-GB"/>
          <w14:ligatures w14:val="none"/>
        </w:rPr>
        <w:t xml:space="preserve">ame of the </w:t>
      </w:r>
      <w:proofErr w:type="gramStart"/>
      <w:r w:rsidR="00FC5524">
        <w:rPr>
          <w:rFonts w:ascii="Times New Roman" w:eastAsia="Calibri" w:hAnsi="Times New Roman" w:cs="Times New Roman"/>
          <w:b/>
          <w:bCs/>
          <w:kern w:val="0"/>
          <w:sz w:val="48"/>
          <w:szCs w:val="48"/>
          <w:u w:val="single"/>
          <w:lang w:eastAsia="en-GB"/>
          <w14:ligatures w14:val="none"/>
        </w:rPr>
        <w:t>assignment :</w:t>
      </w:r>
      <w:proofErr w:type="gramEnd"/>
      <w:r w:rsidR="00FC5524">
        <w:rPr>
          <w:rFonts w:ascii="Times New Roman" w:eastAsia="Calibri" w:hAnsi="Times New Roman" w:cs="Times New Roman"/>
          <w:b/>
          <w:bCs/>
          <w:kern w:val="0"/>
          <w:sz w:val="48"/>
          <w:szCs w:val="48"/>
          <w:u w:val="single"/>
          <w:lang w:eastAsia="en-GB"/>
          <w14:ligatures w14:val="none"/>
        </w:rPr>
        <w:t xml:space="preserve"> </w:t>
      </w:r>
      <w:r w:rsidR="00FC5524" w:rsidRPr="00FC5524">
        <w:rPr>
          <w:rFonts w:ascii="Times New Roman" w:eastAsia="Calibri" w:hAnsi="Times New Roman" w:cs="Times New Roman"/>
          <w:b/>
          <w:bCs/>
          <w:kern w:val="0"/>
          <w:sz w:val="48"/>
          <w:szCs w:val="48"/>
          <w:u w:val="single"/>
          <w:lang w:eastAsia="en-GB"/>
          <w14:ligatures w14:val="none"/>
        </w:rPr>
        <w:t xml:space="preserve">IMPERIAL BRANDS PLC </w:t>
      </w:r>
    </w:p>
    <w:p w14:paraId="62C3B198" w14:textId="77777777" w:rsidR="004F0EB0" w:rsidRDefault="004F0EB0" w:rsidP="00FC5524">
      <w:pPr>
        <w:spacing w:before="100" w:beforeAutospacing="1" w:after="200" w:line="360" w:lineRule="auto"/>
        <w:jc w:val="center"/>
        <w:rPr>
          <w:rFonts w:ascii="Times New Roman" w:eastAsia="Calibri" w:hAnsi="Times New Roman" w:cs="Times New Roman"/>
          <w:b/>
          <w:bCs/>
          <w:kern w:val="0"/>
          <w:sz w:val="48"/>
          <w:szCs w:val="48"/>
          <w:lang w:eastAsia="en-GB"/>
          <w14:ligatures w14:val="none"/>
        </w:rPr>
      </w:pPr>
    </w:p>
    <w:p w14:paraId="42C8999B" w14:textId="6CC7959C" w:rsidR="004F0EB0" w:rsidRDefault="004F0EB0" w:rsidP="00FC5524">
      <w:pPr>
        <w:spacing w:before="100" w:beforeAutospacing="1" w:after="200" w:line="360" w:lineRule="auto"/>
        <w:jc w:val="center"/>
        <w:rPr>
          <w:rFonts w:ascii="Times New Roman" w:eastAsia="Calibri" w:hAnsi="Times New Roman" w:cs="Times New Roman"/>
          <w:b/>
          <w:bCs/>
          <w:kern w:val="0"/>
          <w:sz w:val="48"/>
          <w:szCs w:val="48"/>
          <w:lang w:eastAsia="en-GB"/>
          <w14:ligatures w14:val="none"/>
        </w:rPr>
      </w:pPr>
      <w:r w:rsidRPr="004F0EB0">
        <w:rPr>
          <w:rFonts w:ascii="Times New Roman" w:eastAsia="Calibri" w:hAnsi="Times New Roman" w:cs="Times New Roman"/>
          <w:b/>
          <w:bCs/>
          <w:kern w:val="0"/>
          <w:sz w:val="36"/>
          <w:szCs w:val="36"/>
          <w:lang w:eastAsia="en-GB"/>
          <w14:ligatures w14:val="none"/>
        </w:rPr>
        <w:t>MODULE NAME: Finance for busines</w:t>
      </w:r>
      <w:r>
        <w:rPr>
          <w:rFonts w:ascii="Times New Roman" w:eastAsia="Calibri" w:hAnsi="Times New Roman" w:cs="Times New Roman"/>
          <w:b/>
          <w:bCs/>
          <w:kern w:val="0"/>
          <w:sz w:val="36"/>
          <w:szCs w:val="36"/>
          <w:lang w:eastAsia="en-GB"/>
          <w14:ligatures w14:val="none"/>
        </w:rPr>
        <w:t>s</w:t>
      </w:r>
      <w:r>
        <w:rPr>
          <w:rFonts w:ascii="Times New Roman" w:eastAsia="Calibri" w:hAnsi="Times New Roman" w:cs="Times New Roman"/>
          <w:b/>
          <w:bCs/>
          <w:kern w:val="0"/>
          <w:sz w:val="48"/>
          <w:szCs w:val="48"/>
          <w:lang w:eastAsia="en-GB"/>
          <w14:ligatures w14:val="none"/>
        </w:rPr>
        <w:t xml:space="preserve"> </w:t>
      </w:r>
      <w:r w:rsidRPr="004F0EB0">
        <w:rPr>
          <w:rFonts w:ascii="Times New Roman" w:eastAsia="Calibri" w:hAnsi="Times New Roman" w:cs="Times New Roman"/>
          <w:b/>
          <w:bCs/>
          <w:kern w:val="0"/>
          <w:sz w:val="36"/>
          <w:szCs w:val="36"/>
          <w:lang w:eastAsia="en-GB"/>
          <w14:ligatures w14:val="none"/>
        </w:rPr>
        <w:t>managers</w:t>
      </w:r>
    </w:p>
    <w:p w14:paraId="7F592278" w14:textId="77777777" w:rsidR="004F0EB0" w:rsidRDefault="004F0EB0" w:rsidP="00FC5524">
      <w:pPr>
        <w:spacing w:before="100" w:beforeAutospacing="1" w:after="200" w:line="360" w:lineRule="auto"/>
        <w:jc w:val="center"/>
        <w:rPr>
          <w:rFonts w:ascii="Times New Roman" w:eastAsia="Calibri" w:hAnsi="Times New Roman" w:cs="Times New Roman"/>
          <w:b/>
          <w:bCs/>
          <w:kern w:val="0"/>
          <w:sz w:val="48"/>
          <w:szCs w:val="48"/>
          <w:lang w:eastAsia="en-GB"/>
          <w14:ligatures w14:val="none"/>
        </w:rPr>
      </w:pPr>
    </w:p>
    <w:p w14:paraId="41BB4103" w14:textId="77777777" w:rsidR="004F0EB0" w:rsidRDefault="004F0EB0" w:rsidP="00FC5524">
      <w:pPr>
        <w:spacing w:before="100" w:beforeAutospacing="1" w:after="200" w:line="360" w:lineRule="auto"/>
        <w:jc w:val="center"/>
        <w:rPr>
          <w:rFonts w:ascii="Times New Roman" w:eastAsia="Calibri" w:hAnsi="Times New Roman" w:cs="Times New Roman"/>
          <w:b/>
          <w:bCs/>
          <w:kern w:val="0"/>
          <w:sz w:val="36"/>
          <w:szCs w:val="36"/>
          <w:lang w:eastAsia="en-GB"/>
          <w14:ligatures w14:val="none"/>
        </w:rPr>
      </w:pPr>
      <w:r>
        <w:rPr>
          <w:rFonts w:ascii="Times New Roman" w:eastAsia="Calibri" w:hAnsi="Times New Roman" w:cs="Times New Roman"/>
          <w:b/>
          <w:bCs/>
          <w:kern w:val="0"/>
          <w:sz w:val="36"/>
          <w:szCs w:val="36"/>
          <w:lang w:eastAsia="en-GB"/>
          <w14:ligatures w14:val="none"/>
        </w:rPr>
        <w:t xml:space="preserve">Module lecture </w:t>
      </w:r>
      <w:proofErr w:type="gramStart"/>
      <w:r>
        <w:rPr>
          <w:rFonts w:ascii="Times New Roman" w:eastAsia="Calibri" w:hAnsi="Times New Roman" w:cs="Times New Roman"/>
          <w:b/>
          <w:bCs/>
          <w:kern w:val="0"/>
          <w:sz w:val="36"/>
          <w:szCs w:val="36"/>
          <w:lang w:eastAsia="en-GB"/>
          <w14:ligatures w14:val="none"/>
        </w:rPr>
        <w:t>name :</w:t>
      </w:r>
      <w:proofErr w:type="gramEnd"/>
      <w:r>
        <w:rPr>
          <w:rFonts w:ascii="Times New Roman" w:eastAsia="Calibri" w:hAnsi="Times New Roman" w:cs="Times New Roman"/>
          <w:b/>
          <w:bCs/>
          <w:kern w:val="0"/>
          <w:sz w:val="36"/>
          <w:szCs w:val="36"/>
          <w:lang w:eastAsia="en-GB"/>
          <w14:ligatures w14:val="none"/>
        </w:rPr>
        <w:t xml:space="preserve"> Marie </w:t>
      </w:r>
      <w:proofErr w:type="spellStart"/>
      <w:r>
        <w:rPr>
          <w:rFonts w:ascii="Times New Roman" w:eastAsia="Calibri" w:hAnsi="Times New Roman" w:cs="Times New Roman"/>
          <w:b/>
          <w:bCs/>
          <w:kern w:val="0"/>
          <w:sz w:val="36"/>
          <w:szCs w:val="36"/>
          <w:lang w:eastAsia="en-GB"/>
          <w14:ligatures w14:val="none"/>
        </w:rPr>
        <w:t>pitson</w:t>
      </w:r>
      <w:proofErr w:type="spellEnd"/>
    </w:p>
    <w:p w14:paraId="74C34F2A" w14:textId="77777777" w:rsidR="004F0EB0" w:rsidRDefault="004F0EB0" w:rsidP="00FC5524">
      <w:pPr>
        <w:spacing w:before="100" w:beforeAutospacing="1" w:after="200" w:line="360" w:lineRule="auto"/>
        <w:jc w:val="center"/>
        <w:rPr>
          <w:rFonts w:ascii="Times New Roman" w:eastAsia="Calibri" w:hAnsi="Times New Roman" w:cs="Times New Roman"/>
          <w:b/>
          <w:bCs/>
          <w:kern w:val="0"/>
          <w:sz w:val="36"/>
          <w:szCs w:val="36"/>
          <w:lang w:eastAsia="en-GB"/>
          <w14:ligatures w14:val="none"/>
        </w:rPr>
      </w:pPr>
      <w:r>
        <w:rPr>
          <w:rFonts w:ascii="Times New Roman" w:eastAsia="Calibri" w:hAnsi="Times New Roman" w:cs="Times New Roman"/>
          <w:b/>
          <w:bCs/>
          <w:kern w:val="0"/>
          <w:sz w:val="36"/>
          <w:szCs w:val="36"/>
          <w:lang w:eastAsia="en-GB"/>
          <w14:ligatures w14:val="none"/>
        </w:rPr>
        <w:t xml:space="preserve">Module </w:t>
      </w:r>
      <w:proofErr w:type="gramStart"/>
      <w:r>
        <w:rPr>
          <w:rFonts w:ascii="Times New Roman" w:eastAsia="Calibri" w:hAnsi="Times New Roman" w:cs="Times New Roman"/>
          <w:b/>
          <w:bCs/>
          <w:kern w:val="0"/>
          <w:sz w:val="36"/>
          <w:szCs w:val="36"/>
          <w:lang w:eastAsia="en-GB"/>
          <w14:ligatures w14:val="none"/>
        </w:rPr>
        <w:t>code :</w:t>
      </w:r>
      <w:proofErr w:type="gramEnd"/>
      <w:r>
        <w:rPr>
          <w:rFonts w:ascii="Times New Roman" w:eastAsia="Calibri" w:hAnsi="Times New Roman" w:cs="Times New Roman"/>
          <w:b/>
          <w:bCs/>
          <w:kern w:val="0"/>
          <w:sz w:val="36"/>
          <w:szCs w:val="36"/>
          <w:lang w:eastAsia="en-GB"/>
          <w14:ligatures w14:val="none"/>
        </w:rPr>
        <w:t xml:space="preserve"> BMMB7005</w:t>
      </w:r>
    </w:p>
    <w:p w14:paraId="2CAB67E2" w14:textId="77777777" w:rsidR="004F0EB0" w:rsidRDefault="004F0EB0" w:rsidP="00FC5524">
      <w:pPr>
        <w:spacing w:before="100" w:beforeAutospacing="1" w:after="200" w:line="360" w:lineRule="auto"/>
        <w:jc w:val="center"/>
        <w:rPr>
          <w:rFonts w:ascii="Times New Roman" w:eastAsia="Calibri" w:hAnsi="Times New Roman" w:cs="Times New Roman"/>
          <w:b/>
          <w:bCs/>
          <w:kern w:val="0"/>
          <w:sz w:val="36"/>
          <w:szCs w:val="36"/>
          <w:lang w:eastAsia="en-GB"/>
          <w14:ligatures w14:val="none"/>
        </w:rPr>
      </w:pPr>
      <w:r>
        <w:rPr>
          <w:rFonts w:ascii="Times New Roman" w:eastAsia="Calibri" w:hAnsi="Times New Roman" w:cs="Times New Roman"/>
          <w:b/>
          <w:bCs/>
          <w:kern w:val="0"/>
          <w:sz w:val="36"/>
          <w:szCs w:val="36"/>
          <w:lang w:eastAsia="en-GB"/>
          <w14:ligatures w14:val="none"/>
        </w:rPr>
        <w:t xml:space="preserve">Word </w:t>
      </w:r>
      <w:proofErr w:type="gramStart"/>
      <w:r>
        <w:rPr>
          <w:rFonts w:ascii="Times New Roman" w:eastAsia="Calibri" w:hAnsi="Times New Roman" w:cs="Times New Roman"/>
          <w:b/>
          <w:bCs/>
          <w:kern w:val="0"/>
          <w:sz w:val="36"/>
          <w:szCs w:val="36"/>
          <w:lang w:eastAsia="en-GB"/>
          <w14:ligatures w14:val="none"/>
        </w:rPr>
        <w:t>count :</w:t>
      </w:r>
      <w:proofErr w:type="gramEnd"/>
      <w:r>
        <w:rPr>
          <w:rFonts w:ascii="Times New Roman" w:eastAsia="Calibri" w:hAnsi="Times New Roman" w:cs="Times New Roman"/>
          <w:b/>
          <w:bCs/>
          <w:kern w:val="0"/>
          <w:sz w:val="36"/>
          <w:szCs w:val="36"/>
          <w:lang w:eastAsia="en-GB"/>
          <w14:ligatures w14:val="none"/>
        </w:rPr>
        <w:t xml:space="preserve"> 5000</w:t>
      </w:r>
    </w:p>
    <w:p w14:paraId="5825EECA" w14:textId="77777777" w:rsidR="004F0EB0" w:rsidRDefault="004F0EB0" w:rsidP="004F0EB0">
      <w:pPr>
        <w:spacing w:before="100" w:beforeAutospacing="1" w:after="200" w:line="360" w:lineRule="auto"/>
        <w:rPr>
          <w:rFonts w:ascii="Times New Roman" w:eastAsia="Calibri" w:hAnsi="Times New Roman" w:cs="Times New Roman"/>
          <w:b/>
          <w:bCs/>
          <w:kern w:val="0"/>
          <w:sz w:val="36"/>
          <w:szCs w:val="36"/>
          <w:lang w:eastAsia="en-GB"/>
          <w14:ligatures w14:val="none"/>
        </w:rPr>
      </w:pPr>
      <w:proofErr w:type="gramStart"/>
      <w:r>
        <w:rPr>
          <w:rFonts w:ascii="Times New Roman" w:eastAsia="Calibri" w:hAnsi="Times New Roman" w:cs="Times New Roman"/>
          <w:b/>
          <w:bCs/>
          <w:kern w:val="0"/>
          <w:sz w:val="36"/>
          <w:szCs w:val="36"/>
          <w:lang w:eastAsia="en-GB"/>
          <w14:ligatures w14:val="none"/>
        </w:rPr>
        <w:t>Name :</w:t>
      </w:r>
      <w:proofErr w:type="gramEnd"/>
      <w:r>
        <w:rPr>
          <w:rFonts w:ascii="Times New Roman" w:eastAsia="Calibri" w:hAnsi="Times New Roman" w:cs="Times New Roman"/>
          <w:b/>
          <w:bCs/>
          <w:kern w:val="0"/>
          <w:sz w:val="36"/>
          <w:szCs w:val="36"/>
          <w:lang w:eastAsia="en-GB"/>
          <w14:ligatures w14:val="none"/>
        </w:rPr>
        <w:t xml:space="preserve"> </w:t>
      </w:r>
      <w:proofErr w:type="spellStart"/>
      <w:r>
        <w:rPr>
          <w:rFonts w:ascii="Times New Roman" w:eastAsia="Calibri" w:hAnsi="Times New Roman" w:cs="Times New Roman"/>
          <w:b/>
          <w:bCs/>
          <w:kern w:val="0"/>
          <w:sz w:val="36"/>
          <w:szCs w:val="36"/>
          <w:lang w:eastAsia="en-GB"/>
          <w14:ligatures w14:val="none"/>
        </w:rPr>
        <w:t>kothakapu</w:t>
      </w:r>
      <w:proofErr w:type="spellEnd"/>
      <w:r>
        <w:rPr>
          <w:rFonts w:ascii="Times New Roman" w:eastAsia="Calibri" w:hAnsi="Times New Roman" w:cs="Times New Roman"/>
          <w:b/>
          <w:bCs/>
          <w:kern w:val="0"/>
          <w:sz w:val="36"/>
          <w:szCs w:val="36"/>
          <w:lang w:eastAsia="en-GB"/>
          <w14:ligatures w14:val="none"/>
        </w:rPr>
        <w:t xml:space="preserve"> </w:t>
      </w:r>
      <w:proofErr w:type="spellStart"/>
      <w:r>
        <w:rPr>
          <w:rFonts w:ascii="Times New Roman" w:eastAsia="Calibri" w:hAnsi="Times New Roman" w:cs="Times New Roman"/>
          <w:b/>
          <w:bCs/>
          <w:kern w:val="0"/>
          <w:sz w:val="36"/>
          <w:szCs w:val="36"/>
          <w:lang w:eastAsia="en-GB"/>
          <w14:ligatures w14:val="none"/>
        </w:rPr>
        <w:t>varun</w:t>
      </w:r>
      <w:proofErr w:type="spellEnd"/>
      <w:r>
        <w:rPr>
          <w:rFonts w:ascii="Times New Roman" w:eastAsia="Calibri" w:hAnsi="Times New Roman" w:cs="Times New Roman"/>
          <w:b/>
          <w:bCs/>
          <w:kern w:val="0"/>
          <w:sz w:val="36"/>
          <w:szCs w:val="36"/>
          <w:lang w:eastAsia="en-GB"/>
          <w14:ligatures w14:val="none"/>
        </w:rPr>
        <w:t xml:space="preserve"> </w:t>
      </w:r>
      <w:proofErr w:type="spellStart"/>
      <w:r>
        <w:rPr>
          <w:rFonts w:ascii="Times New Roman" w:eastAsia="Calibri" w:hAnsi="Times New Roman" w:cs="Times New Roman"/>
          <w:b/>
          <w:bCs/>
          <w:kern w:val="0"/>
          <w:sz w:val="36"/>
          <w:szCs w:val="36"/>
          <w:lang w:eastAsia="en-GB"/>
          <w14:ligatures w14:val="none"/>
        </w:rPr>
        <w:t>kumar</w:t>
      </w:r>
      <w:proofErr w:type="spellEnd"/>
      <w:r>
        <w:rPr>
          <w:rFonts w:ascii="Times New Roman" w:eastAsia="Calibri" w:hAnsi="Times New Roman" w:cs="Times New Roman"/>
          <w:b/>
          <w:bCs/>
          <w:kern w:val="0"/>
          <w:sz w:val="36"/>
          <w:szCs w:val="36"/>
          <w:lang w:eastAsia="en-GB"/>
          <w14:ligatures w14:val="none"/>
        </w:rPr>
        <w:t xml:space="preserve"> </w:t>
      </w:r>
      <w:proofErr w:type="spellStart"/>
      <w:r>
        <w:rPr>
          <w:rFonts w:ascii="Times New Roman" w:eastAsia="Calibri" w:hAnsi="Times New Roman" w:cs="Times New Roman"/>
          <w:b/>
          <w:bCs/>
          <w:kern w:val="0"/>
          <w:sz w:val="36"/>
          <w:szCs w:val="36"/>
          <w:lang w:eastAsia="en-GB"/>
          <w14:ligatures w14:val="none"/>
        </w:rPr>
        <w:t>reddy</w:t>
      </w:r>
      <w:proofErr w:type="spellEnd"/>
    </w:p>
    <w:p w14:paraId="1BD78A37" w14:textId="779666F4" w:rsidR="00FC5524" w:rsidRPr="00FC5524" w:rsidRDefault="004F0EB0" w:rsidP="004F0EB0">
      <w:pPr>
        <w:spacing w:before="100" w:beforeAutospacing="1" w:after="200" w:line="360" w:lineRule="auto"/>
        <w:rPr>
          <w:rFonts w:ascii="Times New Roman" w:eastAsia="Calibri" w:hAnsi="Times New Roman" w:cs="Times New Roman"/>
          <w:b/>
          <w:bCs/>
          <w:kern w:val="0"/>
          <w:sz w:val="48"/>
          <w:szCs w:val="48"/>
          <w:u w:val="single"/>
          <w:lang w:eastAsia="en-GB"/>
          <w14:ligatures w14:val="none"/>
        </w:rPr>
      </w:pPr>
      <w:r>
        <w:rPr>
          <w:rFonts w:ascii="Times New Roman" w:eastAsia="Calibri" w:hAnsi="Times New Roman" w:cs="Times New Roman"/>
          <w:b/>
          <w:bCs/>
          <w:kern w:val="0"/>
          <w:sz w:val="36"/>
          <w:szCs w:val="36"/>
          <w:lang w:eastAsia="en-GB"/>
          <w14:ligatures w14:val="none"/>
        </w:rPr>
        <w:t>Student id :2416235</w:t>
      </w:r>
      <w:r w:rsidR="00FC5524" w:rsidRPr="00FC5524">
        <w:rPr>
          <w:rFonts w:ascii="Times New Roman" w:eastAsia="Calibri" w:hAnsi="Times New Roman" w:cs="Times New Roman"/>
          <w:b/>
          <w:bCs/>
          <w:kern w:val="0"/>
          <w:sz w:val="48"/>
          <w:szCs w:val="48"/>
          <w:u w:val="single"/>
          <w:lang w:eastAsia="en-GB"/>
          <w14:ligatures w14:val="none"/>
        </w:rPr>
        <w:br w:type="page"/>
      </w:r>
    </w:p>
    <w:p w14:paraId="36DE12A3" w14:textId="77777777" w:rsidR="00FC5524" w:rsidRPr="00FC5524" w:rsidRDefault="00FC5524" w:rsidP="00FC5524">
      <w:pPr>
        <w:keepNext/>
        <w:keepLines/>
        <w:widowControl w:val="0"/>
        <w:spacing w:before="480" w:after="0" w:line="273" w:lineRule="auto"/>
        <w:outlineLvl w:val="0"/>
        <w:rPr>
          <w:rFonts w:ascii="Cambria" w:eastAsia="SimSun" w:hAnsi="Cambria" w:cs="Times New Roman"/>
          <w:b/>
          <w:bCs/>
          <w:color w:val="366091"/>
          <w:kern w:val="36"/>
          <w:sz w:val="28"/>
          <w:szCs w:val="28"/>
          <w:lang w:eastAsia="en-GB"/>
          <w14:ligatures w14:val="none"/>
        </w:rPr>
      </w:pPr>
      <w:bookmarkStart w:id="0" w:name="_Toc203756896"/>
      <w:bookmarkEnd w:id="0"/>
      <w:r w:rsidRPr="00FC5524">
        <w:rPr>
          <w:rFonts w:ascii="Cambria" w:eastAsia="SimSun" w:hAnsi="Cambria" w:cs="Times New Roman"/>
          <w:b/>
          <w:bCs/>
          <w:color w:val="366091"/>
          <w:kern w:val="36"/>
          <w:sz w:val="28"/>
          <w:szCs w:val="28"/>
          <w:lang w:eastAsia="en-GB"/>
          <w14:ligatures w14:val="none"/>
        </w:rPr>
        <w:lastRenderedPageBreak/>
        <w:t>Executive summary</w:t>
      </w:r>
    </w:p>
    <w:p w14:paraId="007DB99B"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This report shows the analysis of the financial performance and investment decisions of Imperial Brands Plc. The profitability, gearing, liquidity, efficiency, and investor ratios are estimated for the two financial years 2024 and 2023. These ratios are checked to show important trends, the factors behind any changes, and to acknowledge the ratio analysis. These findings help the company to strengthen its financial management, work more efficiently, and achieve sustainable investor returns.  The company evaluates three investment options using the NPV technique, assuming a 6% cost of capital, which is shown in the appendix. An approximate Internal Rate of return for the recommended option is calculated. Some companies still use methods that don't include discounting and other non-financial factors that can affect investment choices. Finally, the report finds the best investment plan for Imperial Brands Plc when money is tight, so the money can get the highest total NPV.</w:t>
      </w:r>
    </w:p>
    <w:p w14:paraId="7246203C" w14:textId="77777777" w:rsidR="00FC5524" w:rsidRPr="00FC5524" w:rsidRDefault="00FC5524" w:rsidP="00FC5524">
      <w:pPr>
        <w:spacing w:before="100" w:beforeAutospacing="1" w:after="200" w:line="360" w:lineRule="auto"/>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br w:type="page"/>
      </w:r>
      <w:bookmarkStart w:id="1" w:name="_Toc203746031"/>
      <w:bookmarkEnd w:id="1"/>
    </w:p>
    <w:sdt>
      <w:sdtPr>
        <w:rPr>
          <w:rFonts w:ascii="Times New Roman" w:eastAsia="Times New Roman" w:hAnsi="Times New Roman" w:cs="Times New Roman"/>
          <w:kern w:val="0"/>
          <w:lang w:eastAsia="en-GB"/>
          <w14:ligatures w14:val="none"/>
        </w:rPr>
        <w:id w:val="-95253589"/>
        <w:docPartObj>
          <w:docPartGallery w:val="Custom Table of Contents"/>
        </w:docPartObj>
      </w:sdtPr>
      <w:sdtContent>
        <w:p w14:paraId="074F8F18" w14:textId="77777777" w:rsidR="00FC5524" w:rsidRPr="00FC5524" w:rsidRDefault="00FC5524" w:rsidP="00FC5524">
          <w:pPr>
            <w:keepNext/>
            <w:keepLines/>
            <w:widowControl w:val="0"/>
            <w:spacing w:before="240" w:after="0" w:line="256" w:lineRule="auto"/>
            <w:rPr>
              <w:rFonts w:ascii="Cambria" w:eastAsia="SimSun" w:hAnsi="Cambria" w:cs="Times New Roman"/>
              <w:color w:val="366091"/>
              <w:kern w:val="0"/>
              <w:sz w:val="32"/>
              <w:szCs w:val="32"/>
              <w:lang w:eastAsia="en-GB"/>
              <w14:ligatures w14:val="none"/>
            </w:rPr>
          </w:pPr>
          <w:r w:rsidRPr="00FC5524">
            <w:rPr>
              <w:rFonts w:ascii="Cambria" w:eastAsia="SimSun" w:hAnsi="Cambria" w:cs="Times New Roman"/>
              <w:color w:val="366091"/>
              <w:kern w:val="0"/>
              <w:sz w:val="32"/>
              <w:szCs w:val="32"/>
              <w:lang w:eastAsia="en-GB"/>
              <w14:ligatures w14:val="none"/>
            </w:rPr>
            <w:t>Contents</w:t>
          </w:r>
        </w:p>
        <w:p w14:paraId="12313CF3" w14:textId="77777777" w:rsidR="00FC5524" w:rsidRPr="00FC5524" w:rsidRDefault="00FC5524" w:rsidP="00FC5524">
          <w:pPr>
            <w:tabs>
              <w:tab w:val="right" w:leader="dot" w:pos="9350"/>
            </w:tabs>
            <w:spacing w:before="100" w:beforeAutospacing="1" w:after="100" w:line="273" w:lineRule="auto"/>
            <w:rPr>
              <w:rFonts w:ascii="Calibri" w:eastAsia="SimSun" w:hAnsi="Calibri" w:cs="Times New Roman"/>
              <w:lang w:eastAsia="en-GB"/>
              <w14:ligatures w14:val="none"/>
            </w:rPr>
          </w:pPr>
          <w:hyperlink r:id="rId6" w:anchor="_Toc203756896" w:history="1">
            <w:r w:rsidRPr="00FC5524">
              <w:rPr>
                <w:rFonts w:ascii="Calibri" w:eastAsia="Times New Roman" w:hAnsi="Calibri" w:cs="Times New Roman"/>
                <w:color w:val="0000FF"/>
                <w:kern w:val="0"/>
                <w:sz w:val="22"/>
                <w:szCs w:val="22"/>
                <w:u w:val="single"/>
                <w:lang w:eastAsia="en-GB"/>
                <w14:ligatures w14:val="none"/>
              </w:rPr>
              <w:t>Executive summary</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_Toc203756896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2</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05FBF6B8" w14:textId="77777777" w:rsidR="00FC5524" w:rsidRPr="00FC5524" w:rsidRDefault="00FC5524" w:rsidP="00FC5524">
          <w:pPr>
            <w:tabs>
              <w:tab w:val="right" w:leader="dot" w:pos="9350"/>
            </w:tabs>
            <w:spacing w:before="100" w:beforeAutospacing="1" w:after="100" w:line="273" w:lineRule="auto"/>
            <w:rPr>
              <w:rFonts w:ascii="Calibri" w:eastAsia="SimSun" w:hAnsi="Calibri" w:cs="Times New Roman"/>
              <w:lang w:eastAsia="en-GB"/>
              <w14:ligatures w14:val="none"/>
            </w:rPr>
          </w:pPr>
          <w:hyperlink r:id="rId7" w:anchor="_Toc203756897" w:history="1">
            <w:r w:rsidRPr="00FC5524">
              <w:rPr>
                <w:rFonts w:ascii="Calibri" w:eastAsia="Times New Roman" w:hAnsi="Calibri" w:cs="Times New Roman"/>
                <w:color w:val="0000FF"/>
                <w:kern w:val="0"/>
                <w:sz w:val="22"/>
                <w:szCs w:val="22"/>
                <w:u w:val="single"/>
                <w:lang w:eastAsia="en-GB"/>
                <w14:ligatures w14:val="none"/>
              </w:rPr>
              <w:t>Introduction</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_Toc203756897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4</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2E34AC6A" w14:textId="77777777" w:rsidR="00FC5524" w:rsidRPr="00FC5524" w:rsidRDefault="00FC5524" w:rsidP="00FC5524">
          <w:pPr>
            <w:tabs>
              <w:tab w:val="right" w:leader="dot" w:pos="9350"/>
            </w:tabs>
            <w:spacing w:before="100" w:beforeAutospacing="1" w:after="100" w:line="273" w:lineRule="auto"/>
            <w:rPr>
              <w:rFonts w:ascii="Calibri" w:eastAsia="SimSun" w:hAnsi="Calibri" w:cs="Times New Roman"/>
              <w:lang w:eastAsia="en-GB"/>
              <w14:ligatures w14:val="none"/>
            </w:rPr>
          </w:pPr>
          <w:hyperlink r:id="rId8" w:anchor="_Toc203756898" w:history="1">
            <w:r w:rsidRPr="00FC5524">
              <w:rPr>
                <w:rFonts w:ascii="Calibri" w:eastAsia="Times New Roman" w:hAnsi="Calibri" w:cs="Times New Roman"/>
                <w:color w:val="0000FF"/>
                <w:kern w:val="0"/>
                <w:sz w:val="22"/>
                <w:szCs w:val="22"/>
                <w:u w:val="single"/>
                <w:lang w:eastAsia="en-GB"/>
                <w14:ligatures w14:val="none"/>
              </w:rPr>
              <w:t>Part 1</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_Toc203756898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4</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35C7217F"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9" w:anchor="_Toc203756899" w:history="1">
            <w:r w:rsidRPr="00FC5524">
              <w:rPr>
                <w:rFonts w:ascii="Times New Roman" w:eastAsia="Calibri" w:hAnsi="Times New Roman" w:cs="Times New Roman"/>
                <w:color w:val="0000FF"/>
                <w:kern w:val="0"/>
                <w:sz w:val="22"/>
                <w:szCs w:val="22"/>
                <w:u w:val="single"/>
                <w:lang w:eastAsia="en-GB"/>
                <w14:ligatures w14:val="none"/>
              </w:rPr>
              <w:t>Computation of Profitability Ratios for financial year 2024 and 2023</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_Toc203756899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4</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335CC773"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10" w:anchor="_Toc203756900" w:history="1">
            <w:r w:rsidRPr="00FC5524">
              <w:rPr>
                <w:rFonts w:ascii="Times New Roman" w:eastAsia="Calibri" w:hAnsi="Times New Roman" w:cs="Times New Roman"/>
                <w:color w:val="0000FF"/>
                <w:kern w:val="0"/>
                <w:sz w:val="22"/>
                <w:szCs w:val="22"/>
                <w:u w:val="single"/>
                <w:lang w:eastAsia="en-GB"/>
                <w14:ligatures w14:val="none"/>
              </w:rPr>
              <w:t>Computation of Liquidity Ratios for financial year 2024 and 2023</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_Toc203756900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6</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095C571B"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11" w:anchor="_Toc203756901" w:history="1">
            <w:r w:rsidRPr="00FC5524">
              <w:rPr>
                <w:rFonts w:ascii="Times New Roman" w:eastAsia="Calibri" w:hAnsi="Times New Roman" w:cs="Times New Roman"/>
                <w:color w:val="0000FF"/>
                <w:kern w:val="0"/>
                <w:sz w:val="22"/>
                <w:szCs w:val="22"/>
                <w:u w:val="single"/>
                <w:lang w:eastAsia="en-GB"/>
                <w14:ligatures w14:val="none"/>
              </w:rPr>
              <w:t>Computation of Solvency Ratios for financial year 2024 and 2023</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_Toc203756901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7</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36864F7F"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12" w:anchor="_Toc203756902" w:history="1">
            <w:r w:rsidRPr="00FC5524">
              <w:rPr>
                <w:rFonts w:ascii="Times New Roman" w:eastAsia="Calibri" w:hAnsi="Times New Roman" w:cs="Times New Roman"/>
                <w:color w:val="0000FF"/>
                <w:kern w:val="0"/>
                <w:sz w:val="22"/>
                <w:szCs w:val="22"/>
                <w:u w:val="single"/>
                <w:lang w:eastAsia="en-GB"/>
                <w14:ligatures w14:val="none"/>
              </w:rPr>
              <w:t>Computation of Efficiency Ratios for financial year 2024 and 2023</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_Toc203756902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9</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59A486D0"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13" w:anchor="_Toc203756903" w:history="1">
            <w:r w:rsidRPr="00FC5524">
              <w:rPr>
                <w:rFonts w:ascii="Times New Roman" w:eastAsia="Calibri" w:hAnsi="Times New Roman" w:cs="Times New Roman"/>
                <w:color w:val="0000FF"/>
                <w:kern w:val="0"/>
                <w:sz w:val="22"/>
                <w:szCs w:val="22"/>
                <w:u w:val="single"/>
                <w:lang w:eastAsia="en-GB"/>
                <w14:ligatures w14:val="none"/>
              </w:rPr>
              <w:t>Computation of Investment Ratios for financial year 2024 and 2023</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_Toc203756903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10</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17D4C4F0"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14" w:anchor="_Toc203756904" w:history="1">
            <w:r w:rsidRPr="00FC5524">
              <w:rPr>
                <w:rFonts w:ascii="Times New Roman" w:eastAsia="Calibri" w:hAnsi="Times New Roman" w:cs="Times New Roman"/>
                <w:color w:val="0000FF"/>
                <w:kern w:val="0"/>
                <w:sz w:val="22"/>
                <w:szCs w:val="22"/>
                <w:u w:val="single"/>
                <w:lang w:eastAsia="en-GB"/>
                <w14:ligatures w14:val="none"/>
              </w:rPr>
              <w:t>Limitations of Ratio Analysis</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_Toc203756904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10</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5893E9D4"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15" w:anchor="_Toc203756905" w:history="1">
            <w:r w:rsidRPr="00FC5524">
              <w:rPr>
                <w:rFonts w:ascii="Times New Roman" w:eastAsia="Calibri" w:hAnsi="Times New Roman" w:cs="Times New Roman"/>
                <w:color w:val="0000FF"/>
                <w:kern w:val="0"/>
                <w:sz w:val="22"/>
                <w:szCs w:val="22"/>
                <w:u w:val="single"/>
                <w:lang w:eastAsia="en-GB"/>
                <w14:ligatures w14:val="none"/>
              </w:rPr>
              <w:t>Recommendation</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_Toc203756905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11</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3D7E3E29"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16" w:anchor="_Toc203756906" w:history="1">
            <w:r w:rsidRPr="00FC5524">
              <w:rPr>
                <w:rFonts w:ascii="Times New Roman" w:eastAsia="Calibri" w:hAnsi="Times New Roman" w:cs="Times New Roman"/>
                <w:color w:val="0000FF"/>
                <w:kern w:val="0"/>
                <w:sz w:val="22"/>
                <w:szCs w:val="22"/>
                <w:u w:val="single"/>
                <w:lang w:eastAsia="en-GB"/>
                <w14:ligatures w14:val="none"/>
              </w:rPr>
              <w:t>Conclusion</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_Toc203756906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12</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2F238410" w14:textId="77777777" w:rsidR="00FC5524" w:rsidRPr="00FC5524" w:rsidRDefault="00FC5524" w:rsidP="00FC5524">
          <w:pPr>
            <w:tabs>
              <w:tab w:val="right" w:leader="dot" w:pos="9350"/>
            </w:tabs>
            <w:spacing w:before="100" w:beforeAutospacing="1" w:after="100" w:line="273" w:lineRule="auto"/>
            <w:rPr>
              <w:rFonts w:ascii="Calibri" w:eastAsia="SimSun" w:hAnsi="Calibri" w:cs="Times New Roman"/>
              <w:lang w:eastAsia="en-GB"/>
              <w14:ligatures w14:val="none"/>
            </w:rPr>
          </w:pPr>
          <w:hyperlink r:id="rId17" w:anchor="_Toc203756907" w:history="1">
            <w:r w:rsidRPr="00FC5524">
              <w:rPr>
                <w:rFonts w:ascii="Calibri" w:eastAsia="Times New Roman" w:hAnsi="Calibri" w:cs="Times New Roman"/>
                <w:color w:val="0000FF"/>
                <w:kern w:val="0"/>
                <w:sz w:val="22"/>
                <w:szCs w:val="22"/>
                <w:u w:val="single"/>
                <w:lang w:eastAsia="en-GB"/>
                <w14:ligatures w14:val="none"/>
              </w:rPr>
              <w:t>Part 2</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_Toc203756907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12</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008E1323"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18" w:anchor="_Toc203756908" w:history="1">
            <w:r w:rsidRPr="00FC5524">
              <w:rPr>
                <w:rFonts w:ascii="Times New Roman" w:eastAsia="Calibri" w:hAnsi="Times New Roman" w:cs="Times New Roman"/>
                <w:color w:val="0000FF"/>
                <w:kern w:val="0"/>
                <w:sz w:val="22"/>
                <w:szCs w:val="22"/>
                <w:u w:val="single"/>
                <w:lang w:eastAsia="en-GB"/>
                <w14:ligatures w14:val="none"/>
              </w:rPr>
              <w:t>Solution a</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_Toc203756908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12</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6580D777" w14:textId="77777777" w:rsidR="00FC5524" w:rsidRPr="00FC5524" w:rsidRDefault="00FC5524" w:rsidP="00FC5524">
          <w:pPr>
            <w:tabs>
              <w:tab w:val="right" w:leader="dot" w:pos="9350"/>
            </w:tabs>
            <w:spacing w:before="100" w:beforeAutospacing="1" w:after="100" w:line="273" w:lineRule="auto"/>
            <w:ind w:left="440"/>
            <w:rPr>
              <w:rFonts w:ascii="Calibri" w:eastAsia="SimSun" w:hAnsi="Calibri" w:cs="Times New Roman"/>
              <w:lang w:eastAsia="en-GB"/>
              <w14:ligatures w14:val="none"/>
            </w:rPr>
          </w:pPr>
          <w:hyperlink r:id="rId19" w:anchor="_Toc203756909" w:history="1">
            <w:r w:rsidRPr="00FC5524">
              <w:rPr>
                <w:rFonts w:ascii="Calibri" w:eastAsia="Times New Roman" w:hAnsi="Calibri" w:cs="Times New Roman"/>
                <w:color w:val="0000FF"/>
                <w:kern w:val="0"/>
                <w:sz w:val="22"/>
                <w:szCs w:val="22"/>
                <w:u w:val="single"/>
                <w:lang w:eastAsia="en-GB"/>
                <w14:ligatures w14:val="none"/>
              </w:rPr>
              <w:t>Model A: Expansion of its Flourishing retail outlet to include all products</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_Toc203756909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12</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1AD6E173" w14:textId="77777777" w:rsidR="00FC5524" w:rsidRPr="00FC5524" w:rsidRDefault="00FC5524" w:rsidP="00FC5524">
          <w:pPr>
            <w:tabs>
              <w:tab w:val="right" w:leader="dot" w:pos="9350"/>
            </w:tabs>
            <w:spacing w:before="100" w:beforeAutospacing="1" w:after="100" w:line="273" w:lineRule="auto"/>
            <w:ind w:left="440"/>
            <w:rPr>
              <w:rFonts w:ascii="Calibri" w:eastAsia="SimSun" w:hAnsi="Calibri" w:cs="Times New Roman"/>
              <w:lang w:eastAsia="en-GB"/>
              <w14:ligatures w14:val="none"/>
            </w:rPr>
          </w:pPr>
          <w:hyperlink r:id="rId20" w:anchor="_Toc203756910" w:history="1">
            <w:r w:rsidRPr="00FC5524">
              <w:rPr>
                <w:rFonts w:ascii="Calibri" w:eastAsia="Times New Roman" w:hAnsi="Calibri" w:cs="Times New Roman"/>
                <w:color w:val="0000FF"/>
                <w:kern w:val="0"/>
                <w:sz w:val="22"/>
                <w:szCs w:val="22"/>
                <w:u w:val="single"/>
                <w:lang w:eastAsia="en-GB"/>
                <w14:ligatures w14:val="none"/>
              </w:rPr>
              <w:t>Model B: Development into internet sales</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_Toc203756910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13</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4093C953" w14:textId="77777777" w:rsidR="00FC5524" w:rsidRPr="00FC5524" w:rsidRDefault="00FC5524" w:rsidP="00FC5524">
          <w:pPr>
            <w:tabs>
              <w:tab w:val="right" w:leader="dot" w:pos="9350"/>
            </w:tabs>
            <w:spacing w:before="100" w:beforeAutospacing="1" w:after="100" w:line="273" w:lineRule="auto"/>
            <w:ind w:left="440"/>
            <w:rPr>
              <w:rFonts w:ascii="Calibri" w:eastAsia="SimSun" w:hAnsi="Calibri" w:cs="Times New Roman"/>
              <w:lang w:eastAsia="en-GB"/>
              <w14:ligatures w14:val="none"/>
            </w:rPr>
          </w:pPr>
          <w:hyperlink r:id="rId21" w:anchor="_Toc203756911" w:history="1">
            <w:r w:rsidRPr="00FC5524">
              <w:rPr>
                <w:rFonts w:ascii="Calibri" w:eastAsia="Times New Roman" w:hAnsi="Calibri" w:cs="Times New Roman"/>
                <w:color w:val="0000FF"/>
                <w:kern w:val="0"/>
                <w:sz w:val="22"/>
                <w:szCs w:val="22"/>
                <w:u w:val="single"/>
                <w:lang w:eastAsia="en-GB"/>
                <w14:ligatures w14:val="none"/>
              </w:rPr>
              <w:t>Model C: Production of Curtain and Roman Blinds</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_Toc203756911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14</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009F591C"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22" w:anchor="_Toc203756912" w:history="1">
            <w:r w:rsidRPr="00FC5524">
              <w:rPr>
                <w:rFonts w:ascii="Times New Roman" w:eastAsia="Calibri" w:hAnsi="Times New Roman" w:cs="Times New Roman"/>
                <w:color w:val="0000FF"/>
                <w:kern w:val="0"/>
                <w:sz w:val="22"/>
                <w:szCs w:val="22"/>
                <w:u w:val="single"/>
                <w:lang w:eastAsia="en-GB"/>
                <w14:ligatures w14:val="none"/>
              </w:rPr>
              <w:t>Solution b</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_Toc203756912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15</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7C2A467C" w14:textId="77777777" w:rsidR="00FC5524" w:rsidRPr="00FC5524" w:rsidRDefault="00FC5524" w:rsidP="00FC5524">
          <w:pPr>
            <w:tabs>
              <w:tab w:val="right" w:leader="dot" w:pos="9350"/>
            </w:tabs>
            <w:spacing w:before="100" w:beforeAutospacing="1" w:after="100" w:line="273" w:lineRule="auto"/>
            <w:ind w:left="440"/>
            <w:rPr>
              <w:rFonts w:ascii="Calibri" w:eastAsia="SimSun" w:hAnsi="Calibri" w:cs="Times New Roman"/>
              <w:lang w:eastAsia="en-GB"/>
              <w14:ligatures w14:val="none"/>
            </w:rPr>
          </w:pPr>
          <w:hyperlink r:id="rId23" w:anchor="_Toc203756913" w:history="1">
            <w:r w:rsidRPr="00FC5524">
              <w:rPr>
                <w:rFonts w:ascii="Calibri" w:eastAsia="Times New Roman" w:hAnsi="Calibri" w:cs="Times New Roman"/>
                <w:color w:val="0000FF"/>
                <w:kern w:val="0"/>
                <w:sz w:val="22"/>
                <w:szCs w:val="22"/>
                <w:u w:val="single"/>
                <w:lang w:eastAsia="en-GB"/>
                <w14:ligatures w14:val="none"/>
              </w:rPr>
              <w:t>Model A</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_Toc203756913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15</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7CDEEF8A" w14:textId="77777777" w:rsidR="00FC5524" w:rsidRPr="00FC5524" w:rsidRDefault="00FC5524" w:rsidP="00FC5524">
          <w:pPr>
            <w:tabs>
              <w:tab w:val="right" w:leader="dot" w:pos="9350"/>
            </w:tabs>
            <w:spacing w:before="100" w:beforeAutospacing="1" w:after="100" w:line="273" w:lineRule="auto"/>
            <w:ind w:left="440"/>
            <w:rPr>
              <w:rFonts w:ascii="Calibri" w:eastAsia="SimSun" w:hAnsi="Calibri" w:cs="Times New Roman"/>
              <w:lang w:eastAsia="en-GB"/>
              <w14:ligatures w14:val="none"/>
            </w:rPr>
          </w:pPr>
          <w:hyperlink r:id="rId24" w:anchor="_Toc203756914" w:history="1">
            <w:r w:rsidRPr="00FC5524">
              <w:rPr>
                <w:rFonts w:ascii="Calibri" w:eastAsia="Times New Roman" w:hAnsi="Calibri" w:cs="Times New Roman"/>
                <w:color w:val="0000FF"/>
                <w:kern w:val="0"/>
                <w:sz w:val="22"/>
                <w:szCs w:val="22"/>
                <w:u w:val="single"/>
                <w:lang w:eastAsia="en-GB"/>
                <w14:ligatures w14:val="none"/>
              </w:rPr>
              <w:t>Model B</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_Toc203756914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16</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0F988D7A" w14:textId="77777777" w:rsidR="00FC5524" w:rsidRPr="00FC5524" w:rsidRDefault="00FC5524" w:rsidP="00FC5524">
          <w:pPr>
            <w:tabs>
              <w:tab w:val="right" w:leader="dot" w:pos="9350"/>
            </w:tabs>
            <w:spacing w:before="100" w:beforeAutospacing="1" w:after="100" w:line="273" w:lineRule="auto"/>
            <w:ind w:left="440"/>
            <w:rPr>
              <w:rFonts w:ascii="Calibri" w:eastAsia="SimSun" w:hAnsi="Calibri" w:cs="Times New Roman"/>
              <w:lang w:eastAsia="en-GB"/>
              <w14:ligatures w14:val="none"/>
            </w:rPr>
          </w:pPr>
          <w:hyperlink r:id="rId25" w:anchor="_Toc203756915" w:history="1">
            <w:r w:rsidRPr="00FC5524">
              <w:rPr>
                <w:rFonts w:ascii="Calibri" w:eastAsia="Times New Roman" w:hAnsi="Calibri" w:cs="Times New Roman"/>
                <w:color w:val="0000FF"/>
                <w:kern w:val="0"/>
                <w:sz w:val="22"/>
                <w:szCs w:val="22"/>
                <w:u w:val="single"/>
                <w:lang w:eastAsia="en-GB"/>
                <w14:ligatures w14:val="none"/>
              </w:rPr>
              <w:t>Model C</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_Toc203756915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16</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6A783D09"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26" w:anchor="_Toc203756916" w:history="1">
            <w:r w:rsidRPr="00FC5524">
              <w:rPr>
                <w:rFonts w:ascii="Times New Roman" w:eastAsia="Calibri" w:hAnsi="Times New Roman" w:cs="Times New Roman"/>
                <w:color w:val="0000FF"/>
                <w:kern w:val="0"/>
                <w:sz w:val="22"/>
                <w:szCs w:val="22"/>
                <w:u w:val="single"/>
                <w:lang w:eastAsia="en-GB"/>
                <w14:ligatures w14:val="none"/>
              </w:rPr>
              <w:t>Solution c</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_Toc203756916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17</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21CA798F"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27" w:anchor="_Toc203756917" w:history="1">
            <w:r w:rsidRPr="00FC5524">
              <w:rPr>
                <w:rFonts w:ascii="Calibri" w:eastAsia="Times New Roman" w:hAnsi="Calibri" w:cs="Times New Roman"/>
                <w:color w:val="0000FF"/>
                <w:kern w:val="0"/>
                <w:sz w:val="22"/>
                <w:szCs w:val="22"/>
                <w:u w:val="single"/>
                <w:lang w:eastAsia="en-GB"/>
                <w14:ligatures w14:val="none"/>
              </w:rPr>
              <w:t xml:space="preserve">Answer </w:t>
            </w:r>
            <w:proofErr w:type="spellStart"/>
            <w:r w:rsidRPr="00FC5524">
              <w:rPr>
                <w:rFonts w:ascii="Calibri" w:eastAsia="Times New Roman" w:hAnsi="Calibri" w:cs="Times New Roman"/>
                <w:color w:val="0000FF"/>
                <w:kern w:val="0"/>
                <w:sz w:val="22"/>
                <w:szCs w:val="22"/>
                <w:u w:val="single"/>
                <w:lang w:eastAsia="en-GB"/>
                <w14:ligatures w14:val="none"/>
              </w:rPr>
              <w:t>i</w:t>
            </w:r>
            <w:proofErr w:type="spellEnd"/>
            <w:r w:rsidRPr="00FC5524">
              <w:rPr>
                <w:rFonts w:ascii="Calibri" w:eastAsia="Times New Roman" w:hAnsi="Calibri" w:cs="Times New Roman"/>
                <w:color w:val="0000FF"/>
                <w:kern w:val="0"/>
                <w:sz w:val="22"/>
                <w:szCs w:val="22"/>
                <w:u w:val="single"/>
                <w:lang w:eastAsia="en-GB"/>
                <w14:ligatures w14:val="none"/>
              </w:rPr>
              <w:t>)</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_Toc203756917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17</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6FA61D04"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28" w:anchor="_Toc203756918" w:history="1">
            <w:r w:rsidRPr="00FC5524">
              <w:rPr>
                <w:rFonts w:ascii="Calibri" w:eastAsia="Times New Roman" w:hAnsi="Calibri" w:cs="Times New Roman"/>
                <w:color w:val="0000FF"/>
                <w:kern w:val="0"/>
                <w:sz w:val="22"/>
                <w:szCs w:val="22"/>
                <w:u w:val="single"/>
                <w:lang w:eastAsia="en-GB"/>
                <w14:ligatures w14:val="none"/>
              </w:rPr>
              <w:t>Answer ii)</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_Toc203756918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17</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52B419E3"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29" w:anchor="_Toc203756919" w:history="1">
            <w:r w:rsidRPr="00FC5524">
              <w:rPr>
                <w:rFonts w:ascii="Calibri" w:eastAsia="Times New Roman" w:hAnsi="Calibri" w:cs="Times New Roman"/>
                <w:color w:val="0000FF"/>
                <w:kern w:val="0"/>
                <w:sz w:val="22"/>
                <w:szCs w:val="22"/>
                <w:u w:val="single"/>
                <w:lang w:eastAsia="en-GB"/>
                <w14:ligatures w14:val="none"/>
              </w:rPr>
              <w:t>Answer iii)</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_Toc203756919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18</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625207FB" w14:textId="77777777" w:rsidR="00FC5524" w:rsidRPr="00FC5524" w:rsidRDefault="00FC5524" w:rsidP="00FC5524">
          <w:pPr>
            <w:tabs>
              <w:tab w:val="right" w:leader="dot" w:pos="9350"/>
            </w:tabs>
            <w:spacing w:before="100" w:beforeAutospacing="1" w:after="100" w:line="273" w:lineRule="auto"/>
            <w:ind w:left="220"/>
            <w:rPr>
              <w:rFonts w:ascii="Calibri" w:eastAsia="SimSun" w:hAnsi="Calibri" w:cs="Times New Roman"/>
              <w:lang w:eastAsia="en-GB"/>
              <w14:ligatures w14:val="none"/>
            </w:rPr>
          </w:pPr>
          <w:hyperlink r:id="rId30" w:anchor="_Toc203756920" w:history="1">
            <w:r w:rsidRPr="00FC5524">
              <w:rPr>
                <w:rFonts w:ascii="Times New Roman" w:eastAsia="Calibri" w:hAnsi="Times New Roman" w:cs="Times New Roman"/>
                <w:color w:val="0000FF"/>
                <w:kern w:val="0"/>
                <w:sz w:val="22"/>
                <w:szCs w:val="22"/>
                <w:u w:val="single"/>
                <w:lang w:eastAsia="en-GB"/>
                <w14:ligatures w14:val="none"/>
              </w:rPr>
              <w:t>Solution d</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_Toc203756920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19</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00092551" w14:textId="77777777" w:rsidR="00FC5524" w:rsidRPr="00FC5524" w:rsidRDefault="00FC5524" w:rsidP="00FC5524">
          <w:pPr>
            <w:tabs>
              <w:tab w:val="right" w:leader="dot" w:pos="9350"/>
            </w:tabs>
            <w:spacing w:before="100" w:beforeAutospacing="1" w:after="100" w:line="273" w:lineRule="auto"/>
            <w:ind w:left="440"/>
            <w:rPr>
              <w:rFonts w:ascii="Calibri" w:eastAsia="SimSun" w:hAnsi="Calibri" w:cs="Times New Roman"/>
              <w:lang w:eastAsia="en-GB"/>
              <w14:ligatures w14:val="none"/>
            </w:rPr>
          </w:pPr>
          <w:hyperlink r:id="rId31" w:anchor="_Toc203756921" w:history="1">
            <w:r w:rsidRPr="00FC5524">
              <w:rPr>
                <w:rFonts w:ascii="Calibri" w:eastAsia="Times New Roman" w:hAnsi="Calibri" w:cs="Times New Roman"/>
                <w:color w:val="0000FF"/>
                <w:kern w:val="0"/>
                <w:sz w:val="22"/>
                <w:szCs w:val="22"/>
                <w:u w:val="single"/>
                <w:lang w:eastAsia="en-GB"/>
                <w14:ligatures w14:val="none"/>
              </w:rPr>
              <w:t>Step 1: Calculation of Profitability Index for each method</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_Toc203756921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20</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79E954F0" w14:textId="77777777" w:rsidR="00FC5524" w:rsidRPr="00FC5524" w:rsidRDefault="00FC5524" w:rsidP="00FC5524">
          <w:pPr>
            <w:tabs>
              <w:tab w:val="right" w:leader="dot" w:pos="9350"/>
            </w:tabs>
            <w:spacing w:before="100" w:beforeAutospacing="1" w:after="100" w:line="273" w:lineRule="auto"/>
            <w:ind w:left="440"/>
            <w:rPr>
              <w:rFonts w:ascii="Calibri" w:eastAsia="SimSun" w:hAnsi="Calibri" w:cs="Times New Roman"/>
              <w:lang w:eastAsia="en-GB"/>
              <w14:ligatures w14:val="none"/>
            </w:rPr>
          </w:pPr>
          <w:hyperlink r:id="rId32" w:anchor="_Toc203756922" w:history="1">
            <w:r w:rsidRPr="00FC5524">
              <w:rPr>
                <w:rFonts w:ascii="Calibri" w:eastAsia="Times New Roman" w:hAnsi="Calibri" w:cs="Times New Roman"/>
                <w:color w:val="0000FF"/>
                <w:kern w:val="0"/>
                <w:sz w:val="22"/>
                <w:szCs w:val="22"/>
                <w:u w:val="single"/>
                <w:lang w:eastAsia="en-GB"/>
                <w14:ligatures w14:val="none"/>
              </w:rPr>
              <w:t>Step 2: From the above ranking process, the funds have been allocated accordingly, which are as follows:</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_Toc203756922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20</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076C6418" w14:textId="77777777" w:rsidR="00FC5524" w:rsidRPr="00FC5524" w:rsidRDefault="00FC5524" w:rsidP="00FC5524">
          <w:pPr>
            <w:tabs>
              <w:tab w:val="right" w:leader="dot" w:pos="9350"/>
            </w:tabs>
            <w:spacing w:before="100" w:beforeAutospacing="1" w:after="100" w:line="273" w:lineRule="auto"/>
            <w:rPr>
              <w:rFonts w:ascii="Calibri" w:eastAsia="SimSun" w:hAnsi="Calibri" w:cs="Times New Roman"/>
              <w:lang w:eastAsia="en-GB"/>
              <w14:ligatures w14:val="none"/>
            </w:rPr>
          </w:pPr>
          <w:hyperlink r:id="rId33" w:anchor="_Toc203756923" w:history="1">
            <w:r w:rsidRPr="00FC5524">
              <w:rPr>
                <w:rFonts w:ascii="Calibri" w:eastAsia="Times New Roman" w:hAnsi="Calibri" w:cs="Times New Roman"/>
                <w:color w:val="0000FF"/>
                <w:kern w:val="0"/>
                <w:sz w:val="22"/>
                <w:szCs w:val="22"/>
                <w:u w:val="single"/>
                <w:lang w:eastAsia="en-GB"/>
                <w14:ligatures w14:val="none"/>
              </w:rPr>
              <w:t>Conclusion</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_Toc203756923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21</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64489301" w14:textId="77777777" w:rsidR="00FC5524" w:rsidRPr="00FC5524" w:rsidRDefault="00FC5524" w:rsidP="00FC5524">
          <w:pPr>
            <w:tabs>
              <w:tab w:val="right" w:leader="dot" w:pos="9350"/>
            </w:tabs>
            <w:spacing w:before="100" w:beforeAutospacing="1" w:after="100" w:line="273" w:lineRule="auto"/>
            <w:rPr>
              <w:rFonts w:ascii="Calibri" w:eastAsia="SimSun" w:hAnsi="Calibri" w:cs="Times New Roman"/>
              <w:lang w:eastAsia="en-GB"/>
              <w14:ligatures w14:val="none"/>
            </w:rPr>
          </w:pPr>
          <w:hyperlink r:id="rId34" w:anchor="_Toc203756924" w:history="1">
            <w:r w:rsidRPr="00FC5524">
              <w:rPr>
                <w:rFonts w:ascii="Calibri" w:eastAsia="Times New Roman" w:hAnsi="Calibri" w:cs="Times New Roman"/>
                <w:color w:val="0000FF"/>
                <w:kern w:val="0"/>
                <w:sz w:val="22"/>
                <w:szCs w:val="22"/>
                <w:u w:val="single"/>
                <w:lang w:eastAsia="en-GB"/>
                <w14:ligatures w14:val="none"/>
              </w:rPr>
              <w:t>References</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_Toc203756924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22</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4F3C8699" w14:textId="77777777" w:rsidR="00FC5524" w:rsidRPr="00FC5524" w:rsidRDefault="00FC5524" w:rsidP="00FC5524">
          <w:pPr>
            <w:tabs>
              <w:tab w:val="right" w:leader="dot" w:pos="9350"/>
            </w:tabs>
            <w:spacing w:before="100" w:beforeAutospacing="1" w:after="100" w:line="273" w:lineRule="auto"/>
            <w:rPr>
              <w:rFonts w:ascii="Calibri" w:eastAsia="SimSun" w:hAnsi="Calibri" w:cs="Times New Roman"/>
              <w:lang w:eastAsia="en-GB"/>
              <w14:ligatures w14:val="none"/>
            </w:rPr>
          </w:pPr>
          <w:hyperlink r:id="rId35" w:anchor="_Toc203756925" w:history="1">
            <w:r w:rsidRPr="00FC5524">
              <w:rPr>
                <w:rFonts w:ascii="Calibri" w:eastAsia="Times New Roman" w:hAnsi="Calibri" w:cs="Times New Roman"/>
                <w:color w:val="0000FF"/>
                <w:kern w:val="0"/>
                <w:sz w:val="22"/>
                <w:szCs w:val="22"/>
                <w:u w:val="single"/>
                <w:shd w:val="clear" w:color="auto" w:fill="FFFFFF"/>
                <w:lang w:eastAsia="en-GB"/>
                <w14:ligatures w14:val="none"/>
              </w:rPr>
              <w:t>Appendices</w:t>
            </w:r>
            <w:r w:rsidRPr="00FC5524">
              <w:rPr>
                <w:rFonts w:ascii="Calibri" w:eastAsia="Times New Roman" w:hAnsi="Calibri" w:cs="Times New Roman"/>
                <w:color w:val="0000FF"/>
                <w:kern w:val="0"/>
                <w:sz w:val="22"/>
                <w:szCs w:val="22"/>
                <w:u w:val="single"/>
                <w:lang w:eastAsia="en-GB"/>
                <w14:ligatures w14:val="none"/>
              </w:rPr>
              <w:tab/>
            </w:r>
            <w:r w:rsidRPr="00FC5524">
              <w:rPr>
                <w:rFonts w:ascii="Calibri" w:eastAsia="Times New Roman" w:hAnsi="Calibri" w:cs="Times New Roman"/>
                <w:color w:val="0000FF"/>
                <w:kern w:val="0"/>
                <w:sz w:val="22"/>
                <w:szCs w:val="22"/>
                <w:u w:val="single"/>
                <w:lang w:eastAsia="en-GB"/>
                <w14:ligatures w14:val="none"/>
              </w:rPr>
              <w:fldChar w:fldCharType="begin"/>
            </w:r>
            <w:r w:rsidRPr="00FC5524">
              <w:rPr>
                <w:rFonts w:ascii="Calibri" w:eastAsia="Times New Roman" w:hAnsi="Calibri" w:cs="Times New Roman"/>
                <w:color w:val="0000FF"/>
                <w:kern w:val="0"/>
                <w:sz w:val="22"/>
                <w:szCs w:val="22"/>
                <w:u w:val="single"/>
                <w:lang w:eastAsia="en-GB"/>
                <w14:ligatures w14:val="none"/>
              </w:rPr>
              <w:instrText xml:space="preserve"> PAGEREF _Toc203756925 \h </w:instrText>
            </w:r>
            <w:r w:rsidRPr="00FC5524">
              <w:rPr>
                <w:rFonts w:ascii="Calibri" w:eastAsia="Times New Roman" w:hAnsi="Calibri" w:cs="Times New Roman"/>
                <w:color w:val="0000FF"/>
                <w:kern w:val="0"/>
                <w:sz w:val="22"/>
                <w:szCs w:val="22"/>
                <w:u w:val="single"/>
                <w:lang w:eastAsia="en-GB"/>
                <w14:ligatures w14:val="none"/>
              </w:rPr>
              <w:fldChar w:fldCharType="separate"/>
            </w:r>
            <w:r w:rsidRPr="00FC5524">
              <w:rPr>
                <w:rFonts w:ascii="Calibri" w:eastAsia="Times New Roman" w:hAnsi="Calibri" w:cs="Times New Roman"/>
                <w:color w:val="0000FF"/>
                <w:kern w:val="0"/>
                <w:sz w:val="22"/>
                <w:szCs w:val="22"/>
                <w:u w:val="single"/>
                <w:lang w:eastAsia="en-GB"/>
                <w14:ligatures w14:val="none"/>
              </w:rPr>
              <w:t>25</w:t>
            </w:r>
            <w:r w:rsidRPr="00FC5524">
              <w:rPr>
                <w:rFonts w:ascii="Calibri" w:eastAsia="Times New Roman" w:hAnsi="Calibri" w:cs="Times New Roman"/>
                <w:color w:val="0000FF"/>
                <w:kern w:val="0"/>
                <w:sz w:val="22"/>
                <w:szCs w:val="22"/>
                <w:u w:val="single"/>
                <w:lang w:eastAsia="en-GB"/>
                <w14:ligatures w14:val="none"/>
              </w:rPr>
              <w:fldChar w:fldCharType="end"/>
            </w:r>
          </w:hyperlink>
        </w:p>
        <w:p w14:paraId="0B28A3B7" w14:textId="77777777" w:rsidR="002B4A14" w:rsidRDefault="00FC5524" w:rsidP="00FC5524">
          <w:pPr>
            <w:spacing w:before="100" w:beforeAutospacing="1" w:after="200" w:line="273" w:lineRule="auto"/>
            <w:rPr>
              <w:rFonts w:ascii="Calibri" w:eastAsia="Times New Roman" w:hAnsi="Calibri" w:cs="Times New Roman"/>
              <w:kern w:val="0"/>
              <w:sz w:val="22"/>
              <w:szCs w:val="22"/>
              <w:lang w:eastAsia="en-GB"/>
              <w14:ligatures w14:val="none"/>
            </w:rPr>
          </w:pPr>
          <w:r w:rsidRPr="00FC5524">
            <w:rPr>
              <w:rFonts w:ascii="Calibri" w:eastAsia="Times New Roman" w:hAnsi="Calibri" w:cs="Times New Roman"/>
              <w:kern w:val="0"/>
              <w:sz w:val="22"/>
              <w:szCs w:val="22"/>
              <w:lang w:eastAsia="en-GB"/>
              <w14:ligatures w14:val="none"/>
            </w:rPr>
            <w:t xml:space="preserve"> </w:t>
          </w:r>
        </w:p>
        <w:p w14:paraId="502A4951"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4C49746A"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6394C10C"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1DA98952"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586149AE"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6CF5F669"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6429315B"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01A34CBC"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1764819D"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28F783A9"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40F7B9C9"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484A5B9C" w14:textId="77777777" w:rsidR="002B4A14" w:rsidRDefault="002B4A14" w:rsidP="00FC5524">
          <w:pPr>
            <w:spacing w:before="100" w:beforeAutospacing="1" w:after="200" w:line="273" w:lineRule="auto"/>
            <w:rPr>
              <w:rFonts w:ascii="Calibri" w:eastAsia="Times New Roman" w:hAnsi="Calibri" w:cs="Times New Roman"/>
              <w:kern w:val="0"/>
              <w:sz w:val="22"/>
              <w:szCs w:val="22"/>
              <w:lang w:eastAsia="en-GB"/>
              <w14:ligatures w14:val="none"/>
            </w:rPr>
          </w:pPr>
        </w:p>
        <w:p w14:paraId="60047160" w14:textId="7A9F31E7" w:rsidR="00FC5524" w:rsidRPr="00FC5524" w:rsidRDefault="00FC5524" w:rsidP="00FC5524">
          <w:pPr>
            <w:spacing w:before="100" w:beforeAutospacing="1" w:after="200" w:line="273" w:lineRule="auto"/>
            <w:rPr>
              <w:rFonts w:ascii="Calibri" w:eastAsia="Times New Roman" w:hAnsi="Calibri" w:cs="Times New Roman"/>
              <w:kern w:val="0"/>
              <w:sz w:val="22"/>
              <w:szCs w:val="22"/>
              <w:lang w:eastAsia="en-GB"/>
              <w14:ligatures w14:val="none"/>
            </w:rPr>
          </w:pPr>
        </w:p>
      </w:sdtContent>
    </w:sdt>
    <w:p w14:paraId="257E48E4" w14:textId="77777777" w:rsidR="00FC5524" w:rsidRPr="00FC5524" w:rsidRDefault="00FC5524" w:rsidP="00FC5524">
      <w:pPr>
        <w:keepNext/>
        <w:keepLines/>
        <w:widowControl w:val="0"/>
        <w:spacing w:before="480" w:after="0" w:line="273" w:lineRule="auto"/>
        <w:outlineLvl w:val="0"/>
        <w:rPr>
          <w:rFonts w:ascii="Cambria" w:eastAsia="SimSun" w:hAnsi="Cambria" w:cs="Times New Roman"/>
          <w:b/>
          <w:bCs/>
          <w:color w:val="366091"/>
          <w:kern w:val="36"/>
          <w:sz w:val="28"/>
          <w:szCs w:val="28"/>
          <w:lang w:eastAsia="en-GB"/>
          <w14:ligatures w14:val="none"/>
        </w:rPr>
      </w:pPr>
      <w:bookmarkStart w:id="2" w:name="_Toc203756897"/>
      <w:bookmarkEnd w:id="2"/>
      <w:r w:rsidRPr="00FC5524">
        <w:rPr>
          <w:rFonts w:ascii="Cambria" w:eastAsia="SimSun" w:hAnsi="Cambria" w:cs="Times New Roman"/>
          <w:b/>
          <w:bCs/>
          <w:color w:val="366091"/>
          <w:kern w:val="36"/>
          <w:sz w:val="28"/>
          <w:szCs w:val="28"/>
          <w:lang w:eastAsia="en-GB"/>
          <w14:ligatures w14:val="none"/>
        </w:rPr>
        <w:lastRenderedPageBreak/>
        <w:t>Introduction</w:t>
      </w:r>
    </w:p>
    <w:p w14:paraId="78BF2492"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Introduction: Imperial Brand plc is a dynamic, international fast-moving consumer goods company dedicated to a healthier future while also providing adults around the world with moments of enjoyment and relaxation. Imperial brand operates in about 120 markets and has developed a strategy based on well-defined pillars, specific strengths, and disciplined implementation. The company's main vision is to build a strong challenger business driven by responsibility, choice, and focus. Imperial Brands aims to balance its renewed tobacco business with the expansion of its next-generation product. The company provides adult smokers with reliable alternatives that can help them quit smoking when there is clear demand from consumers. Imperial brand strengthens its position in its five key tobacco markets, which deliver around 70% of its profit, by investing in strong brands and stable pricing. The company continues to generate cash flow with £2.4 billion in free cash flow for the financial year 2024. The company's clear capital ensures steady dividends, low debt, and strong shareholder returns, including a £1.25 billion buyback in the financial year 2025. Imperial Brands also made a strong commitment to sustainability, has an ambitious goal to make its direct activities carbon neutral by 2030, and remains committed to lowering its scope 1 and scope 2 greenhouse gas emissions (Imperial, 2024)</w:t>
      </w:r>
    </w:p>
    <w:p w14:paraId="57EAFBC2" w14:textId="77777777" w:rsidR="00FC5524" w:rsidRPr="00FC5524" w:rsidRDefault="00FC5524" w:rsidP="00FC5524">
      <w:pPr>
        <w:keepNext/>
        <w:keepLines/>
        <w:widowControl w:val="0"/>
        <w:spacing w:before="480" w:after="0" w:line="273" w:lineRule="auto"/>
        <w:outlineLvl w:val="0"/>
        <w:rPr>
          <w:rFonts w:ascii="Cambria" w:eastAsia="SimSun" w:hAnsi="Cambria" w:cs="Times New Roman"/>
          <w:b/>
          <w:bCs/>
          <w:color w:val="366091"/>
          <w:kern w:val="36"/>
          <w:sz w:val="28"/>
          <w:szCs w:val="28"/>
          <w:lang w:eastAsia="en-GB"/>
          <w14:ligatures w14:val="none"/>
        </w:rPr>
      </w:pPr>
      <w:bookmarkStart w:id="3" w:name="_Toc203756898"/>
      <w:bookmarkEnd w:id="3"/>
      <w:r w:rsidRPr="00FC5524">
        <w:rPr>
          <w:rFonts w:ascii="Cambria" w:eastAsia="SimSun" w:hAnsi="Cambria" w:cs="Times New Roman"/>
          <w:b/>
          <w:bCs/>
          <w:color w:val="366091"/>
          <w:kern w:val="36"/>
          <w:sz w:val="28"/>
          <w:szCs w:val="28"/>
          <w:lang w:eastAsia="en-GB"/>
          <w14:ligatures w14:val="none"/>
        </w:rPr>
        <w:t>Part 1</w:t>
      </w:r>
    </w:p>
    <w:p w14:paraId="6CC93217"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4" w:name="_Toc203756899"/>
      <w:bookmarkEnd w:id="4"/>
      <w:r w:rsidRPr="00FC5524">
        <w:rPr>
          <w:rFonts w:ascii="Times New Roman" w:eastAsia="SimSun" w:hAnsi="Times New Roman" w:cs="Times New Roman"/>
          <w:b/>
          <w:bCs/>
          <w:color w:val="4F81BD"/>
          <w:kern w:val="0"/>
          <w:u w:val="single"/>
          <w:lang w:eastAsia="en-GB"/>
          <w14:ligatures w14:val="none"/>
        </w:rPr>
        <w:t>Computation of Profitability Ratios for the financial year 2024 and 2023</w:t>
      </w:r>
    </w:p>
    <w:p w14:paraId="7D939CC7" w14:textId="77777777" w:rsidR="00FC5524" w:rsidRPr="00FC5524" w:rsidRDefault="00FC5524" w:rsidP="00FC5524">
      <w:pPr>
        <w:keepNext/>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Calibri" w:eastAsia="Times New Roman" w:hAnsi="Calibri" w:cs="Times New Roman"/>
          <w:noProof/>
          <w:kern w:val="0"/>
          <w:sz w:val="22"/>
          <w:szCs w:val="22"/>
          <w:lang w:eastAsia="en-GB"/>
          <w14:ligatures w14:val="none"/>
        </w:rPr>
        <w:drawing>
          <wp:inline distT="0" distB="0" distL="0" distR="0" wp14:anchorId="6EE8E8CF" wp14:editId="7ADE13B7">
            <wp:extent cx="5943600" cy="1219200"/>
            <wp:effectExtent l="0" t="0" r="0" b="0"/>
            <wp:docPr id="1" name="Picture 1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 descr="A screenshot of a computer screen&#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1219200"/>
                    </a:xfrm>
                    <a:prstGeom prst="rect">
                      <a:avLst/>
                    </a:prstGeom>
                    <a:noFill/>
                    <a:ln>
                      <a:noFill/>
                    </a:ln>
                  </pic:spPr>
                </pic:pic>
              </a:graphicData>
            </a:graphic>
          </wp:inline>
        </w:drawing>
      </w:r>
      <w:r w:rsidRPr="00FC5524">
        <w:rPr>
          <w:rFonts w:ascii="Times New Roman" w:eastAsia="Calibri" w:hAnsi="Times New Roman" w:cs="Times New Roman"/>
          <w:kern w:val="0"/>
          <w:lang w:eastAsia="en-GB"/>
          <w14:ligatures w14:val="none"/>
        </w:rPr>
        <w:t xml:space="preserve"> </w:t>
      </w:r>
    </w:p>
    <w:p w14:paraId="22F28B63" w14:textId="77777777" w:rsidR="00FC5524" w:rsidRPr="00FC5524" w:rsidRDefault="00FC5524" w:rsidP="00FC5524">
      <w:pPr>
        <w:spacing w:before="100" w:beforeAutospacing="1" w:after="200" w:line="360" w:lineRule="auto"/>
        <w:jc w:val="both"/>
        <w:rPr>
          <w:rFonts w:ascii="Times New Roman" w:eastAsia="Calibri" w:hAnsi="Times New Roman" w:cs="Times New Roman"/>
          <w:b/>
          <w:bCs/>
          <w:color w:val="4F81BD"/>
          <w:kern w:val="0"/>
          <w:lang w:eastAsia="en-GB"/>
          <w14:ligatures w14:val="none"/>
        </w:rPr>
      </w:pPr>
      <w:r w:rsidRPr="00FC5524">
        <w:rPr>
          <w:rFonts w:ascii="Times New Roman" w:eastAsia="Calibri" w:hAnsi="Times New Roman" w:cs="Times New Roman"/>
          <w:b/>
          <w:bCs/>
          <w:color w:val="4F81BD"/>
          <w:kern w:val="0"/>
          <w:lang w:eastAsia="en-GB"/>
          <w14:ligatures w14:val="none"/>
        </w:rPr>
        <w:t>Figure 1</w:t>
      </w:r>
    </w:p>
    <w:p w14:paraId="4DDA09A4" w14:textId="77777777" w:rsidR="00FC5524" w:rsidRPr="00FC5524" w:rsidRDefault="00FC5524" w:rsidP="00FC5524">
      <w:pPr>
        <w:keepNext/>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Calibri" w:eastAsia="Times New Roman" w:hAnsi="Calibri" w:cs="Times New Roman"/>
          <w:noProof/>
          <w:kern w:val="0"/>
          <w:sz w:val="22"/>
          <w:szCs w:val="22"/>
          <w:lang w:eastAsia="en-GB"/>
          <w14:ligatures w14:val="none"/>
        </w:rPr>
        <w:lastRenderedPageBreak/>
        <w:drawing>
          <wp:inline distT="0" distB="0" distL="0" distR="0" wp14:anchorId="20AE14CF" wp14:editId="34A73D6E">
            <wp:extent cx="3422650" cy="1295400"/>
            <wp:effectExtent l="0" t="0" r="6350" b="0"/>
            <wp:docPr id="2" name="Picture 1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descr="A black screen with white text&#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22650" cy="1295400"/>
                    </a:xfrm>
                    <a:prstGeom prst="rect">
                      <a:avLst/>
                    </a:prstGeom>
                    <a:noFill/>
                    <a:ln>
                      <a:noFill/>
                    </a:ln>
                  </pic:spPr>
                </pic:pic>
              </a:graphicData>
            </a:graphic>
          </wp:inline>
        </w:drawing>
      </w:r>
      <w:r w:rsidRPr="00FC5524">
        <w:rPr>
          <w:rFonts w:ascii="Times New Roman" w:eastAsia="Calibri" w:hAnsi="Times New Roman" w:cs="Times New Roman"/>
          <w:kern w:val="0"/>
          <w:lang w:eastAsia="en-GB"/>
          <w14:ligatures w14:val="none"/>
        </w:rPr>
        <w:t xml:space="preserve"> </w:t>
      </w:r>
    </w:p>
    <w:p w14:paraId="40B0A6A7" w14:textId="77777777" w:rsidR="00FC5524" w:rsidRPr="00FC5524" w:rsidRDefault="00FC5524" w:rsidP="00FC5524">
      <w:pPr>
        <w:spacing w:before="100" w:beforeAutospacing="1" w:after="200" w:line="360" w:lineRule="auto"/>
        <w:jc w:val="both"/>
        <w:rPr>
          <w:rFonts w:ascii="Times New Roman" w:eastAsia="Calibri" w:hAnsi="Times New Roman" w:cs="Times New Roman"/>
          <w:b/>
          <w:bCs/>
          <w:color w:val="4F81BD"/>
          <w:kern w:val="0"/>
          <w:lang w:eastAsia="en-GB"/>
          <w14:ligatures w14:val="none"/>
        </w:rPr>
      </w:pPr>
      <w:r w:rsidRPr="00FC5524">
        <w:rPr>
          <w:rFonts w:ascii="Times New Roman" w:eastAsia="Calibri" w:hAnsi="Times New Roman" w:cs="Times New Roman"/>
          <w:b/>
          <w:bCs/>
          <w:color w:val="4F81BD"/>
          <w:kern w:val="0"/>
          <w:lang w:eastAsia="en-GB"/>
          <w14:ligatures w14:val="none"/>
        </w:rPr>
        <w:t>Figure 2</w:t>
      </w:r>
    </w:p>
    <w:p w14:paraId="53F638D9"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Interpretation</w:t>
      </w:r>
    </w:p>
    <w:p w14:paraId="27EFB10E"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 profitability ratios are interpreted to </w:t>
      </w:r>
      <w:proofErr w:type="spellStart"/>
      <w:r w:rsidRPr="00FC5524">
        <w:rPr>
          <w:rFonts w:ascii="Times New Roman" w:eastAsia="Calibri" w:hAnsi="Times New Roman" w:cs="Times New Roman"/>
          <w:kern w:val="0"/>
          <w:lang w:eastAsia="en-GB"/>
          <w14:ligatures w14:val="none"/>
        </w:rPr>
        <w:t>analyze</w:t>
      </w:r>
      <w:proofErr w:type="spellEnd"/>
      <w:r w:rsidRPr="00FC5524">
        <w:rPr>
          <w:rFonts w:ascii="Times New Roman" w:eastAsia="Calibri" w:hAnsi="Times New Roman" w:cs="Times New Roman"/>
          <w:kern w:val="0"/>
          <w:lang w:eastAsia="en-GB"/>
          <w14:ligatures w14:val="none"/>
        </w:rPr>
        <w:t xml:space="preserve"> the trend of the profit of the company for the past two consecutive financial years. The revenue of the company has slightly declined in the current year, signifying that the company is experiencing challenges in attracting customers from the given product </w:t>
      </w:r>
      <w:proofErr w:type="gramStart"/>
      <w:r w:rsidRPr="00FC5524">
        <w:rPr>
          <w:rFonts w:ascii="Times New Roman" w:eastAsia="Calibri" w:hAnsi="Times New Roman" w:cs="Times New Roman"/>
          <w:kern w:val="0"/>
          <w:lang w:eastAsia="en-GB"/>
          <w14:ligatures w14:val="none"/>
        </w:rPr>
        <w:t>type</w:t>
      </w:r>
      <w:r w:rsidRPr="00FC5524">
        <w:rPr>
          <w:rFonts w:ascii="Times New Roman" w:eastAsia="Calibri" w:hAnsi="Times New Roman" w:cs="Times New Roman"/>
          <w:kern w:val="0"/>
          <w:shd w:val="clear" w:color="auto" w:fill="FFFFFF"/>
          <w:lang w:eastAsia="en-GB"/>
          <w14:ligatures w14:val="none"/>
        </w:rPr>
        <w:t>(</w:t>
      </w:r>
      <w:proofErr w:type="spellStart"/>
      <w:proofErr w:type="gramEnd"/>
      <w:r w:rsidRPr="00FC5524">
        <w:rPr>
          <w:rFonts w:ascii="Times New Roman" w:eastAsia="Calibri" w:hAnsi="Times New Roman" w:cs="Times New Roman"/>
          <w:kern w:val="0"/>
          <w:shd w:val="clear" w:color="auto" w:fill="FFFFFF"/>
          <w:lang w:eastAsia="en-GB"/>
          <w14:ligatures w14:val="none"/>
        </w:rPr>
        <w:t>Nariswari</w:t>
      </w:r>
      <w:proofErr w:type="spellEnd"/>
      <w:r w:rsidRPr="00FC5524">
        <w:rPr>
          <w:rFonts w:ascii="Times New Roman" w:eastAsia="Calibri" w:hAnsi="Times New Roman" w:cs="Times New Roman"/>
          <w:kern w:val="0"/>
          <w:shd w:val="clear" w:color="auto" w:fill="FFFFFF"/>
          <w:lang w:eastAsia="en-GB"/>
          <w14:ligatures w14:val="none"/>
        </w:rPr>
        <w:t xml:space="preserve"> and </w:t>
      </w:r>
      <w:proofErr w:type="spellStart"/>
      <w:r w:rsidRPr="00FC5524">
        <w:rPr>
          <w:rFonts w:ascii="Times New Roman" w:eastAsia="Calibri" w:hAnsi="Times New Roman" w:cs="Times New Roman"/>
          <w:kern w:val="0"/>
          <w:shd w:val="clear" w:color="auto" w:fill="FFFFFF"/>
          <w:lang w:eastAsia="en-GB"/>
          <w14:ligatures w14:val="none"/>
        </w:rPr>
        <w:t>Nugraha</w:t>
      </w:r>
      <w:proofErr w:type="spellEnd"/>
      <w:r w:rsidRPr="00FC5524">
        <w:rPr>
          <w:rFonts w:ascii="Times New Roman" w:eastAsia="Calibri" w:hAnsi="Times New Roman" w:cs="Times New Roman"/>
          <w:kern w:val="0"/>
          <w:shd w:val="clear" w:color="auto" w:fill="FFFFFF"/>
          <w:lang w:eastAsia="en-GB"/>
          <w14:ligatures w14:val="none"/>
        </w:rPr>
        <w:t>, 2020)</w:t>
      </w:r>
      <w:r w:rsidRPr="00FC5524">
        <w:rPr>
          <w:rFonts w:ascii="Times New Roman" w:eastAsia="Calibri" w:hAnsi="Times New Roman" w:cs="Times New Roman"/>
          <w:kern w:val="0"/>
          <w:lang w:eastAsia="en-GB"/>
          <w14:ligatures w14:val="none"/>
        </w:rPr>
        <w:t xml:space="preserve">. The gross profit has slightly increased in the current year to 20.98% from 20.57% indicating that the cost of sales has appropriately reduced. The same enhancing trend has been observed for the operating margin, indicating that the company is constantly reducing its expenses for the execution of the operational activities and hence increasing the profit simultaneously. The administrative and other expenses have declined to £842 million from £940 million prevailing in the prior year, delivering a fruitful signal to the </w:t>
      </w:r>
      <w:proofErr w:type="gramStart"/>
      <w:r w:rsidRPr="00FC5524">
        <w:rPr>
          <w:rFonts w:ascii="Times New Roman" w:eastAsia="Calibri" w:hAnsi="Times New Roman" w:cs="Times New Roman"/>
          <w:kern w:val="0"/>
          <w:lang w:eastAsia="en-GB"/>
          <w14:ligatures w14:val="none"/>
        </w:rPr>
        <w:t>company</w:t>
      </w:r>
      <w:r w:rsidRPr="00FC5524">
        <w:rPr>
          <w:rFonts w:ascii="Times New Roman" w:eastAsia="Calibri" w:hAnsi="Times New Roman" w:cs="Times New Roman"/>
          <w:color w:val="222222"/>
          <w:kern w:val="0"/>
          <w:shd w:val="clear" w:color="auto" w:fill="FFFFFF"/>
          <w:lang w:eastAsia="en-GB"/>
          <w14:ligatures w14:val="none"/>
        </w:rPr>
        <w:t>(</w:t>
      </w:r>
      <w:proofErr w:type="gramEnd"/>
      <w:r w:rsidRPr="00FC5524">
        <w:rPr>
          <w:rFonts w:ascii="Times New Roman" w:eastAsia="Calibri" w:hAnsi="Times New Roman" w:cs="Times New Roman"/>
          <w:color w:val="222222"/>
          <w:kern w:val="0"/>
          <w:shd w:val="clear" w:color="auto" w:fill="FFFFFF"/>
          <w:lang w:eastAsia="en-GB"/>
          <w14:ligatures w14:val="none"/>
        </w:rPr>
        <w:t xml:space="preserve">Husain and </w:t>
      </w:r>
      <w:proofErr w:type="spellStart"/>
      <w:r w:rsidRPr="00FC5524">
        <w:rPr>
          <w:rFonts w:ascii="Times New Roman" w:eastAsia="Calibri" w:hAnsi="Times New Roman" w:cs="Times New Roman"/>
          <w:color w:val="222222"/>
          <w:kern w:val="0"/>
          <w:shd w:val="clear" w:color="auto" w:fill="FFFFFF"/>
          <w:lang w:eastAsia="en-GB"/>
          <w14:ligatures w14:val="none"/>
        </w:rPr>
        <w:t>Sunardi</w:t>
      </w:r>
      <w:proofErr w:type="spellEnd"/>
      <w:r w:rsidRPr="00FC5524">
        <w:rPr>
          <w:rFonts w:ascii="Times New Roman" w:eastAsia="Calibri" w:hAnsi="Times New Roman" w:cs="Times New Roman"/>
          <w:color w:val="222222"/>
          <w:kern w:val="0"/>
          <w:shd w:val="clear" w:color="auto" w:fill="FFFFFF"/>
          <w:lang w:eastAsia="en-GB"/>
          <w14:ligatures w14:val="none"/>
        </w:rPr>
        <w:t>, 2020)</w:t>
      </w:r>
      <w:r w:rsidRPr="00FC5524">
        <w:rPr>
          <w:rFonts w:ascii="Times New Roman" w:eastAsia="Calibri" w:hAnsi="Times New Roman" w:cs="Times New Roman"/>
          <w:kern w:val="0"/>
          <w:lang w:eastAsia="en-GB"/>
          <w14:ligatures w14:val="none"/>
        </w:rPr>
        <w:t xml:space="preserve">. The higher margin signifies that the undertaken efforts were delivering benefits to the company in the long run. Further, a reduction in direct costs and indirect costs has enabled a company to increase the net margin by around 1% in the current year when the results have been compared to the previous year. The net profit of the company in the current year has reached £2747 million, thereby denoting a net margin of 8.48%. However, the net margin of the company for the previous year was limited to 7.56% signifying that the company is unable to derive a higher profit margin. The enhancement in the profit margin indicates that the company is effectively reducing its expenses. Further, in the analysis of the return on capital employed and return on assets, it has been observed that the performance has slightly increased to 21.72% and 12.77% respectively in 2024 from 19.43% and 11.57% </w:t>
      </w:r>
      <w:proofErr w:type="gramStart"/>
      <w:r w:rsidRPr="00FC5524">
        <w:rPr>
          <w:rFonts w:ascii="Times New Roman" w:eastAsia="Calibri" w:hAnsi="Times New Roman" w:cs="Times New Roman"/>
          <w:kern w:val="0"/>
          <w:lang w:eastAsia="en-GB"/>
          <w14:ligatures w14:val="none"/>
        </w:rPr>
        <w:t>respectively</w:t>
      </w:r>
      <w:r w:rsidRPr="00FC5524">
        <w:rPr>
          <w:rFonts w:ascii="Times New Roman" w:eastAsia="Calibri" w:hAnsi="Times New Roman" w:cs="Times New Roman"/>
          <w:color w:val="222222"/>
          <w:kern w:val="0"/>
          <w:shd w:val="clear" w:color="auto" w:fill="FFFFFF"/>
          <w:lang w:eastAsia="en-GB"/>
          <w14:ligatures w14:val="none"/>
        </w:rPr>
        <w:t>(</w:t>
      </w:r>
      <w:proofErr w:type="gramEnd"/>
      <w:r w:rsidRPr="00FC5524">
        <w:rPr>
          <w:rFonts w:ascii="Times New Roman" w:eastAsia="Calibri" w:hAnsi="Times New Roman" w:cs="Times New Roman"/>
          <w:color w:val="222222"/>
          <w:kern w:val="0"/>
          <w:shd w:val="clear" w:color="auto" w:fill="FFFFFF"/>
          <w:lang w:eastAsia="en-GB"/>
          <w14:ligatures w14:val="none"/>
        </w:rPr>
        <w:t xml:space="preserve">Al Maani, </w:t>
      </w:r>
      <w:proofErr w:type="spellStart"/>
      <w:r w:rsidRPr="00FC5524">
        <w:rPr>
          <w:rFonts w:ascii="Times New Roman" w:eastAsia="Calibri" w:hAnsi="Times New Roman" w:cs="Times New Roman"/>
          <w:color w:val="222222"/>
          <w:kern w:val="0"/>
          <w:shd w:val="clear" w:color="auto" w:fill="FFFFFF"/>
          <w:lang w:eastAsia="en-GB"/>
          <w14:ligatures w14:val="none"/>
        </w:rPr>
        <w:t>Alawad</w:t>
      </w:r>
      <w:proofErr w:type="spellEnd"/>
      <w:r w:rsidRPr="00FC5524">
        <w:rPr>
          <w:rFonts w:ascii="Times New Roman" w:eastAsia="Calibri" w:hAnsi="Times New Roman" w:cs="Times New Roman"/>
          <w:color w:val="222222"/>
          <w:kern w:val="0"/>
          <w:shd w:val="clear" w:color="auto" w:fill="FFFFFF"/>
          <w:lang w:eastAsia="en-GB"/>
          <w14:ligatures w14:val="none"/>
        </w:rPr>
        <w:t>, and Karaki, 2021)</w:t>
      </w:r>
      <w:r w:rsidRPr="00FC5524">
        <w:rPr>
          <w:rFonts w:ascii="Times New Roman" w:eastAsia="Calibri" w:hAnsi="Times New Roman" w:cs="Times New Roman"/>
          <w:kern w:val="0"/>
          <w:lang w:eastAsia="en-GB"/>
          <w14:ligatures w14:val="none"/>
        </w:rPr>
        <w:t xml:space="preserve">. As the company is deriving net profit, the return on capital employed and the return on assets have also increased, indicating that assets and the capital employed have been effectively utilized to deliver the best return. The situation of the company is slightly improving from year to year, delivering a fruitful signal as this would lead to the maximization of the shareholders' wealth </w:t>
      </w:r>
      <w:r w:rsidRPr="00FC5524">
        <w:rPr>
          <w:rFonts w:ascii="Times New Roman" w:eastAsia="Calibri" w:hAnsi="Times New Roman" w:cs="Times New Roman"/>
          <w:kern w:val="0"/>
          <w:lang w:eastAsia="en-GB"/>
          <w14:ligatures w14:val="none"/>
        </w:rPr>
        <w:lastRenderedPageBreak/>
        <w:t xml:space="preserve">and a better expansion process. The development of the company can only take place when the operations of the company are being properly and effectively undertaken and deliver a positive result. In the current scenario, as the company is effectively minimising its cost of sales related to the direct cost and administrative cost related to indirect cost, performance has also improved accordingly. However, the finance cost has increased massively to £534 million in 2024 from £298 million, indicating that the company is undertaking a long-term loan for the successful accomplishment of the stated </w:t>
      </w:r>
      <w:proofErr w:type="gramStart"/>
      <w:r w:rsidRPr="00FC5524">
        <w:rPr>
          <w:rFonts w:ascii="Times New Roman" w:eastAsia="Calibri" w:hAnsi="Times New Roman" w:cs="Times New Roman"/>
          <w:kern w:val="0"/>
          <w:lang w:eastAsia="en-GB"/>
          <w14:ligatures w14:val="none"/>
        </w:rPr>
        <w:t>objectives</w:t>
      </w:r>
      <w:r w:rsidRPr="00FC5524">
        <w:rPr>
          <w:rFonts w:ascii="Times New Roman" w:eastAsia="Calibri" w:hAnsi="Times New Roman" w:cs="Times New Roman"/>
          <w:color w:val="222222"/>
          <w:kern w:val="0"/>
          <w:shd w:val="clear" w:color="auto" w:fill="FFFFFF"/>
          <w:lang w:eastAsia="en-GB"/>
          <w14:ligatures w14:val="none"/>
        </w:rPr>
        <w:t>(</w:t>
      </w:r>
      <w:proofErr w:type="gramEnd"/>
      <w:r w:rsidRPr="00FC5524">
        <w:rPr>
          <w:rFonts w:ascii="Times New Roman" w:eastAsia="Calibri" w:hAnsi="Times New Roman" w:cs="Times New Roman"/>
          <w:color w:val="222222"/>
          <w:kern w:val="0"/>
          <w:shd w:val="clear" w:color="auto" w:fill="FFFFFF"/>
          <w:lang w:eastAsia="en-GB"/>
          <w14:ligatures w14:val="none"/>
        </w:rPr>
        <w:t>Mohammed et al., 2020)</w:t>
      </w:r>
      <w:r w:rsidRPr="00FC5524">
        <w:rPr>
          <w:rFonts w:ascii="Times New Roman" w:eastAsia="Calibri" w:hAnsi="Times New Roman" w:cs="Times New Roman"/>
          <w:kern w:val="0"/>
          <w:lang w:eastAsia="en-GB"/>
          <w14:ligatures w14:val="none"/>
        </w:rPr>
        <w:t xml:space="preserve">. Such a rise in finance expenses has led to a decline in the net profit of the company. Hence, the company should focus </w:t>
      </w:r>
      <w:proofErr w:type="spellStart"/>
      <w:r w:rsidRPr="00FC5524">
        <w:rPr>
          <w:rFonts w:ascii="Times New Roman" w:eastAsia="Calibri" w:hAnsi="Times New Roman" w:cs="Times New Roman"/>
          <w:kern w:val="0"/>
          <w:lang w:eastAsia="en-GB"/>
          <w14:ligatures w14:val="none"/>
        </w:rPr>
        <w:t>onbetter</w:t>
      </w:r>
      <w:proofErr w:type="spellEnd"/>
      <w:r w:rsidRPr="00FC5524">
        <w:rPr>
          <w:rFonts w:ascii="Times New Roman" w:eastAsia="Calibri" w:hAnsi="Times New Roman" w:cs="Times New Roman"/>
          <w:kern w:val="0"/>
          <w:lang w:eastAsia="en-GB"/>
          <w14:ligatures w14:val="none"/>
        </w:rPr>
        <w:t xml:space="preserve"> management of expenses to fund the long-term project with minimum borrowings (</w:t>
      </w:r>
      <w:proofErr w:type="spellStart"/>
      <w:r w:rsidRPr="00FC5524">
        <w:rPr>
          <w:rFonts w:ascii="Times New Roman" w:eastAsia="Times New Roman" w:hAnsi="Times New Roman" w:cs="Times New Roman"/>
          <w:color w:val="000000"/>
          <w:kern w:val="0"/>
          <w:lang w:eastAsia="en-GB"/>
          <w14:ligatures w14:val="none"/>
        </w:rPr>
        <w:t>Atabaeva</w:t>
      </w:r>
      <w:proofErr w:type="spellEnd"/>
      <w:r w:rsidRPr="00FC5524">
        <w:rPr>
          <w:rFonts w:ascii="Times New Roman" w:eastAsia="Times New Roman" w:hAnsi="Times New Roman" w:cs="Times New Roman"/>
          <w:color w:val="000000"/>
          <w:kern w:val="0"/>
          <w:lang w:eastAsia="en-GB"/>
          <w14:ligatures w14:val="none"/>
        </w:rPr>
        <w:t xml:space="preserve"> et al., 2022)</w:t>
      </w:r>
      <w:r w:rsidRPr="00FC5524">
        <w:rPr>
          <w:rFonts w:ascii="Times New Roman" w:eastAsia="Calibri" w:hAnsi="Times New Roman" w:cs="Times New Roman"/>
          <w:kern w:val="0"/>
          <w:lang w:eastAsia="en-GB"/>
          <w14:ligatures w14:val="none"/>
        </w:rPr>
        <w:t>. The enhancement in the borrowing would accordingly raise the financial burden due to a rise in the financial obligation, and such a process is not fruitful for effective business decisions.</w:t>
      </w:r>
    </w:p>
    <w:p w14:paraId="31681FDB"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5" w:name="_Toc203756900"/>
      <w:bookmarkEnd w:id="5"/>
      <w:r w:rsidRPr="00FC5524">
        <w:rPr>
          <w:rFonts w:ascii="Times New Roman" w:eastAsia="SimSun" w:hAnsi="Times New Roman" w:cs="Times New Roman"/>
          <w:b/>
          <w:bCs/>
          <w:color w:val="4F81BD"/>
          <w:kern w:val="0"/>
          <w:u w:val="single"/>
          <w:lang w:eastAsia="en-GB"/>
          <w14:ligatures w14:val="none"/>
        </w:rPr>
        <w:t>Computation of Liquidity Ratios for the financial year 2024 and 2023</w:t>
      </w:r>
    </w:p>
    <w:p w14:paraId="029AF020" w14:textId="77777777" w:rsidR="00FC5524" w:rsidRPr="00FC5524" w:rsidRDefault="00FC5524" w:rsidP="00FC5524">
      <w:pPr>
        <w:keepNext/>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Calibri" w:eastAsia="Times New Roman" w:hAnsi="Calibri" w:cs="Times New Roman"/>
          <w:noProof/>
          <w:kern w:val="0"/>
          <w:sz w:val="22"/>
          <w:szCs w:val="22"/>
          <w:lang w:eastAsia="en-GB"/>
          <w14:ligatures w14:val="none"/>
        </w:rPr>
        <w:drawing>
          <wp:inline distT="0" distB="0" distL="0" distR="0" wp14:anchorId="1284F69B" wp14:editId="11F55CDF">
            <wp:extent cx="5943600" cy="704850"/>
            <wp:effectExtent l="0" t="0" r="0" b="0"/>
            <wp:docPr id="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704850"/>
                    </a:xfrm>
                    <a:prstGeom prst="rect">
                      <a:avLst/>
                    </a:prstGeom>
                    <a:noFill/>
                    <a:ln>
                      <a:noFill/>
                    </a:ln>
                  </pic:spPr>
                </pic:pic>
              </a:graphicData>
            </a:graphic>
          </wp:inline>
        </w:drawing>
      </w:r>
      <w:r w:rsidRPr="00FC5524">
        <w:rPr>
          <w:rFonts w:ascii="Times New Roman" w:eastAsia="Calibri" w:hAnsi="Times New Roman" w:cs="Times New Roman"/>
          <w:kern w:val="0"/>
          <w:lang w:eastAsia="en-GB"/>
          <w14:ligatures w14:val="none"/>
        </w:rPr>
        <w:t xml:space="preserve"> </w:t>
      </w:r>
    </w:p>
    <w:p w14:paraId="0CFAADC1" w14:textId="77777777" w:rsidR="00FC5524" w:rsidRPr="00FC5524" w:rsidRDefault="00FC5524" w:rsidP="00FC5524">
      <w:pPr>
        <w:spacing w:before="100" w:beforeAutospacing="1" w:after="200" w:line="360" w:lineRule="auto"/>
        <w:jc w:val="both"/>
        <w:rPr>
          <w:rFonts w:ascii="Times New Roman" w:eastAsia="Calibri" w:hAnsi="Times New Roman" w:cs="Times New Roman"/>
          <w:b/>
          <w:bCs/>
          <w:color w:val="4F81BD"/>
          <w:kern w:val="0"/>
          <w:lang w:eastAsia="en-GB"/>
          <w14:ligatures w14:val="none"/>
        </w:rPr>
      </w:pPr>
      <w:r w:rsidRPr="00FC5524">
        <w:rPr>
          <w:rFonts w:ascii="Times New Roman" w:eastAsia="Calibri" w:hAnsi="Times New Roman" w:cs="Times New Roman"/>
          <w:b/>
          <w:bCs/>
          <w:color w:val="4F81BD"/>
          <w:kern w:val="0"/>
          <w:lang w:eastAsia="en-GB"/>
          <w14:ligatures w14:val="none"/>
        </w:rPr>
        <w:t>Figure 3</w:t>
      </w:r>
    </w:p>
    <w:p w14:paraId="07E88C73" w14:textId="77777777" w:rsidR="00FC5524" w:rsidRPr="00FC5524" w:rsidRDefault="00FC5524" w:rsidP="00FC5524">
      <w:pPr>
        <w:keepNext/>
        <w:spacing w:before="100" w:beforeAutospacing="1" w:after="200" w:line="360" w:lineRule="auto"/>
        <w:rPr>
          <w:rFonts w:ascii="Times New Roman" w:eastAsia="Calibri" w:hAnsi="Times New Roman" w:cs="Times New Roman"/>
          <w:kern w:val="0"/>
          <w:lang w:eastAsia="en-GB"/>
          <w14:ligatures w14:val="none"/>
        </w:rPr>
      </w:pPr>
      <w:r w:rsidRPr="00FC5524">
        <w:rPr>
          <w:rFonts w:ascii="Calibri" w:eastAsia="Times New Roman" w:hAnsi="Calibri" w:cs="Times New Roman"/>
          <w:noProof/>
          <w:kern w:val="0"/>
          <w:sz w:val="22"/>
          <w:szCs w:val="22"/>
          <w:lang w:eastAsia="en-GB"/>
          <w14:ligatures w14:val="none"/>
        </w:rPr>
        <w:drawing>
          <wp:inline distT="0" distB="0" distL="0" distR="0" wp14:anchorId="0CF89235" wp14:editId="0EEC78CF">
            <wp:extent cx="4883150" cy="742950"/>
            <wp:effectExtent l="0" t="0" r="0" b="0"/>
            <wp:docPr id="4" name="Picture 9" descr="A black and white screen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9" descr="A black and white screen with numbers&#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83150" cy="742950"/>
                    </a:xfrm>
                    <a:prstGeom prst="rect">
                      <a:avLst/>
                    </a:prstGeom>
                    <a:noFill/>
                    <a:ln>
                      <a:noFill/>
                    </a:ln>
                  </pic:spPr>
                </pic:pic>
              </a:graphicData>
            </a:graphic>
          </wp:inline>
        </w:drawing>
      </w:r>
      <w:r w:rsidRPr="00FC5524">
        <w:rPr>
          <w:rFonts w:ascii="Times New Roman" w:eastAsia="Calibri" w:hAnsi="Times New Roman" w:cs="Times New Roman"/>
          <w:kern w:val="0"/>
          <w:lang w:eastAsia="en-GB"/>
          <w14:ligatures w14:val="none"/>
        </w:rPr>
        <w:t xml:space="preserve"> </w:t>
      </w:r>
    </w:p>
    <w:p w14:paraId="7F60DF3F" w14:textId="77777777" w:rsidR="00FC5524" w:rsidRPr="00FC5524" w:rsidRDefault="00FC5524" w:rsidP="00FC5524">
      <w:pPr>
        <w:spacing w:before="100" w:beforeAutospacing="1" w:after="200" w:line="360" w:lineRule="auto"/>
        <w:rPr>
          <w:rFonts w:ascii="Times New Roman" w:eastAsia="Calibri" w:hAnsi="Times New Roman" w:cs="Times New Roman"/>
          <w:b/>
          <w:bCs/>
          <w:color w:val="4F81BD"/>
          <w:kern w:val="0"/>
          <w:lang w:eastAsia="en-GB"/>
          <w14:ligatures w14:val="none"/>
        </w:rPr>
      </w:pPr>
      <w:r w:rsidRPr="00FC5524">
        <w:rPr>
          <w:rFonts w:ascii="Times New Roman" w:eastAsia="Calibri" w:hAnsi="Times New Roman" w:cs="Times New Roman"/>
          <w:b/>
          <w:bCs/>
          <w:color w:val="4F81BD"/>
          <w:kern w:val="0"/>
          <w:lang w:eastAsia="en-GB"/>
          <w14:ligatures w14:val="none"/>
        </w:rPr>
        <w:t>Figure 4</w:t>
      </w:r>
    </w:p>
    <w:p w14:paraId="42616FC5"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Interpretation</w:t>
      </w:r>
    </w:p>
    <w:p w14:paraId="2F09C37E"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 current ratio indicates how well Imperial Brands can cover its short-term obligations with its short-term assets. In 2024, the ratio of 2.428 is slightly lower than 2.478 in </w:t>
      </w:r>
      <w:proofErr w:type="gramStart"/>
      <w:r w:rsidRPr="00FC5524">
        <w:rPr>
          <w:rFonts w:ascii="Times New Roman" w:eastAsia="Calibri" w:hAnsi="Times New Roman" w:cs="Times New Roman"/>
          <w:kern w:val="0"/>
          <w:lang w:eastAsia="en-GB"/>
          <w14:ligatures w14:val="none"/>
        </w:rPr>
        <w:t>2023, but</w:t>
      </w:r>
      <w:proofErr w:type="gramEnd"/>
      <w:r w:rsidRPr="00FC5524">
        <w:rPr>
          <w:rFonts w:ascii="Times New Roman" w:eastAsia="Calibri" w:hAnsi="Times New Roman" w:cs="Times New Roman"/>
          <w:kern w:val="0"/>
          <w:lang w:eastAsia="en-GB"/>
          <w14:ligatures w14:val="none"/>
        </w:rPr>
        <w:t xml:space="preserve"> still indicates that the company has good quality. According to the balance sheet, the company's current assets amount to £8,196 million (comprising goods, cash, and receivables), and current liabilities stand at £11,462 million, mainly due to high payables and borrowings. The minor decline in the ratio was due to a small reduction in inventories and cash, while current liabilities really didn’t change. The current ratio means the group maintains a comfortable buffer to meet </w:t>
      </w:r>
      <w:r w:rsidRPr="00FC5524">
        <w:rPr>
          <w:rFonts w:ascii="Times New Roman" w:eastAsia="Calibri" w:hAnsi="Times New Roman" w:cs="Times New Roman"/>
          <w:kern w:val="0"/>
          <w:lang w:eastAsia="en-GB"/>
          <w14:ligatures w14:val="none"/>
        </w:rPr>
        <w:lastRenderedPageBreak/>
        <w:t>its obligations as they fall due. With different ways to borrow money and steady cash flow from operations, this shows the group manages its money wisely. Investors and lenders are reassured that the group’s short-term bills can be paid easily. The quick ratio measures a company’s ability to pay short-term debts without relying on inventory, and is 2.072 for 2024, showing a slight dip from 2.098 in 2023. Based on the balance sheet, quick assets are £4,116 million. This worked out by taking out the inventories £4,080 million from total current assets £8,196 million. Most of the quick assets include cash £1,078 million and outstanding customer payments £2,645 million. These quick assets easily cover the current bills of £11,462 million, showing a strong quick ratio. The small decrease is due to lower cash and stock levels, which shows better control of working capital and improved inventory management. There is a small drop, but still the ratio stays strong, showing that Imperial Brands can easily pay its short-term debts without needing to sell its stock, which is reassuring during economic fluctuations. This financial net, combined with a spare cash reserve and a stable debt mix, helps the group stay adaptable and ready to cover any unexpected expenses (</w:t>
      </w:r>
      <w:r w:rsidRPr="00FC5524">
        <w:rPr>
          <w:rFonts w:ascii="Times New Roman" w:eastAsia="Calibri" w:hAnsi="Times New Roman" w:cs="Times New Roman"/>
          <w:color w:val="222222"/>
          <w:kern w:val="0"/>
          <w:shd w:val="clear" w:color="auto" w:fill="FFFFFF"/>
          <w:lang w:eastAsia="en-GB"/>
          <w14:ligatures w14:val="none"/>
        </w:rPr>
        <w:t xml:space="preserve">Wijaya and </w:t>
      </w:r>
      <w:proofErr w:type="spellStart"/>
      <w:r w:rsidRPr="00FC5524">
        <w:rPr>
          <w:rFonts w:ascii="Times New Roman" w:eastAsia="Calibri" w:hAnsi="Times New Roman" w:cs="Times New Roman"/>
          <w:color w:val="222222"/>
          <w:kern w:val="0"/>
          <w:shd w:val="clear" w:color="auto" w:fill="FFFFFF"/>
          <w:lang w:eastAsia="en-GB"/>
          <w14:ligatures w14:val="none"/>
        </w:rPr>
        <w:t>Sedana</w:t>
      </w:r>
      <w:proofErr w:type="spellEnd"/>
      <w:r w:rsidRPr="00FC5524">
        <w:rPr>
          <w:rFonts w:ascii="Times New Roman" w:eastAsia="Calibri" w:hAnsi="Times New Roman" w:cs="Times New Roman"/>
          <w:color w:val="222222"/>
          <w:kern w:val="0"/>
          <w:shd w:val="clear" w:color="auto" w:fill="FFFFFF"/>
          <w:lang w:eastAsia="en-GB"/>
          <w14:ligatures w14:val="none"/>
        </w:rPr>
        <w:t>, 2020).</w:t>
      </w:r>
    </w:p>
    <w:p w14:paraId="249D73F8"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6" w:name="_Toc203756901"/>
      <w:bookmarkEnd w:id="6"/>
      <w:r w:rsidRPr="00FC5524">
        <w:rPr>
          <w:rFonts w:ascii="Times New Roman" w:eastAsia="SimSun" w:hAnsi="Times New Roman" w:cs="Times New Roman"/>
          <w:b/>
          <w:bCs/>
          <w:color w:val="4F81BD"/>
          <w:kern w:val="0"/>
          <w:u w:val="single"/>
          <w:lang w:eastAsia="en-GB"/>
          <w14:ligatures w14:val="none"/>
        </w:rPr>
        <w:t>Computation of Solvency Ratios for the financial year 2024 and 2023</w:t>
      </w:r>
    </w:p>
    <w:p w14:paraId="4776B79A" w14:textId="77777777" w:rsidR="00FC5524" w:rsidRPr="00FC5524" w:rsidRDefault="00FC5524" w:rsidP="00FC5524">
      <w:pPr>
        <w:keepNext/>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Calibri" w:eastAsia="Times New Roman" w:hAnsi="Calibri" w:cs="Times New Roman"/>
          <w:noProof/>
          <w:kern w:val="0"/>
          <w:sz w:val="22"/>
          <w:szCs w:val="22"/>
          <w:lang w:eastAsia="en-GB"/>
          <w14:ligatures w14:val="none"/>
        </w:rPr>
        <w:drawing>
          <wp:inline distT="0" distB="0" distL="0" distR="0" wp14:anchorId="25CF2CC2" wp14:editId="17F4DCEE">
            <wp:extent cx="5943600" cy="704850"/>
            <wp:effectExtent l="0" t="0" r="0" b="0"/>
            <wp:docPr id="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704850"/>
                    </a:xfrm>
                    <a:prstGeom prst="rect">
                      <a:avLst/>
                    </a:prstGeom>
                    <a:noFill/>
                    <a:ln>
                      <a:noFill/>
                    </a:ln>
                  </pic:spPr>
                </pic:pic>
              </a:graphicData>
            </a:graphic>
          </wp:inline>
        </w:drawing>
      </w:r>
      <w:r w:rsidRPr="00FC5524">
        <w:rPr>
          <w:rFonts w:ascii="Times New Roman" w:eastAsia="Calibri" w:hAnsi="Times New Roman" w:cs="Times New Roman"/>
          <w:kern w:val="0"/>
          <w:lang w:eastAsia="en-GB"/>
          <w14:ligatures w14:val="none"/>
        </w:rPr>
        <w:t xml:space="preserve"> </w:t>
      </w:r>
    </w:p>
    <w:p w14:paraId="306E65DD" w14:textId="77777777" w:rsidR="00FC5524" w:rsidRPr="00FC5524" w:rsidRDefault="00FC5524" w:rsidP="00FC5524">
      <w:pPr>
        <w:spacing w:before="100" w:beforeAutospacing="1" w:after="200" w:line="360" w:lineRule="auto"/>
        <w:jc w:val="both"/>
        <w:rPr>
          <w:rFonts w:ascii="Times New Roman" w:eastAsia="Calibri" w:hAnsi="Times New Roman" w:cs="Times New Roman"/>
          <w:b/>
          <w:bCs/>
          <w:color w:val="4F81BD"/>
          <w:kern w:val="0"/>
          <w:lang w:eastAsia="en-GB"/>
          <w14:ligatures w14:val="none"/>
        </w:rPr>
      </w:pPr>
      <w:r w:rsidRPr="00FC5524">
        <w:rPr>
          <w:rFonts w:ascii="Times New Roman" w:eastAsia="Calibri" w:hAnsi="Times New Roman" w:cs="Times New Roman"/>
          <w:b/>
          <w:bCs/>
          <w:color w:val="4F81BD"/>
          <w:kern w:val="0"/>
          <w:lang w:eastAsia="en-GB"/>
          <w14:ligatures w14:val="none"/>
        </w:rPr>
        <w:t>Figure 5</w:t>
      </w:r>
    </w:p>
    <w:p w14:paraId="16469DBD" w14:textId="77777777" w:rsidR="00FC5524" w:rsidRPr="00FC5524" w:rsidRDefault="00FC5524" w:rsidP="00FC5524">
      <w:pPr>
        <w:keepNext/>
        <w:spacing w:before="100" w:beforeAutospacing="1" w:after="200" w:line="360" w:lineRule="auto"/>
        <w:rPr>
          <w:rFonts w:ascii="Times New Roman" w:eastAsia="Calibri" w:hAnsi="Times New Roman" w:cs="Times New Roman"/>
          <w:kern w:val="0"/>
          <w:lang w:eastAsia="en-GB"/>
          <w14:ligatures w14:val="none"/>
        </w:rPr>
      </w:pPr>
      <w:r w:rsidRPr="00FC5524">
        <w:rPr>
          <w:rFonts w:ascii="Calibri" w:eastAsia="Times New Roman" w:hAnsi="Calibri" w:cs="Times New Roman"/>
          <w:noProof/>
          <w:kern w:val="0"/>
          <w:sz w:val="22"/>
          <w:szCs w:val="22"/>
          <w:lang w:eastAsia="en-GB"/>
          <w14:ligatures w14:val="none"/>
        </w:rPr>
        <w:drawing>
          <wp:inline distT="0" distB="0" distL="0" distR="0" wp14:anchorId="27CC50C2" wp14:editId="20E35A7E">
            <wp:extent cx="3422650" cy="933450"/>
            <wp:effectExtent l="0" t="0" r="6350" b="0"/>
            <wp:docPr id="6" name="Picture 7" descr="A black and white screen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A black and white screen with numbers and text&#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422650" cy="933450"/>
                    </a:xfrm>
                    <a:prstGeom prst="rect">
                      <a:avLst/>
                    </a:prstGeom>
                    <a:noFill/>
                    <a:ln>
                      <a:noFill/>
                    </a:ln>
                  </pic:spPr>
                </pic:pic>
              </a:graphicData>
            </a:graphic>
          </wp:inline>
        </w:drawing>
      </w:r>
      <w:r w:rsidRPr="00FC5524">
        <w:rPr>
          <w:rFonts w:ascii="Times New Roman" w:eastAsia="Calibri" w:hAnsi="Times New Roman" w:cs="Times New Roman"/>
          <w:kern w:val="0"/>
          <w:lang w:eastAsia="en-GB"/>
          <w14:ligatures w14:val="none"/>
        </w:rPr>
        <w:t xml:space="preserve"> </w:t>
      </w:r>
    </w:p>
    <w:p w14:paraId="2E1E15F5" w14:textId="77777777" w:rsidR="00FC5524" w:rsidRPr="00FC5524" w:rsidRDefault="00FC5524" w:rsidP="00FC5524">
      <w:pPr>
        <w:spacing w:before="100" w:beforeAutospacing="1" w:after="200" w:line="360" w:lineRule="auto"/>
        <w:rPr>
          <w:rFonts w:ascii="Times New Roman" w:eastAsia="Calibri" w:hAnsi="Times New Roman" w:cs="Times New Roman"/>
          <w:b/>
          <w:bCs/>
          <w:color w:val="4F81BD"/>
          <w:kern w:val="0"/>
          <w:lang w:eastAsia="en-GB"/>
          <w14:ligatures w14:val="none"/>
        </w:rPr>
      </w:pPr>
      <w:r w:rsidRPr="00FC5524">
        <w:rPr>
          <w:rFonts w:ascii="Times New Roman" w:eastAsia="Calibri" w:hAnsi="Times New Roman" w:cs="Times New Roman"/>
          <w:b/>
          <w:bCs/>
          <w:color w:val="4F81BD"/>
          <w:kern w:val="0"/>
          <w:lang w:eastAsia="en-GB"/>
          <w14:ligatures w14:val="none"/>
        </w:rPr>
        <w:t>Figure 6</w:t>
      </w:r>
    </w:p>
    <w:p w14:paraId="533D179E"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Interpretation</w:t>
      </w:r>
    </w:p>
    <w:p w14:paraId="69BFEA67"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 solvency ratios are interpreted to </w:t>
      </w:r>
      <w:proofErr w:type="spellStart"/>
      <w:r w:rsidRPr="00FC5524">
        <w:rPr>
          <w:rFonts w:ascii="Times New Roman" w:eastAsia="Calibri" w:hAnsi="Times New Roman" w:cs="Times New Roman"/>
          <w:kern w:val="0"/>
          <w:lang w:eastAsia="en-GB"/>
          <w14:ligatures w14:val="none"/>
        </w:rPr>
        <w:t>analyze</w:t>
      </w:r>
      <w:proofErr w:type="spellEnd"/>
      <w:r w:rsidRPr="00FC5524">
        <w:rPr>
          <w:rFonts w:ascii="Times New Roman" w:eastAsia="Calibri" w:hAnsi="Times New Roman" w:cs="Times New Roman"/>
          <w:kern w:val="0"/>
          <w:lang w:eastAsia="en-GB"/>
          <w14:ligatures w14:val="none"/>
        </w:rPr>
        <w:t xml:space="preserve"> the participation of internal funds and external funds in the execution of the long-term and short-term business activities. The higher deployment of external funds in the organization's capital structure would entail high interest payments, thereby reducing the profit margin </w:t>
      </w:r>
      <w:proofErr w:type="gramStart"/>
      <w:r w:rsidRPr="00FC5524">
        <w:rPr>
          <w:rFonts w:ascii="Times New Roman" w:eastAsia="Calibri" w:hAnsi="Times New Roman" w:cs="Times New Roman"/>
          <w:kern w:val="0"/>
          <w:lang w:eastAsia="en-GB"/>
          <w14:ligatures w14:val="none"/>
        </w:rPr>
        <w:t>accordingly</w:t>
      </w:r>
      <w:r w:rsidRPr="00FC5524">
        <w:rPr>
          <w:rFonts w:ascii="Times New Roman" w:eastAsia="Calibri" w:hAnsi="Times New Roman" w:cs="Times New Roman"/>
          <w:color w:val="374151"/>
          <w:kern w:val="0"/>
          <w:lang w:eastAsia="en-GB"/>
          <w14:ligatures w14:val="none"/>
        </w:rPr>
        <w:t>(</w:t>
      </w:r>
      <w:proofErr w:type="gramEnd"/>
      <w:r w:rsidRPr="00FC5524">
        <w:rPr>
          <w:rFonts w:ascii="Times New Roman" w:eastAsia="Calibri" w:hAnsi="Times New Roman" w:cs="Times New Roman"/>
          <w:color w:val="222222"/>
          <w:kern w:val="0"/>
          <w:shd w:val="clear" w:color="auto" w:fill="FFFFFF"/>
          <w:lang w:eastAsia="en-GB"/>
          <w14:ligatures w14:val="none"/>
        </w:rPr>
        <w:t>Syarifah, 2021)</w:t>
      </w:r>
      <w:r w:rsidRPr="00FC5524">
        <w:rPr>
          <w:rFonts w:ascii="Times New Roman" w:eastAsia="Calibri" w:hAnsi="Times New Roman" w:cs="Times New Roman"/>
          <w:kern w:val="0"/>
          <w:lang w:eastAsia="en-GB"/>
          <w14:ligatures w14:val="none"/>
        </w:rPr>
        <w:t xml:space="preserve">. This procedure is </w:t>
      </w:r>
      <w:r w:rsidRPr="00FC5524">
        <w:rPr>
          <w:rFonts w:ascii="Times New Roman" w:eastAsia="Calibri" w:hAnsi="Times New Roman" w:cs="Times New Roman"/>
          <w:kern w:val="0"/>
          <w:lang w:eastAsia="en-GB"/>
          <w14:ligatures w14:val="none"/>
        </w:rPr>
        <w:lastRenderedPageBreak/>
        <w:t>not fruitful for the shareholders' wealth, as a major chunk of profit is being taken away by the borrowers, thereby leaving a minimized profit margin for the shareholders to enjoy. Therefore, the minimum contribution of external funds in the organization's capital structure is always preferred, thereby enhancing the profit margin. In the given scenario, the debt equity has reached the highest level at 3.615 in 2024 from 3.440 in the previous year, indicating that the company is entirely dependent on external funds for the effective functioning and completion of the long-term proposals (</w:t>
      </w:r>
      <w:proofErr w:type="spellStart"/>
      <w:r w:rsidRPr="00FC5524">
        <w:rPr>
          <w:rFonts w:ascii="Times New Roman" w:eastAsia="Calibri" w:hAnsi="Times New Roman" w:cs="Times New Roman"/>
          <w:color w:val="000000"/>
          <w:kern w:val="0"/>
          <w:shd w:val="clear" w:color="auto" w:fill="FFFFFF"/>
          <w:lang w:eastAsia="en-GB"/>
          <w14:ligatures w14:val="none"/>
        </w:rPr>
        <w:t>Makrelov</w:t>
      </w:r>
      <w:proofErr w:type="spellEnd"/>
      <w:r w:rsidRPr="00FC5524">
        <w:rPr>
          <w:rFonts w:ascii="Times New Roman" w:eastAsia="Calibri" w:hAnsi="Times New Roman" w:cs="Times New Roman"/>
          <w:color w:val="000000"/>
          <w:kern w:val="0"/>
          <w:shd w:val="clear" w:color="auto" w:fill="FFFFFF"/>
          <w:lang w:eastAsia="en-GB"/>
          <w14:ligatures w14:val="none"/>
        </w:rPr>
        <w:t>, Davies, and Harris, 2021)</w:t>
      </w:r>
      <w:r w:rsidRPr="00FC5524">
        <w:rPr>
          <w:rFonts w:ascii="Times New Roman" w:eastAsia="Calibri" w:hAnsi="Times New Roman" w:cs="Times New Roman"/>
          <w:kern w:val="0"/>
          <w:lang w:eastAsia="en-GB"/>
          <w14:ligatures w14:val="none"/>
        </w:rPr>
        <w:t xml:space="preserve">. The company is unable to gather internal funds for its respective operations and hence ends up paying an elevated amount on interest expenses to the external borrowers. Further, the rise in the solvency ratios also enhances the financial risk, and hence, the going concern becomes questionable for the shareholders. The situation of the company is shaky due to the massive participation </w:t>
      </w:r>
      <w:proofErr w:type="spellStart"/>
      <w:r w:rsidRPr="00FC5524">
        <w:rPr>
          <w:rFonts w:ascii="Times New Roman" w:eastAsia="Calibri" w:hAnsi="Times New Roman" w:cs="Times New Roman"/>
          <w:kern w:val="0"/>
          <w:lang w:eastAsia="en-GB"/>
          <w14:ligatures w14:val="none"/>
        </w:rPr>
        <w:t>oflong</w:t>
      </w:r>
      <w:proofErr w:type="spellEnd"/>
      <w:r w:rsidRPr="00FC5524">
        <w:rPr>
          <w:rFonts w:ascii="Times New Roman" w:eastAsia="Calibri" w:hAnsi="Times New Roman" w:cs="Times New Roman"/>
          <w:kern w:val="0"/>
          <w:lang w:eastAsia="en-GB"/>
          <w14:ligatures w14:val="none"/>
        </w:rPr>
        <w:t xml:space="preserve">-term debts.  Further, the debt-assets ratio, which was limited to 0.777 in the previous year, has sharply increased to 0.783 in the current year, indicating that the company's assets are financed from an external source of finance. Such a process is not effective in the long run, as the company </w:t>
      </w:r>
      <w:proofErr w:type="gramStart"/>
      <w:r w:rsidRPr="00FC5524">
        <w:rPr>
          <w:rFonts w:ascii="Times New Roman" w:eastAsia="Calibri" w:hAnsi="Times New Roman" w:cs="Times New Roman"/>
          <w:kern w:val="0"/>
          <w:lang w:eastAsia="en-GB"/>
          <w14:ligatures w14:val="none"/>
        </w:rPr>
        <w:t>has to</w:t>
      </w:r>
      <w:proofErr w:type="gramEnd"/>
      <w:r w:rsidRPr="00FC5524">
        <w:rPr>
          <w:rFonts w:ascii="Times New Roman" w:eastAsia="Calibri" w:hAnsi="Times New Roman" w:cs="Times New Roman"/>
          <w:kern w:val="0"/>
          <w:lang w:eastAsia="en-GB"/>
          <w14:ligatures w14:val="none"/>
        </w:rPr>
        <w:t xml:space="preserve"> pay a high amount of interest expenses on the principal </w:t>
      </w:r>
      <w:proofErr w:type="gramStart"/>
      <w:r w:rsidRPr="00FC5524">
        <w:rPr>
          <w:rFonts w:ascii="Times New Roman" w:eastAsia="Calibri" w:hAnsi="Times New Roman" w:cs="Times New Roman"/>
          <w:kern w:val="0"/>
          <w:lang w:eastAsia="en-GB"/>
          <w14:ligatures w14:val="none"/>
        </w:rPr>
        <w:t>amount</w:t>
      </w:r>
      <w:r w:rsidRPr="00FC5524">
        <w:rPr>
          <w:rFonts w:ascii="Times New Roman" w:eastAsia="Calibri" w:hAnsi="Times New Roman" w:cs="Times New Roman"/>
          <w:color w:val="222222"/>
          <w:kern w:val="0"/>
          <w:shd w:val="clear" w:color="auto" w:fill="FFFFFF"/>
          <w:lang w:eastAsia="en-GB"/>
          <w14:ligatures w14:val="none"/>
        </w:rPr>
        <w:t>(</w:t>
      </w:r>
      <w:proofErr w:type="spellStart"/>
      <w:proofErr w:type="gramEnd"/>
      <w:r w:rsidRPr="00FC5524">
        <w:rPr>
          <w:rFonts w:ascii="Times New Roman" w:eastAsia="Calibri" w:hAnsi="Times New Roman" w:cs="Times New Roman"/>
          <w:color w:val="222222"/>
          <w:kern w:val="0"/>
          <w:shd w:val="clear" w:color="auto" w:fill="FFFFFF"/>
          <w:lang w:eastAsia="en-GB"/>
          <w14:ligatures w14:val="none"/>
        </w:rPr>
        <w:t>Rudianto</w:t>
      </w:r>
      <w:proofErr w:type="spellEnd"/>
      <w:r w:rsidRPr="00FC5524">
        <w:rPr>
          <w:rFonts w:ascii="Times New Roman" w:eastAsia="Calibri" w:hAnsi="Times New Roman" w:cs="Times New Roman"/>
          <w:color w:val="222222"/>
          <w:kern w:val="0"/>
          <w:shd w:val="clear" w:color="auto" w:fill="FFFFFF"/>
          <w:lang w:eastAsia="en-GB"/>
          <w14:ligatures w14:val="none"/>
        </w:rPr>
        <w:t>, 2022)</w:t>
      </w:r>
      <w:r w:rsidRPr="00FC5524">
        <w:rPr>
          <w:rFonts w:ascii="Times New Roman" w:eastAsia="Calibri" w:hAnsi="Times New Roman" w:cs="Times New Roman"/>
          <w:kern w:val="0"/>
          <w:lang w:eastAsia="en-GB"/>
          <w14:ligatures w14:val="none"/>
        </w:rPr>
        <w:t xml:space="preserve">. The interest coverage ratio has declined massively in the current year to 6.655 from 11.416 in 2023, indicating that an increase in interest expense has reduced the ratio massively. This situation delivers an alarming signal to the effective shareholders and the management of the company, and hence, they should take noteworthy actions that would focus on the improvement of the solvency ratio by minimizing debt funds. </w:t>
      </w:r>
      <w:r w:rsidRPr="00FC5524">
        <w:rPr>
          <w:rFonts w:ascii="Times New Roman" w:eastAsia="Calibri" w:hAnsi="Times New Roman" w:cs="Times New Roman"/>
          <w:kern w:val="0"/>
          <w:lang w:eastAsia="en-GB"/>
          <w14:ligatures w14:val="none"/>
        </w:rPr>
        <w:tab/>
      </w:r>
    </w:p>
    <w:p w14:paraId="029061BD"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7" w:name="_Toc203756902"/>
      <w:bookmarkEnd w:id="7"/>
      <w:r w:rsidRPr="00FC5524">
        <w:rPr>
          <w:rFonts w:ascii="Times New Roman" w:eastAsia="SimSun" w:hAnsi="Times New Roman" w:cs="Times New Roman"/>
          <w:b/>
          <w:bCs/>
          <w:color w:val="4F81BD"/>
          <w:kern w:val="0"/>
          <w:u w:val="single"/>
          <w:lang w:eastAsia="en-GB"/>
          <w14:ligatures w14:val="none"/>
        </w:rPr>
        <w:t>Computation of Efficiency Ratios for the financial year 2024 and 2023</w:t>
      </w:r>
    </w:p>
    <w:p w14:paraId="78024DD9" w14:textId="77777777" w:rsidR="00FC5524" w:rsidRPr="00FC5524" w:rsidRDefault="00FC5524" w:rsidP="00FC5524">
      <w:pPr>
        <w:keepNext/>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Calibri" w:eastAsia="Times New Roman" w:hAnsi="Calibri" w:cs="Times New Roman"/>
          <w:noProof/>
          <w:kern w:val="0"/>
          <w:sz w:val="22"/>
          <w:szCs w:val="22"/>
          <w:lang w:eastAsia="en-GB"/>
          <w14:ligatures w14:val="none"/>
        </w:rPr>
        <w:drawing>
          <wp:inline distT="0" distB="0" distL="0" distR="0" wp14:anchorId="74E86E5C" wp14:editId="4D135D94">
            <wp:extent cx="5943600" cy="876300"/>
            <wp:effectExtent l="0" t="0" r="0" b="0"/>
            <wp:docPr id="7" name="Picture 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 shot of a computer&#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876300"/>
                    </a:xfrm>
                    <a:prstGeom prst="rect">
                      <a:avLst/>
                    </a:prstGeom>
                    <a:noFill/>
                    <a:ln>
                      <a:noFill/>
                    </a:ln>
                  </pic:spPr>
                </pic:pic>
              </a:graphicData>
            </a:graphic>
          </wp:inline>
        </w:drawing>
      </w:r>
      <w:r w:rsidRPr="00FC5524">
        <w:rPr>
          <w:rFonts w:ascii="Times New Roman" w:eastAsia="Calibri" w:hAnsi="Times New Roman" w:cs="Times New Roman"/>
          <w:kern w:val="0"/>
          <w:lang w:eastAsia="en-GB"/>
          <w14:ligatures w14:val="none"/>
        </w:rPr>
        <w:t xml:space="preserve"> </w:t>
      </w:r>
    </w:p>
    <w:p w14:paraId="0B7174E6" w14:textId="77777777" w:rsidR="00FC5524" w:rsidRPr="00FC5524" w:rsidRDefault="00FC5524" w:rsidP="00FC5524">
      <w:pPr>
        <w:spacing w:before="100" w:beforeAutospacing="1" w:after="200" w:line="360" w:lineRule="auto"/>
        <w:jc w:val="both"/>
        <w:rPr>
          <w:rFonts w:ascii="Times New Roman" w:eastAsia="Calibri" w:hAnsi="Times New Roman" w:cs="Times New Roman"/>
          <w:b/>
          <w:bCs/>
          <w:color w:val="4F81BD"/>
          <w:kern w:val="0"/>
          <w:lang w:eastAsia="en-GB"/>
          <w14:ligatures w14:val="none"/>
        </w:rPr>
      </w:pPr>
      <w:r w:rsidRPr="00FC5524">
        <w:rPr>
          <w:rFonts w:ascii="Times New Roman" w:eastAsia="Calibri" w:hAnsi="Times New Roman" w:cs="Times New Roman"/>
          <w:b/>
          <w:bCs/>
          <w:color w:val="4F81BD"/>
          <w:kern w:val="0"/>
          <w:lang w:eastAsia="en-GB"/>
          <w14:ligatures w14:val="none"/>
        </w:rPr>
        <w:t>Figure 7</w:t>
      </w:r>
    </w:p>
    <w:p w14:paraId="1A9E57BA" w14:textId="77777777" w:rsidR="00FC5524" w:rsidRPr="00FC5524" w:rsidRDefault="00FC5524" w:rsidP="00FC5524">
      <w:pPr>
        <w:keepNext/>
        <w:spacing w:before="100" w:beforeAutospacing="1" w:after="200" w:line="360" w:lineRule="auto"/>
        <w:rPr>
          <w:rFonts w:ascii="Times New Roman" w:eastAsia="Calibri" w:hAnsi="Times New Roman" w:cs="Times New Roman"/>
          <w:kern w:val="0"/>
          <w:lang w:eastAsia="en-GB"/>
          <w14:ligatures w14:val="none"/>
        </w:rPr>
      </w:pPr>
      <w:r w:rsidRPr="00FC5524">
        <w:rPr>
          <w:rFonts w:ascii="Calibri" w:eastAsia="Times New Roman" w:hAnsi="Calibri" w:cs="Times New Roman"/>
          <w:noProof/>
          <w:kern w:val="0"/>
          <w:sz w:val="22"/>
          <w:szCs w:val="22"/>
          <w:lang w:eastAsia="en-GB"/>
          <w14:ligatures w14:val="none"/>
        </w:rPr>
        <w:drawing>
          <wp:inline distT="0" distB="0" distL="0" distR="0" wp14:anchorId="6108CA4A" wp14:editId="7AF9CD61">
            <wp:extent cx="4902200" cy="806450"/>
            <wp:effectExtent l="0" t="0" r="0" b="0"/>
            <wp:docPr id="8" name="Picture 6" descr="A black screen with numbers and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descr="A black screen with numbers and a black background&#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902200" cy="806450"/>
                    </a:xfrm>
                    <a:prstGeom prst="rect">
                      <a:avLst/>
                    </a:prstGeom>
                    <a:noFill/>
                    <a:ln>
                      <a:noFill/>
                    </a:ln>
                  </pic:spPr>
                </pic:pic>
              </a:graphicData>
            </a:graphic>
          </wp:inline>
        </w:drawing>
      </w:r>
      <w:r w:rsidRPr="00FC5524">
        <w:rPr>
          <w:rFonts w:ascii="Times New Roman" w:eastAsia="Calibri" w:hAnsi="Times New Roman" w:cs="Times New Roman"/>
          <w:kern w:val="0"/>
          <w:lang w:eastAsia="en-GB"/>
          <w14:ligatures w14:val="none"/>
        </w:rPr>
        <w:t xml:space="preserve"> </w:t>
      </w:r>
    </w:p>
    <w:p w14:paraId="47982893" w14:textId="77777777" w:rsidR="00FC5524" w:rsidRPr="00FC5524" w:rsidRDefault="00FC5524" w:rsidP="00FC5524">
      <w:pPr>
        <w:spacing w:before="100" w:beforeAutospacing="1" w:after="200" w:line="360" w:lineRule="auto"/>
        <w:rPr>
          <w:rFonts w:ascii="Times New Roman" w:eastAsia="Calibri" w:hAnsi="Times New Roman" w:cs="Times New Roman"/>
          <w:b/>
          <w:bCs/>
          <w:color w:val="4F81BD"/>
          <w:kern w:val="0"/>
          <w:lang w:eastAsia="en-GB"/>
          <w14:ligatures w14:val="none"/>
        </w:rPr>
      </w:pPr>
      <w:r w:rsidRPr="00FC5524">
        <w:rPr>
          <w:rFonts w:ascii="Times New Roman" w:eastAsia="Calibri" w:hAnsi="Times New Roman" w:cs="Times New Roman"/>
          <w:b/>
          <w:bCs/>
          <w:color w:val="4F81BD"/>
          <w:kern w:val="0"/>
          <w:lang w:eastAsia="en-GB"/>
          <w14:ligatures w14:val="none"/>
        </w:rPr>
        <w:t>Figure 8</w:t>
      </w:r>
    </w:p>
    <w:p w14:paraId="33597D79"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lastRenderedPageBreak/>
        <w:t>Interpretation</w:t>
      </w:r>
    </w:p>
    <w:p w14:paraId="0B2F5E48" w14:textId="316385A9"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 efficiency ratio is interpreted to </w:t>
      </w:r>
      <w:proofErr w:type="spellStart"/>
      <w:r w:rsidRPr="00FC5524">
        <w:rPr>
          <w:rFonts w:ascii="Times New Roman" w:eastAsia="Calibri" w:hAnsi="Times New Roman" w:cs="Times New Roman"/>
          <w:kern w:val="0"/>
          <w:lang w:eastAsia="en-GB"/>
          <w14:ligatures w14:val="none"/>
        </w:rPr>
        <w:t>analyze</w:t>
      </w:r>
      <w:proofErr w:type="spellEnd"/>
      <w:r w:rsidRPr="00FC5524">
        <w:rPr>
          <w:rFonts w:ascii="Times New Roman" w:eastAsia="Calibri" w:hAnsi="Times New Roman" w:cs="Times New Roman"/>
          <w:kern w:val="0"/>
          <w:lang w:eastAsia="en-GB"/>
          <w14:ligatures w14:val="none"/>
        </w:rPr>
        <w:t xml:space="preserve"> the business efficiency in the utilization of the non-current and current assets for the selected financial year. This process is employed to understand whether the company is effectively employing its available resources of assets or </w:t>
      </w:r>
      <w:proofErr w:type="gramStart"/>
      <w:r w:rsidRPr="00FC5524">
        <w:rPr>
          <w:rFonts w:ascii="Times New Roman" w:eastAsia="Calibri" w:hAnsi="Times New Roman" w:cs="Times New Roman"/>
          <w:kern w:val="0"/>
          <w:lang w:eastAsia="en-GB"/>
          <w14:ligatures w14:val="none"/>
        </w:rPr>
        <w:t>not, and</w:t>
      </w:r>
      <w:proofErr w:type="gramEnd"/>
      <w:r w:rsidRPr="00FC5524">
        <w:rPr>
          <w:rFonts w:ascii="Times New Roman" w:eastAsia="Calibri" w:hAnsi="Times New Roman" w:cs="Times New Roman"/>
          <w:kern w:val="0"/>
          <w:lang w:eastAsia="en-GB"/>
          <w14:ligatures w14:val="none"/>
        </w:rPr>
        <w:t xml:space="preserve"> accordingly take effective decisions to improve the aforesaid condition. In this sector, three ratios have been performed for the effective analysis that include debtor's days, creditor's days, and stock days. The debtor's days are interpreted to </w:t>
      </w:r>
      <w:proofErr w:type="spellStart"/>
      <w:r w:rsidRPr="00FC5524">
        <w:rPr>
          <w:rFonts w:ascii="Times New Roman" w:eastAsia="Calibri" w:hAnsi="Times New Roman" w:cs="Times New Roman"/>
          <w:kern w:val="0"/>
          <w:lang w:eastAsia="en-GB"/>
          <w14:ligatures w14:val="none"/>
        </w:rPr>
        <w:t>analyze</w:t>
      </w:r>
      <w:proofErr w:type="spellEnd"/>
      <w:r w:rsidRPr="00FC5524">
        <w:rPr>
          <w:rFonts w:ascii="Times New Roman" w:eastAsia="Calibri" w:hAnsi="Times New Roman" w:cs="Times New Roman"/>
          <w:kern w:val="0"/>
          <w:lang w:eastAsia="en-GB"/>
          <w14:ligatures w14:val="none"/>
        </w:rPr>
        <w:t xml:space="preserve"> the time taken by the company in the collection of the dues from its respective customers. The higher ratio would signify that the company has a longer time, and vice versa. In the given scenario, the company's collection time has increased to 29.79 days from 27.99 days, indicating that the company is struggling to collect the dues from the dedicated customer, thereby signifying </w:t>
      </w:r>
      <w:proofErr w:type="spellStart"/>
      <w:r w:rsidRPr="00FC5524">
        <w:rPr>
          <w:rFonts w:ascii="Times New Roman" w:eastAsia="Calibri" w:hAnsi="Times New Roman" w:cs="Times New Roman"/>
          <w:kern w:val="0"/>
          <w:lang w:eastAsia="en-GB"/>
          <w14:ligatures w14:val="none"/>
        </w:rPr>
        <w:t>unfavorable</w:t>
      </w:r>
      <w:proofErr w:type="spellEnd"/>
      <w:r w:rsidRPr="00FC5524">
        <w:rPr>
          <w:rFonts w:ascii="Times New Roman" w:eastAsia="Calibri" w:hAnsi="Times New Roman" w:cs="Times New Roman"/>
          <w:kern w:val="0"/>
          <w:lang w:eastAsia="en-GB"/>
          <w14:ligatures w14:val="none"/>
        </w:rPr>
        <w:t xml:space="preserve"> conditions as the fund availability would create a hindrance in the smooth functioning of the business (</w:t>
      </w:r>
      <w:r w:rsidRPr="00FC5524">
        <w:rPr>
          <w:rFonts w:ascii="Times New Roman" w:eastAsia="Calibri" w:hAnsi="Times New Roman" w:cs="Times New Roman"/>
          <w:color w:val="222222"/>
          <w:kern w:val="0"/>
          <w:shd w:val="clear" w:color="auto" w:fill="FFFFFF"/>
          <w:lang w:eastAsia="en-GB"/>
          <w14:ligatures w14:val="none"/>
        </w:rPr>
        <w:t xml:space="preserve">Nuriah, Laba, and </w:t>
      </w:r>
      <w:proofErr w:type="spellStart"/>
      <w:r w:rsidRPr="00FC5524">
        <w:rPr>
          <w:rFonts w:ascii="Times New Roman" w:eastAsia="Calibri" w:hAnsi="Times New Roman" w:cs="Times New Roman"/>
          <w:color w:val="222222"/>
          <w:kern w:val="0"/>
          <w:shd w:val="clear" w:color="auto" w:fill="FFFFFF"/>
          <w:lang w:eastAsia="en-GB"/>
          <w14:ligatures w14:val="none"/>
        </w:rPr>
        <w:t>Sobarsyah</w:t>
      </w:r>
      <w:proofErr w:type="spellEnd"/>
      <w:r w:rsidRPr="00FC5524">
        <w:rPr>
          <w:rFonts w:ascii="Times New Roman" w:eastAsia="Calibri" w:hAnsi="Times New Roman" w:cs="Times New Roman"/>
          <w:color w:val="222222"/>
          <w:kern w:val="0"/>
          <w:shd w:val="clear" w:color="auto" w:fill="FFFFFF"/>
          <w:lang w:eastAsia="en-GB"/>
          <w14:ligatures w14:val="none"/>
        </w:rPr>
        <w:t>, 2020)</w:t>
      </w:r>
      <w:r w:rsidRPr="00FC5524">
        <w:rPr>
          <w:rFonts w:ascii="Times New Roman" w:eastAsia="Calibri" w:hAnsi="Times New Roman" w:cs="Times New Roman"/>
          <w:kern w:val="0"/>
          <w:lang w:eastAsia="en-GB"/>
          <w14:ligatures w14:val="none"/>
        </w:rPr>
        <w:t xml:space="preserve">. The rising trend of the debtor's days would create a financial crunch in the enterprise, and hence, short-term obligations would not get paid in a timely manner, leading to multiple fines and penalties. Further, in creditors' days, it has been noticed that the company is taking equal time for both consecutive years for the payment to the creditors, that is, 135 days. Such an extended </w:t>
      </w:r>
      <w:proofErr w:type="gramStart"/>
      <w:r w:rsidRPr="00FC5524">
        <w:rPr>
          <w:rFonts w:ascii="Times New Roman" w:eastAsia="Calibri" w:hAnsi="Times New Roman" w:cs="Times New Roman"/>
          <w:kern w:val="0"/>
          <w:lang w:eastAsia="en-GB"/>
          <w14:ligatures w14:val="none"/>
        </w:rPr>
        <w:t>time period</w:t>
      </w:r>
      <w:proofErr w:type="gramEnd"/>
      <w:r w:rsidRPr="00FC5524">
        <w:rPr>
          <w:rFonts w:ascii="Times New Roman" w:eastAsia="Calibri" w:hAnsi="Times New Roman" w:cs="Times New Roman"/>
          <w:kern w:val="0"/>
          <w:lang w:eastAsia="en-GB"/>
          <w14:ligatures w14:val="none"/>
        </w:rPr>
        <w:t xml:space="preserve"> would not be appreciated by the creditor in the long run, and hence the relationship between creditors and the organization would not be effectively </w:t>
      </w:r>
      <w:proofErr w:type="gramStart"/>
      <w:r w:rsidRPr="00FC5524">
        <w:rPr>
          <w:rFonts w:ascii="Times New Roman" w:eastAsia="Calibri" w:hAnsi="Times New Roman" w:cs="Times New Roman"/>
          <w:kern w:val="0"/>
          <w:lang w:eastAsia="en-GB"/>
          <w14:ligatures w14:val="none"/>
        </w:rPr>
        <w:t>maintained</w:t>
      </w:r>
      <w:r w:rsidRPr="00FC5524">
        <w:rPr>
          <w:rFonts w:ascii="Times New Roman" w:eastAsia="Calibri" w:hAnsi="Times New Roman" w:cs="Times New Roman"/>
          <w:color w:val="222222"/>
          <w:kern w:val="0"/>
          <w:shd w:val="clear" w:color="auto" w:fill="FFFFFF"/>
          <w:lang w:eastAsia="en-GB"/>
          <w14:ligatures w14:val="none"/>
        </w:rPr>
        <w:t>(</w:t>
      </w:r>
      <w:proofErr w:type="spellStart"/>
      <w:proofErr w:type="gramEnd"/>
      <w:r w:rsidRPr="00FC5524">
        <w:rPr>
          <w:rFonts w:ascii="Times New Roman" w:eastAsia="Calibri" w:hAnsi="Times New Roman" w:cs="Times New Roman"/>
          <w:color w:val="222222"/>
          <w:kern w:val="0"/>
          <w:shd w:val="clear" w:color="auto" w:fill="FFFFFF"/>
          <w:lang w:eastAsia="en-GB"/>
          <w14:ligatures w14:val="none"/>
        </w:rPr>
        <w:t>Kayedppour</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et al., 2021)</w:t>
      </w:r>
      <w:r w:rsidRPr="00FC5524">
        <w:rPr>
          <w:rFonts w:ascii="Times New Roman" w:eastAsia="Calibri" w:hAnsi="Times New Roman" w:cs="Times New Roman"/>
          <w:kern w:val="0"/>
          <w:lang w:eastAsia="en-GB"/>
          <w14:ligatures w14:val="none"/>
        </w:rPr>
        <w:t xml:space="preserve">. The short-term obligation is not getting paid timely, which may further create issues while executing the operating activities. The creditor may halt materials due to non-payment for a longer time. In the analysis of stock days, it has been observed that the clearance process of the inventory has reduced to 58.10 days from 63.99 days, indicating that </w:t>
      </w:r>
      <w:r w:rsidR="00755B61" w:rsidRPr="00FC5524">
        <w:rPr>
          <w:rFonts w:ascii="Times New Roman" w:eastAsia="Calibri" w:hAnsi="Times New Roman" w:cs="Times New Roman"/>
          <w:kern w:val="0"/>
          <w:lang w:eastAsia="en-GB"/>
          <w14:ligatures w14:val="none"/>
        </w:rPr>
        <w:t>stock is</w:t>
      </w:r>
      <w:r w:rsidRPr="00FC5524">
        <w:rPr>
          <w:rFonts w:ascii="Times New Roman" w:eastAsia="Calibri" w:hAnsi="Times New Roman" w:cs="Times New Roman"/>
          <w:kern w:val="0"/>
          <w:lang w:eastAsia="en-GB"/>
          <w14:ligatures w14:val="none"/>
        </w:rPr>
        <w:t xml:space="preserve"> getting replaced in a shorter time when compared to the previous year's performance. As the situation is improving for the stock days, the trend is effective. </w:t>
      </w:r>
    </w:p>
    <w:p w14:paraId="3340A309"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8" w:name="_Toc203756903"/>
      <w:bookmarkEnd w:id="8"/>
      <w:r w:rsidRPr="00FC5524">
        <w:rPr>
          <w:rFonts w:ascii="Times New Roman" w:eastAsia="SimSun" w:hAnsi="Times New Roman" w:cs="Times New Roman"/>
          <w:b/>
          <w:bCs/>
          <w:color w:val="4F81BD"/>
          <w:kern w:val="0"/>
          <w:u w:val="single"/>
          <w:lang w:eastAsia="en-GB"/>
          <w14:ligatures w14:val="none"/>
        </w:rPr>
        <w:t>Computation of Investment Ratios for the financial year 2024 and 2023</w:t>
      </w:r>
    </w:p>
    <w:p w14:paraId="51BB508F" w14:textId="77777777" w:rsidR="00FC5524" w:rsidRPr="00FC5524" w:rsidRDefault="00FC5524" w:rsidP="00FC5524">
      <w:pPr>
        <w:keepNext/>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Calibri" w:eastAsia="Times New Roman" w:hAnsi="Calibri" w:cs="Times New Roman"/>
          <w:noProof/>
          <w:kern w:val="0"/>
          <w:sz w:val="22"/>
          <w:szCs w:val="22"/>
          <w:lang w:eastAsia="en-GB"/>
          <w14:ligatures w14:val="none"/>
        </w:rPr>
        <w:drawing>
          <wp:inline distT="0" distB="0" distL="0" distR="0" wp14:anchorId="632FF8A1" wp14:editId="4262164C">
            <wp:extent cx="5943600" cy="704850"/>
            <wp:effectExtent l="0" t="0" r="0" b="0"/>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704850"/>
                    </a:xfrm>
                    <a:prstGeom prst="rect">
                      <a:avLst/>
                    </a:prstGeom>
                    <a:noFill/>
                    <a:ln>
                      <a:noFill/>
                    </a:ln>
                  </pic:spPr>
                </pic:pic>
              </a:graphicData>
            </a:graphic>
          </wp:inline>
        </w:drawing>
      </w:r>
      <w:r w:rsidRPr="00FC5524">
        <w:rPr>
          <w:rFonts w:ascii="Times New Roman" w:eastAsia="Calibri" w:hAnsi="Times New Roman" w:cs="Times New Roman"/>
          <w:kern w:val="0"/>
          <w:lang w:eastAsia="en-GB"/>
          <w14:ligatures w14:val="none"/>
        </w:rPr>
        <w:t xml:space="preserve"> </w:t>
      </w:r>
    </w:p>
    <w:p w14:paraId="1A0E51F2" w14:textId="77777777" w:rsidR="00FC5524" w:rsidRPr="00FC5524" w:rsidRDefault="00FC5524" w:rsidP="00FC5524">
      <w:pPr>
        <w:spacing w:before="100" w:beforeAutospacing="1" w:after="200" w:line="360" w:lineRule="auto"/>
        <w:jc w:val="both"/>
        <w:rPr>
          <w:rFonts w:ascii="Times New Roman" w:eastAsia="Calibri" w:hAnsi="Times New Roman" w:cs="Times New Roman"/>
          <w:b/>
          <w:bCs/>
          <w:color w:val="4F81BD"/>
          <w:kern w:val="0"/>
          <w:lang w:eastAsia="en-GB"/>
          <w14:ligatures w14:val="none"/>
        </w:rPr>
      </w:pPr>
      <w:r w:rsidRPr="00FC5524">
        <w:rPr>
          <w:rFonts w:ascii="Times New Roman" w:eastAsia="Calibri" w:hAnsi="Times New Roman" w:cs="Times New Roman"/>
          <w:b/>
          <w:bCs/>
          <w:color w:val="4F81BD"/>
          <w:kern w:val="0"/>
          <w:lang w:eastAsia="en-GB"/>
          <w14:ligatures w14:val="none"/>
        </w:rPr>
        <w:t>Figure 9</w:t>
      </w:r>
    </w:p>
    <w:p w14:paraId="326A7C25" w14:textId="77777777" w:rsidR="00FC5524" w:rsidRPr="00FC5524" w:rsidRDefault="00FC5524" w:rsidP="00FC5524">
      <w:pPr>
        <w:keepNext/>
        <w:spacing w:before="100" w:beforeAutospacing="1" w:after="200" w:line="360" w:lineRule="auto"/>
        <w:rPr>
          <w:rFonts w:ascii="Times New Roman" w:eastAsia="Calibri" w:hAnsi="Times New Roman" w:cs="Times New Roman"/>
          <w:kern w:val="0"/>
          <w:lang w:eastAsia="en-GB"/>
          <w14:ligatures w14:val="none"/>
        </w:rPr>
      </w:pPr>
      <w:r w:rsidRPr="00FC5524">
        <w:rPr>
          <w:rFonts w:ascii="Calibri" w:eastAsia="Times New Roman" w:hAnsi="Calibri" w:cs="Times New Roman"/>
          <w:noProof/>
          <w:kern w:val="0"/>
          <w:sz w:val="22"/>
          <w:szCs w:val="22"/>
          <w:lang w:eastAsia="en-GB"/>
          <w14:ligatures w14:val="none"/>
        </w:rPr>
        <w:lastRenderedPageBreak/>
        <w:drawing>
          <wp:inline distT="0" distB="0" distL="0" distR="0" wp14:anchorId="47FE4B55" wp14:editId="019CE109">
            <wp:extent cx="4495800" cy="381000"/>
            <wp:effectExtent l="0" t="0" r="0" b="0"/>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495800" cy="381000"/>
                    </a:xfrm>
                    <a:prstGeom prst="rect">
                      <a:avLst/>
                    </a:prstGeom>
                    <a:noFill/>
                    <a:ln>
                      <a:noFill/>
                    </a:ln>
                  </pic:spPr>
                </pic:pic>
              </a:graphicData>
            </a:graphic>
          </wp:inline>
        </w:drawing>
      </w:r>
      <w:r w:rsidRPr="00FC5524">
        <w:rPr>
          <w:rFonts w:ascii="Times New Roman" w:eastAsia="Calibri" w:hAnsi="Times New Roman" w:cs="Times New Roman"/>
          <w:kern w:val="0"/>
          <w:lang w:eastAsia="en-GB"/>
          <w14:ligatures w14:val="none"/>
        </w:rPr>
        <w:t xml:space="preserve"> </w:t>
      </w:r>
    </w:p>
    <w:p w14:paraId="3A295901" w14:textId="77777777" w:rsidR="00FC5524" w:rsidRPr="00FC5524" w:rsidRDefault="00FC5524" w:rsidP="00FC5524">
      <w:pPr>
        <w:spacing w:before="100" w:beforeAutospacing="1" w:after="200" w:line="360" w:lineRule="auto"/>
        <w:rPr>
          <w:rFonts w:ascii="Times New Roman" w:eastAsia="Calibri" w:hAnsi="Times New Roman" w:cs="Times New Roman"/>
          <w:b/>
          <w:bCs/>
          <w:color w:val="4F81BD"/>
          <w:kern w:val="0"/>
          <w:lang w:eastAsia="en-GB"/>
          <w14:ligatures w14:val="none"/>
        </w:rPr>
      </w:pPr>
      <w:r w:rsidRPr="00FC5524">
        <w:rPr>
          <w:rFonts w:ascii="Times New Roman" w:eastAsia="Calibri" w:hAnsi="Times New Roman" w:cs="Times New Roman"/>
          <w:b/>
          <w:bCs/>
          <w:color w:val="4F81BD"/>
          <w:kern w:val="0"/>
          <w:lang w:eastAsia="en-GB"/>
          <w14:ligatures w14:val="none"/>
        </w:rPr>
        <w:t>Figure 10</w:t>
      </w:r>
    </w:p>
    <w:p w14:paraId="5F4852BA"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Interpretation</w:t>
      </w:r>
    </w:p>
    <w:p w14:paraId="749AA1D4" w14:textId="6133C593"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 investment ratio is interpreted to </w:t>
      </w:r>
      <w:proofErr w:type="spellStart"/>
      <w:r w:rsidRPr="00FC5524">
        <w:rPr>
          <w:rFonts w:ascii="Times New Roman" w:eastAsia="Calibri" w:hAnsi="Times New Roman" w:cs="Times New Roman"/>
          <w:kern w:val="0"/>
          <w:lang w:eastAsia="en-GB"/>
          <w14:ligatures w14:val="none"/>
        </w:rPr>
        <w:t>analyze</w:t>
      </w:r>
      <w:proofErr w:type="spellEnd"/>
      <w:r w:rsidRPr="00FC5524">
        <w:rPr>
          <w:rFonts w:ascii="Times New Roman" w:eastAsia="Calibri" w:hAnsi="Times New Roman" w:cs="Times New Roman"/>
          <w:kern w:val="0"/>
          <w:lang w:eastAsia="en-GB"/>
          <w14:ligatures w14:val="none"/>
        </w:rPr>
        <w:t xml:space="preserve"> the return to the effective shareholders </w:t>
      </w:r>
      <w:proofErr w:type="gramStart"/>
      <w:r w:rsidRPr="00FC5524">
        <w:rPr>
          <w:rFonts w:ascii="Times New Roman" w:eastAsia="Calibri" w:hAnsi="Times New Roman" w:cs="Times New Roman"/>
          <w:kern w:val="0"/>
          <w:lang w:eastAsia="en-GB"/>
          <w14:ligatures w14:val="none"/>
        </w:rPr>
        <w:t>on the basis of</w:t>
      </w:r>
      <w:proofErr w:type="gramEnd"/>
      <w:r w:rsidRPr="00FC5524">
        <w:rPr>
          <w:rFonts w:ascii="Times New Roman" w:eastAsia="Calibri" w:hAnsi="Times New Roman" w:cs="Times New Roman"/>
          <w:kern w:val="0"/>
          <w:lang w:eastAsia="en-GB"/>
          <w14:ligatures w14:val="none"/>
        </w:rPr>
        <w:t xml:space="preserve"> the capital employed. The earnings per share of the company were limited to £252.40 in 2023, which further enhanced to £300 in the current year, indicating that the return has enhanced, which is due to the reduction in the shareholders' equity. The shareholders are withdrawing their capital from the company due to the prediction of higher risk, and hence, this situation leads to extensive borrowings, which are not </w:t>
      </w:r>
      <w:proofErr w:type="spellStart"/>
      <w:r w:rsidRPr="00FC5524">
        <w:rPr>
          <w:rFonts w:ascii="Times New Roman" w:eastAsia="Calibri" w:hAnsi="Times New Roman" w:cs="Times New Roman"/>
          <w:kern w:val="0"/>
          <w:lang w:eastAsia="en-GB"/>
          <w14:ligatures w14:val="none"/>
        </w:rPr>
        <w:t>favorable</w:t>
      </w:r>
      <w:proofErr w:type="spellEnd"/>
      <w:r w:rsidRPr="00FC5524">
        <w:rPr>
          <w:rFonts w:ascii="Times New Roman" w:eastAsia="Calibri" w:hAnsi="Times New Roman" w:cs="Times New Roman"/>
          <w:kern w:val="0"/>
          <w:lang w:eastAsia="en-GB"/>
          <w14:ligatures w14:val="none"/>
        </w:rPr>
        <w:t xml:space="preserve"> in the long run. Although the earnings per share have improved in the current year, such improvements are due to the reduction in the equity shareholders. Further, the price earnings ratio, which was standing at 8.37 in the previous year, has declined to 6.18 in the current year, indicating that the company's market share is declining. The reputation of the company is falling, and such a trend does not signify a </w:t>
      </w:r>
      <w:r w:rsidR="008A1D83" w:rsidRPr="00FC5524">
        <w:rPr>
          <w:rFonts w:ascii="Times New Roman" w:eastAsia="Calibri" w:hAnsi="Times New Roman" w:cs="Times New Roman"/>
          <w:kern w:val="0"/>
          <w:lang w:eastAsia="en-GB"/>
          <w14:ligatures w14:val="none"/>
        </w:rPr>
        <w:t>favourable</w:t>
      </w:r>
      <w:r w:rsidRPr="00FC5524">
        <w:rPr>
          <w:rFonts w:ascii="Times New Roman" w:eastAsia="Calibri" w:hAnsi="Times New Roman" w:cs="Times New Roman"/>
          <w:kern w:val="0"/>
          <w:lang w:eastAsia="en-GB"/>
          <w14:ligatures w14:val="none"/>
        </w:rPr>
        <w:t xml:space="preserve"> pattern for the upcoming period. </w:t>
      </w:r>
    </w:p>
    <w:p w14:paraId="6B3F304F"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9" w:name="_Toc203756904"/>
      <w:bookmarkEnd w:id="9"/>
      <w:r w:rsidRPr="00FC5524">
        <w:rPr>
          <w:rFonts w:ascii="Times New Roman" w:eastAsia="SimSun" w:hAnsi="Times New Roman" w:cs="Times New Roman"/>
          <w:b/>
          <w:bCs/>
          <w:color w:val="4F81BD"/>
          <w:kern w:val="0"/>
          <w:u w:val="single"/>
          <w:lang w:eastAsia="en-GB"/>
          <w14:ligatures w14:val="none"/>
        </w:rPr>
        <w:t>Limitations of Ratio Analysis</w:t>
      </w:r>
    </w:p>
    <w:p w14:paraId="722D2EEC"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Ratio analysis: The drawbacks of the ratio analysis can be:</w:t>
      </w:r>
    </w:p>
    <w:p w14:paraId="4A6E070C" w14:textId="77777777" w:rsidR="00FC5524" w:rsidRPr="00FC5524" w:rsidRDefault="00FC5524" w:rsidP="00FC5524">
      <w:pPr>
        <w:numPr>
          <w:ilvl w:val="0"/>
          <w:numId w:val="2"/>
        </w:numPr>
        <w:spacing w:before="100" w:beforeAutospacing="1" w:after="200" w:line="360" w:lineRule="auto"/>
        <w:contextualSpacing/>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Limitation of Accounting data: Ratio analysis depends on the past accounting records, which could have mistaken or missing information and may not accurately show the real financial situation. </w:t>
      </w:r>
    </w:p>
    <w:p w14:paraId="7A11462D" w14:textId="77777777" w:rsidR="00FC5524" w:rsidRPr="00FC5524" w:rsidRDefault="00FC5524" w:rsidP="00FC5524">
      <w:pPr>
        <w:numPr>
          <w:ilvl w:val="0"/>
          <w:numId w:val="2"/>
        </w:numPr>
        <w:spacing w:before="100" w:beforeAutospacing="1" w:after="200" w:line="360" w:lineRule="auto"/>
        <w:contextualSpacing/>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Lack of standard levels: There are no universally accepted standard ratios; therefore, the interpretation can differ from one analyst to another and may vary across different industries. </w:t>
      </w:r>
    </w:p>
    <w:p w14:paraId="03BE1EFE" w14:textId="77777777" w:rsidR="00FC5524" w:rsidRPr="00FC5524" w:rsidRDefault="00FC5524" w:rsidP="00FC5524">
      <w:pPr>
        <w:numPr>
          <w:ilvl w:val="0"/>
          <w:numId w:val="2"/>
        </w:numPr>
        <w:spacing w:before="100" w:beforeAutospacing="1" w:after="200" w:line="360" w:lineRule="auto"/>
        <w:contextualSpacing/>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Ignores price level changes: It does not </w:t>
      </w:r>
      <w:proofErr w:type="gramStart"/>
      <w:r w:rsidRPr="00FC5524">
        <w:rPr>
          <w:rFonts w:ascii="Times New Roman" w:eastAsia="Calibri" w:hAnsi="Times New Roman" w:cs="Times New Roman"/>
          <w:kern w:val="0"/>
          <w:lang w:eastAsia="en-GB"/>
          <w14:ligatures w14:val="none"/>
        </w:rPr>
        <w:t>take into account</w:t>
      </w:r>
      <w:proofErr w:type="gramEnd"/>
      <w:r w:rsidRPr="00FC5524">
        <w:rPr>
          <w:rFonts w:ascii="Times New Roman" w:eastAsia="Calibri" w:hAnsi="Times New Roman" w:cs="Times New Roman"/>
          <w:kern w:val="0"/>
          <w:lang w:eastAsia="en-GB"/>
          <w14:ligatures w14:val="none"/>
        </w:rPr>
        <w:t xml:space="preserve"> any changes in the inflation or deflation in the value of money, so the financial records become outdated and misleading in times when price fluctuates (Frenkel, 2019).</w:t>
      </w:r>
    </w:p>
    <w:p w14:paraId="2FB7A674" w14:textId="77777777" w:rsidR="00FC5524" w:rsidRPr="00FC5524" w:rsidRDefault="00FC5524" w:rsidP="00FC5524">
      <w:pPr>
        <w:numPr>
          <w:ilvl w:val="0"/>
          <w:numId w:val="2"/>
        </w:numPr>
        <w:spacing w:before="100" w:beforeAutospacing="1" w:after="200" w:line="360" w:lineRule="auto"/>
        <w:contextualSpacing/>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Forecasting: Ratios use the old information, and because of this, the company cannot predict the future on its own. To plan well, the company needs to combine or use other methods to forecast what might happen next. </w:t>
      </w:r>
    </w:p>
    <w:p w14:paraId="3379821D" w14:textId="77777777" w:rsidR="00FC5524" w:rsidRPr="00FC5524" w:rsidRDefault="00FC5524" w:rsidP="00FC5524">
      <w:pPr>
        <w:numPr>
          <w:ilvl w:val="0"/>
          <w:numId w:val="2"/>
        </w:numPr>
        <w:spacing w:before="100" w:beforeAutospacing="1" w:after="200" w:line="360" w:lineRule="auto"/>
        <w:contextualSpacing/>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lastRenderedPageBreak/>
        <w:t>Variations in accounting practices: Different companies used different types of methods, such as inventory valuation and depreciation, which makes the comparison difficult (Aliganyira,2019).</w:t>
      </w:r>
    </w:p>
    <w:p w14:paraId="5781616F"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10" w:name="_Toc203756905"/>
      <w:bookmarkEnd w:id="10"/>
      <w:r w:rsidRPr="00FC5524">
        <w:rPr>
          <w:rFonts w:ascii="Times New Roman" w:eastAsia="SimSun" w:hAnsi="Times New Roman" w:cs="Times New Roman"/>
          <w:b/>
          <w:bCs/>
          <w:color w:val="4F81BD"/>
          <w:kern w:val="0"/>
          <w:u w:val="single"/>
          <w:lang w:eastAsia="en-GB"/>
          <w14:ligatures w14:val="none"/>
        </w:rPr>
        <w:t>Recommendation</w:t>
      </w:r>
    </w:p>
    <w:p w14:paraId="1983C36E"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The company should improve the capital structure to mitigate debt funds and start seeking funds from internal sources, which would allow deriving higher profit, thereby mitigating interest expenses simultaneously. The higher deployment of external finance in long-term projects reduces the ultimate margin, thereby delivering an ineffective signal to the company. The company is entirely dependent on external funds for effective functioning. Hence, the company needs to choose a different roadmap that would concentrate on the earnings from the internal funds only. The company should stop borrowing from external sources, and any projects that need additional deployment of funds should not be undertaken. Further, the collection process should be improved by making an effective strategy, such as training of staff to collect dues within the prescribed time frame. The sales revenue should be improved to derive higher profit. The company should execute the research process about the declining sales, as this process would enable an organization to form the product model effectively. The payment process towards settlement of creditors should be made more frequently, as this situation would improve the relationship with creditors, and various discounts would also be availed due to regular, prompt payments.</w:t>
      </w:r>
    </w:p>
    <w:p w14:paraId="6EED2036"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11" w:name="_Toc203756906"/>
      <w:bookmarkEnd w:id="11"/>
      <w:r w:rsidRPr="00FC5524">
        <w:rPr>
          <w:rFonts w:ascii="Times New Roman" w:eastAsia="SimSun" w:hAnsi="Times New Roman" w:cs="Times New Roman"/>
          <w:b/>
          <w:bCs/>
          <w:color w:val="4F81BD"/>
          <w:kern w:val="0"/>
          <w:u w:val="single"/>
          <w:lang w:eastAsia="en-GB"/>
          <w14:ligatures w14:val="none"/>
        </w:rPr>
        <w:t>Conclusion</w:t>
      </w:r>
    </w:p>
    <w:p w14:paraId="19F99BE0" w14:textId="1B837522"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 above-discussed literature reveals that the performance of the company is not up to the mark, and hence the company should </w:t>
      </w:r>
      <w:r w:rsidR="00A174A8" w:rsidRPr="00FC5524">
        <w:rPr>
          <w:rFonts w:ascii="Times New Roman" w:eastAsia="Calibri" w:hAnsi="Times New Roman" w:cs="Times New Roman"/>
          <w:kern w:val="0"/>
          <w:lang w:eastAsia="en-GB"/>
          <w14:ligatures w14:val="none"/>
        </w:rPr>
        <w:t>execute necessary</w:t>
      </w:r>
      <w:r w:rsidRPr="00FC5524">
        <w:rPr>
          <w:rFonts w:ascii="Times New Roman" w:eastAsia="Calibri" w:hAnsi="Times New Roman" w:cs="Times New Roman"/>
          <w:kern w:val="0"/>
          <w:lang w:eastAsia="en-GB"/>
          <w14:ligatures w14:val="none"/>
        </w:rPr>
        <w:t xml:space="preserve"> adequate measures that would improve the overall performance. The company's profit margin has not even exceeded 10% indicating that the company's direct and indirect costs are massive, and hence generating profit is a challenging task. Further, the solvency ratio is following a rising trend, which leads to a fall in the profitability margin due to a massive rise in the financial burden. The enhancement in the external finance has made the situation risky for the company to sustain for a longer time. The operations of the company are not working effectively, which in turn creates issues in the normal functioning of the business processes.</w:t>
      </w:r>
    </w:p>
    <w:p w14:paraId="17DD955A" w14:textId="77777777" w:rsidR="00FC5524" w:rsidRPr="00FC5524" w:rsidRDefault="00FC5524" w:rsidP="00FC5524">
      <w:pPr>
        <w:keepNext/>
        <w:keepLines/>
        <w:widowControl w:val="0"/>
        <w:spacing w:before="480" w:after="0" w:line="273" w:lineRule="auto"/>
        <w:outlineLvl w:val="0"/>
        <w:rPr>
          <w:rFonts w:ascii="Times New Roman" w:eastAsia="SimSun" w:hAnsi="Times New Roman" w:cs="Times New Roman"/>
          <w:b/>
          <w:bCs/>
          <w:color w:val="366091"/>
          <w:kern w:val="36"/>
          <w:lang w:eastAsia="en-GB"/>
          <w14:ligatures w14:val="none"/>
        </w:rPr>
      </w:pPr>
      <w:bookmarkStart w:id="12" w:name="_Toc203756907"/>
      <w:bookmarkEnd w:id="12"/>
      <w:r w:rsidRPr="00FC5524">
        <w:rPr>
          <w:rFonts w:ascii="Cambria" w:eastAsia="SimSun" w:hAnsi="Cambria" w:cs="Times New Roman"/>
          <w:b/>
          <w:bCs/>
          <w:color w:val="366091"/>
          <w:kern w:val="36"/>
          <w:sz w:val="28"/>
          <w:szCs w:val="28"/>
          <w:lang w:eastAsia="en-GB"/>
          <w14:ligatures w14:val="none"/>
        </w:rPr>
        <w:lastRenderedPageBreak/>
        <w:t>Part 2</w:t>
      </w:r>
    </w:p>
    <w:p w14:paraId="2AB76148"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13" w:name="_Toc203756908"/>
      <w:bookmarkEnd w:id="13"/>
      <w:r w:rsidRPr="00FC5524">
        <w:rPr>
          <w:rFonts w:ascii="Times New Roman" w:eastAsia="SimSun" w:hAnsi="Times New Roman" w:cs="Times New Roman"/>
          <w:b/>
          <w:bCs/>
          <w:color w:val="4F81BD"/>
          <w:kern w:val="0"/>
          <w:u w:val="single"/>
          <w:lang w:eastAsia="en-GB"/>
          <w14:ligatures w14:val="none"/>
        </w:rPr>
        <w:t>Solution a</w:t>
      </w:r>
    </w:p>
    <w:p w14:paraId="581BDADA" w14:textId="57C25FFD"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For the given scenario, the company is identifying three alternative solutions for the </w:t>
      </w:r>
      <w:r w:rsidR="00A174A8" w:rsidRPr="00FC5524">
        <w:rPr>
          <w:rFonts w:ascii="Times New Roman" w:eastAsia="Calibri" w:hAnsi="Times New Roman" w:cs="Times New Roman"/>
          <w:kern w:val="0"/>
          <w:lang w:eastAsia="en-GB"/>
          <w14:ligatures w14:val="none"/>
        </w:rPr>
        <w:t>business expansion</w:t>
      </w:r>
      <w:r w:rsidRPr="00FC5524">
        <w:rPr>
          <w:rFonts w:ascii="Times New Roman" w:eastAsia="Calibri" w:hAnsi="Times New Roman" w:cs="Times New Roman"/>
          <w:kern w:val="0"/>
          <w:lang w:eastAsia="en-GB"/>
          <w14:ligatures w14:val="none"/>
        </w:rPr>
        <w:t xml:space="preserve"> process. All models have a four-year plan, which would involve different expenditures for each model. The discounting </w:t>
      </w:r>
      <w:r w:rsidR="00A174A8" w:rsidRPr="00FC5524">
        <w:rPr>
          <w:rFonts w:ascii="Times New Roman" w:eastAsia="Calibri" w:hAnsi="Times New Roman" w:cs="Times New Roman"/>
          <w:kern w:val="0"/>
          <w:lang w:eastAsia="en-GB"/>
          <w14:ligatures w14:val="none"/>
        </w:rPr>
        <w:t>Arte</w:t>
      </w:r>
      <w:r w:rsidRPr="00FC5524">
        <w:rPr>
          <w:rFonts w:ascii="Times New Roman" w:eastAsia="Calibri" w:hAnsi="Times New Roman" w:cs="Times New Roman"/>
          <w:kern w:val="0"/>
          <w:lang w:eastAsia="en-GB"/>
          <w14:ligatures w14:val="none"/>
        </w:rPr>
        <w:t xml:space="preserve"> has been taken at 6% per annum for the entire model along with the corporation tax of 25% and capital allowances of 20%. </w:t>
      </w:r>
    </w:p>
    <w:p w14:paraId="3FA7B2EA"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NPV is the process by which the company estimates the cash flow for the given projects by the application of a discounted factor (</w:t>
      </w:r>
      <w:r w:rsidRPr="00FC5524">
        <w:rPr>
          <w:rFonts w:ascii="Times New Roman" w:eastAsia="Calibri" w:hAnsi="Times New Roman" w:cs="Times New Roman"/>
          <w:color w:val="222222"/>
          <w:kern w:val="0"/>
          <w:shd w:val="clear" w:color="auto" w:fill="FFFFFF"/>
          <w:lang w:eastAsia="en-GB"/>
          <w14:ligatures w14:val="none"/>
        </w:rPr>
        <w:t>Gong et al., 2023)</w:t>
      </w:r>
      <w:r w:rsidRPr="00FC5524">
        <w:rPr>
          <w:rFonts w:ascii="Times New Roman" w:eastAsia="Calibri" w:hAnsi="Times New Roman" w:cs="Times New Roman"/>
          <w:kern w:val="0"/>
          <w:lang w:eastAsia="en-GB"/>
          <w14:ligatures w14:val="none"/>
        </w:rPr>
        <w:t>.</w:t>
      </w:r>
    </w:p>
    <w:p w14:paraId="1F878D0E" w14:textId="77777777" w:rsidR="00FC5524" w:rsidRPr="00FC5524" w:rsidRDefault="00FC5524" w:rsidP="00FC5524">
      <w:pPr>
        <w:keepNext/>
        <w:keepLines/>
        <w:widowControl w:val="0"/>
        <w:spacing w:before="200" w:after="0" w:line="360" w:lineRule="auto"/>
        <w:outlineLvl w:val="2"/>
        <w:rPr>
          <w:rFonts w:ascii="Times New Roman" w:eastAsia="SimSun" w:hAnsi="Times New Roman" w:cs="Times New Roman"/>
          <w:b/>
          <w:bCs/>
          <w:kern w:val="0"/>
          <w:u w:val="single"/>
          <w:lang w:eastAsia="en-GB"/>
          <w14:ligatures w14:val="none"/>
        </w:rPr>
      </w:pPr>
      <w:bookmarkStart w:id="14" w:name="_Toc203756909"/>
      <w:bookmarkEnd w:id="14"/>
      <w:r w:rsidRPr="00FC5524">
        <w:rPr>
          <w:rFonts w:ascii="Times New Roman" w:eastAsia="SimSun" w:hAnsi="Times New Roman" w:cs="Times New Roman"/>
          <w:b/>
          <w:bCs/>
          <w:kern w:val="0"/>
          <w:u w:val="single"/>
          <w:lang w:eastAsia="en-GB"/>
          <w14:ligatures w14:val="none"/>
        </w:rPr>
        <w:t>Model A: Expansion of its Flourishing retail outlet to include all products</w:t>
      </w:r>
    </w:p>
    <w:p w14:paraId="2E3B27F5"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The cost of the capital allowances is £600,000</w:t>
      </w:r>
    </w:p>
    <w:p w14:paraId="2E789BA0"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Calculation of Net profit after tax and net cash flow for the stated model</w:t>
      </w:r>
    </w:p>
    <w:tbl>
      <w:tblPr>
        <w:tblW w:w="5000" w:type="pct"/>
        <w:tblLook w:val="04A0" w:firstRow="1" w:lastRow="0" w:firstColumn="1" w:lastColumn="0" w:noHBand="0" w:noVBand="1"/>
      </w:tblPr>
      <w:tblGrid>
        <w:gridCol w:w="4007"/>
        <w:gridCol w:w="1253"/>
        <w:gridCol w:w="1253"/>
        <w:gridCol w:w="1253"/>
        <w:gridCol w:w="1250"/>
      </w:tblGrid>
      <w:tr w:rsidR="00FC5524" w:rsidRPr="00FC5524" w14:paraId="7A22EFA0" w14:textId="77777777" w:rsidTr="00FC5524">
        <w:trPr>
          <w:trHeight w:val="300"/>
        </w:trPr>
        <w:tc>
          <w:tcPr>
            <w:tcW w:w="2222" w:type="pct"/>
            <w:tcBorders>
              <w:top w:val="single" w:sz="4" w:space="0" w:color="auto"/>
              <w:left w:val="single" w:sz="4" w:space="0" w:color="auto"/>
              <w:bottom w:val="single" w:sz="4" w:space="0" w:color="auto"/>
              <w:right w:val="single" w:sz="4" w:space="0" w:color="auto"/>
            </w:tcBorders>
            <w:shd w:val="clear" w:color="auto" w:fill="DDD9C3"/>
            <w:noWrap/>
            <w:vAlign w:val="bottom"/>
            <w:hideMark/>
          </w:tcPr>
          <w:p w14:paraId="63F716C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 </w:t>
            </w:r>
          </w:p>
        </w:tc>
        <w:tc>
          <w:tcPr>
            <w:tcW w:w="2778" w:type="pct"/>
            <w:gridSpan w:val="4"/>
            <w:tcBorders>
              <w:top w:val="single" w:sz="4" w:space="0" w:color="auto"/>
              <w:left w:val="nil"/>
              <w:bottom w:val="single" w:sz="4" w:space="0" w:color="auto"/>
              <w:right w:val="single" w:sz="4" w:space="0" w:color="auto"/>
            </w:tcBorders>
            <w:shd w:val="clear" w:color="auto" w:fill="DDD9C3"/>
            <w:noWrap/>
            <w:vAlign w:val="bottom"/>
            <w:hideMark/>
          </w:tcPr>
          <w:p w14:paraId="1930A47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proofErr w:type="gramStart"/>
            <w:r w:rsidRPr="00FC5524">
              <w:rPr>
                <w:rFonts w:ascii="Times New Roman" w:eastAsia="Times New Roman" w:hAnsi="Times New Roman" w:cs="Times New Roman"/>
                <w:color w:val="000000"/>
                <w:kern w:val="0"/>
                <w:lang w:eastAsia="en-GB"/>
                <w14:ligatures w14:val="none"/>
              </w:rPr>
              <w:t>in  (</w:t>
            </w:r>
            <w:proofErr w:type="gramEnd"/>
            <w:r w:rsidRPr="00FC5524">
              <w:rPr>
                <w:rFonts w:ascii="Times New Roman" w:eastAsia="Times New Roman" w:hAnsi="Times New Roman" w:cs="Times New Roman"/>
                <w:color w:val="000000"/>
                <w:kern w:val="0"/>
                <w:lang w:eastAsia="en-GB"/>
                <w14:ligatures w14:val="none"/>
              </w:rPr>
              <w:t xml:space="preserve">£’000)  </w:t>
            </w:r>
          </w:p>
        </w:tc>
      </w:tr>
      <w:tr w:rsidR="00FC5524" w:rsidRPr="00FC5524" w14:paraId="6651B016" w14:textId="77777777" w:rsidTr="00FC5524">
        <w:trPr>
          <w:trHeight w:val="300"/>
        </w:trPr>
        <w:tc>
          <w:tcPr>
            <w:tcW w:w="2222" w:type="pct"/>
            <w:tcBorders>
              <w:top w:val="nil"/>
              <w:left w:val="single" w:sz="4" w:space="0" w:color="auto"/>
              <w:bottom w:val="single" w:sz="4" w:space="0" w:color="auto"/>
              <w:right w:val="single" w:sz="4" w:space="0" w:color="auto"/>
            </w:tcBorders>
            <w:shd w:val="clear" w:color="auto" w:fill="DDD9C3"/>
            <w:noWrap/>
            <w:vAlign w:val="bottom"/>
            <w:hideMark/>
          </w:tcPr>
          <w:p w14:paraId="294FD16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Year</w:t>
            </w:r>
          </w:p>
        </w:tc>
        <w:tc>
          <w:tcPr>
            <w:tcW w:w="695" w:type="pct"/>
            <w:tcBorders>
              <w:top w:val="nil"/>
              <w:left w:val="nil"/>
              <w:bottom w:val="single" w:sz="4" w:space="0" w:color="auto"/>
              <w:right w:val="single" w:sz="4" w:space="0" w:color="auto"/>
            </w:tcBorders>
            <w:shd w:val="clear" w:color="auto" w:fill="DDD9C3"/>
            <w:noWrap/>
            <w:vAlign w:val="bottom"/>
            <w:hideMark/>
          </w:tcPr>
          <w:p w14:paraId="76201A4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w:t>
            </w:r>
          </w:p>
        </w:tc>
        <w:tc>
          <w:tcPr>
            <w:tcW w:w="695" w:type="pct"/>
            <w:tcBorders>
              <w:top w:val="nil"/>
              <w:left w:val="nil"/>
              <w:bottom w:val="single" w:sz="4" w:space="0" w:color="auto"/>
              <w:right w:val="single" w:sz="4" w:space="0" w:color="auto"/>
            </w:tcBorders>
            <w:shd w:val="clear" w:color="auto" w:fill="DDD9C3"/>
            <w:noWrap/>
            <w:vAlign w:val="bottom"/>
            <w:hideMark/>
          </w:tcPr>
          <w:p w14:paraId="489CFDC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w:t>
            </w:r>
          </w:p>
        </w:tc>
        <w:tc>
          <w:tcPr>
            <w:tcW w:w="695" w:type="pct"/>
            <w:tcBorders>
              <w:top w:val="nil"/>
              <w:left w:val="nil"/>
              <w:bottom w:val="single" w:sz="4" w:space="0" w:color="auto"/>
              <w:right w:val="single" w:sz="4" w:space="0" w:color="auto"/>
            </w:tcBorders>
            <w:shd w:val="clear" w:color="auto" w:fill="DDD9C3"/>
            <w:noWrap/>
            <w:vAlign w:val="bottom"/>
            <w:hideMark/>
          </w:tcPr>
          <w:p w14:paraId="49C1331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w:t>
            </w:r>
          </w:p>
        </w:tc>
        <w:tc>
          <w:tcPr>
            <w:tcW w:w="693" w:type="pct"/>
            <w:tcBorders>
              <w:top w:val="nil"/>
              <w:left w:val="nil"/>
              <w:bottom w:val="single" w:sz="4" w:space="0" w:color="auto"/>
              <w:right w:val="single" w:sz="4" w:space="0" w:color="auto"/>
            </w:tcBorders>
            <w:shd w:val="clear" w:color="auto" w:fill="DDD9C3"/>
            <w:noWrap/>
            <w:vAlign w:val="bottom"/>
            <w:hideMark/>
          </w:tcPr>
          <w:p w14:paraId="13D17A6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w:t>
            </w:r>
          </w:p>
        </w:tc>
      </w:tr>
      <w:tr w:rsidR="00FC5524" w:rsidRPr="00FC5524" w14:paraId="61C37CA1" w14:textId="77777777" w:rsidTr="00FC5524">
        <w:trPr>
          <w:trHeight w:val="300"/>
        </w:trPr>
        <w:tc>
          <w:tcPr>
            <w:tcW w:w="2222" w:type="pct"/>
            <w:tcBorders>
              <w:top w:val="nil"/>
              <w:left w:val="single" w:sz="4" w:space="0" w:color="auto"/>
              <w:bottom w:val="single" w:sz="4" w:space="0" w:color="auto"/>
              <w:right w:val="single" w:sz="4" w:space="0" w:color="auto"/>
            </w:tcBorders>
            <w:noWrap/>
            <w:vAlign w:val="bottom"/>
            <w:hideMark/>
          </w:tcPr>
          <w:p w14:paraId="66DD20B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Cash flows</w:t>
            </w:r>
          </w:p>
        </w:tc>
        <w:tc>
          <w:tcPr>
            <w:tcW w:w="695" w:type="pct"/>
            <w:tcBorders>
              <w:top w:val="nil"/>
              <w:left w:val="nil"/>
              <w:bottom w:val="single" w:sz="4" w:space="0" w:color="auto"/>
              <w:right w:val="single" w:sz="4" w:space="0" w:color="auto"/>
            </w:tcBorders>
            <w:noWrap/>
            <w:vAlign w:val="bottom"/>
            <w:hideMark/>
          </w:tcPr>
          <w:p w14:paraId="4C3C2B4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200</w:t>
            </w:r>
          </w:p>
        </w:tc>
        <w:tc>
          <w:tcPr>
            <w:tcW w:w="695" w:type="pct"/>
            <w:tcBorders>
              <w:top w:val="nil"/>
              <w:left w:val="nil"/>
              <w:bottom w:val="single" w:sz="4" w:space="0" w:color="auto"/>
              <w:right w:val="single" w:sz="4" w:space="0" w:color="auto"/>
            </w:tcBorders>
            <w:noWrap/>
            <w:vAlign w:val="bottom"/>
            <w:hideMark/>
          </w:tcPr>
          <w:p w14:paraId="3B55EC4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300</w:t>
            </w:r>
          </w:p>
        </w:tc>
        <w:tc>
          <w:tcPr>
            <w:tcW w:w="695" w:type="pct"/>
            <w:tcBorders>
              <w:top w:val="nil"/>
              <w:left w:val="nil"/>
              <w:bottom w:val="single" w:sz="4" w:space="0" w:color="auto"/>
              <w:right w:val="single" w:sz="4" w:space="0" w:color="auto"/>
            </w:tcBorders>
            <w:noWrap/>
            <w:vAlign w:val="bottom"/>
            <w:hideMark/>
          </w:tcPr>
          <w:p w14:paraId="6A557E29"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400</w:t>
            </w:r>
          </w:p>
        </w:tc>
        <w:tc>
          <w:tcPr>
            <w:tcW w:w="693" w:type="pct"/>
            <w:tcBorders>
              <w:top w:val="nil"/>
              <w:left w:val="nil"/>
              <w:bottom w:val="single" w:sz="4" w:space="0" w:color="auto"/>
              <w:right w:val="single" w:sz="4" w:space="0" w:color="auto"/>
            </w:tcBorders>
            <w:noWrap/>
            <w:vAlign w:val="bottom"/>
            <w:hideMark/>
          </w:tcPr>
          <w:p w14:paraId="6CD5D11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500</w:t>
            </w:r>
          </w:p>
        </w:tc>
      </w:tr>
      <w:tr w:rsidR="00FC5524" w:rsidRPr="00FC5524" w14:paraId="62B00C0B" w14:textId="77777777" w:rsidTr="00FC5524">
        <w:trPr>
          <w:trHeight w:val="300"/>
        </w:trPr>
        <w:tc>
          <w:tcPr>
            <w:tcW w:w="2222" w:type="pct"/>
            <w:tcBorders>
              <w:top w:val="nil"/>
              <w:left w:val="single" w:sz="4" w:space="0" w:color="auto"/>
              <w:bottom w:val="single" w:sz="4" w:space="0" w:color="auto"/>
              <w:right w:val="single" w:sz="4" w:space="0" w:color="auto"/>
            </w:tcBorders>
            <w:noWrap/>
            <w:vAlign w:val="bottom"/>
            <w:hideMark/>
          </w:tcPr>
          <w:p w14:paraId="2391108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Less: Depreciation</w:t>
            </w:r>
          </w:p>
        </w:tc>
        <w:tc>
          <w:tcPr>
            <w:tcW w:w="695" w:type="pct"/>
            <w:tcBorders>
              <w:top w:val="nil"/>
              <w:left w:val="nil"/>
              <w:bottom w:val="single" w:sz="4" w:space="0" w:color="auto"/>
              <w:right w:val="single" w:sz="4" w:space="0" w:color="auto"/>
            </w:tcBorders>
            <w:noWrap/>
            <w:vAlign w:val="bottom"/>
            <w:hideMark/>
          </w:tcPr>
          <w:p w14:paraId="0F33849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120</w:t>
            </w:r>
          </w:p>
        </w:tc>
        <w:tc>
          <w:tcPr>
            <w:tcW w:w="695" w:type="pct"/>
            <w:tcBorders>
              <w:top w:val="nil"/>
              <w:left w:val="nil"/>
              <w:bottom w:val="single" w:sz="4" w:space="0" w:color="auto"/>
              <w:right w:val="single" w:sz="4" w:space="0" w:color="auto"/>
            </w:tcBorders>
            <w:noWrap/>
            <w:vAlign w:val="bottom"/>
            <w:hideMark/>
          </w:tcPr>
          <w:p w14:paraId="4672C9F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120</w:t>
            </w:r>
          </w:p>
        </w:tc>
        <w:tc>
          <w:tcPr>
            <w:tcW w:w="695" w:type="pct"/>
            <w:tcBorders>
              <w:top w:val="nil"/>
              <w:left w:val="nil"/>
              <w:bottom w:val="single" w:sz="4" w:space="0" w:color="auto"/>
              <w:right w:val="single" w:sz="4" w:space="0" w:color="auto"/>
            </w:tcBorders>
            <w:noWrap/>
            <w:vAlign w:val="bottom"/>
            <w:hideMark/>
          </w:tcPr>
          <w:p w14:paraId="3CBA96D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120</w:t>
            </w:r>
          </w:p>
        </w:tc>
        <w:tc>
          <w:tcPr>
            <w:tcW w:w="693" w:type="pct"/>
            <w:tcBorders>
              <w:top w:val="nil"/>
              <w:left w:val="nil"/>
              <w:bottom w:val="single" w:sz="4" w:space="0" w:color="auto"/>
              <w:right w:val="single" w:sz="4" w:space="0" w:color="auto"/>
            </w:tcBorders>
            <w:noWrap/>
            <w:vAlign w:val="bottom"/>
            <w:hideMark/>
          </w:tcPr>
          <w:p w14:paraId="5D38AF7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120</w:t>
            </w:r>
          </w:p>
        </w:tc>
      </w:tr>
      <w:tr w:rsidR="00FC5524" w:rsidRPr="00FC5524" w14:paraId="0AA6AC76" w14:textId="77777777" w:rsidTr="00FC5524">
        <w:trPr>
          <w:trHeight w:val="300"/>
        </w:trPr>
        <w:tc>
          <w:tcPr>
            <w:tcW w:w="2222" w:type="pct"/>
            <w:tcBorders>
              <w:top w:val="nil"/>
              <w:left w:val="single" w:sz="4" w:space="0" w:color="auto"/>
              <w:bottom w:val="single" w:sz="4" w:space="0" w:color="auto"/>
              <w:right w:val="single" w:sz="4" w:space="0" w:color="auto"/>
            </w:tcBorders>
            <w:noWrap/>
            <w:vAlign w:val="bottom"/>
            <w:hideMark/>
          </w:tcPr>
          <w:p w14:paraId="16CAFB7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Net profit before tax</w:t>
            </w:r>
          </w:p>
        </w:tc>
        <w:tc>
          <w:tcPr>
            <w:tcW w:w="695" w:type="pct"/>
            <w:tcBorders>
              <w:top w:val="nil"/>
              <w:left w:val="nil"/>
              <w:bottom w:val="single" w:sz="4" w:space="0" w:color="auto"/>
              <w:right w:val="single" w:sz="4" w:space="0" w:color="auto"/>
            </w:tcBorders>
            <w:noWrap/>
            <w:vAlign w:val="bottom"/>
            <w:hideMark/>
          </w:tcPr>
          <w:p w14:paraId="041D7BD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80</w:t>
            </w:r>
          </w:p>
        </w:tc>
        <w:tc>
          <w:tcPr>
            <w:tcW w:w="695" w:type="pct"/>
            <w:tcBorders>
              <w:top w:val="nil"/>
              <w:left w:val="nil"/>
              <w:bottom w:val="single" w:sz="4" w:space="0" w:color="auto"/>
              <w:right w:val="single" w:sz="4" w:space="0" w:color="auto"/>
            </w:tcBorders>
            <w:noWrap/>
            <w:vAlign w:val="bottom"/>
            <w:hideMark/>
          </w:tcPr>
          <w:p w14:paraId="7A24B3C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180</w:t>
            </w:r>
          </w:p>
        </w:tc>
        <w:tc>
          <w:tcPr>
            <w:tcW w:w="695" w:type="pct"/>
            <w:tcBorders>
              <w:top w:val="nil"/>
              <w:left w:val="nil"/>
              <w:bottom w:val="single" w:sz="4" w:space="0" w:color="auto"/>
              <w:right w:val="single" w:sz="4" w:space="0" w:color="auto"/>
            </w:tcBorders>
            <w:noWrap/>
            <w:vAlign w:val="bottom"/>
            <w:hideMark/>
          </w:tcPr>
          <w:p w14:paraId="6D10EC5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280</w:t>
            </w:r>
          </w:p>
        </w:tc>
        <w:tc>
          <w:tcPr>
            <w:tcW w:w="693" w:type="pct"/>
            <w:tcBorders>
              <w:top w:val="nil"/>
              <w:left w:val="nil"/>
              <w:bottom w:val="single" w:sz="4" w:space="0" w:color="auto"/>
              <w:right w:val="single" w:sz="4" w:space="0" w:color="auto"/>
            </w:tcBorders>
            <w:noWrap/>
            <w:vAlign w:val="bottom"/>
            <w:hideMark/>
          </w:tcPr>
          <w:p w14:paraId="3D47E846"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380</w:t>
            </w:r>
          </w:p>
        </w:tc>
      </w:tr>
      <w:tr w:rsidR="00FC5524" w:rsidRPr="00FC5524" w14:paraId="70A0A11C" w14:textId="77777777" w:rsidTr="00FC5524">
        <w:trPr>
          <w:trHeight w:val="300"/>
        </w:trPr>
        <w:tc>
          <w:tcPr>
            <w:tcW w:w="2222" w:type="pct"/>
            <w:tcBorders>
              <w:top w:val="nil"/>
              <w:left w:val="single" w:sz="4" w:space="0" w:color="auto"/>
              <w:bottom w:val="single" w:sz="4" w:space="0" w:color="auto"/>
              <w:right w:val="single" w:sz="4" w:space="0" w:color="auto"/>
            </w:tcBorders>
            <w:noWrap/>
            <w:vAlign w:val="bottom"/>
            <w:hideMark/>
          </w:tcPr>
          <w:p w14:paraId="3732D4F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Less: Corporation tax @ @25%</w:t>
            </w:r>
          </w:p>
        </w:tc>
        <w:tc>
          <w:tcPr>
            <w:tcW w:w="695" w:type="pct"/>
            <w:tcBorders>
              <w:top w:val="nil"/>
              <w:left w:val="nil"/>
              <w:bottom w:val="single" w:sz="4" w:space="0" w:color="auto"/>
              <w:right w:val="single" w:sz="4" w:space="0" w:color="auto"/>
            </w:tcBorders>
            <w:noWrap/>
            <w:vAlign w:val="bottom"/>
            <w:hideMark/>
          </w:tcPr>
          <w:p w14:paraId="342157C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w:t>
            </w:r>
          </w:p>
        </w:tc>
        <w:tc>
          <w:tcPr>
            <w:tcW w:w="695" w:type="pct"/>
            <w:tcBorders>
              <w:top w:val="nil"/>
              <w:left w:val="nil"/>
              <w:bottom w:val="single" w:sz="4" w:space="0" w:color="auto"/>
              <w:right w:val="single" w:sz="4" w:space="0" w:color="auto"/>
            </w:tcBorders>
            <w:noWrap/>
            <w:vAlign w:val="bottom"/>
            <w:hideMark/>
          </w:tcPr>
          <w:p w14:paraId="7E3263A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45</w:t>
            </w:r>
          </w:p>
        </w:tc>
        <w:tc>
          <w:tcPr>
            <w:tcW w:w="695" w:type="pct"/>
            <w:tcBorders>
              <w:top w:val="nil"/>
              <w:left w:val="nil"/>
              <w:bottom w:val="single" w:sz="4" w:space="0" w:color="auto"/>
              <w:right w:val="single" w:sz="4" w:space="0" w:color="auto"/>
            </w:tcBorders>
            <w:noWrap/>
            <w:vAlign w:val="bottom"/>
            <w:hideMark/>
          </w:tcPr>
          <w:p w14:paraId="6E2529F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70</w:t>
            </w:r>
          </w:p>
        </w:tc>
        <w:tc>
          <w:tcPr>
            <w:tcW w:w="693" w:type="pct"/>
            <w:tcBorders>
              <w:top w:val="nil"/>
              <w:left w:val="nil"/>
              <w:bottom w:val="single" w:sz="4" w:space="0" w:color="auto"/>
              <w:right w:val="single" w:sz="4" w:space="0" w:color="auto"/>
            </w:tcBorders>
            <w:noWrap/>
            <w:vAlign w:val="bottom"/>
            <w:hideMark/>
          </w:tcPr>
          <w:p w14:paraId="22C8137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95</w:t>
            </w:r>
          </w:p>
        </w:tc>
      </w:tr>
      <w:tr w:rsidR="00FC5524" w:rsidRPr="00FC5524" w14:paraId="36D6253A" w14:textId="77777777" w:rsidTr="00FC5524">
        <w:trPr>
          <w:trHeight w:val="300"/>
        </w:trPr>
        <w:tc>
          <w:tcPr>
            <w:tcW w:w="2222" w:type="pct"/>
            <w:tcBorders>
              <w:top w:val="nil"/>
              <w:left w:val="single" w:sz="4" w:space="0" w:color="auto"/>
              <w:bottom w:val="single" w:sz="4" w:space="0" w:color="auto"/>
              <w:right w:val="single" w:sz="4" w:space="0" w:color="auto"/>
            </w:tcBorders>
            <w:noWrap/>
            <w:vAlign w:val="bottom"/>
            <w:hideMark/>
          </w:tcPr>
          <w:p w14:paraId="5D51B54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Net Profit after tax</w:t>
            </w:r>
          </w:p>
        </w:tc>
        <w:tc>
          <w:tcPr>
            <w:tcW w:w="695" w:type="pct"/>
            <w:tcBorders>
              <w:top w:val="nil"/>
              <w:left w:val="nil"/>
              <w:bottom w:val="single" w:sz="4" w:space="0" w:color="auto"/>
              <w:right w:val="single" w:sz="4" w:space="0" w:color="auto"/>
            </w:tcBorders>
            <w:noWrap/>
            <w:vAlign w:val="bottom"/>
            <w:hideMark/>
          </w:tcPr>
          <w:p w14:paraId="22A4DD7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60</w:t>
            </w:r>
          </w:p>
        </w:tc>
        <w:tc>
          <w:tcPr>
            <w:tcW w:w="695" w:type="pct"/>
            <w:tcBorders>
              <w:top w:val="nil"/>
              <w:left w:val="nil"/>
              <w:bottom w:val="single" w:sz="4" w:space="0" w:color="auto"/>
              <w:right w:val="single" w:sz="4" w:space="0" w:color="auto"/>
            </w:tcBorders>
            <w:noWrap/>
            <w:vAlign w:val="bottom"/>
            <w:hideMark/>
          </w:tcPr>
          <w:p w14:paraId="29D18C5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135</w:t>
            </w:r>
          </w:p>
        </w:tc>
        <w:tc>
          <w:tcPr>
            <w:tcW w:w="695" w:type="pct"/>
            <w:tcBorders>
              <w:top w:val="nil"/>
              <w:left w:val="nil"/>
              <w:bottom w:val="single" w:sz="4" w:space="0" w:color="auto"/>
              <w:right w:val="single" w:sz="4" w:space="0" w:color="auto"/>
            </w:tcBorders>
            <w:noWrap/>
            <w:vAlign w:val="bottom"/>
            <w:hideMark/>
          </w:tcPr>
          <w:p w14:paraId="67023C46"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210</w:t>
            </w:r>
          </w:p>
        </w:tc>
        <w:tc>
          <w:tcPr>
            <w:tcW w:w="693" w:type="pct"/>
            <w:tcBorders>
              <w:top w:val="nil"/>
              <w:left w:val="nil"/>
              <w:bottom w:val="single" w:sz="4" w:space="0" w:color="auto"/>
              <w:right w:val="single" w:sz="4" w:space="0" w:color="auto"/>
            </w:tcBorders>
            <w:noWrap/>
            <w:vAlign w:val="bottom"/>
            <w:hideMark/>
          </w:tcPr>
          <w:p w14:paraId="5BCF32A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285</w:t>
            </w:r>
          </w:p>
        </w:tc>
      </w:tr>
      <w:tr w:rsidR="00FC5524" w:rsidRPr="00FC5524" w14:paraId="18DDD674" w14:textId="77777777" w:rsidTr="00FC5524">
        <w:trPr>
          <w:trHeight w:val="300"/>
        </w:trPr>
        <w:tc>
          <w:tcPr>
            <w:tcW w:w="2222" w:type="pct"/>
            <w:tcBorders>
              <w:top w:val="nil"/>
              <w:left w:val="single" w:sz="4" w:space="0" w:color="auto"/>
              <w:bottom w:val="single" w:sz="4" w:space="0" w:color="auto"/>
              <w:right w:val="single" w:sz="4" w:space="0" w:color="auto"/>
            </w:tcBorders>
            <w:noWrap/>
            <w:vAlign w:val="bottom"/>
            <w:hideMark/>
          </w:tcPr>
          <w:p w14:paraId="505EFAA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Add back: Depreciation</w:t>
            </w:r>
          </w:p>
        </w:tc>
        <w:tc>
          <w:tcPr>
            <w:tcW w:w="695" w:type="pct"/>
            <w:tcBorders>
              <w:top w:val="nil"/>
              <w:left w:val="nil"/>
              <w:bottom w:val="single" w:sz="4" w:space="0" w:color="auto"/>
              <w:right w:val="single" w:sz="4" w:space="0" w:color="auto"/>
            </w:tcBorders>
            <w:noWrap/>
            <w:vAlign w:val="bottom"/>
            <w:hideMark/>
          </w:tcPr>
          <w:p w14:paraId="66C20D8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120</w:t>
            </w:r>
          </w:p>
        </w:tc>
        <w:tc>
          <w:tcPr>
            <w:tcW w:w="695" w:type="pct"/>
            <w:tcBorders>
              <w:top w:val="nil"/>
              <w:left w:val="nil"/>
              <w:bottom w:val="single" w:sz="4" w:space="0" w:color="auto"/>
              <w:right w:val="single" w:sz="4" w:space="0" w:color="auto"/>
            </w:tcBorders>
            <w:noWrap/>
            <w:vAlign w:val="bottom"/>
            <w:hideMark/>
          </w:tcPr>
          <w:p w14:paraId="3D8D53AD"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120</w:t>
            </w:r>
          </w:p>
        </w:tc>
        <w:tc>
          <w:tcPr>
            <w:tcW w:w="695" w:type="pct"/>
            <w:tcBorders>
              <w:top w:val="nil"/>
              <w:left w:val="nil"/>
              <w:bottom w:val="single" w:sz="4" w:space="0" w:color="auto"/>
              <w:right w:val="single" w:sz="4" w:space="0" w:color="auto"/>
            </w:tcBorders>
            <w:noWrap/>
            <w:vAlign w:val="bottom"/>
            <w:hideMark/>
          </w:tcPr>
          <w:p w14:paraId="71CFDBB4"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120</w:t>
            </w:r>
          </w:p>
        </w:tc>
        <w:tc>
          <w:tcPr>
            <w:tcW w:w="693" w:type="pct"/>
            <w:tcBorders>
              <w:top w:val="nil"/>
              <w:left w:val="nil"/>
              <w:bottom w:val="single" w:sz="4" w:space="0" w:color="auto"/>
              <w:right w:val="single" w:sz="4" w:space="0" w:color="auto"/>
            </w:tcBorders>
            <w:noWrap/>
            <w:vAlign w:val="bottom"/>
            <w:hideMark/>
          </w:tcPr>
          <w:p w14:paraId="4E2C69A6"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120</w:t>
            </w:r>
          </w:p>
        </w:tc>
      </w:tr>
      <w:tr w:rsidR="00FC5524" w:rsidRPr="00FC5524" w14:paraId="039DD0F2" w14:textId="77777777" w:rsidTr="00FC5524">
        <w:trPr>
          <w:trHeight w:val="300"/>
        </w:trPr>
        <w:tc>
          <w:tcPr>
            <w:tcW w:w="2222" w:type="pct"/>
            <w:tcBorders>
              <w:top w:val="nil"/>
              <w:left w:val="single" w:sz="4" w:space="0" w:color="auto"/>
              <w:bottom w:val="single" w:sz="4" w:space="0" w:color="auto"/>
              <w:right w:val="single" w:sz="4" w:space="0" w:color="auto"/>
            </w:tcBorders>
            <w:noWrap/>
            <w:vAlign w:val="bottom"/>
            <w:hideMark/>
          </w:tcPr>
          <w:p w14:paraId="1178EF1E"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Net cash flows</w:t>
            </w:r>
          </w:p>
        </w:tc>
        <w:tc>
          <w:tcPr>
            <w:tcW w:w="695" w:type="pct"/>
            <w:tcBorders>
              <w:top w:val="nil"/>
              <w:left w:val="nil"/>
              <w:bottom w:val="single" w:sz="4" w:space="0" w:color="auto"/>
              <w:right w:val="single" w:sz="4" w:space="0" w:color="auto"/>
            </w:tcBorders>
            <w:noWrap/>
            <w:vAlign w:val="bottom"/>
            <w:hideMark/>
          </w:tcPr>
          <w:p w14:paraId="677A169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180</w:t>
            </w:r>
          </w:p>
        </w:tc>
        <w:tc>
          <w:tcPr>
            <w:tcW w:w="695" w:type="pct"/>
            <w:tcBorders>
              <w:top w:val="nil"/>
              <w:left w:val="nil"/>
              <w:bottom w:val="single" w:sz="4" w:space="0" w:color="auto"/>
              <w:right w:val="single" w:sz="4" w:space="0" w:color="auto"/>
            </w:tcBorders>
            <w:noWrap/>
            <w:vAlign w:val="bottom"/>
            <w:hideMark/>
          </w:tcPr>
          <w:p w14:paraId="51C227CD"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255</w:t>
            </w:r>
          </w:p>
        </w:tc>
        <w:tc>
          <w:tcPr>
            <w:tcW w:w="695" w:type="pct"/>
            <w:tcBorders>
              <w:top w:val="nil"/>
              <w:left w:val="nil"/>
              <w:bottom w:val="single" w:sz="4" w:space="0" w:color="auto"/>
              <w:right w:val="single" w:sz="4" w:space="0" w:color="auto"/>
            </w:tcBorders>
            <w:noWrap/>
            <w:vAlign w:val="bottom"/>
            <w:hideMark/>
          </w:tcPr>
          <w:p w14:paraId="207DC81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330</w:t>
            </w:r>
          </w:p>
        </w:tc>
        <w:tc>
          <w:tcPr>
            <w:tcW w:w="693" w:type="pct"/>
            <w:tcBorders>
              <w:top w:val="nil"/>
              <w:left w:val="nil"/>
              <w:bottom w:val="single" w:sz="4" w:space="0" w:color="auto"/>
              <w:right w:val="single" w:sz="4" w:space="0" w:color="auto"/>
            </w:tcBorders>
            <w:noWrap/>
            <w:vAlign w:val="bottom"/>
            <w:hideMark/>
          </w:tcPr>
          <w:p w14:paraId="1472651D"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405</w:t>
            </w:r>
          </w:p>
        </w:tc>
      </w:tr>
    </w:tbl>
    <w:p w14:paraId="58658B5C"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 </w:t>
      </w:r>
    </w:p>
    <w:p w14:paraId="4AA03225" w14:textId="160EF45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Calculation of </w:t>
      </w:r>
      <w:r w:rsidR="00A174A8" w:rsidRPr="00FC5524">
        <w:rPr>
          <w:rFonts w:ascii="Times New Roman" w:eastAsia="Calibri" w:hAnsi="Times New Roman" w:cs="Times New Roman"/>
          <w:kern w:val="0"/>
          <w:lang w:eastAsia="en-GB"/>
          <w14:ligatures w14:val="none"/>
        </w:rPr>
        <w:t>the discounted</w:t>
      </w:r>
      <w:r w:rsidRPr="00FC5524">
        <w:rPr>
          <w:rFonts w:ascii="Times New Roman" w:eastAsia="Calibri" w:hAnsi="Times New Roman" w:cs="Times New Roman"/>
          <w:kern w:val="0"/>
          <w:lang w:eastAsia="en-GB"/>
          <w14:ligatures w14:val="none"/>
        </w:rPr>
        <w:t xml:space="preserve"> cash flow for the stated model</w:t>
      </w:r>
    </w:p>
    <w:tbl>
      <w:tblPr>
        <w:tblW w:w="5000" w:type="pct"/>
        <w:tblLook w:val="04A0" w:firstRow="1" w:lastRow="0" w:firstColumn="1" w:lastColumn="0" w:noHBand="0" w:noVBand="1"/>
      </w:tblPr>
      <w:tblGrid>
        <w:gridCol w:w="2929"/>
        <w:gridCol w:w="1910"/>
        <w:gridCol w:w="937"/>
        <w:gridCol w:w="3240"/>
      </w:tblGrid>
      <w:tr w:rsidR="00FC5524" w:rsidRPr="00FC5524" w14:paraId="3C44B317" w14:textId="77777777" w:rsidTr="00FC5524">
        <w:trPr>
          <w:trHeight w:val="300"/>
        </w:trPr>
        <w:tc>
          <w:tcPr>
            <w:tcW w:w="1922" w:type="pct"/>
            <w:tcBorders>
              <w:top w:val="single" w:sz="4" w:space="0" w:color="auto"/>
              <w:left w:val="single" w:sz="4" w:space="0" w:color="auto"/>
              <w:bottom w:val="single" w:sz="4" w:space="0" w:color="auto"/>
              <w:right w:val="single" w:sz="4" w:space="0" w:color="auto"/>
            </w:tcBorders>
            <w:shd w:val="clear" w:color="auto" w:fill="DDD9C3"/>
            <w:noWrap/>
            <w:vAlign w:val="bottom"/>
            <w:hideMark/>
          </w:tcPr>
          <w:p w14:paraId="7EB09A9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Year</w:t>
            </w:r>
          </w:p>
        </w:tc>
        <w:tc>
          <w:tcPr>
            <w:tcW w:w="897" w:type="pct"/>
            <w:tcBorders>
              <w:top w:val="single" w:sz="4" w:space="0" w:color="auto"/>
              <w:left w:val="nil"/>
              <w:bottom w:val="single" w:sz="4" w:space="0" w:color="auto"/>
              <w:right w:val="single" w:sz="4" w:space="0" w:color="auto"/>
            </w:tcBorders>
            <w:shd w:val="clear" w:color="auto" w:fill="DDD9C3"/>
            <w:noWrap/>
            <w:vAlign w:val="bottom"/>
            <w:hideMark/>
          </w:tcPr>
          <w:p w14:paraId="58279B4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Cash flows £’000</w:t>
            </w:r>
          </w:p>
        </w:tc>
        <w:tc>
          <w:tcPr>
            <w:tcW w:w="661" w:type="pct"/>
            <w:tcBorders>
              <w:top w:val="single" w:sz="4" w:space="0" w:color="auto"/>
              <w:left w:val="nil"/>
              <w:bottom w:val="single" w:sz="4" w:space="0" w:color="auto"/>
              <w:right w:val="single" w:sz="4" w:space="0" w:color="auto"/>
            </w:tcBorders>
            <w:shd w:val="clear" w:color="auto" w:fill="DDD9C3"/>
            <w:noWrap/>
            <w:vAlign w:val="bottom"/>
            <w:hideMark/>
          </w:tcPr>
          <w:p w14:paraId="027DA9F9"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FF"/>
                <w:kern w:val="0"/>
                <w:u w:val="single"/>
                <w:lang w:eastAsia="en-GB"/>
                <w14:ligatures w14:val="none"/>
              </w:rPr>
            </w:pPr>
            <w:hyperlink r:id="rId46" w:history="1">
              <w:r w:rsidRPr="00FC5524">
                <w:rPr>
                  <w:rFonts w:ascii="Calibri" w:eastAsia="Times New Roman" w:hAnsi="Calibri" w:cs="Times New Roman"/>
                  <w:color w:val="0000FF"/>
                  <w:kern w:val="0"/>
                  <w:sz w:val="22"/>
                  <w:szCs w:val="22"/>
                  <w:u w:val="single"/>
                  <w:lang w:eastAsia="en-GB"/>
                  <w14:ligatures w14:val="none"/>
                </w:rPr>
                <w:t>DR@6%</w:t>
              </w:r>
            </w:hyperlink>
          </w:p>
        </w:tc>
        <w:tc>
          <w:tcPr>
            <w:tcW w:w="1520" w:type="pct"/>
            <w:tcBorders>
              <w:top w:val="single" w:sz="4" w:space="0" w:color="auto"/>
              <w:left w:val="nil"/>
              <w:bottom w:val="single" w:sz="4" w:space="0" w:color="auto"/>
              <w:right w:val="single" w:sz="4" w:space="0" w:color="auto"/>
            </w:tcBorders>
            <w:shd w:val="clear" w:color="auto" w:fill="DDD9C3"/>
            <w:noWrap/>
            <w:vAlign w:val="bottom"/>
            <w:hideMark/>
          </w:tcPr>
          <w:p w14:paraId="29EE767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Discounted Cash Flows (£'000)</w:t>
            </w:r>
          </w:p>
        </w:tc>
      </w:tr>
      <w:tr w:rsidR="00FC5524" w:rsidRPr="00FC5524" w14:paraId="6A1979B1" w14:textId="77777777" w:rsidTr="00FC5524">
        <w:trPr>
          <w:trHeight w:val="300"/>
        </w:trPr>
        <w:tc>
          <w:tcPr>
            <w:tcW w:w="1922" w:type="pct"/>
            <w:tcBorders>
              <w:top w:val="nil"/>
              <w:left w:val="single" w:sz="4" w:space="0" w:color="auto"/>
              <w:bottom w:val="single" w:sz="4" w:space="0" w:color="auto"/>
              <w:right w:val="single" w:sz="4" w:space="0" w:color="auto"/>
            </w:tcBorders>
            <w:noWrap/>
            <w:vAlign w:val="bottom"/>
            <w:hideMark/>
          </w:tcPr>
          <w:p w14:paraId="329758BE"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w:t>
            </w:r>
          </w:p>
        </w:tc>
        <w:tc>
          <w:tcPr>
            <w:tcW w:w="897" w:type="pct"/>
            <w:tcBorders>
              <w:top w:val="nil"/>
              <w:left w:val="nil"/>
              <w:bottom w:val="single" w:sz="4" w:space="0" w:color="auto"/>
              <w:right w:val="single" w:sz="4" w:space="0" w:color="auto"/>
            </w:tcBorders>
            <w:noWrap/>
            <w:vAlign w:val="bottom"/>
            <w:hideMark/>
          </w:tcPr>
          <w:p w14:paraId="73342D4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-600</w:t>
            </w:r>
          </w:p>
        </w:tc>
        <w:tc>
          <w:tcPr>
            <w:tcW w:w="661" w:type="pct"/>
            <w:tcBorders>
              <w:top w:val="nil"/>
              <w:left w:val="nil"/>
              <w:bottom w:val="single" w:sz="4" w:space="0" w:color="auto"/>
              <w:right w:val="single" w:sz="4" w:space="0" w:color="auto"/>
            </w:tcBorders>
            <w:noWrap/>
            <w:vAlign w:val="bottom"/>
            <w:hideMark/>
          </w:tcPr>
          <w:p w14:paraId="33B9650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w:t>
            </w:r>
          </w:p>
        </w:tc>
        <w:tc>
          <w:tcPr>
            <w:tcW w:w="1520" w:type="pct"/>
            <w:tcBorders>
              <w:top w:val="nil"/>
              <w:left w:val="nil"/>
              <w:bottom w:val="single" w:sz="4" w:space="0" w:color="auto"/>
              <w:right w:val="single" w:sz="4" w:space="0" w:color="auto"/>
            </w:tcBorders>
            <w:noWrap/>
            <w:vAlign w:val="bottom"/>
            <w:hideMark/>
          </w:tcPr>
          <w:p w14:paraId="6A661AA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-600</w:t>
            </w:r>
          </w:p>
        </w:tc>
      </w:tr>
      <w:tr w:rsidR="00FC5524" w:rsidRPr="00FC5524" w14:paraId="2EAB7F6D" w14:textId="77777777" w:rsidTr="00FC5524">
        <w:trPr>
          <w:trHeight w:val="300"/>
        </w:trPr>
        <w:tc>
          <w:tcPr>
            <w:tcW w:w="1922" w:type="pct"/>
            <w:tcBorders>
              <w:top w:val="nil"/>
              <w:left w:val="single" w:sz="4" w:space="0" w:color="auto"/>
              <w:bottom w:val="single" w:sz="4" w:space="0" w:color="auto"/>
              <w:right w:val="single" w:sz="4" w:space="0" w:color="auto"/>
            </w:tcBorders>
            <w:noWrap/>
            <w:vAlign w:val="bottom"/>
            <w:hideMark/>
          </w:tcPr>
          <w:p w14:paraId="6E5E734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w:t>
            </w:r>
          </w:p>
        </w:tc>
        <w:tc>
          <w:tcPr>
            <w:tcW w:w="897" w:type="pct"/>
            <w:tcBorders>
              <w:top w:val="nil"/>
              <w:left w:val="nil"/>
              <w:bottom w:val="single" w:sz="4" w:space="0" w:color="auto"/>
              <w:right w:val="single" w:sz="4" w:space="0" w:color="auto"/>
            </w:tcBorders>
            <w:noWrap/>
            <w:vAlign w:val="bottom"/>
            <w:hideMark/>
          </w:tcPr>
          <w:p w14:paraId="3878A3C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180</w:t>
            </w:r>
          </w:p>
        </w:tc>
        <w:tc>
          <w:tcPr>
            <w:tcW w:w="661" w:type="pct"/>
            <w:tcBorders>
              <w:top w:val="nil"/>
              <w:left w:val="nil"/>
              <w:bottom w:val="single" w:sz="4" w:space="0" w:color="auto"/>
              <w:right w:val="single" w:sz="4" w:space="0" w:color="auto"/>
            </w:tcBorders>
            <w:noWrap/>
            <w:vAlign w:val="bottom"/>
            <w:hideMark/>
          </w:tcPr>
          <w:p w14:paraId="072F423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0.943</w:t>
            </w:r>
          </w:p>
        </w:tc>
        <w:tc>
          <w:tcPr>
            <w:tcW w:w="1520" w:type="pct"/>
            <w:tcBorders>
              <w:top w:val="nil"/>
              <w:left w:val="nil"/>
              <w:bottom w:val="single" w:sz="4" w:space="0" w:color="auto"/>
              <w:right w:val="single" w:sz="4" w:space="0" w:color="auto"/>
            </w:tcBorders>
            <w:noWrap/>
            <w:vAlign w:val="bottom"/>
            <w:hideMark/>
          </w:tcPr>
          <w:p w14:paraId="3B0AF6D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169.81</w:t>
            </w:r>
          </w:p>
        </w:tc>
      </w:tr>
      <w:tr w:rsidR="00FC5524" w:rsidRPr="00FC5524" w14:paraId="6B6E5E5E" w14:textId="77777777" w:rsidTr="00FC5524">
        <w:trPr>
          <w:trHeight w:val="300"/>
        </w:trPr>
        <w:tc>
          <w:tcPr>
            <w:tcW w:w="1922" w:type="pct"/>
            <w:tcBorders>
              <w:top w:val="nil"/>
              <w:left w:val="single" w:sz="4" w:space="0" w:color="auto"/>
              <w:bottom w:val="single" w:sz="4" w:space="0" w:color="auto"/>
              <w:right w:val="single" w:sz="4" w:space="0" w:color="auto"/>
            </w:tcBorders>
            <w:noWrap/>
            <w:vAlign w:val="bottom"/>
            <w:hideMark/>
          </w:tcPr>
          <w:p w14:paraId="044447B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w:t>
            </w:r>
          </w:p>
        </w:tc>
        <w:tc>
          <w:tcPr>
            <w:tcW w:w="897" w:type="pct"/>
            <w:tcBorders>
              <w:top w:val="nil"/>
              <w:left w:val="nil"/>
              <w:bottom w:val="single" w:sz="4" w:space="0" w:color="auto"/>
              <w:right w:val="single" w:sz="4" w:space="0" w:color="auto"/>
            </w:tcBorders>
            <w:noWrap/>
            <w:vAlign w:val="bottom"/>
            <w:hideMark/>
          </w:tcPr>
          <w:p w14:paraId="4A8056D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255</w:t>
            </w:r>
          </w:p>
        </w:tc>
        <w:tc>
          <w:tcPr>
            <w:tcW w:w="661" w:type="pct"/>
            <w:tcBorders>
              <w:top w:val="nil"/>
              <w:left w:val="nil"/>
              <w:bottom w:val="single" w:sz="4" w:space="0" w:color="auto"/>
              <w:right w:val="single" w:sz="4" w:space="0" w:color="auto"/>
            </w:tcBorders>
            <w:noWrap/>
            <w:vAlign w:val="bottom"/>
            <w:hideMark/>
          </w:tcPr>
          <w:p w14:paraId="3890D07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0.890</w:t>
            </w:r>
          </w:p>
        </w:tc>
        <w:tc>
          <w:tcPr>
            <w:tcW w:w="1520" w:type="pct"/>
            <w:tcBorders>
              <w:top w:val="nil"/>
              <w:left w:val="nil"/>
              <w:bottom w:val="single" w:sz="4" w:space="0" w:color="auto"/>
              <w:right w:val="single" w:sz="4" w:space="0" w:color="auto"/>
            </w:tcBorders>
            <w:noWrap/>
            <w:vAlign w:val="bottom"/>
            <w:hideMark/>
          </w:tcPr>
          <w:p w14:paraId="26998AC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226.95</w:t>
            </w:r>
          </w:p>
        </w:tc>
      </w:tr>
      <w:tr w:rsidR="00FC5524" w:rsidRPr="00FC5524" w14:paraId="1EC7ED54" w14:textId="77777777" w:rsidTr="00FC5524">
        <w:trPr>
          <w:trHeight w:val="300"/>
        </w:trPr>
        <w:tc>
          <w:tcPr>
            <w:tcW w:w="1922" w:type="pct"/>
            <w:tcBorders>
              <w:top w:val="nil"/>
              <w:left w:val="single" w:sz="4" w:space="0" w:color="auto"/>
              <w:bottom w:val="single" w:sz="4" w:space="0" w:color="auto"/>
              <w:right w:val="single" w:sz="4" w:space="0" w:color="auto"/>
            </w:tcBorders>
            <w:noWrap/>
            <w:vAlign w:val="bottom"/>
            <w:hideMark/>
          </w:tcPr>
          <w:p w14:paraId="0427271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w:t>
            </w:r>
          </w:p>
        </w:tc>
        <w:tc>
          <w:tcPr>
            <w:tcW w:w="897" w:type="pct"/>
            <w:tcBorders>
              <w:top w:val="nil"/>
              <w:left w:val="nil"/>
              <w:bottom w:val="single" w:sz="4" w:space="0" w:color="auto"/>
              <w:right w:val="single" w:sz="4" w:space="0" w:color="auto"/>
            </w:tcBorders>
            <w:noWrap/>
            <w:vAlign w:val="bottom"/>
            <w:hideMark/>
          </w:tcPr>
          <w:p w14:paraId="6D12BF2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330</w:t>
            </w:r>
          </w:p>
        </w:tc>
        <w:tc>
          <w:tcPr>
            <w:tcW w:w="661" w:type="pct"/>
            <w:tcBorders>
              <w:top w:val="nil"/>
              <w:left w:val="nil"/>
              <w:bottom w:val="single" w:sz="4" w:space="0" w:color="auto"/>
              <w:right w:val="single" w:sz="4" w:space="0" w:color="auto"/>
            </w:tcBorders>
            <w:noWrap/>
            <w:vAlign w:val="bottom"/>
            <w:hideMark/>
          </w:tcPr>
          <w:p w14:paraId="033CC87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0.840</w:t>
            </w:r>
          </w:p>
        </w:tc>
        <w:tc>
          <w:tcPr>
            <w:tcW w:w="1520" w:type="pct"/>
            <w:tcBorders>
              <w:top w:val="nil"/>
              <w:left w:val="nil"/>
              <w:bottom w:val="single" w:sz="4" w:space="0" w:color="auto"/>
              <w:right w:val="single" w:sz="4" w:space="0" w:color="auto"/>
            </w:tcBorders>
            <w:noWrap/>
            <w:vAlign w:val="bottom"/>
            <w:hideMark/>
          </w:tcPr>
          <w:p w14:paraId="4DE329D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277.07</w:t>
            </w:r>
          </w:p>
        </w:tc>
      </w:tr>
      <w:tr w:rsidR="00FC5524" w:rsidRPr="00FC5524" w14:paraId="0E527BE3" w14:textId="77777777" w:rsidTr="00FC5524">
        <w:trPr>
          <w:trHeight w:val="300"/>
        </w:trPr>
        <w:tc>
          <w:tcPr>
            <w:tcW w:w="1922" w:type="pct"/>
            <w:tcBorders>
              <w:top w:val="nil"/>
              <w:left w:val="single" w:sz="4" w:space="0" w:color="auto"/>
              <w:bottom w:val="single" w:sz="4" w:space="0" w:color="auto"/>
              <w:right w:val="single" w:sz="4" w:space="0" w:color="auto"/>
            </w:tcBorders>
            <w:noWrap/>
            <w:vAlign w:val="bottom"/>
            <w:hideMark/>
          </w:tcPr>
          <w:p w14:paraId="76E8750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lastRenderedPageBreak/>
              <w:t>4</w:t>
            </w:r>
          </w:p>
        </w:tc>
        <w:tc>
          <w:tcPr>
            <w:tcW w:w="897" w:type="pct"/>
            <w:tcBorders>
              <w:top w:val="nil"/>
              <w:left w:val="nil"/>
              <w:bottom w:val="single" w:sz="4" w:space="0" w:color="auto"/>
              <w:right w:val="single" w:sz="4" w:space="0" w:color="auto"/>
            </w:tcBorders>
            <w:noWrap/>
            <w:vAlign w:val="bottom"/>
            <w:hideMark/>
          </w:tcPr>
          <w:p w14:paraId="4EDF3CC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405</w:t>
            </w:r>
          </w:p>
        </w:tc>
        <w:tc>
          <w:tcPr>
            <w:tcW w:w="661" w:type="pct"/>
            <w:tcBorders>
              <w:top w:val="nil"/>
              <w:left w:val="nil"/>
              <w:bottom w:val="single" w:sz="4" w:space="0" w:color="auto"/>
              <w:right w:val="single" w:sz="4" w:space="0" w:color="auto"/>
            </w:tcBorders>
            <w:noWrap/>
            <w:vAlign w:val="bottom"/>
            <w:hideMark/>
          </w:tcPr>
          <w:p w14:paraId="652B7C0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0.792</w:t>
            </w:r>
          </w:p>
        </w:tc>
        <w:tc>
          <w:tcPr>
            <w:tcW w:w="1520" w:type="pct"/>
            <w:tcBorders>
              <w:top w:val="nil"/>
              <w:left w:val="nil"/>
              <w:bottom w:val="single" w:sz="4" w:space="0" w:color="auto"/>
              <w:right w:val="single" w:sz="4" w:space="0" w:color="auto"/>
            </w:tcBorders>
            <w:noWrap/>
            <w:vAlign w:val="bottom"/>
            <w:hideMark/>
          </w:tcPr>
          <w:p w14:paraId="5041FB4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320.80</w:t>
            </w:r>
          </w:p>
        </w:tc>
      </w:tr>
      <w:tr w:rsidR="00FC5524" w:rsidRPr="00FC5524" w14:paraId="70B4BB9D" w14:textId="77777777" w:rsidTr="00FC5524">
        <w:trPr>
          <w:trHeight w:val="300"/>
        </w:trPr>
        <w:tc>
          <w:tcPr>
            <w:tcW w:w="3480" w:type="pct"/>
            <w:gridSpan w:val="3"/>
            <w:tcBorders>
              <w:top w:val="single" w:sz="4" w:space="0" w:color="auto"/>
              <w:left w:val="single" w:sz="4" w:space="0" w:color="auto"/>
              <w:bottom w:val="single" w:sz="4" w:space="0" w:color="auto"/>
              <w:right w:val="single" w:sz="4" w:space="0" w:color="auto"/>
            </w:tcBorders>
            <w:noWrap/>
            <w:vAlign w:val="bottom"/>
            <w:hideMark/>
          </w:tcPr>
          <w:p w14:paraId="0D676ED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NPV</w:t>
            </w:r>
          </w:p>
        </w:tc>
        <w:tc>
          <w:tcPr>
            <w:tcW w:w="1520" w:type="pct"/>
            <w:tcBorders>
              <w:top w:val="nil"/>
              <w:left w:val="nil"/>
              <w:bottom w:val="single" w:sz="4" w:space="0" w:color="auto"/>
              <w:right w:val="single" w:sz="4" w:space="0" w:color="auto"/>
            </w:tcBorders>
            <w:noWrap/>
            <w:vAlign w:val="bottom"/>
            <w:hideMark/>
          </w:tcPr>
          <w:p w14:paraId="5412CFA4"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394.63</w:t>
            </w:r>
          </w:p>
        </w:tc>
      </w:tr>
    </w:tbl>
    <w:p w14:paraId="608E6B99"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 </w:t>
      </w:r>
    </w:p>
    <w:p w14:paraId="52C2A645" w14:textId="77777777" w:rsidR="00FC5524" w:rsidRPr="00FC5524" w:rsidRDefault="00FC5524" w:rsidP="00FC5524">
      <w:pPr>
        <w:keepNext/>
        <w:keepLines/>
        <w:widowControl w:val="0"/>
        <w:spacing w:before="200" w:after="0" w:line="360" w:lineRule="auto"/>
        <w:outlineLvl w:val="2"/>
        <w:rPr>
          <w:rFonts w:ascii="Times New Roman" w:eastAsia="SimSun" w:hAnsi="Times New Roman" w:cs="Times New Roman"/>
          <w:b/>
          <w:bCs/>
          <w:kern w:val="0"/>
          <w:u w:val="single"/>
          <w:lang w:eastAsia="en-GB"/>
          <w14:ligatures w14:val="none"/>
        </w:rPr>
      </w:pPr>
      <w:bookmarkStart w:id="15" w:name="_Toc203756910"/>
      <w:bookmarkEnd w:id="15"/>
      <w:r w:rsidRPr="00FC5524">
        <w:rPr>
          <w:rFonts w:ascii="Times New Roman" w:eastAsia="SimSun" w:hAnsi="Times New Roman" w:cs="Times New Roman"/>
          <w:b/>
          <w:bCs/>
          <w:kern w:val="0"/>
          <w:u w:val="single"/>
          <w:lang w:eastAsia="en-GB"/>
          <w14:ligatures w14:val="none"/>
        </w:rPr>
        <w:t>Model B: Development into internet sales</w:t>
      </w:r>
      <w:r w:rsidRPr="00FC5524">
        <w:rPr>
          <w:rFonts w:ascii="Times New Roman" w:eastAsia="SimSun" w:hAnsi="Times New Roman" w:cs="Times New Roman"/>
          <w:b/>
          <w:bCs/>
          <w:kern w:val="0"/>
          <w:u w:val="single"/>
          <w:lang w:eastAsia="en-GB"/>
          <w14:ligatures w14:val="none"/>
        </w:rPr>
        <w:tab/>
      </w:r>
    </w:p>
    <w:p w14:paraId="10718F2B"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The capital allowance for this model is £1,000,000</w:t>
      </w:r>
    </w:p>
    <w:p w14:paraId="6F8E1FE3"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Calculation of Net profit after tax and net cash flow for the stated model</w:t>
      </w:r>
    </w:p>
    <w:tbl>
      <w:tblPr>
        <w:tblW w:w="5000" w:type="pct"/>
        <w:tblLook w:val="04A0" w:firstRow="1" w:lastRow="0" w:firstColumn="1" w:lastColumn="0" w:noHBand="0" w:noVBand="1"/>
      </w:tblPr>
      <w:tblGrid>
        <w:gridCol w:w="3200"/>
        <w:gridCol w:w="1183"/>
        <w:gridCol w:w="1726"/>
        <w:gridCol w:w="1726"/>
        <w:gridCol w:w="1181"/>
      </w:tblGrid>
      <w:tr w:rsidR="00FC5524" w:rsidRPr="00FC5524" w14:paraId="666890EA" w14:textId="77777777" w:rsidTr="00FC5524">
        <w:trPr>
          <w:trHeight w:val="300"/>
        </w:trPr>
        <w:tc>
          <w:tcPr>
            <w:tcW w:w="1775" w:type="pct"/>
            <w:tcBorders>
              <w:top w:val="single" w:sz="4" w:space="0" w:color="auto"/>
              <w:left w:val="single" w:sz="4" w:space="0" w:color="auto"/>
              <w:bottom w:val="single" w:sz="4" w:space="0" w:color="auto"/>
              <w:right w:val="single" w:sz="4" w:space="0" w:color="auto"/>
            </w:tcBorders>
            <w:shd w:val="clear" w:color="auto" w:fill="DDD9C3"/>
            <w:noWrap/>
            <w:vAlign w:val="bottom"/>
            <w:hideMark/>
          </w:tcPr>
          <w:p w14:paraId="3A6A3B4E"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 </w:t>
            </w:r>
          </w:p>
        </w:tc>
        <w:tc>
          <w:tcPr>
            <w:tcW w:w="3225" w:type="pct"/>
            <w:gridSpan w:val="4"/>
            <w:tcBorders>
              <w:top w:val="single" w:sz="4" w:space="0" w:color="auto"/>
              <w:left w:val="nil"/>
              <w:bottom w:val="single" w:sz="4" w:space="0" w:color="auto"/>
              <w:right w:val="single" w:sz="4" w:space="0" w:color="auto"/>
            </w:tcBorders>
            <w:shd w:val="clear" w:color="auto" w:fill="DDD9C3"/>
            <w:noWrap/>
            <w:vAlign w:val="bottom"/>
            <w:hideMark/>
          </w:tcPr>
          <w:p w14:paraId="1871F249"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proofErr w:type="gramStart"/>
            <w:r w:rsidRPr="00FC5524">
              <w:rPr>
                <w:rFonts w:ascii="Times New Roman" w:eastAsia="Times New Roman" w:hAnsi="Times New Roman" w:cs="Times New Roman"/>
                <w:color w:val="000000"/>
                <w:kern w:val="0"/>
                <w:lang w:eastAsia="en-GB"/>
                <w14:ligatures w14:val="none"/>
              </w:rPr>
              <w:t>in  (</w:t>
            </w:r>
            <w:proofErr w:type="gramEnd"/>
            <w:r w:rsidRPr="00FC5524">
              <w:rPr>
                <w:rFonts w:ascii="Times New Roman" w:eastAsia="Times New Roman" w:hAnsi="Times New Roman" w:cs="Times New Roman"/>
                <w:color w:val="000000"/>
                <w:kern w:val="0"/>
                <w:lang w:eastAsia="en-GB"/>
                <w14:ligatures w14:val="none"/>
              </w:rPr>
              <w:t xml:space="preserve">£’000)  </w:t>
            </w:r>
          </w:p>
        </w:tc>
      </w:tr>
      <w:tr w:rsidR="00FC5524" w:rsidRPr="00FC5524" w14:paraId="590C732C" w14:textId="77777777" w:rsidTr="00FC5524">
        <w:trPr>
          <w:trHeight w:val="300"/>
        </w:trPr>
        <w:tc>
          <w:tcPr>
            <w:tcW w:w="1775" w:type="pct"/>
            <w:tcBorders>
              <w:top w:val="nil"/>
              <w:left w:val="single" w:sz="4" w:space="0" w:color="auto"/>
              <w:bottom w:val="single" w:sz="4" w:space="0" w:color="auto"/>
              <w:right w:val="single" w:sz="4" w:space="0" w:color="auto"/>
            </w:tcBorders>
            <w:shd w:val="clear" w:color="auto" w:fill="DDD9C3"/>
            <w:noWrap/>
            <w:vAlign w:val="bottom"/>
            <w:hideMark/>
          </w:tcPr>
          <w:p w14:paraId="548C5C44"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Year</w:t>
            </w:r>
          </w:p>
        </w:tc>
        <w:tc>
          <w:tcPr>
            <w:tcW w:w="656" w:type="pct"/>
            <w:tcBorders>
              <w:top w:val="nil"/>
              <w:left w:val="nil"/>
              <w:bottom w:val="single" w:sz="4" w:space="0" w:color="auto"/>
              <w:right w:val="single" w:sz="4" w:space="0" w:color="auto"/>
            </w:tcBorders>
            <w:shd w:val="clear" w:color="auto" w:fill="DDD9C3"/>
            <w:noWrap/>
            <w:vAlign w:val="bottom"/>
            <w:hideMark/>
          </w:tcPr>
          <w:p w14:paraId="27BC6ED4"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w:t>
            </w:r>
          </w:p>
        </w:tc>
        <w:tc>
          <w:tcPr>
            <w:tcW w:w="957" w:type="pct"/>
            <w:tcBorders>
              <w:top w:val="nil"/>
              <w:left w:val="nil"/>
              <w:bottom w:val="single" w:sz="4" w:space="0" w:color="auto"/>
              <w:right w:val="single" w:sz="4" w:space="0" w:color="auto"/>
            </w:tcBorders>
            <w:shd w:val="clear" w:color="auto" w:fill="DDD9C3"/>
            <w:noWrap/>
            <w:vAlign w:val="bottom"/>
            <w:hideMark/>
          </w:tcPr>
          <w:p w14:paraId="02F4717E"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w:t>
            </w:r>
          </w:p>
        </w:tc>
        <w:tc>
          <w:tcPr>
            <w:tcW w:w="957" w:type="pct"/>
            <w:tcBorders>
              <w:top w:val="nil"/>
              <w:left w:val="nil"/>
              <w:bottom w:val="single" w:sz="4" w:space="0" w:color="auto"/>
              <w:right w:val="single" w:sz="4" w:space="0" w:color="auto"/>
            </w:tcBorders>
            <w:shd w:val="clear" w:color="auto" w:fill="DDD9C3"/>
            <w:noWrap/>
            <w:vAlign w:val="bottom"/>
            <w:hideMark/>
          </w:tcPr>
          <w:p w14:paraId="76B2A44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w:t>
            </w:r>
          </w:p>
        </w:tc>
        <w:tc>
          <w:tcPr>
            <w:tcW w:w="656" w:type="pct"/>
            <w:tcBorders>
              <w:top w:val="nil"/>
              <w:left w:val="nil"/>
              <w:bottom w:val="single" w:sz="4" w:space="0" w:color="auto"/>
              <w:right w:val="single" w:sz="4" w:space="0" w:color="auto"/>
            </w:tcBorders>
            <w:shd w:val="clear" w:color="auto" w:fill="DDD9C3"/>
            <w:noWrap/>
            <w:vAlign w:val="bottom"/>
            <w:hideMark/>
          </w:tcPr>
          <w:p w14:paraId="3E54DF6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w:t>
            </w:r>
          </w:p>
        </w:tc>
      </w:tr>
      <w:tr w:rsidR="00FC5524" w:rsidRPr="00FC5524" w14:paraId="21377AA3"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4DAB549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Cash flows</w:t>
            </w:r>
          </w:p>
        </w:tc>
        <w:tc>
          <w:tcPr>
            <w:tcW w:w="656" w:type="pct"/>
            <w:tcBorders>
              <w:top w:val="nil"/>
              <w:left w:val="nil"/>
              <w:bottom w:val="single" w:sz="4" w:space="0" w:color="auto"/>
              <w:right w:val="single" w:sz="4" w:space="0" w:color="auto"/>
            </w:tcBorders>
            <w:noWrap/>
            <w:vAlign w:val="bottom"/>
            <w:hideMark/>
          </w:tcPr>
          <w:p w14:paraId="40DA385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400</w:t>
            </w:r>
          </w:p>
        </w:tc>
        <w:tc>
          <w:tcPr>
            <w:tcW w:w="957" w:type="pct"/>
            <w:tcBorders>
              <w:top w:val="nil"/>
              <w:left w:val="nil"/>
              <w:bottom w:val="single" w:sz="4" w:space="0" w:color="auto"/>
              <w:right w:val="single" w:sz="4" w:space="0" w:color="auto"/>
            </w:tcBorders>
            <w:noWrap/>
            <w:vAlign w:val="bottom"/>
            <w:hideMark/>
          </w:tcPr>
          <w:p w14:paraId="0EB066F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450</w:t>
            </w:r>
          </w:p>
        </w:tc>
        <w:tc>
          <w:tcPr>
            <w:tcW w:w="957" w:type="pct"/>
            <w:tcBorders>
              <w:top w:val="nil"/>
              <w:left w:val="nil"/>
              <w:bottom w:val="single" w:sz="4" w:space="0" w:color="auto"/>
              <w:right w:val="single" w:sz="4" w:space="0" w:color="auto"/>
            </w:tcBorders>
            <w:noWrap/>
            <w:vAlign w:val="bottom"/>
            <w:hideMark/>
          </w:tcPr>
          <w:p w14:paraId="206B6AF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650</w:t>
            </w:r>
          </w:p>
        </w:tc>
        <w:tc>
          <w:tcPr>
            <w:tcW w:w="656" w:type="pct"/>
            <w:tcBorders>
              <w:top w:val="nil"/>
              <w:left w:val="nil"/>
              <w:bottom w:val="single" w:sz="4" w:space="0" w:color="auto"/>
              <w:right w:val="single" w:sz="4" w:space="0" w:color="auto"/>
            </w:tcBorders>
            <w:noWrap/>
            <w:vAlign w:val="bottom"/>
            <w:hideMark/>
          </w:tcPr>
          <w:p w14:paraId="53F2B5D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980</w:t>
            </w:r>
          </w:p>
        </w:tc>
      </w:tr>
      <w:tr w:rsidR="00FC5524" w:rsidRPr="00FC5524" w14:paraId="64B41B8D"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68687E2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Less: Depreciation</w:t>
            </w:r>
          </w:p>
        </w:tc>
        <w:tc>
          <w:tcPr>
            <w:tcW w:w="656" w:type="pct"/>
            <w:tcBorders>
              <w:top w:val="nil"/>
              <w:left w:val="nil"/>
              <w:bottom w:val="single" w:sz="4" w:space="0" w:color="auto"/>
              <w:right w:val="single" w:sz="4" w:space="0" w:color="auto"/>
            </w:tcBorders>
            <w:noWrap/>
            <w:vAlign w:val="bottom"/>
            <w:hideMark/>
          </w:tcPr>
          <w:p w14:paraId="0BBC8E3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200</w:t>
            </w:r>
          </w:p>
        </w:tc>
        <w:tc>
          <w:tcPr>
            <w:tcW w:w="957" w:type="pct"/>
            <w:tcBorders>
              <w:top w:val="nil"/>
              <w:left w:val="nil"/>
              <w:bottom w:val="single" w:sz="4" w:space="0" w:color="auto"/>
              <w:right w:val="single" w:sz="4" w:space="0" w:color="auto"/>
            </w:tcBorders>
            <w:noWrap/>
            <w:vAlign w:val="bottom"/>
            <w:hideMark/>
          </w:tcPr>
          <w:p w14:paraId="5BA7901E"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200</w:t>
            </w:r>
          </w:p>
        </w:tc>
        <w:tc>
          <w:tcPr>
            <w:tcW w:w="957" w:type="pct"/>
            <w:tcBorders>
              <w:top w:val="nil"/>
              <w:left w:val="nil"/>
              <w:bottom w:val="single" w:sz="4" w:space="0" w:color="auto"/>
              <w:right w:val="single" w:sz="4" w:space="0" w:color="auto"/>
            </w:tcBorders>
            <w:noWrap/>
            <w:vAlign w:val="bottom"/>
            <w:hideMark/>
          </w:tcPr>
          <w:p w14:paraId="4650B01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200</w:t>
            </w:r>
          </w:p>
        </w:tc>
        <w:tc>
          <w:tcPr>
            <w:tcW w:w="656" w:type="pct"/>
            <w:tcBorders>
              <w:top w:val="nil"/>
              <w:left w:val="nil"/>
              <w:bottom w:val="single" w:sz="4" w:space="0" w:color="auto"/>
              <w:right w:val="single" w:sz="4" w:space="0" w:color="auto"/>
            </w:tcBorders>
            <w:noWrap/>
            <w:vAlign w:val="bottom"/>
            <w:hideMark/>
          </w:tcPr>
          <w:p w14:paraId="207FDFA9"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200</w:t>
            </w:r>
          </w:p>
        </w:tc>
      </w:tr>
      <w:tr w:rsidR="00FC5524" w:rsidRPr="00FC5524" w14:paraId="18B5A3C1"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6C91E329"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Net profit before tax</w:t>
            </w:r>
          </w:p>
        </w:tc>
        <w:tc>
          <w:tcPr>
            <w:tcW w:w="656" w:type="pct"/>
            <w:tcBorders>
              <w:top w:val="nil"/>
              <w:left w:val="nil"/>
              <w:bottom w:val="single" w:sz="4" w:space="0" w:color="auto"/>
              <w:right w:val="single" w:sz="4" w:space="0" w:color="auto"/>
            </w:tcBorders>
            <w:noWrap/>
            <w:vAlign w:val="bottom"/>
            <w:hideMark/>
          </w:tcPr>
          <w:p w14:paraId="33C48E29"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200</w:t>
            </w:r>
          </w:p>
        </w:tc>
        <w:tc>
          <w:tcPr>
            <w:tcW w:w="957" w:type="pct"/>
            <w:tcBorders>
              <w:top w:val="nil"/>
              <w:left w:val="nil"/>
              <w:bottom w:val="single" w:sz="4" w:space="0" w:color="auto"/>
              <w:right w:val="single" w:sz="4" w:space="0" w:color="auto"/>
            </w:tcBorders>
            <w:noWrap/>
            <w:vAlign w:val="bottom"/>
            <w:hideMark/>
          </w:tcPr>
          <w:p w14:paraId="168E94E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250</w:t>
            </w:r>
          </w:p>
        </w:tc>
        <w:tc>
          <w:tcPr>
            <w:tcW w:w="957" w:type="pct"/>
            <w:tcBorders>
              <w:top w:val="nil"/>
              <w:left w:val="nil"/>
              <w:bottom w:val="single" w:sz="4" w:space="0" w:color="auto"/>
              <w:right w:val="single" w:sz="4" w:space="0" w:color="auto"/>
            </w:tcBorders>
            <w:noWrap/>
            <w:vAlign w:val="bottom"/>
            <w:hideMark/>
          </w:tcPr>
          <w:p w14:paraId="76F281B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450</w:t>
            </w:r>
          </w:p>
        </w:tc>
        <w:tc>
          <w:tcPr>
            <w:tcW w:w="656" w:type="pct"/>
            <w:tcBorders>
              <w:top w:val="nil"/>
              <w:left w:val="nil"/>
              <w:bottom w:val="single" w:sz="4" w:space="0" w:color="auto"/>
              <w:right w:val="single" w:sz="4" w:space="0" w:color="auto"/>
            </w:tcBorders>
            <w:noWrap/>
            <w:vAlign w:val="bottom"/>
            <w:hideMark/>
          </w:tcPr>
          <w:p w14:paraId="5066F444"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780</w:t>
            </w:r>
          </w:p>
        </w:tc>
      </w:tr>
      <w:tr w:rsidR="00FC5524" w:rsidRPr="00FC5524" w14:paraId="69ECED93"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0B57EEC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Less: Corporation tax</w:t>
            </w:r>
          </w:p>
        </w:tc>
        <w:tc>
          <w:tcPr>
            <w:tcW w:w="656" w:type="pct"/>
            <w:tcBorders>
              <w:top w:val="nil"/>
              <w:left w:val="nil"/>
              <w:bottom w:val="single" w:sz="4" w:space="0" w:color="auto"/>
              <w:right w:val="single" w:sz="4" w:space="0" w:color="auto"/>
            </w:tcBorders>
            <w:noWrap/>
            <w:vAlign w:val="bottom"/>
            <w:hideMark/>
          </w:tcPr>
          <w:p w14:paraId="4770A6C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50</w:t>
            </w:r>
          </w:p>
        </w:tc>
        <w:tc>
          <w:tcPr>
            <w:tcW w:w="957" w:type="pct"/>
            <w:tcBorders>
              <w:top w:val="nil"/>
              <w:left w:val="nil"/>
              <w:bottom w:val="single" w:sz="4" w:space="0" w:color="auto"/>
              <w:right w:val="single" w:sz="4" w:space="0" w:color="auto"/>
            </w:tcBorders>
            <w:noWrap/>
            <w:vAlign w:val="bottom"/>
            <w:hideMark/>
          </w:tcPr>
          <w:p w14:paraId="47BA1F1E"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62.5</w:t>
            </w:r>
          </w:p>
        </w:tc>
        <w:tc>
          <w:tcPr>
            <w:tcW w:w="957" w:type="pct"/>
            <w:tcBorders>
              <w:top w:val="nil"/>
              <w:left w:val="nil"/>
              <w:bottom w:val="single" w:sz="4" w:space="0" w:color="auto"/>
              <w:right w:val="single" w:sz="4" w:space="0" w:color="auto"/>
            </w:tcBorders>
            <w:noWrap/>
            <w:vAlign w:val="bottom"/>
            <w:hideMark/>
          </w:tcPr>
          <w:p w14:paraId="4A48960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112.5</w:t>
            </w:r>
          </w:p>
        </w:tc>
        <w:tc>
          <w:tcPr>
            <w:tcW w:w="656" w:type="pct"/>
            <w:tcBorders>
              <w:top w:val="nil"/>
              <w:left w:val="nil"/>
              <w:bottom w:val="single" w:sz="4" w:space="0" w:color="auto"/>
              <w:right w:val="single" w:sz="4" w:space="0" w:color="auto"/>
            </w:tcBorders>
            <w:noWrap/>
            <w:vAlign w:val="bottom"/>
            <w:hideMark/>
          </w:tcPr>
          <w:p w14:paraId="5DB0FD29"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195</w:t>
            </w:r>
          </w:p>
        </w:tc>
      </w:tr>
      <w:tr w:rsidR="00FC5524" w:rsidRPr="00FC5524" w14:paraId="353CF5A7"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41631EE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Net Profit after tax</w:t>
            </w:r>
          </w:p>
        </w:tc>
        <w:tc>
          <w:tcPr>
            <w:tcW w:w="656" w:type="pct"/>
            <w:tcBorders>
              <w:top w:val="nil"/>
              <w:left w:val="nil"/>
              <w:bottom w:val="single" w:sz="4" w:space="0" w:color="auto"/>
              <w:right w:val="single" w:sz="4" w:space="0" w:color="auto"/>
            </w:tcBorders>
            <w:noWrap/>
            <w:vAlign w:val="bottom"/>
            <w:hideMark/>
          </w:tcPr>
          <w:p w14:paraId="12A48EF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150</w:t>
            </w:r>
          </w:p>
        </w:tc>
        <w:tc>
          <w:tcPr>
            <w:tcW w:w="957" w:type="pct"/>
            <w:tcBorders>
              <w:top w:val="nil"/>
              <w:left w:val="nil"/>
              <w:bottom w:val="single" w:sz="4" w:space="0" w:color="auto"/>
              <w:right w:val="single" w:sz="4" w:space="0" w:color="auto"/>
            </w:tcBorders>
            <w:noWrap/>
            <w:vAlign w:val="bottom"/>
            <w:hideMark/>
          </w:tcPr>
          <w:p w14:paraId="4E0D1216"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187.5</w:t>
            </w:r>
          </w:p>
        </w:tc>
        <w:tc>
          <w:tcPr>
            <w:tcW w:w="957" w:type="pct"/>
            <w:tcBorders>
              <w:top w:val="nil"/>
              <w:left w:val="nil"/>
              <w:bottom w:val="single" w:sz="4" w:space="0" w:color="auto"/>
              <w:right w:val="single" w:sz="4" w:space="0" w:color="auto"/>
            </w:tcBorders>
            <w:noWrap/>
            <w:vAlign w:val="bottom"/>
            <w:hideMark/>
          </w:tcPr>
          <w:p w14:paraId="667BC1F6"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337.5</w:t>
            </w:r>
          </w:p>
        </w:tc>
        <w:tc>
          <w:tcPr>
            <w:tcW w:w="656" w:type="pct"/>
            <w:tcBorders>
              <w:top w:val="nil"/>
              <w:left w:val="nil"/>
              <w:bottom w:val="single" w:sz="4" w:space="0" w:color="auto"/>
              <w:right w:val="single" w:sz="4" w:space="0" w:color="auto"/>
            </w:tcBorders>
            <w:noWrap/>
            <w:vAlign w:val="bottom"/>
            <w:hideMark/>
          </w:tcPr>
          <w:p w14:paraId="34CCF0C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585</w:t>
            </w:r>
          </w:p>
        </w:tc>
      </w:tr>
      <w:tr w:rsidR="00FC5524" w:rsidRPr="00FC5524" w14:paraId="355A9CA9"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7EA8E3D4"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Add back: Depreciation</w:t>
            </w:r>
          </w:p>
        </w:tc>
        <w:tc>
          <w:tcPr>
            <w:tcW w:w="656" w:type="pct"/>
            <w:tcBorders>
              <w:top w:val="nil"/>
              <w:left w:val="nil"/>
              <w:bottom w:val="single" w:sz="4" w:space="0" w:color="auto"/>
              <w:right w:val="single" w:sz="4" w:space="0" w:color="auto"/>
            </w:tcBorders>
            <w:noWrap/>
            <w:vAlign w:val="bottom"/>
            <w:hideMark/>
          </w:tcPr>
          <w:p w14:paraId="303925E4"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200</w:t>
            </w:r>
          </w:p>
        </w:tc>
        <w:tc>
          <w:tcPr>
            <w:tcW w:w="957" w:type="pct"/>
            <w:tcBorders>
              <w:top w:val="nil"/>
              <w:left w:val="nil"/>
              <w:bottom w:val="single" w:sz="4" w:space="0" w:color="auto"/>
              <w:right w:val="single" w:sz="4" w:space="0" w:color="auto"/>
            </w:tcBorders>
            <w:noWrap/>
            <w:vAlign w:val="bottom"/>
            <w:hideMark/>
          </w:tcPr>
          <w:p w14:paraId="1B6F68A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200</w:t>
            </w:r>
          </w:p>
        </w:tc>
        <w:tc>
          <w:tcPr>
            <w:tcW w:w="957" w:type="pct"/>
            <w:tcBorders>
              <w:top w:val="nil"/>
              <w:left w:val="nil"/>
              <w:bottom w:val="single" w:sz="4" w:space="0" w:color="auto"/>
              <w:right w:val="single" w:sz="4" w:space="0" w:color="auto"/>
            </w:tcBorders>
            <w:noWrap/>
            <w:vAlign w:val="bottom"/>
            <w:hideMark/>
          </w:tcPr>
          <w:p w14:paraId="1C0DC94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200</w:t>
            </w:r>
          </w:p>
        </w:tc>
        <w:tc>
          <w:tcPr>
            <w:tcW w:w="656" w:type="pct"/>
            <w:tcBorders>
              <w:top w:val="nil"/>
              <w:left w:val="nil"/>
              <w:bottom w:val="single" w:sz="4" w:space="0" w:color="auto"/>
              <w:right w:val="single" w:sz="4" w:space="0" w:color="auto"/>
            </w:tcBorders>
            <w:noWrap/>
            <w:vAlign w:val="bottom"/>
            <w:hideMark/>
          </w:tcPr>
          <w:p w14:paraId="57F03629"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200</w:t>
            </w:r>
          </w:p>
        </w:tc>
      </w:tr>
      <w:tr w:rsidR="00FC5524" w:rsidRPr="00FC5524" w14:paraId="439C5673"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7038CA1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Net cash flows</w:t>
            </w:r>
          </w:p>
        </w:tc>
        <w:tc>
          <w:tcPr>
            <w:tcW w:w="656" w:type="pct"/>
            <w:tcBorders>
              <w:top w:val="nil"/>
              <w:left w:val="nil"/>
              <w:bottom w:val="single" w:sz="4" w:space="0" w:color="auto"/>
              <w:right w:val="single" w:sz="4" w:space="0" w:color="auto"/>
            </w:tcBorders>
            <w:noWrap/>
            <w:vAlign w:val="bottom"/>
            <w:hideMark/>
          </w:tcPr>
          <w:p w14:paraId="4DADFE9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350</w:t>
            </w:r>
          </w:p>
        </w:tc>
        <w:tc>
          <w:tcPr>
            <w:tcW w:w="957" w:type="pct"/>
            <w:tcBorders>
              <w:top w:val="nil"/>
              <w:left w:val="nil"/>
              <w:bottom w:val="single" w:sz="4" w:space="0" w:color="auto"/>
              <w:right w:val="single" w:sz="4" w:space="0" w:color="auto"/>
            </w:tcBorders>
            <w:noWrap/>
            <w:vAlign w:val="bottom"/>
            <w:hideMark/>
          </w:tcPr>
          <w:p w14:paraId="270CDB1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387.5</w:t>
            </w:r>
          </w:p>
        </w:tc>
        <w:tc>
          <w:tcPr>
            <w:tcW w:w="957" w:type="pct"/>
            <w:tcBorders>
              <w:top w:val="nil"/>
              <w:left w:val="nil"/>
              <w:bottom w:val="single" w:sz="4" w:space="0" w:color="auto"/>
              <w:right w:val="single" w:sz="4" w:space="0" w:color="auto"/>
            </w:tcBorders>
            <w:noWrap/>
            <w:vAlign w:val="bottom"/>
            <w:hideMark/>
          </w:tcPr>
          <w:p w14:paraId="333D10D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537.5</w:t>
            </w:r>
          </w:p>
        </w:tc>
        <w:tc>
          <w:tcPr>
            <w:tcW w:w="656" w:type="pct"/>
            <w:tcBorders>
              <w:top w:val="nil"/>
              <w:left w:val="nil"/>
              <w:bottom w:val="single" w:sz="4" w:space="0" w:color="auto"/>
              <w:right w:val="single" w:sz="4" w:space="0" w:color="auto"/>
            </w:tcBorders>
            <w:noWrap/>
            <w:vAlign w:val="bottom"/>
            <w:hideMark/>
          </w:tcPr>
          <w:p w14:paraId="48BADC2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785</w:t>
            </w:r>
          </w:p>
        </w:tc>
      </w:tr>
    </w:tbl>
    <w:p w14:paraId="5FAD5FE7"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 </w:t>
      </w:r>
    </w:p>
    <w:p w14:paraId="194510DD"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Calculation of the discounted cash flow for the stated model</w:t>
      </w:r>
    </w:p>
    <w:tbl>
      <w:tblPr>
        <w:tblW w:w="5000" w:type="pct"/>
        <w:tblLook w:val="04A0" w:firstRow="1" w:lastRow="0" w:firstColumn="1" w:lastColumn="0" w:noHBand="0" w:noVBand="1"/>
      </w:tblPr>
      <w:tblGrid>
        <w:gridCol w:w="896"/>
        <w:gridCol w:w="2506"/>
        <w:gridCol w:w="1367"/>
        <w:gridCol w:w="4247"/>
      </w:tblGrid>
      <w:tr w:rsidR="00FC5524" w:rsidRPr="00FC5524" w14:paraId="0A11AC03" w14:textId="77777777" w:rsidTr="00FC5524">
        <w:trPr>
          <w:trHeight w:val="300"/>
        </w:trPr>
        <w:tc>
          <w:tcPr>
            <w:tcW w:w="497" w:type="pct"/>
            <w:tcBorders>
              <w:top w:val="single" w:sz="4" w:space="0" w:color="auto"/>
              <w:left w:val="single" w:sz="4" w:space="0" w:color="auto"/>
              <w:bottom w:val="single" w:sz="4" w:space="0" w:color="auto"/>
              <w:right w:val="single" w:sz="4" w:space="0" w:color="auto"/>
            </w:tcBorders>
            <w:shd w:val="clear" w:color="auto" w:fill="DDD9C3"/>
            <w:noWrap/>
            <w:vAlign w:val="bottom"/>
            <w:hideMark/>
          </w:tcPr>
          <w:p w14:paraId="09A4B00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Year</w:t>
            </w:r>
          </w:p>
        </w:tc>
        <w:tc>
          <w:tcPr>
            <w:tcW w:w="1390" w:type="pct"/>
            <w:tcBorders>
              <w:top w:val="single" w:sz="4" w:space="0" w:color="auto"/>
              <w:left w:val="nil"/>
              <w:bottom w:val="single" w:sz="4" w:space="0" w:color="auto"/>
              <w:right w:val="single" w:sz="4" w:space="0" w:color="auto"/>
            </w:tcBorders>
            <w:shd w:val="clear" w:color="auto" w:fill="DDD9C3"/>
            <w:noWrap/>
            <w:vAlign w:val="bottom"/>
            <w:hideMark/>
          </w:tcPr>
          <w:p w14:paraId="0E00AEF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Cash flows £’000</w:t>
            </w:r>
          </w:p>
        </w:tc>
        <w:tc>
          <w:tcPr>
            <w:tcW w:w="758" w:type="pct"/>
            <w:tcBorders>
              <w:top w:val="single" w:sz="4" w:space="0" w:color="auto"/>
              <w:left w:val="nil"/>
              <w:bottom w:val="single" w:sz="4" w:space="0" w:color="auto"/>
              <w:right w:val="single" w:sz="4" w:space="0" w:color="auto"/>
            </w:tcBorders>
            <w:shd w:val="clear" w:color="auto" w:fill="DDD9C3"/>
            <w:noWrap/>
            <w:vAlign w:val="bottom"/>
            <w:hideMark/>
          </w:tcPr>
          <w:p w14:paraId="4B441D34"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FF"/>
                <w:kern w:val="0"/>
                <w:u w:val="single"/>
                <w:lang w:eastAsia="en-GB"/>
                <w14:ligatures w14:val="none"/>
              </w:rPr>
            </w:pPr>
            <w:hyperlink r:id="rId47" w:history="1">
              <w:r w:rsidRPr="00FC5524">
                <w:rPr>
                  <w:rFonts w:ascii="Calibri" w:eastAsia="Times New Roman" w:hAnsi="Calibri" w:cs="Times New Roman"/>
                  <w:color w:val="0000FF"/>
                  <w:kern w:val="0"/>
                  <w:sz w:val="22"/>
                  <w:szCs w:val="22"/>
                  <w:u w:val="single"/>
                  <w:lang w:eastAsia="en-GB"/>
                  <w14:ligatures w14:val="none"/>
                </w:rPr>
                <w:t>DR@6%</w:t>
              </w:r>
            </w:hyperlink>
          </w:p>
        </w:tc>
        <w:tc>
          <w:tcPr>
            <w:tcW w:w="2355" w:type="pct"/>
            <w:tcBorders>
              <w:top w:val="single" w:sz="4" w:space="0" w:color="auto"/>
              <w:left w:val="nil"/>
              <w:bottom w:val="single" w:sz="4" w:space="0" w:color="auto"/>
              <w:right w:val="single" w:sz="4" w:space="0" w:color="auto"/>
            </w:tcBorders>
            <w:shd w:val="clear" w:color="auto" w:fill="DDD9C3"/>
            <w:noWrap/>
            <w:vAlign w:val="bottom"/>
            <w:hideMark/>
          </w:tcPr>
          <w:p w14:paraId="0F2142F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Discounted Cash Flows (£'000)</w:t>
            </w:r>
          </w:p>
        </w:tc>
      </w:tr>
      <w:tr w:rsidR="00FC5524" w:rsidRPr="00FC5524" w14:paraId="714FDB37" w14:textId="77777777" w:rsidTr="00FC5524">
        <w:trPr>
          <w:trHeight w:val="300"/>
        </w:trPr>
        <w:tc>
          <w:tcPr>
            <w:tcW w:w="497" w:type="pct"/>
            <w:tcBorders>
              <w:top w:val="nil"/>
              <w:left w:val="single" w:sz="4" w:space="0" w:color="auto"/>
              <w:bottom w:val="single" w:sz="4" w:space="0" w:color="auto"/>
              <w:right w:val="single" w:sz="4" w:space="0" w:color="auto"/>
            </w:tcBorders>
            <w:noWrap/>
            <w:vAlign w:val="bottom"/>
            <w:hideMark/>
          </w:tcPr>
          <w:p w14:paraId="630092C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w:t>
            </w:r>
          </w:p>
        </w:tc>
        <w:tc>
          <w:tcPr>
            <w:tcW w:w="1390" w:type="pct"/>
            <w:tcBorders>
              <w:top w:val="nil"/>
              <w:left w:val="nil"/>
              <w:bottom w:val="single" w:sz="4" w:space="0" w:color="auto"/>
              <w:right w:val="single" w:sz="4" w:space="0" w:color="auto"/>
            </w:tcBorders>
            <w:noWrap/>
            <w:vAlign w:val="bottom"/>
            <w:hideMark/>
          </w:tcPr>
          <w:p w14:paraId="280AE1A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-1000</w:t>
            </w:r>
          </w:p>
        </w:tc>
        <w:tc>
          <w:tcPr>
            <w:tcW w:w="758" w:type="pct"/>
            <w:tcBorders>
              <w:top w:val="nil"/>
              <w:left w:val="nil"/>
              <w:bottom w:val="single" w:sz="4" w:space="0" w:color="auto"/>
              <w:right w:val="single" w:sz="4" w:space="0" w:color="auto"/>
            </w:tcBorders>
            <w:noWrap/>
            <w:vAlign w:val="bottom"/>
            <w:hideMark/>
          </w:tcPr>
          <w:p w14:paraId="447EF6C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w:t>
            </w:r>
          </w:p>
        </w:tc>
        <w:tc>
          <w:tcPr>
            <w:tcW w:w="2355" w:type="pct"/>
            <w:tcBorders>
              <w:top w:val="nil"/>
              <w:left w:val="nil"/>
              <w:bottom w:val="single" w:sz="4" w:space="0" w:color="auto"/>
              <w:right w:val="single" w:sz="4" w:space="0" w:color="auto"/>
            </w:tcBorders>
            <w:noWrap/>
            <w:vAlign w:val="bottom"/>
            <w:hideMark/>
          </w:tcPr>
          <w:p w14:paraId="55CE95A6"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-1000</w:t>
            </w:r>
          </w:p>
        </w:tc>
      </w:tr>
      <w:tr w:rsidR="00FC5524" w:rsidRPr="00FC5524" w14:paraId="0D11955F" w14:textId="77777777" w:rsidTr="00FC5524">
        <w:trPr>
          <w:trHeight w:val="300"/>
        </w:trPr>
        <w:tc>
          <w:tcPr>
            <w:tcW w:w="497" w:type="pct"/>
            <w:tcBorders>
              <w:top w:val="nil"/>
              <w:left w:val="single" w:sz="4" w:space="0" w:color="auto"/>
              <w:bottom w:val="single" w:sz="4" w:space="0" w:color="auto"/>
              <w:right w:val="single" w:sz="4" w:space="0" w:color="auto"/>
            </w:tcBorders>
            <w:noWrap/>
            <w:vAlign w:val="bottom"/>
            <w:hideMark/>
          </w:tcPr>
          <w:p w14:paraId="1F99CBF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w:t>
            </w:r>
          </w:p>
        </w:tc>
        <w:tc>
          <w:tcPr>
            <w:tcW w:w="1390" w:type="pct"/>
            <w:tcBorders>
              <w:top w:val="nil"/>
              <w:left w:val="nil"/>
              <w:bottom w:val="single" w:sz="4" w:space="0" w:color="auto"/>
              <w:right w:val="single" w:sz="4" w:space="0" w:color="auto"/>
            </w:tcBorders>
            <w:noWrap/>
            <w:vAlign w:val="bottom"/>
            <w:hideMark/>
          </w:tcPr>
          <w:p w14:paraId="6A3357E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350</w:t>
            </w:r>
          </w:p>
        </w:tc>
        <w:tc>
          <w:tcPr>
            <w:tcW w:w="758" w:type="pct"/>
            <w:tcBorders>
              <w:top w:val="nil"/>
              <w:left w:val="nil"/>
              <w:bottom w:val="single" w:sz="4" w:space="0" w:color="auto"/>
              <w:right w:val="single" w:sz="4" w:space="0" w:color="auto"/>
            </w:tcBorders>
            <w:noWrap/>
            <w:vAlign w:val="bottom"/>
            <w:hideMark/>
          </w:tcPr>
          <w:p w14:paraId="4EBF9B6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0.943</w:t>
            </w:r>
          </w:p>
        </w:tc>
        <w:tc>
          <w:tcPr>
            <w:tcW w:w="2355" w:type="pct"/>
            <w:tcBorders>
              <w:top w:val="nil"/>
              <w:left w:val="nil"/>
              <w:bottom w:val="single" w:sz="4" w:space="0" w:color="auto"/>
              <w:right w:val="single" w:sz="4" w:space="0" w:color="auto"/>
            </w:tcBorders>
            <w:noWrap/>
            <w:vAlign w:val="bottom"/>
            <w:hideMark/>
          </w:tcPr>
          <w:p w14:paraId="27B95C2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330.19</w:t>
            </w:r>
          </w:p>
        </w:tc>
      </w:tr>
      <w:tr w:rsidR="00FC5524" w:rsidRPr="00FC5524" w14:paraId="507D5E99" w14:textId="77777777" w:rsidTr="00FC5524">
        <w:trPr>
          <w:trHeight w:val="300"/>
        </w:trPr>
        <w:tc>
          <w:tcPr>
            <w:tcW w:w="497" w:type="pct"/>
            <w:tcBorders>
              <w:top w:val="nil"/>
              <w:left w:val="single" w:sz="4" w:space="0" w:color="auto"/>
              <w:bottom w:val="single" w:sz="4" w:space="0" w:color="auto"/>
              <w:right w:val="single" w:sz="4" w:space="0" w:color="auto"/>
            </w:tcBorders>
            <w:noWrap/>
            <w:vAlign w:val="bottom"/>
            <w:hideMark/>
          </w:tcPr>
          <w:p w14:paraId="769C166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w:t>
            </w:r>
          </w:p>
        </w:tc>
        <w:tc>
          <w:tcPr>
            <w:tcW w:w="1390" w:type="pct"/>
            <w:tcBorders>
              <w:top w:val="nil"/>
              <w:left w:val="nil"/>
              <w:bottom w:val="single" w:sz="4" w:space="0" w:color="auto"/>
              <w:right w:val="single" w:sz="4" w:space="0" w:color="auto"/>
            </w:tcBorders>
            <w:noWrap/>
            <w:vAlign w:val="bottom"/>
            <w:hideMark/>
          </w:tcPr>
          <w:p w14:paraId="5D13824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387.5</w:t>
            </w:r>
          </w:p>
        </w:tc>
        <w:tc>
          <w:tcPr>
            <w:tcW w:w="758" w:type="pct"/>
            <w:tcBorders>
              <w:top w:val="nil"/>
              <w:left w:val="nil"/>
              <w:bottom w:val="single" w:sz="4" w:space="0" w:color="auto"/>
              <w:right w:val="single" w:sz="4" w:space="0" w:color="auto"/>
            </w:tcBorders>
            <w:noWrap/>
            <w:vAlign w:val="bottom"/>
            <w:hideMark/>
          </w:tcPr>
          <w:p w14:paraId="507974C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0.890</w:t>
            </w:r>
          </w:p>
        </w:tc>
        <w:tc>
          <w:tcPr>
            <w:tcW w:w="2355" w:type="pct"/>
            <w:tcBorders>
              <w:top w:val="nil"/>
              <w:left w:val="nil"/>
              <w:bottom w:val="single" w:sz="4" w:space="0" w:color="auto"/>
              <w:right w:val="single" w:sz="4" w:space="0" w:color="auto"/>
            </w:tcBorders>
            <w:noWrap/>
            <w:vAlign w:val="bottom"/>
            <w:hideMark/>
          </w:tcPr>
          <w:p w14:paraId="5E8286E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344.87</w:t>
            </w:r>
          </w:p>
        </w:tc>
      </w:tr>
      <w:tr w:rsidR="00FC5524" w:rsidRPr="00FC5524" w14:paraId="2A3F1E54" w14:textId="77777777" w:rsidTr="00FC5524">
        <w:trPr>
          <w:trHeight w:val="300"/>
        </w:trPr>
        <w:tc>
          <w:tcPr>
            <w:tcW w:w="497" w:type="pct"/>
            <w:tcBorders>
              <w:top w:val="nil"/>
              <w:left w:val="single" w:sz="4" w:space="0" w:color="auto"/>
              <w:bottom w:val="single" w:sz="4" w:space="0" w:color="auto"/>
              <w:right w:val="single" w:sz="4" w:space="0" w:color="auto"/>
            </w:tcBorders>
            <w:noWrap/>
            <w:vAlign w:val="bottom"/>
            <w:hideMark/>
          </w:tcPr>
          <w:p w14:paraId="74A2ECE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w:t>
            </w:r>
          </w:p>
        </w:tc>
        <w:tc>
          <w:tcPr>
            <w:tcW w:w="1390" w:type="pct"/>
            <w:tcBorders>
              <w:top w:val="nil"/>
              <w:left w:val="nil"/>
              <w:bottom w:val="single" w:sz="4" w:space="0" w:color="auto"/>
              <w:right w:val="single" w:sz="4" w:space="0" w:color="auto"/>
            </w:tcBorders>
            <w:noWrap/>
            <w:vAlign w:val="bottom"/>
            <w:hideMark/>
          </w:tcPr>
          <w:p w14:paraId="2966FAD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537.5</w:t>
            </w:r>
          </w:p>
        </w:tc>
        <w:tc>
          <w:tcPr>
            <w:tcW w:w="758" w:type="pct"/>
            <w:tcBorders>
              <w:top w:val="nil"/>
              <w:left w:val="nil"/>
              <w:bottom w:val="single" w:sz="4" w:space="0" w:color="auto"/>
              <w:right w:val="single" w:sz="4" w:space="0" w:color="auto"/>
            </w:tcBorders>
            <w:noWrap/>
            <w:vAlign w:val="bottom"/>
            <w:hideMark/>
          </w:tcPr>
          <w:p w14:paraId="6EB0CD8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0.840</w:t>
            </w:r>
          </w:p>
        </w:tc>
        <w:tc>
          <w:tcPr>
            <w:tcW w:w="2355" w:type="pct"/>
            <w:tcBorders>
              <w:top w:val="nil"/>
              <w:left w:val="nil"/>
              <w:bottom w:val="single" w:sz="4" w:space="0" w:color="auto"/>
              <w:right w:val="single" w:sz="4" w:space="0" w:color="auto"/>
            </w:tcBorders>
            <w:noWrap/>
            <w:vAlign w:val="bottom"/>
            <w:hideMark/>
          </w:tcPr>
          <w:p w14:paraId="0FC8ED2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451.30</w:t>
            </w:r>
          </w:p>
        </w:tc>
      </w:tr>
      <w:tr w:rsidR="00FC5524" w:rsidRPr="00FC5524" w14:paraId="1021FDE5" w14:textId="77777777" w:rsidTr="00FC5524">
        <w:trPr>
          <w:trHeight w:val="300"/>
        </w:trPr>
        <w:tc>
          <w:tcPr>
            <w:tcW w:w="497" w:type="pct"/>
            <w:tcBorders>
              <w:top w:val="nil"/>
              <w:left w:val="single" w:sz="4" w:space="0" w:color="auto"/>
              <w:bottom w:val="single" w:sz="4" w:space="0" w:color="auto"/>
              <w:right w:val="single" w:sz="4" w:space="0" w:color="auto"/>
            </w:tcBorders>
            <w:noWrap/>
            <w:vAlign w:val="bottom"/>
            <w:hideMark/>
          </w:tcPr>
          <w:p w14:paraId="527B4D96"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w:t>
            </w:r>
          </w:p>
        </w:tc>
        <w:tc>
          <w:tcPr>
            <w:tcW w:w="1390" w:type="pct"/>
            <w:tcBorders>
              <w:top w:val="nil"/>
              <w:left w:val="nil"/>
              <w:bottom w:val="single" w:sz="4" w:space="0" w:color="auto"/>
              <w:right w:val="single" w:sz="4" w:space="0" w:color="auto"/>
            </w:tcBorders>
            <w:noWrap/>
            <w:vAlign w:val="bottom"/>
            <w:hideMark/>
          </w:tcPr>
          <w:p w14:paraId="5F5C61D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785</w:t>
            </w:r>
          </w:p>
        </w:tc>
        <w:tc>
          <w:tcPr>
            <w:tcW w:w="758" w:type="pct"/>
            <w:tcBorders>
              <w:top w:val="nil"/>
              <w:left w:val="nil"/>
              <w:bottom w:val="single" w:sz="4" w:space="0" w:color="auto"/>
              <w:right w:val="single" w:sz="4" w:space="0" w:color="auto"/>
            </w:tcBorders>
            <w:noWrap/>
            <w:vAlign w:val="bottom"/>
            <w:hideMark/>
          </w:tcPr>
          <w:p w14:paraId="7623241D"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0.792</w:t>
            </w:r>
          </w:p>
        </w:tc>
        <w:tc>
          <w:tcPr>
            <w:tcW w:w="2355" w:type="pct"/>
            <w:tcBorders>
              <w:top w:val="nil"/>
              <w:left w:val="nil"/>
              <w:bottom w:val="single" w:sz="4" w:space="0" w:color="auto"/>
              <w:right w:val="single" w:sz="4" w:space="0" w:color="auto"/>
            </w:tcBorders>
            <w:noWrap/>
            <w:vAlign w:val="bottom"/>
            <w:hideMark/>
          </w:tcPr>
          <w:p w14:paraId="3D2D5BA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621.79</w:t>
            </w:r>
          </w:p>
        </w:tc>
      </w:tr>
      <w:tr w:rsidR="00FC5524" w:rsidRPr="00FC5524" w14:paraId="2356A013" w14:textId="77777777" w:rsidTr="00FC5524">
        <w:trPr>
          <w:trHeight w:val="300"/>
        </w:trPr>
        <w:tc>
          <w:tcPr>
            <w:tcW w:w="2645" w:type="pct"/>
            <w:gridSpan w:val="3"/>
            <w:tcBorders>
              <w:top w:val="single" w:sz="4" w:space="0" w:color="auto"/>
              <w:left w:val="single" w:sz="4" w:space="0" w:color="auto"/>
              <w:bottom w:val="single" w:sz="4" w:space="0" w:color="auto"/>
              <w:right w:val="single" w:sz="4" w:space="0" w:color="auto"/>
            </w:tcBorders>
            <w:noWrap/>
            <w:vAlign w:val="bottom"/>
            <w:hideMark/>
          </w:tcPr>
          <w:p w14:paraId="0316071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NPV</w:t>
            </w:r>
          </w:p>
        </w:tc>
        <w:tc>
          <w:tcPr>
            <w:tcW w:w="2355" w:type="pct"/>
            <w:tcBorders>
              <w:top w:val="nil"/>
              <w:left w:val="nil"/>
              <w:bottom w:val="single" w:sz="4" w:space="0" w:color="auto"/>
              <w:right w:val="single" w:sz="4" w:space="0" w:color="auto"/>
            </w:tcBorders>
            <w:noWrap/>
            <w:vAlign w:val="bottom"/>
            <w:hideMark/>
          </w:tcPr>
          <w:p w14:paraId="7F19FEF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748.15</w:t>
            </w:r>
          </w:p>
        </w:tc>
      </w:tr>
    </w:tbl>
    <w:p w14:paraId="4D47C3C1"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 </w:t>
      </w:r>
    </w:p>
    <w:p w14:paraId="552DAE8F" w14:textId="77777777" w:rsidR="00FC5524" w:rsidRPr="00FC5524" w:rsidRDefault="00FC5524" w:rsidP="00FC5524">
      <w:pPr>
        <w:keepNext/>
        <w:keepLines/>
        <w:widowControl w:val="0"/>
        <w:spacing w:before="200" w:after="0" w:line="360" w:lineRule="auto"/>
        <w:outlineLvl w:val="2"/>
        <w:rPr>
          <w:rFonts w:ascii="Times New Roman" w:eastAsia="SimSun" w:hAnsi="Times New Roman" w:cs="Times New Roman"/>
          <w:b/>
          <w:bCs/>
          <w:kern w:val="0"/>
          <w:u w:val="single"/>
          <w:lang w:eastAsia="en-GB"/>
          <w14:ligatures w14:val="none"/>
        </w:rPr>
      </w:pPr>
      <w:bookmarkStart w:id="16" w:name="_Toc203756911"/>
      <w:bookmarkEnd w:id="16"/>
      <w:r w:rsidRPr="00FC5524">
        <w:rPr>
          <w:rFonts w:ascii="Times New Roman" w:eastAsia="SimSun" w:hAnsi="Times New Roman" w:cs="Times New Roman"/>
          <w:b/>
          <w:bCs/>
          <w:kern w:val="0"/>
          <w:u w:val="single"/>
          <w:lang w:eastAsia="en-GB"/>
          <w14:ligatures w14:val="none"/>
        </w:rPr>
        <w:lastRenderedPageBreak/>
        <w:t>Model C: Production of Curtains and Roman Blinds</w:t>
      </w:r>
    </w:p>
    <w:p w14:paraId="548E8FEC"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The capital allowance for this model is £1,600,000</w:t>
      </w:r>
    </w:p>
    <w:p w14:paraId="7C3420C1"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Calculation of Net profit after tax and net cash flow for the stated model</w:t>
      </w:r>
    </w:p>
    <w:tbl>
      <w:tblPr>
        <w:tblW w:w="5000" w:type="pct"/>
        <w:tblLook w:val="04A0" w:firstRow="1" w:lastRow="0" w:firstColumn="1" w:lastColumn="0" w:noHBand="0" w:noVBand="1"/>
      </w:tblPr>
      <w:tblGrid>
        <w:gridCol w:w="3200"/>
        <w:gridCol w:w="1221"/>
        <w:gridCol w:w="1221"/>
        <w:gridCol w:w="1780"/>
        <w:gridCol w:w="1594"/>
      </w:tblGrid>
      <w:tr w:rsidR="00FC5524" w:rsidRPr="00FC5524" w14:paraId="4F93BDDB" w14:textId="77777777" w:rsidTr="00FC5524">
        <w:trPr>
          <w:trHeight w:val="300"/>
        </w:trPr>
        <w:tc>
          <w:tcPr>
            <w:tcW w:w="1775" w:type="pct"/>
            <w:tcBorders>
              <w:top w:val="single" w:sz="4" w:space="0" w:color="auto"/>
              <w:left w:val="single" w:sz="4" w:space="0" w:color="auto"/>
              <w:bottom w:val="single" w:sz="4" w:space="0" w:color="auto"/>
              <w:right w:val="single" w:sz="4" w:space="0" w:color="auto"/>
            </w:tcBorders>
            <w:shd w:val="clear" w:color="auto" w:fill="DDD9C3"/>
            <w:noWrap/>
            <w:vAlign w:val="bottom"/>
            <w:hideMark/>
          </w:tcPr>
          <w:p w14:paraId="76D98C0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 </w:t>
            </w:r>
          </w:p>
        </w:tc>
        <w:tc>
          <w:tcPr>
            <w:tcW w:w="3225" w:type="pct"/>
            <w:gridSpan w:val="4"/>
            <w:tcBorders>
              <w:top w:val="single" w:sz="4" w:space="0" w:color="auto"/>
              <w:left w:val="nil"/>
              <w:bottom w:val="single" w:sz="4" w:space="0" w:color="auto"/>
              <w:right w:val="single" w:sz="4" w:space="0" w:color="auto"/>
            </w:tcBorders>
            <w:shd w:val="clear" w:color="auto" w:fill="DDD9C3"/>
            <w:noWrap/>
            <w:vAlign w:val="bottom"/>
            <w:hideMark/>
          </w:tcPr>
          <w:p w14:paraId="12DD51B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proofErr w:type="gramStart"/>
            <w:r w:rsidRPr="00FC5524">
              <w:rPr>
                <w:rFonts w:ascii="Times New Roman" w:eastAsia="Times New Roman" w:hAnsi="Times New Roman" w:cs="Times New Roman"/>
                <w:color w:val="000000"/>
                <w:kern w:val="0"/>
                <w:lang w:eastAsia="en-GB"/>
                <w14:ligatures w14:val="none"/>
              </w:rPr>
              <w:t>in  (</w:t>
            </w:r>
            <w:proofErr w:type="gramEnd"/>
            <w:r w:rsidRPr="00FC5524">
              <w:rPr>
                <w:rFonts w:ascii="Times New Roman" w:eastAsia="Times New Roman" w:hAnsi="Times New Roman" w:cs="Times New Roman"/>
                <w:color w:val="000000"/>
                <w:kern w:val="0"/>
                <w:lang w:eastAsia="en-GB"/>
                <w14:ligatures w14:val="none"/>
              </w:rPr>
              <w:t xml:space="preserve">£’000)  </w:t>
            </w:r>
          </w:p>
        </w:tc>
      </w:tr>
      <w:tr w:rsidR="00FC5524" w:rsidRPr="00FC5524" w14:paraId="3A668FD7" w14:textId="77777777" w:rsidTr="00FC5524">
        <w:trPr>
          <w:trHeight w:val="300"/>
        </w:trPr>
        <w:tc>
          <w:tcPr>
            <w:tcW w:w="1775" w:type="pct"/>
            <w:tcBorders>
              <w:top w:val="nil"/>
              <w:left w:val="single" w:sz="4" w:space="0" w:color="auto"/>
              <w:bottom w:val="single" w:sz="4" w:space="0" w:color="auto"/>
              <w:right w:val="single" w:sz="4" w:space="0" w:color="auto"/>
            </w:tcBorders>
            <w:shd w:val="clear" w:color="auto" w:fill="DDD9C3"/>
            <w:noWrap/>
            <w:vAlign w:val="bottom"/>
            <w:hideMark/>
          </w:tcPr>
          <w:p w14:paraId="71E74A2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Year</w:t>
            </w:r>
          </w:p>
        </w:tc>
        <w:tc>
          <w:tcPr>
            <w:tcW w:w="677" w:type="pct"/>
            <w:tcBorders>
              <w:top w:val="nil"/>
              <w:left w:val="nil"/>
              <w:bottom w:val="single" w:sz="4" w:space="0" w:color="auto"/>
              <w:right w:val="single" w:sz="4" w:space="0" w:color="auto"/>
            </w:tcBorders>
            <w:shd w:val="clear" w:color="auto" w:fill="DDD9C3"/>
            <w:noWrap/>
            <w:vAlign w:val="bottom"/>
            <w:hideMark/>
          </w:tcPr>
          <w:p w14:paraId="5113D07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w:t>
            </w:r>
          </w:p>
        </w:tc>
        <w:tc>
          <w:tcPr>
            <w:tcW w:w="677" w:type="pct"/>
            <w:tcBorders>
              <w:top w:val="nil"/>
              <w:left w:val="nil"/>
              <w:bottom w:val="single" w:sz="4" w:space="0" w:color="auto"/>
              <w:right w:val="single" w:sz="4" w:space="0" w:color="auto"/>
            </w:tcBorders>
            <w:shd w:val="clear" w:color="auto" w:fill="DDD9C3"/>
            <w:noWrap/>
            <w:vAlign w:val="bottom"/>
            <w:hideMark/>
          </w:tcPr>
          <w:p w14:paraId="0030740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w:t>
            </w:r>
          </w:p>
        </w:tc>
        <w:tc>
          <w:tcPr>
            <w:tcW w:w="987" w:type="pct"/>
            <w:tcBorders>
              <w:top w:val="nil"/>
              <w:left w:val="nil"/>
              <w:bottom w:val="single" w:sz="4" w:space="0" w:color="auto"/>
              <w:right w:val="single" w:sz="4" w:space="0" w:color="auto"/>
            </w:tcBorders>
            <w:shd w:val="clear" w:color="auto" w:fill="DDD9C3"/>
            <w:noWrap/>
            <w:vAlign w:val="bottom"/>
            <w:hideMark/>
          </w:tcPr>
          <w:p w14:paraId="5DDF85A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w:t>
            </w:r>
          </w:p>
        </w:tc>
        <w:tc>
          <w:tcPr>
            <w:tcW w:w="884" w:type="pct"/>
            <w:tcBorders>
              <w:top w:val="nil"/>
              <w:left w:val="nil"/>
              <w:bottom w:val="single" w:sz="4" w:space="0" w:color="auto"/>
              <w:right w:val="single" w:sz="4" w:space="0" w:color="auto"/>
            </w:tcBorders>
            <w:shd w:val="clear" w:color="auto" w:fill="DDD9C3"/>
            <w:noWrap/>
            <w:vAlign w:val="bottom"/>
            <w:hideMark/>
          </w:tcPr>
          <w:p w14:paraId="6318684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w:t>
            </w:r>
          </w:p>
        </w:tc>
      </w:tr>
      <w:tr w:rsidR="00FC5524" w:rsidRPr="00FC5524" w14:paraId="2DF2C7A6"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0BA90F96"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Cash flows</w:t>
            </w:r>
          </w:p>
        </w:tc>
        <w:tc>
          <w:tcPr>
            <w:tcW w:w="677" w:type="pct"/>
            <w:tcBorders>
              <w:top w:val="nil"/>
              <w:left w:val="nil"/>
              <w:bottom w:val="single" w:sz="4" w:space="0" w:color="auto"/>
              <w:right w:val="single" w:sz="4" w:space="0" w:color="auto"/>
            </w:tcBorders>
            <w:noWrap/>
            <w:vAlign w:val="bottom"/>
            <w:hideMark/>
          </w:tcPr>
          <w:p w14:paraId="6FC7B73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400</w:t>
            </w:r>
          </w:p>
        </w:tc>
        <w:tc>
          <w:tcPr>
            <w:tcW w:w="677" w:type="pct"/>
            <w:tcBorders>
              <w:top w:val="nil"/>
              <w:left w:val="nil"/>
              <w:bottom w:val="single" w:sz="4" w:space="0" w:color="auto"/>
              <w:right w:val="single" w:sz="4" w:space="0" w:color="auto"/>
            </w:tcBorders>
            <w:noWrap/>
            <w:vAlign w:val="bottom"/>
            <w:hideMark/>
          </w:tcPr>
          <w:p w14:paraId="5BCCD55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700</w:t>
            </w:r>
          </w:p>
        </w:tc>
        <w:tc>
          <w:tcPr>
            <w:tcW w:w="987" w:type="pct"/>
            <w:tcBorders>
              <w:top w:val="nil"/>
              <w:left w:val="nil"/>
              <w:bottom w:val="single" w:sz="4" w:space="0" w:color="auto"/>
              <w:right w:val="single" w:sz="4" w:space="0" w:color="auto"/>
            </w:tcBorders>
            <w:noWrap/>
            <w:vAlign w:val="bottom"/>
            <w:hideMark/>
          </w:tcPr>
          <w:p w14:paraId="5C21E13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850</w:t>
            </w:r>
          </w:p>
        </w:tc>
        <w:tc>
          <w:tcPr>
            <w:tcW w:w="884" w:type="pct"/>
            <w:tcBorders>
              <w:top w:val="nil"/>
              <w:left w:val="nil"/>
              <w:bottom w:val="single" w:sz="4" w:space="0" w:color="auto"/>
              <w:right w:val="single" w:sz="4" w:space="0" w:color="auto"/>
            </w:tcBorders>
            <w:noWrap/>
            <w:vAlign w:val="bottom"/>
            <w:hideMark/>
          </w:tcPr>
          <w:p w14:paraId="1AC90C8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1100</w:t>
            </w:r>
          </w:p>
        </w:tc>
      </w:tr>
      <w:tr w:rsidR="00FC5524" w:rsidRPr="00FC5524" w14:paraId="217EE12E"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55E20A0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Less: Depreciation</w:t>
            </w:r>
          </w:p>
        </w:tc>
        <w:tc>
          <w:tcPr>
            <w:tcW w:w="677" w:type="pct"/>
            <w:tcBorders>
              <w:top w:val="nil"/>
              <w:left w:val="nil"/>
              <w:bottom w:val="single" w:sz="4" w:space="0" w:color="auto"/>
              <w:right w:val="single" w:sz="4" w:space="0" w:color="auto"/>
            </w:tcBorders>
            <w:noWrap/>
            <w:vAlign w:val="bottom"/>
            <w:hideMark/>
          </w:tcPr>
          <w:p w14:paraId="5BA705B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320</w:t>
            </w:r>
          </w:p>
        </w:tc>
        <w:tc>
          <w:tcPr>
            <w:tcW w:w="677" w:type="pct"/>
            <w:tcBorders>
              <w:top w:val="nil"/>
              <w:left w:val="nil"/>
              <w:bottom w:val="single" w:sz="4" w:space="0" w:color="auto"/>
              <w:right w:val="single" w:sz="4" w:space="0" w:color="auto"/>
            </w:tcBorders>
            <w:noWrap/>
            <w:vAlign w:val="bottom"/>
            <w:hideMark/>
          </w:tcPr>
          <w:p w14:paraId="3192CAD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320</w:t>
            </w:r>
          </w:p>
        </w:tc>
        <w:tc>
          <w:tcPr>
            <w:tcW w:w="987" w:type="pct"/>
            <w:tcBorders>
              <w:top w:val="nil"/>
              <w:left w:val="nil"/>
              <w:bottom w:val="single" w:sz="4" w:space="0" w:color="auto"/>
              <w:right w:val="single" w:sz="4" w:space="0" w:color="auto"/>
            </w:tcBorders>
            <w:noWrap/>
            <w:vAlign w:val="bottom"/>
            <w:hideMark/>
          </w:tcPr>
          <w:p w14:paraId="677B9A8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320</w:t>
            </w:r>
          </w:p>
        </w:tc>
        <w:tc>
          <w:tcPr>
            <w:tcW w:w="884" w:type="pct"/>
            <w:tcBorders>
              <w:top w:val="nil"/>
              <w:left w:val="nil"/>
              <w:bottom w:val="single" w:sz="4" w:space="0" w:color="auto"/>
              <w:right w:val="single" w:sz="4" w:space="0" w:color="auto"/>
            </w:tcBorders>
            <w:noWrap/>
            <w:vAlign w:val="bottom"/>
            <w:hideMark/>
          </w:tcPr>
          <w:p w14:paraId="0BE313E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320</w:t>
            </w:r>
          </w:p>
        </w:tc>
      </w:tr>
      <w:tr w:rsidR="00FC5524" w:rsidRPr="00FC5524" w14:paraId="7530E651"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1B9162E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Net profit before tax</w:t>
            </w:r>
          </w:p>
        </w:tc>
        <w:tc>
          <w:tcPr>
            <w:tcW w:w="677" w:type="pct"/>
            <w:tcBorders>
              <w:top w:val="nil"/>
              <w:left w:val="nil"/>
              <w:bottom w:val="single" w:sz="4" w:space="0" w:color="auto"/>
              <w:right w:val="single" w:sz="4" w:space="0" w:color="auto"/>
            </w:tcBorders>
            <w:noWrap/>
            <w:vAlign w:val="bottom"/>
            <w:hideMark/>
          </w:tcPr>
          <w:p w14:paraId="338BEC7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80</w:t>
            </w:r>
          </w:p>
        </w:tc>
        <w:tc>
          <w:tcPr>
            <w:tcW w:w="677" w:type="pct"/>
            <w:tcBorders>
              <w:top w:val="nil"/>
              <w:left w:val="nil"/>
              <w:bottom w:val="single" w:sz="4" w:space="0" w:color="auto"/>
              <w:right w:val="single" w:sz="4" w:space="0" w:color="auto"/>
            </w:tcBorders>
            <w:noWrap/>
            <w:vAlign w:val="bottom"/>
            <w:hideMark/>
          </w:tcPr>
          <w:p w14:paraId="19FA918E"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380</w:t>
            </w:r>
          </w:p>
        </w:tc>
        <w:tc>
          <w:tcPr>
            <w:tcW w:w="987" w:type="pct"/>
            <w:tcBorders>
              <w:top w:val="nil"/>
              <w:left w:val="nil"/>
              <w:bottom w:val="single" w:sz="4" w:space="0" w:color="auto"/>
              <w:right w:val="single" w:sz="4" w:space="0" w:color="auto"/>
            </w:tcBorders>
            <w:noWrap/>
            <w:vAlign w:val="bottom"/>
            <w:hideMark/>
          </w:tcPr>
          <w:p w14:paraId="3CAEBAA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530</w:t>
            </w:r>
          </w:p>
        </w:tc>
        <w:tc>
          <w:tcPr>
            <w:tcW w:w="884" w:type="pct"/>
            <w:tcBorders>
              <w:top w:val="nil"/>
              <w:left w:val="nil"/>
              <w:bottom w:val="single" w:sz="4" w:space="0" w:color="auto"/>
              <w:right w:val="single" w:sz="4" w:space="0" w:color="auto"/>
            </w:tcBorders>
            <w:noWrap/>
            <w:vAlign w:val="bottom"/>
            <w:hideMark/>
          </w:tcPr>
          <w:p w14:paraId="163B1F6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780</w:t>
            </w:r>
          </w:p>
        </w:tc>
      </w:tr>
      <w:tr w:rsidR="00FC5524" w:rsidRPr="00FC5524" w14:paraId="708AE48C"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7000B63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Less: Corporation tax</w:t>
            </w:r>
          </w:p>
        </w:tc>
        <w:tc>
          <w:tcPr>
            <w:tcW w:w="677" w:type="pct"/>
            <w:tcBorders>
              <w:top w:val="nil"/>
              <w:left w:val="nil"/>
              <w:bottom w:val="single" w:sz="4" w:space="0" w:color="auto"/>
              <w:right w:val="single" w:sz="4" w:space="0" w:color="auto"/>
            </w:tcBorders>
            <w:noWrap/>
            <w:vAlign w:val="bottom"/>
            <w:hideMark/>
          </w:tcPr>
          <w:p w14:paraId="665A974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w:t>
            </w:r>
          </w:p>
        </w:tc>
        <w:tc>
          <w:tcPr>
            <w:tcW w:w="677" w:type="pct"/>
            <w:tcBorders>
              <w:top w:val="nil"/>
              <w:left w:val="nil"/>
              <w:bottom w:val="single" w:sz="4" w:space="0" w:color="auto"/>
              <w:right w:val="single" w:sz="4" w:space="0" w:color="auto"/>
            </w:tcBorders>
            <w:noWrap/>
            <w:vAlign w:val="bottom"/>
            <w:hideMark/>
          </w:tcPr>
          <w:p w14:paraId="3C6A1CB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95</w:t>
            </w:r>
          </w:p>
        </w:tc>
        <w:tc>
          <w:tcPr>
            <w:tcW w:w="987" w:type="pct"/>
            <w:tcBorders>
              <w:top w:val="nil"/>
              <w:left w:val="nil"/>
              <w:bottom w:val="single" w:sz="4" w:space="0" w:color="auto"/>
              <w:right w:val="single" w:sz="4" w:space="0" w:color="auto"/>
            </w:tcBorders>
            <w:noWrap/>
            <w:vAlign w:val="bottom"/>
            <w:hideMark/>
          </w:tcPr>
          <w:p w14:paraId="4DDB77F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132.5</w:t>
            </w:r>
          </w:p>
        </w:tc>
        <w:tc>
          <w:tcPr>
            <w:tcW w:w="884" w:type="pct"/>
            <w:tcBorders>
              <w:top w:val="nil"/>
              <w:left w:val="nil"/>
              <w:bottom w:val="single" w:sz="4" w:space="0" w:color="auto"/>
              <w:right w:val="single" w:sz="4" w:space="0" w:color="auto"/>
            </w:tcBorders>
            <w:noWrap/>
            <w:vAlign w:val="bottom"/>
            <w:hideMark/>
          </w:tcPr>
          <w:p w14:paraId="7796D589"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195</w:t>
            </w:r>
          </w:p>
        </w:tc>
      </w:tr>
      <w:tr w:rsidR="00FC5524" w:rsidRPr="00FC5524" w14:paraId="24E686B1"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1B6ED1C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Net Profit after tax</w:t>
            </w:r>
          </w:p>
        </w:tc>
        <w:tc>
          <w:tcPr>
            <w:tcW w:w="677" w:type="pct"/>
            <w:tcBorders>
              <w:top w:val="nil"/>
              <w:left w:val="nil"/>
              <w:bottom w:val="single" w:sz="4" w:space="0" w:color="auto"/>
              <w:right w:val="single" w:sz="4" w:space="0" w:color="auto"/>
            </w:tcBorders>
            <w:noWrap/>
            <w:vAlign w:val="bottom"/>
            <w:hideMark/>
          </w:tcPr>
          <w:p w14:paraId="0571E5E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60</w:t>
            </w:r>
          </w:p>
        </w:tc>
        <w:tc>
          <w:tcPr>
            <w:tcW w:w="677" w:type="pct"/>
            <w:tcBorders>
              <w:top w:val="nil"/>
              <w:left w:val="nil"/>
              <w:bottom w:val="single" w:sz="4" w:space="0" w:color="auto"/>
              <w:right w:val="single" w:sz="4" w:space="0" w:color="auto"/>
            </w:tcBorders>
            <w:noWrap/>
            <w:vAlign w:val="bottom"/>
            <w:hideMark/>
          </w:tcPr>
          <w:p w14:paraId="7D8DB45E"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285</w:t>
            </w:r>
          </w:p>
        </w:tc>
        <w:tc>
          <w:tcPr>
            <w:tcW w:w="987" w:type="pct"/>
            <w:tcBorders>
              <w:top w:val="nil"/>
              <w:left w:val="nil"/>
              <w:bottom w:val="single" w:sz="4" w:space="0" w:color="auto"/>
              <w:right w:val="single" w:sz="4" w:space="0" w:color="auto"/>
            </w:tcBorders>
            <w:noWrap/>
            <w:vAlign w:val="bottom"/>
            <w:hideMark/>
          </w:tcPr>
          <w:p w14:paraId="404D781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397.5</w:t>
            </w:r>
          </w:p>
        </w:tc>
        <w:tc>
          <w:tcPr>
            <w:tcW w:w="884" w:type="pct"/>
            <w:tcBorders>
              <w:top w:val="nil"/>
              <w:left w:val="nil"/>
              <w:bottom w:val="single" w:sz="4" w:space="0" w:color="auto"/>
              <w:right w:val="single" w:sz="4" w:space="0" w:color="auto"/>
            </w:tcBorders>
            <w:noWrap/>
            <w:vAlign w:val="bottom"/>
            <w:hideMark/>
          </w:tcPr>
          <w:p w14:paraId="7705645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585</w:t>
            </w:r>
          </w:p>
        </w:tc>
      </w:tr>
      <w:tr w:rsidR="00FC5524" w:rsidRPr="00FC5524" w14:paraId="0BBDCFE9"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3AC9F32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Add back: Depreciation</w:t>
            </w:r>
          </w:p>
        </w:tc>
        <w:tc>
          <w:tcPr>
            <w:tcW w:w="677" w:type="pct"/>
            <w:tcBorders>
              <w:top w:val="nil"/>
              <w:left w:val="nil"/>
              <w:bottom w:val="single" w:sz="4" w:space="0" w:color="auto"/>
              <w:right w:val="single" w:sz="4" w:space="0" w:color="auto"/>
            </w:tcBorders>
            <w:noWrap/>
            <w:vAlign w:val="bottom"/>
            <w:hideMark/>
          </w:tcPr>
          <w:p w14:paraId="70827B4E"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320</w:t>
            </w:r>
          </w:p>
        </w:tc>
        <w:tc>
          <w:tcPr>
            <w:tcW w:w="677" w:type="pct"/>
            <w:tcBorders>
              <w:top w:val="nil"/>
              <w:left w:val="nil"/>
              <w:bottom w:val="single" w:sz="4" w:space="0" w:color="auto"/>
              <w:right w:val="single" w:sz="4" w:space="0" w:color="auto"/>
            </w:tcBorders>
            <w:noWrap/>
            <w:vAlign w:val="bottom"/>
            <w:hideMark/>
          </w:tcPr>
          <w:p w14:paraId="58C1528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320</w:t>
            </w:r>
          </w:p>
        </w:tc>
        <w:tc>
          <w:tcPr>
            <w:tcW w:w="987" w:type="pct"/>
            <w:tcBorders>
              <w:top w:val="nil"/>
              <w:left w:val="nil"/>
              <w:bottom w:val="single" w:sz="4" w:space="0" w:color="auto"/>
              <w:right w:val="single" w:sz="4" w:space="0" w:color="auto"/>
            </w:tcBorders>
            <w:noWrap/>
            <w:vAlign w:val="bottom"/>
            <w:hideMark/>
          </w:tcPr>
          <w:p w14:paraId="0B86D96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320</w:t>
            </w:r>
          </w:p>
        </w:tc>
        <w:tc>
          <w:tcPr>
            <w:tcW w:w="884" w:type="pct"/>
            <w:tcBorders>
              <w:top w:val="nil"/>
              <w:left w:val="nil"/>
              <w:bottom w:val="single" w:sz="4" w:space="0" w:color="auto"/>
              <w:right w:val="single" w:sz="4" w:space="0" w:color="auto"/>
            </w:tcBorders>
            <w:noWrap/>
            <w:vAlign w:val="bottom"/>
            <w:hideMark/>
          </w:tcPr>
          <w:p w14:paraId="4F4E591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320</w:t>
            </w:r>
          </w:p>
        </w:tc>
      </w:tr>
      <w:tr w:rsidR="00FC5524" w:rsidRPr="00FC5524" w14:paraId="0AA9D623" w14:textId="77777777" w:rsidTr="00FC5524">
        <w:trPr>
          <w:trHeight w:val="300"/>
        </w:trPr>
        <w:tc>
          <w:tcPr>
            <w:tcW w:w="1775" w:type="pct"/>
            <w:tcBorders>
              <w:top w:val="nil"/>
              <w:left w:val="single" w:sz="4" w:space="0" w:color="auto"/>
              <w:bottom w:val="single" w:sz="4" w:space="0" w:color="auto"/>
              <w:right w:val="single" w:sz="4" w:space="0" w:color="auto"/>
            </w:tcBorders>
            <w:noWrap/>
            <w:vAlign w:val="bottom"/>
            <w:hideMark/>
          </w:tcPr>
          <w:p w14:paraId="0BDDC25D"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Net cash flows</w:t>
            </w:r>
          </w:p>
        </w:tc>
        <w:tc>
          <w:tcPr>
            <w:tcW w:w="677" w:type="pct"/>
            <w:tcBorders>
              <w:top w:val="nil"/>
              <w:left w:val="nil"/>
              <w:bottom w:val="single" w:sz="4" w:space="0" w:color="auto"/>
              <w:right w:val="single" w:sz="4" w:space="0" w:color="auto"/>
            </w:tcBorders>
            <w:noWrap/>
            <w:vAlign w:val="bottom"/>
            <w:hideMark/>
          </w:tcPr>
          <w:p w14:paraId="55761D69"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380</w:t>
            </w:r>
          </w:p>
        </w:tc>
        <w:tc>
          <w:tcPr>
            <w:tcW w:w="677" w:type="pct"/>
            <w:tcBorders>
              <w:top w:val="nil"/>
              <w:left w:val="nil"/>
              <w:bottom w:val="single" w:sz="4" w:space="0" w:color="auto"/>
              <w:right w:val="single" w:sz="4" w:space="0" w:color="auto"/>
            </w:tcBorders>
            <w:noWrap/>
            <w:vAlign w:val="bottom"/>
            <w:hideMark/>
          </w:tcPr>
          <w:p w14:paraId="2F5324C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605</w:t>
            </w:r>
          </w:p>
        </w:tc>
        <w:tc>
          <w:tcPr>
            <w:tcW w:w="987" w:type="pct"/>
            <w:tcBorders>
              <w:top w:val="nil"/>
              <w:left w:val="nil"/>
              <w:bottom w:val="single" w:sz="4" w:space="0" w:color="auto"/>
              <w:right w:val="single" w:sz="4" w:space="0" w:color="auto"/>
            </w:tcBorders>
            <w:noWrap/>
            <w:vAlign w:val="bottom"/>
            <w:hideMark/>
          </w:tcPr>
          <w:p w14:paraId="23B5D14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717.5</w:t>
            </w:r>
          </w:p>
        </w:tc>
        <w:tc>
          <w:tcPr>
            <w:tcW w:w="884" w:type="pct"/>
            <w:tcBorders>
              <w:top w:val="nil"/>
              <w:left w:val="nil"/>
              <w:bottom w:val="single" w:sz="4" w:space="0" w:color="auto"/>
              <w:right w:val="single" w:sz="4" w:space="0" w:color="auto"/>
            </w:tcBorders>
            <w:noWrap/>
            <w:vAlign w:val="bottom"/>
            <w:hideMark/>
          </w:tcPr>
          <w:p w14:paraId="1129C65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905</w:t>
            </w:r>
          </w:p>
        </w:tc>
      </w:tr>
    </w:tbl>
    <w:p w14:paraId="3088C5D9"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 </w:t>
      </w:r>
    </w:p>
    <w:p w14:paraId="0A1AD41A"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Calculation of the discounted cash flow for the stated model</w:t>
      </w:r>
    </w:p>
    <w:tbl>
      <w:tblPr>
        <w:tblW w:w="5000" w:type="pct"/>
        <w:tblLook w:val="04A0" w:firstRow="1" w:lastRow="0" w:firstColumn="1" w:lastColumn="0" w:noHBand="0" w:noVBand="1"/>
      </w:tblPr>
      <w:tblGrid>
        <w:gridCol w:w="1925"/>
        <w:gridCol w:w="1925"/>
        <w:gridCol w:w="1926"/>
        <w:gridCol w:w="3240"/>
      </w:tblGrid>
      <w:tr w:rsidR="00FC5524" w:rsidRPr="00FC5524" w14:paraId="0035F9BF" w14:textId="77777777" w:rsidTr="00FC5524">
        <w:trPr>
          <w:trHeight w:val="300"/>
        </w:trPr>
        <w:tc>
          <w:tcPr>
            <w:tcW w:w="1169" w:type="pct"/>
            <w:tcBorders>
              <w:top w:val="single" w:sz="4" w:space="0" w:color="auto"/>
              <w:left w:val="single" w:sz="4" w:space="0" w:color="auto"/>
              <w:bottom w:val="single" w:sz="4" w:space="0" w:color="auto"/>
              <w:right w:val="single" w:sz="4" w:space="0" w:color="auto"/>
            </w:tcBorders>
            <w:shd w:val="clear" w:color="auto" w:fill="DDD9C3"/>
            <w:noWrap/>
            <w:vAlign w:val="bottom"/>
            <w:hideMark/>
          </w:tcPr>
          <w:p w14:paraId="42479AC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Year</w:t>
            </w:r>
          </w:p>
        </w:tc>
        <w:tc>
          <w:tcPr>
            <w:tcW w:w="1169" w:type="pct"/>
            <w:tcBorders>
              <w:top w:val="single" w:sz="4" w:space="0" w:color="auto"/>
              <w:left w:val="nil"/>
              <w:bottom w:val="single" w:sz="4" w:space="0" w:color="auto"/>
              <w:right w:val="single" w:sz="4" w:space="0" w:color="auto"/>
            </w:tcBorders>
            <w:shd w:val="clear" w:color="auto" w:fill="DDD9C3"/>
            <w:noWrap/>
            <w:vAlign w:val="bottom"/>
            <w:hideMark/>
          </w:tcPr>
          <w:p w14:paraId="50087F2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Cash flows £’000</w:t>
            </w:r>
          </w:p>
        </w:tc>
        <w:tc>
          <w:tcPr>
            <w:tcW w:w="1169" w:type="pct"/>
            <w:tcBorders>
              <w:top w:val="single" w:sz="4" w:space="0" w:color="auto"/>
              <w:left w:val="nil"/>
              <w:bottom w:val="single" w:sz="4" w:space="0" w:color="auto"/>
              <w:right w:val="single" w:sz="4" w:space="0" w:color="auto"/>
            </w:tcBorders>
            <w:shd w:val="clear" w:color="auto" w:fill="DDD9C3"/>
            <w:noWrap/>
            <w:vAlign w:val="bottom"/>
            <w:hideMark/>
          </w:tcPr>
          <w:p w14:paraId="7102FF5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FF"/>
                <w:kern w:val="0"/>
                <w:u w:val="single"/>
                <w:lang w:eastAsia="en-GB"/>
                <w14:ligatures w14:val="none"/>
              </w:rPr>
            </w:pPr>
            <w:hyperlink r:id="rId48" w:history="1">
              <w:r w:rsidRPr="00FC5524">
                <w:rPr>
                  <w:rFonts w:ascii="Calibri" w:eastAsia="Times New Roman" w:hAnsi="Calibri" w:cs="Times New Roman"/>
                  <w:color w:val="0000FF"/>
                  <w:kern w:val="0"/>
                  <w:sz w:val="22"/>
                  <w:szCs w:val="22"/>
                  <w:u w:val="single"/>
                  <w:lang w:eastAsia="en-GB"/>
                  <w14:ligatures w14:val="none"/>
                </w:rPr>
                <w:t>DR@6%</w:t>
              </w:r>
            </w:hyperlink>
          </w:p>
        </w:tc>
        <w:tc>
          <w:tcPr>
            <w:tcW w:w="1494" w:type="pct"/>
            <w:tcBorders>
              <w:top w:val="single" w:sz="4" w:space="0" w:color="auto"/>
              <w:left w:val="nil"/>
              <w:bottom w:val="single" w:sz="4" w:space="0" w:color="auto"/>
              <w:right w:val="single" w:sz="4" w:space="0" w:color="auto"/>
            </w:tcBorders>
            <w:shd w:val="clear" w:color="auto" w:fill="DDD9C3"/>
            <w:noWrap/>
            <w:vAlign w:val="bottom"/>
            <w:hideMark/>
          </w:tcPr>
          <w:p w14:paraId="1B0A965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Discounted Cash Flows (£'000)</w:t>
            </w:r>
          </w:p>
        </w:tc>
      </w:tr>
      <w:tr w:rsidR="00FC5524" w:rsidRPr="00FC5524" w14:paraId="78B59809" w14:textId="77777777" w:rsidTr="00FC5524">
        <w:trPr>
          <w:trHeight w:val="300"/>
        </w:trPr>
        <w:tc>
          <w:tcPr>
            <w:tcW w:w="1169" w:type="pct"/>
            <w:tcBorders>
              <w:top w:val="nil"/>
              <w:left w:val="single" w:sz="4" w:space="0" w:color="auto"/>
              <w:bottom w:val="single" w:sz="4" w:space="0" w:color="auto"/>
              <w:right w:val="single" w:sz="4" w:space="0" w:color="auto"/>
            </w:tcBorders>
            <w:noWrap/>
            <w:vAlign w:val="bottom"/>
            <w:hideMark/>
          </w:tcPr>
          <w:p w14:paraId="31BAD71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w:t>
            </w:r>
          </w:p>
        </w:tc>
        <w:tc>
          <w:tcPr>
            <w:tcW w:w="1169" w:type="pct"/>
            <w:tcBorders>
              <w:top w:val="nil"/>
              <w:left w:val="nil"/>
              <w:bottom w:val="single" w:sz="4" w:space="0" w:color="auto"/>
              <w:right w:val="single" w:sz="4" w:space="0" w:color="auto"/>
            </w:tcBorders>
            <w:noWrap/>
            <w:vAlign w:val="bottom"/>
            <w:hideMark/>
          </w:tcPr>
          <w:p w14:paraId="67D9C0B4"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-1600</w:t>
            </w:r>
          </w:p>
        </w:tc>
        <w:tc>
          <w:tcPr>
            <w:tcW w:w="1169" w:type="pct"/>
            <w:tcBorders>
              <w:top w:val="nil"/>
              <w:left w:val="nil"/>
              <w:bottom w:val="single" w:sz="4" w:space="0" w:color="auto"/>
              <w:right w:val="single" w:sz="4" w:space="0" w:color="auto"/>
            </w:tcBorders>
            <w:noWrap/>
            <w:vAlign w:val="bottom"/>
            <w:hideMark/>
          </w:tcPr>
          <w:p w14:paraId="27C2A896"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w:t>
            </w:r>
          </w:p>
        </w:tc>
        <w:tc>
          <w:tcPr>
            <w:tcW w:w="1494" w:type="pct"/>
            <w:tcBorders>
              <w:top w:val="nil"/>
              <w:left w:val="nil"/>
              <w:bottom w:val="single" w:sz="4" w:space="0" w:color="auto"/>
              <w:right w:val="single" w:sz="4" w:space="0" w:color="auto"/>
            </w:tcBorders>
            <w:noWrap/>
            <w:vAlign w:val="bottom"/>
            <w:hideMark/>
          </w:tcPr>
          <w:p w14:paraId="71CA4B3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-1600</w:t>
            </w:r>
          </w:p>
        </w:tc>
      </w:tr>
      <w:tr w:rsidR="00FC5524" w:rsidRPr="00FC5524" w14:paraId="59D6F845" w14:textId="77777777" w:rsidTr="00FC5524">
        <w:trPr>
          <w:trHeight w:val="300"/>
        </w:trPr>
        <w:tc>
          <w:tcPr>
            <w:tcW w:w="1169" w:type="pct"/>
            <w:tcBorders>
              <w:top w:val="nil"/>
              <w:left w:val="single" w:sz="4" w:space="0" w:color="auto"/>
              <w:bottom w:val="single" w:sz="4" w:space="0" w:color="auto"/>
              <w:right w:val="single" w:sz="4" w:space="0" w:color="auto"/>
            </w:tcBorders>
            <w:noWrap/>
            <w:vAlign w:val="bottom"/>
            <w:hideMark/>
          </w:tcPr>
          <w:p w14:paraId="69967DB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w:t>
            </w:r>
          </w:p>
        </w:tc>
        <w:tc>
          <w:tcPr>
            <w:tcW w:w="1169" w:type="pct"/>
            <w:tcBorders>
              <w:top w:val="nil"/>
              <w:left w:val="nil"/>
              <w:bottom w:val="single" w:sz="4" w:space="0" w:color="auto"/>
              <w:right w:val="single" w:sz="4" w:space="0" w:color="auto"/>
            </w:tcBorders>
            <w:noWrap/>
            <w:vAlign w:val="bottom"/>
            <w:hideMark/>
          </w:tcPr>
          <w:p w14:paraId="4D60C2D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380</w:t>
            </w:r>
          </w:p>
        </w:tc>
        <w:tc>
          <w:tcPr>
            <w:tcW w:w="1169" w:type="pct"/>
            <w:tcBorders>
              <w:top w:val="nil"/>
              <w:left w:val="nil"/>
              <w:bottom w:val="single" w:sz="4" w:space="0" w:color="auto"/>
              <w:right w:val="single" w:sz="4" w:space="0" w:color="auto"/>
            </w:tcBorders>
            <w:noWrap/>
            <w:vAlign w:val="bottom"/>
            <w:hideMark/>
          </w:tcPr>
          <w:p w14:paraId="141FC69E"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0.943</w:t>
            </w:r>
          </w:p>
        </w:tc>
        <w:tc>
          <w:tcPr>
            <w:tcW w:w="1494" w:type="pct"/>
            <w:tcBorders>
              <w:top w:val="nil"/>
              <w:left w:val="nil"/>
              <w:bottom w:val="single" w:sz="4" w:space="0" w:color="auto"/>
              <w:right w:val="single" w:sz="4" w:space="0" w:color="auto"/>
            </w:tcBorders>
            <w:noWrap/>
            <w:vAlign w:val="bottom"/>
            <w:hideMark/>
          </w:tcPr>
          <w:p w14:paraId="22134F5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358.49</w:t>
            </w:r>
          </w:p>
        </w:tc>
      </w:tr>
      <w:tr w:rsidR="00FC5524" w:rsidRPr="00FC5524" w14:paraId="0CA83D0D" w14:textId="77777777" w:rsidTr="00FC5524">
        <w:trPr>
          <w:trHeight w:val="300"/>
        </w:trPr>
        <w:tc>
          <w:tcPr>
            <w:tcW w:w="1169" w:type="pct"/>
            <w:tcBorders>
              <w:top w:val="nil"/>
              <w:left w:val="single" w:sz="4" w:space="0" w:color="auto"/>
              <w:bottom w:val="single" w:sz="4" w:space="0" w:color="auto"/>
              <w:right w:val="single" w:sz="4" w:space="0" w:color="auto"/>
            </w:tcBorders>
            <w:noWrap/>
            <w:vAlign w:val="bottom"/>
            <w:hideMark/>
          </w:tcPr>
          <w:p w14:paraId="26FF561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w:t>
            </w:r>
          </w:p>
        </w:tc>
        <w:tc>
          <w:tcPr>
            <w:tcW w:w="1169" w:type="pct"/>
            <w:tcBorders>
              <w:top w:val="nil"/>
              <w:left w:val="nil"/>
              <w:bottom w:val="single" w:sz="4" w:space="0" w:color="auto"/>
              <w:right w:val="single" w:sz="4" w:space="0" w:color="auto"/>
            </w:tcBorders>
            <w:noWrap/>
            <w:vAlign w:val="bottom"/>
            <w:hideMark/>
          </w:tcPr>
          <w:p w14:paraId="2C96A73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605</w:t>
            </w:r>
          </w:p>
        </w:tc>
        <w:tc>
          <w:tcPr>
            <w:tcW w:w="1169" w:type="pct"/>
            <w:tcBorders>
              <w:top w:val="nil"/>
              <w:left w:val="nil"/>
              <w:bottom w:val="single" w:sz="4" w:space="0" w:color="auto"/>
              <w:right w:val="single" w:sz="4" w:space="0" w:color="auto"/>
            </w:tcBorders>
            <w:noWrap/>
            <w:vAlign w:val="bottom"/>
            <w:hideMark/>
          </w:tcPr>
          <w:p w14:paraId="2A98DFC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0.890</w:t>
            </w:r>
          </w:p>
        </w:tc>
        <w:tc>
          <w:tcPr>
            <w:tcW w:w="1494" w:type="pct"/>
            <w:tcBorders>
              <w:top w:val="nil"/>
              <w:left w:val="nil"/>
              <w:bottom w:val="single" w:sz="4" w:space="0" w:color="auto"/>
              <w:right w:val="single" w:sz="4" w:space="0" w:color="auto"/>
            </w:tcBorders>
            <w:noWrap/>
            <w:vAlign w:val="bottom"/>
            <w:hideMark/>
          </w:tcPr>
          <w:p w14:paraId="45CE0BD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538.45</w:t>
            </w:r>
          </w:p>
        </w:tc>
      </w:tr>
      <w:tr w:rsidR="00FC5524" w:rsidRPr="00FC5524" w14:paraId="6B2341A1" w14:textId="77777777" w:rsidTr="00FC5524">
        <w:trPr>
          <w:trHeight w:val="300"/>
        </w:trPr>
        <w:tc>
          <w:tcPr>
            <w:tcW w:w="1169" w:type="pct"/>
            <w:tcBorders>
              <w:top w:val="nil"/>
              <w:left w:val="single" w:sz="4" w:space="0" w:color="auto"/>
              <w:bottom w:val="single" w:sz="4" w:space="0" w:color="auto"/>
              <w:right w:val="single" w:sz="4" w:space="0" w:color="auto"/>
            </w:tcBorders>
            <w:noWrap/>
            <w:vAlign w:val="bottom"/>
            <w:hideMark/>
          </w:tcPr>
          <w:p w14:paraId="2D3AD352"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w:t>
            </w:r>
          </w:p>
        </w:tc>
        <w:tc>
          <w:tcPr>
            <w:tcW w:w="1169" w:type="pct"/>
            <w:tcBorders>
              <w:top w:val="nil"/>
              <w:left w:val="nil"/>
              <w:bottom w:val="single" w:sz="4" w:space="0" w:color="auto"/>
              <w:right w:val="single" w:sz="4" w:space="0" w:color="auto"/>
            </w:tcBorders>
            <w:noWrap/>
            <w:vAlign w:val="bottom"/>
            <w:hideMark/>
          </w:tcPr>
          <w:p w14:paraId="44C9C216"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717.5</w:t>
            </w:r>
          </w:p>
        </w:tc>
        <w:tc>
          <w:tcPr>
            <w:tcW w:w="1169" w:type="pct"/>
            <w:tcBorders>
              <w:top w:val="nil"/>
              <w:left w:val="nil"/>
              <w:bottom w:val="single" w:sz="4" w:space="0" w:color="auto"/>
              <w:right w:val="single" w:sz="4" w:space="0" w:color="auto"/>
            </w:tcBorders>
            <w:noWrap/>
            <w:vAlign w:val="bottom"/>
            <w:hideMark/>
          </w:tcPr>
          <w:p w14:paraId="0B27A2E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0.840</w:t>
            </w:r>
          </w:p>
        </w:tc>
        <w:tc>
          <w:tcPr>
            <w:tcW w:w="1494" w:type="pct"/>
            <w:tcBorders>
              <w:top w:val="nil"/>
              <w:left w:val="nil"/>
              <w:bottom w:val="single" w:sz="4" w:space="0" w:color="auto"/>
              <w:right w:val="single" w:sz="4" w:space="0" w:color="auto"/>
            </w:tcBorders>
            <w:noWrap/>
            <w:vAlign w:val="bottom"/>
            <w:hideMark/>
          </w:tcPr>
          <w:p w14:paraId="0AA15AC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602.43</w:t>
            </w:r>
          </w:p>
        </w:tc>
      </w:tr>
      <w:tr w:rsidR="00FC5524" w:rsidRPr="00FC5524" w14:paraId="0ED206EF" w14:textId="77777777" w:rsidTr="00FC5524">
        <w:trPr>
          <w:trHeight w:val="300"/>
        </w:trPr>
        <w:tc>
          <w:tcPr>
            <w:tcW w:w="1169" w:type="pct"/>
            <w:tcBorders>
              <w:top w:val="nil"/>
              <w:left w:val="single" w:sz="4" w:space="0" w:color="auto"/>
              <w:bottom w:val="single" w:sz="4" w:space="0" w:color="auto"/>
              <w:right w:val="single" w:sz="4" w:space="0" w:color="auto"/>
            </w:tcBorders>
            <w:noWrap/>
            <w:vAlign w:val="bottom"/>
            <w:hideMark/>
          </w:tcPr>
          <w:p w14:paraId="42999B1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w:t>
            </w:r>
          </w:p>
        </w:tc>
        <w:tc>
          <w:tcPr>
            <w:tcW w:w="1169" w:type="pct"/>
            <w:tcBorders>
              <w:top w:val="nil"/>
              <w:left w:val="nil"/>
              <w:bottom w:val="single" w:sz="4" w:space="0" w:color="auto"/>
              <w:right w:val="single" w:sz="4" w:space="0" w:color="auto"/>
            </w:tcBorders>
            <w:noWrap/>
            <w:vAlign w:val="bottom"/>
            <w:hideMark/>
          </w:tcPr>
          <w:p w14:paraId="19DEFCC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905</w:t>
            </w:r>
          </w:p>
        </w:tc>
        <w:tc>
          <w:tcPr>
            <w:tcW w:w="1169" w:type="pct"/>
            <w:tcBorders>
              <w:top w:val="nil"/>
              <w:left w:val="nil"/>
              <w:bottom w:val="single" w:sz="4" w:space="0" w:color="auto"/>
              <w:right w:val="single" w:sz="4" w:space="0" w:color="auto"/>
            </w:tcBorders>
            <w:noWrap/>
            <w:vAlign w:val="bottom"/>
            <w:hideMark/>
          </w:tcPr>
          <w:p w14:paraId="1A94F03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0.792</w:t>
            </w:r>
          </w:p>
        </w:tc>
        <w:tc>
          <w:tcPr>
            <w:tcW w:w="1494" w:type="pct"/>
            <w:tcBorders>
              <w:top w:val="nil"/>
              <w:left w:val="nil"/>
              <w:bottom w:val="single" w:sz="4" w:space="0" w:color="auto"/>
              <w:right w:val="single" w:sz="4" w:space="0" w:color="auto"/>
            </w:tcBorders>
            <w:noWrap/>
            <w:vAlign w:val="bottom"/>
            <w:hideMark/>
          </w:tcPr>
          <w:p w14:paraId="5ED0E44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716.84</w:t>
            </w:r>
          </w:p>
        </w:tc>
      </w:tr>
      <w:tr w:rsidR="00FC5524" w:rsidRPr="00FC5524" w14:paraId="7861099A" w14:textId="77777777" w:rsidTr="00FC5524">
        <w:trPr>
          <w:trHeight w:val="300"/>
        </w:trPr>
        <w:tc>
          <w:tcPr>
            <w:tcW w:w="3506" w:type="pct"/>
            <w:gridSpan w:val="3"/>
            <w:tcBorders>
              <w:top w:val="single" w:sz="4" w:space="0" w:color="auto"/>
              <w:left w:val="single" w:sz="4" w:space="0" w:color="auto"/>
              <w:bottom w:val="single" w:sz="4" w:space="0" w:color="auto"/>
              <w:right w:val="single" w:sz="4" w:space="0" w:color="auto"/>
            </w:tcBorders>
            <w:noWrap/>
            <w:vAlign w:val="bottom"/>
            <w:hideMark/>
          </w:tcPr>
          <w:p w14:paraId="2A60A67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NPV</w:t>
            </w:r>
          </w:p>
        </w:tc>
        <w:tc>
          <w:tcPr>
            <w:tcW w:w="1494" w:type="pct"/>
            <w:tcBorders>
              <w:top w:val="nil"/>
              <w:left w:val="nil"/>
              <w:bottom w:val="single" w:sz="4" w:space="0" w:color="auto"/>
              <w:right w:val="single" w:sz="4" w:space="0" w:color="auto"/>
            </w:tcBorders>
            <w:noWrap/>
            <w:vAlign w:val="bottom"/>
            <w:hideMark/>
          </w:tcPr>
          <w:p w14:paraId="58DEDA14"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616.21</w:t>
            </w:r>
          </w:p>
        </w:tc>
      </w:tr>
    </w:tbl>
    <w:p w14:paraId="3DBA5F11"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 </w:t>
      </w:r>
    </w:p>
    <w:p w14:paraId="31DDEE69"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The above calculated NPVs for the three models are as given below</w:t>
      </w:r>
    </w:p>
    <w:p w14:paraId="2A1006D1"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Model A has an NPV of £394.06(000).</w:t>
      </w:r>
    </w:p>
    <w:p w14:paraId="43E23D24"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Model B has an NPV of £748.15(000).</w:t>
      </w:r>
    </w:p>
    <w:p w14:paraId="59507747"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Model C has an NPV of £616.21(000).</w:t>
      </w:r>
    </w:p>
    <w:p w14:paraId="7EFCB987"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lastRenderedPageBreak/>
        <w:t>Therefore, Model B should be chosen with a given capital allowance of £1,000,000 and discounting rate of 6%, as the net outcome delivers a higher cash flow when compared to the other two given options (</w:t>
      </w:r>
      <w:r w:rsidRPr="00FC5524">
        <w:rPr>
          <w:rFonts w:ascii="Times New Roman" w:eastAsia="Calibri" w:hAnsi="Times New Roman" w:cs="Times New Roman"/>
          <w:color w:val="222222"/>
          <w:kern w:val="0"/>
          <w:shd w:val="clear" w:color="auto" w:fill="FFFFFF"/>
          <w:lang w:eastAsia="en-GB"/>
          <w14:ligatures w14:val="none"/>
        </w:rPr>
        <w:t>Dai et al., 2022)</w:t>
      </w:r>
      <w:r w:rsidRPr="00FC5524">
        <w:rPr>
          <w:rFonts w:ascii="Times New Roman" w:eastAsia="Calibri" w:hAnsi="Times New Roman" w:cs="Times New Roman"/>
          <w:kern w:val="0"/>
          <w:lang w:eastAsia="en-GB"/>
          <w14:ligatures w14:val="none"/>
        </w:rPr>
        <w:t xml:space="preserve">. </w:t>
      </w:r>
    </w:p>
    <w:p w14:paraId="40666EF9"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17" w:name="_Toc203756912"/>
      <w:bookmarkEnd w:id="17"/>
      <w:r w:rsidRPr="00FC5524">
        <w:rPr>
          <w:rFonts w:ascii="Times New Roman" w:eastAsia="SimSun" w:hAnsi="Times New Roman" w:cs="Times New Roman"/>
          <w:b/>
          <w:bCs/>
          <w:color w:val="4F81BD"/>
          <w:kern w:val="0"/>
          <w:u w:val="single"/>
          <w:lang w:eastAsia="en-GB"/>
          <w14:ligatures w14:val="none"/>
        </w:rPr>
        <w:t>Solution b</w:t>
      </w:r>
    </w:p>
    <w:p w14:paraId="34BC14E8"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Computation of the Internal Rate of Return for all models</w:t>
      </w:r>
    </w:p>
    <w:p w14:paraId="2E7AE8F1" w14:textId="77777777" w:rsidR="00FC5524" w:rsidRPr="00FC5524" w:rsidRDefault="00FC5524" w:rsidP="00FC5524">
      <w:pPr>
        <w:keepNext/>
        <w:keepLines/>
        <w:widowControl w:val="0"/>
        <w:spacing w:before="200" w:after="0" w:line="360" w:lineRule="auto"/>
        <w:outlineLvl w:val="2"/>
        <w:rPr>
          <w:rFonts w:ascii="Times New Roman" w:eastAsia="SimSun" w:hAnsi="Times New Roman" w:cs="Times New Roman"/>
          <w:b/>
          <w:bCs/>
          <w:kern w:val="0"/>
          <w:u w:val="single"/>
          <w:lang w:eastAsia="en-GB"/>
          <w14:ligatures w14:val="none"/>
        </w:rPr>
      </w:pPr>
      <w:bookmarkStart w:id="18" w:name="_Toc203756913"/>
      <w:bookmarkEnd w:id="18"/>
      <w:r w:rsidRPr="00FC5524">
        <w:rPr>
          <w:rFonts w:ascii="Times New Roman" w:eastAsia="SimSun" w:hAnsi="Times New Roman" w:cs="Times New Roman"/>
          <w:b/>
          <w:bCs/>
          <w:kern w:val="0"/>
          <w:u w:val="single"/>
          <w:lang w:eastAsia="en-GB"/>
          <w14:ligatures w14:val="none"/>
        </w:rPr>
        <w:t>Model A</w:t>
      </w:r>
    </w:p>
    <w:p w14:paraId="3C47252A"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In the computation of IRR, there needs to be two rates selected for each model.</w:t>
      </w:r>
    </w:p>
    <w:p w14:paraId="10699E44"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Let Ra= 6% and Rb = 30%</w:t>
      </w:r>
    </w:p>
    <w:p w14:paraId="3EE960A8"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Then, </w:t>
      </w:r>
      <w:proofErr w:type="spellStart"/>
      <w:r w:rsidRPr="00FC5524">
        <w:rPr>
          <w:rFonts w:ascii="Times New Roman" w:eastAsia="Calibri" w:hAnsi="Times New Roman" w:cs="Times New Roman"/>
          <w:kern w:val="0"/>
          <w:lang w:eastAsia="en-GB"/>
          <w14:ligatures w14:val="none"/>
        </w:rPr>
        <w:t>NPVa</w:t>
      </w:r>
      <w:proofErr w:type="spellEnd"/>
      <w:r w:rsidRPr="00FC5524">
        <w:rPr>
          <w:rFonts w:ascii="Times New Roman" w:eastAsia="Calibri" w:hAnsi="Times New Roman" w:cs="Times New Roman"/>
          <w:kern w:val="0"/>
          <w:lang w:eastAsia="en-GB"/>
          <w14:ligatures w14:val="none"/>
        </w:rPr>
        <w:t xml:space="preserve"> = £394.63 (000) and </w:t>
      </w:r>
      <w:proofErr w:type="spellStart"/>
      <w:r w:rsidRPr="00FC5524">
        <w:rPr>
          <w:rFonts w:ascii="Times New Roman" w:eastAsia="Calibri" w:hAnsi="Times New Roman" w:cs="Times New Roman"/>
          <w:kern w:val="0"/>
          <w:lang w:eastAsia="en-GB"/>
          <w14:ligatures w14:val="none"/>
        </w:rPr>
        <w:t>NPVb</w:t>
      </w:r>
      <w:proofErr w:type="spellEnd"/>
      <w:r w:rsidRPr="00FC5524">
        <w:rPr>
          <w:rFonts w:ascii="Times New Roman" w:eastAsia="Calibri" w:hAnsi="Times New Roman" w:cs="Times New Roman"/>
          <w:kern w:val="0"/>
          <w:lang w:eastAsia="en-GB"/>
          <w14:ligatures w14:val="none"/>
        </w:rPr>
        <w:t>= -£18.64 (000)</w:t>
      </w:r>
    </w:p>
    <w:p w14:paraId="1A2DF196"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IRR for Model A Ra </w:t>
      </w:r>
      <w:proofErr w:type="spellStart"/>
      <w:r w:rsidRPr="00FC5524">
        <w:rPr>
          <w:rFonts w:ascii="Times New Roman" w:eastAsia="Calibri" w:hAnsi="Times New Roman" w:cs="Times New Roman"/>
          <w:kern w:val="0"/>
          <w:lang w:eastAsia="en-GB"/>
          <w14:ligatures w14:val="none"/>
        </w:rPr>
        <w:t>NPVa</w:t>
      </w:r>
      <w:proofErr w:type="spellEnd"/>
      <w:r w:rsidRPr="00FC5524">
        <w:rPr>
          <w:rFonts w:ascii="Times New Roman" w:eastAsia="Calibri" w:hAnsi="Times New Roman" w:cs="Times New Roman"/>
          <w:kern w:val="0"/>
          <w:lang w:eastAsia="en-GB"/>
          <w14:ligatures w14:val="none"/>
        </w:rPr>
        <w:t xml:space="preserve"> (Rb-Ra)/ (</w:t>
      </w:r>
      <w:proofErr w:type="spellStart"/>
      <w:r w:rsidRPr="00FC5524">
        <w:rPr>
          <w:rFonts w:ascii="Times New Roman" w:eastAsia="Calibri" w:hAnsi="Times New Roman" w:cs="Times New Roman"/>
          <w:kern w:val="0"/>
          <w:lang w:eastAsia="en-GB"/>
          <w14:ligatures w14:val="none"/>
        </w:rPr>
        <w:t>NPVa</w:t>
      </w:r>
      <w:proofErr w:type="spellEnd"/>
      <w:r w:rsidRPr="00FC5524">
        <w:rPr>
          <w:rFonts w:ascii="Times New Roman" w:eastAsia="Calibri" w:hAnsi="Times New Roman" w:cs="Times New Roman"/>
          <w:kern w:val="0"/>
          <w:lang w:eastAsia="en-GB"/>
          <w14:ligatures w14:val="none"/>
        </w:rPr>
        <w:t xml:space="preserve">- </w:t>
      </w:r>
      <w:proofErr w:type="spellStart"/>
      <w:r w:rsidRPr="00FC5524">
        <w:rPr>
          <w:rFonts w:ascii="Times New Roman" w:eastAsia="Calibri" w:hAnsi="Times New Roman" w:cs="Times New Roman"/>
          <w:kern w:val="0"/>
          <w:lang w:eastAsia="en-GB"/>
          <w14:ligatures w14:val="none"/>
        </w:rPr>
        <w:t>NPVb</w:t>
      </w:r>
      <w:proofErr w:type="spellEnd"/>
      <w:r w:rsidRPr="00FC5524">
        <w:rPr>
          <w:rFonts w:ascii="Times New Roman" w:eastAsia="Calibri" w:hAnsi="Times New Roman" w:cs="Times New Roman"/>
          <w:kern w:val="0"/>
          <w:lang w:eastAsia="en-GB"/>
          <w14:ligatures w14:val="none"/>
        </w:rPr>
        <w:t>)</w:t>
      </w:r>
    </w:p>
    <w:p w14:paraId="6F99D830"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Substituting the value in the stated formulas:</w:t>
      </w:r>
    </w:p>
    <w:p w14:paraId="7C079B53"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0.06+ [394.63 (0.30-0.06)/ (394.63</w:t>
      </w:r>
      <w:proofErr w:type="gramStart"/>
      <w:r w:rsidRPr="00FC5524">
        <w:rPr>
          <w:rFonts w:ascii="Times New Roman" w:eastAsia="Calibri" w:hAnsi="Times New Roman" w:cs="Times New Roman"/>
          <w:kern w:val="0"/>
          <w:lang w:eastAsia="en-GB"/>
          <w14:ligatures w14:val="none"/>
        </w:rPr>
        <w:t>-(</w:t>
      </w:r>
      <w:proofErr w:type="gramEnd"/>
      <w:r w:rsidRPr="00FC5524">
        <w:rPr>
          <w:rFonts w:ascii="Times New Roman" w:eastAsia="Calibri" w:hAnsi="Times New Roman" w:cs="Times New Roman"/>
          <w:kern w:val="0"/>
          <w:lang w:eastAsia="en-GB"/>
          <w14:ligatures w14:val="none"/>
        </w:rPr>
        <w:t>- -18.64))]</w:t>
      </w:r>
    </w:p>
    <w:p w14:paraId="4ADEC2F3"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0.06+ (94.71/ 413.27)</w:t>
      </w:r>
    </w:p>
    <w:p w14:paraId="5EE9D199"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0.06+ 0.2291</w:t>
      </w:r>
    </w:p>
    <w:p w14:paraId="4B1AB4F2"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=0.2891 or 28.91%</w:t>
      </w:r>
    </w:p>
    <w:p w14:paraId="5A9C8400"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Hence, for the Model A, the company would generate 28.91%</w:t>
      </w:r>
    </w:p>
    <w:p w14:paraId="4180D6E8" w14:textId="77777777" w:rsidR="00FC5524" w:rsidRPr="00FC5524" w:rsidRDefault="00FC5524" w:rsidP="00FC5524">
      <w:pPr>
        <w:keepNext/>
        <w:keepLines/>
        <w:widowControl w:val="0"/>
        <w:spacing w:before="200" w:after="0" w:line="360" w:lineRule="auto"/>
        <w:outlineLvl w:val="2"/>
        <w:rPr>
          <w:rFonts w:ascii="Times New Roman" w:eastAsia="SimSun" w:hAnsi="Times New Roman" w:cs="Times New Roman"/>
          <w:b/>
          <w:bCs/>
          <w:kern w:val="0"/>
          <w:u w:val="single"/>
          <w:lang w:eastAsia="en-GB"/>
          <w14:ligatures w14:val="none"/>
        </w:rPr>
      </w:pPr>
      <w:bookmarkStart w:id="19" w:name="_Toc203756914"/>
      <w:bookmarkEnd w:id="19"/>
      <w:r w:rsidRPr="00FC5524">
        <w:rPr>
          <w:rFonts w:ascii="Times New Roman" w:eastAsia="SimSun" w:hAnsi="Times New Roman" w:cs="Times New Roman"/>
          <w:b/>
          <w:bCs/>
          <w:kern w:val="0"/>
          <w:u w:val="single"/>
          <w:lang w:eastAsia="en-GB"/>
          <w14:ligatures w14:val="none"/>
        </w:rPr>
        <w:t>Model B</w:t>
      </w:r>
    </w:p>
    <w:p w14:paraId="06C15322"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Let Ra= 6% and Rb = 40%</w:t>
      </w:r>
    </w:p>
    <w:p w14:paraId="419EF274"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Then, </w:t>
      </w:r>
      <w:proofErr w:type="spellStart"/>
      <w:r w:rsidRPr="00FC5524">
        <w:rPr>
          <w:rFonts w:ascii="Times New Roman" w:eastAsia="Calibri" w:hAnsi="Times New Roman" w:cs="Times New Roman"/>
          <w:kern w:val="0"/>
          <w:lang w:eastAsia="en-GB"/>
          <w14:ligatures w14:val="none"/>
        </w:rPr>
        <w:t>NPVa</w:t>
      </w:r>
      <w:proofErr w:type="spellEnd"/>
      <w:r w:rsidRPr="00FC5524">
        <w:rPr>
          <w:rFonts w:ascii="Times New Roman" w:eastAsia="Calibri" w:hAnsi="Times New Roman" w:cs="Times New Roman"/>
          <w:kern w:val="0"/>
          <w:lang w:eastAsia="en-GB"/>
          <w14:ligatures w14:val="none"/>
        </w:rPr>
        <w:t xml:space="preserve"> = £748.15 (000) and </w:t>
      </w:r>
      <w:proofErr w:type="spellStart"/>
      <w:r w:rsidRPr="00FC5524">
        <w:rPr>
          <w:rFonts w:ascii="Times New Roman" w:eastAsia="Calibri" w:hAnsi="Times New Roman" w:cs="Times New Roman"/>
          <w:kern w:val="0"/>
          <w:lang w:eastAsia="en-GB"/>
          <w14:ligatures w14:val="none"/>
        </w:rPr>
        <w:t>NPVb</w:t>
      </w:r>
      <w:proofErr w:type="spellEnd"/>
      <w:r w:rsidRPr="00FC5524">
        <w:rPr>
          <w:rFonts w:ascii="Times New Roman" w:eastAsia="Calibri" w:hAnsi="Times New Roman" w:cs="Times New Roman"/>
          <w:kern w:val="0"/>
          <w:lang w:eastAsia="en-GB"/>
          <w14:ligatures w14:val="none"/>
        </w:rPr>
        <w:t>= -£152.07 (000)</w:t>
      </w:r>
    </w:p>
    <w:p w14:paraId="09C82156"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IRR for Model A Ra </w:t>
      </w:r>
      <w:proofErr w:type="spellStart"/>
      <w:r w:rsidRPr="00FC5524">
        <w:rPr>
          <w:rFonts w:ascii="Times New Roman" w:eastAsia="Calibri" w:hAnsi="Times New Roman" w:cs="Times New Roman"/>
          <w:kern w:val="0"/>
          <w:lang w:eastAsia="en-GB"/>
          <w14:ligatures w14:val="none"/>
        </w:rPr>
        <w:t>NPVa</w:t>
      </w:r>
      <w:proofErr w:type="spellEnd"/>
      <w:r w:rsidRPr="00FC5524">
        <w:rPr>
          <w:rFonts w:ascii="Times New Roman" w:eastAsia="Calibri" w:hAnsi="Times New Roman" w:cs="Times New Roman"/>
          <w:kern w:val="0"/>
          <w:lang w:eastAsia="en-GB"/>
          <w14:ligatures w14:val="none"/>
        </w:rPr>
        <w:t xml:space="preserve"> (Rb-Ra)/ (</w:t>
      </w:r>
      <w:proofErr w:type="spellStart"/>
      <w:r w:rsidRPr="00FC5524">
        <w:rPr>
          <w:rFonts w:ascii="Times New Roman" w:eastAsia="Calibri" w:hAnsi="Times New Roman" w:cs="Times New Roman"/>
          <w:kern w:val="0"/>
          <w:lang w:eastAsia="en-GB"/>
          <w14:ligatures w14:val="none"/>
        </w:rPr>
        <w:t>NPVa-NPVb</w:t>
      </w:r>
      <w:proofErr w:type="spellEnd"/>
      <w:r w:rsidRPr="00FC5524">
        <w:rPr>
          <w:rFonts w:ascii="Times New Roman" w:eastAsia="Calibri" w:hAnsi="Times New Roman" w:cs="Times New Roman"/>
          <w:kern w:val="0"/>
          <w:lang w:eastAsia="en-GB"/>
          <w14:ligatures w14:val="none"/>
        </w:rPr>
        <w:t>)</w:t>
      </w:r>
    </w:p>
    <w:p w14:paraId="5DB3A7DF"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Substituting the value in the stated formulas:</w:t>
      </w:r>
    </w:p>
    <w:p w14:paraId="503C08BA"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lastRenderedPageBreak/>
        <w:t>= 0.06+ [748.15 (0.40-0.06)/ (748.15</w:t>
      </w:r>
      <w:proofErr w:type="gramStart"/>
      <w:r w:rsidRPr="00FC5524">
        <w:rPr>
          <w:rFonts w:ascii="Times New Roman" w:eastAsia="Calibri" w:hAnsi="Times New Roman" w:cs="Times New Roman"/>
          <w:kern w:val="0"/>
          <w:lang w:eastAsia="en-GB"/>
          <w14:ligatures w14:val="none"/>
        </w:rPr>
        <w:t>-(</w:t>
      </w:r>
      <w:proofErr w:type="gramEnd"/>
      <w:r w:rsidRPr="00FC5524">
        <w:rPr>
          <w:rFonts w:ascii="Times New Roman" w:eastAsia="Calibri" w:hAnsi="Times New Roman" w:cs="Times New Roman"/>
          <w:kern w:val="0"/>
          <w:lang w:eastAsia="en-GB"/>
          <w14:ligatures w14:val="none"/>
        </w:rPr>
        <w:t>-152.07))]</w:t>
      </w:r>
    </w:p>
    <w:p w14:paraId="2A27A4EF"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0.06+ (254.37/900.22)</w:t>
      </w:r>
    </w:p>
    <w:p w14:paraId="4DEF24BD"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0.06+ 0.2825</w:t>
      </w:r>
    </w:p>
    <w:p w14:paraId="6A613E2D"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=0.3426 or 34.26%</w:t>
      </w:r>
    </w:p>
    <w:p w14:paraId="2F9B242F"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Hence, for the Model B, the company would generate 34.26%</w:t>
      </w:r>
    </w:p>
    <w:p w14:paraId="6DC7DEC3" w14:textId="77777777" w:rsidR="00FC5524" w:rsidRPr="00FC5524" w:rsidRDefault="00FC5524" w:rsidP="00FC5524">
      <w:pPr>
        <w:keepNext/>
        <w:keepLines/>
        <w:widowControl w:val="0"/>
        <w:spacing w:before="200" w:after="0" w:line="360" w:lineRule="auto"/>
        <w:outlineLvl w:val="2"/>
        <w:rPr>
          <w:rFonts w:ascii="Times New Roman" w:eastAsia="SimSun" w:hAnsi="Times New Roman" w:cs="Times New Roman"/>
          <w:b/>
          <w:bCs/>
          <w:kern w:val="0"/>
          <w:u w:val="single"/>
          <w:lang w:eastAsia="en-GB"/>
          <w14:ligatures w14:val="none"/>
        </w:rPr>
      </w:pPr>
      <w:bookmarkStart w:id="20" w:name="_Toc203756915"/>
      <w:bookmarkEnd w:id="20"/>
      <w:r w:rsidRPr="00FC5524">
        <w:rPr>
          <w:rFonts w:ascii="Times New Roman" w:eastAsia="SimSun" w:hAnsi="Times New Roman" w:cs="Times New Roman"/>
          <w:b/>
          <w:bCs/>
          <w:kern w:val="0"/>
          <w:u w:val="single"/>
          <w:lang w:eastAsia="en-GB"/>
          <w14:ligatures w14:val="none"/>
        </w:rPr>
        <w:t>Model C</w:t>
      </w:r>
    </w:p>
    <w:p w14:paraId="27B9C7D1"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Let Ra= 6% and Rb = 25%</w:t>
      </w:r>
    </w:p>
    <w:p w14:paraId="1D3362D6"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Then, </w:t>
      </w:r>
      <w:proofErr w:type="spellStart"/>
      <w:r w:rsidRPr="00FC5524">
        <w:rPr>
          <w:rFonts w:ascii="Times New Roman" w:eastAsia="Calibri" w:hAnsi="Times New Roman" w:cs="Times New Roman"/>
          <w:kern w:val="0"/>
          <w:lang w:eastAsia="en-GB"/>
          <w14:ligatures w14:val="none"/>
        </w:rPr>
        <w:t>NPVa</w:t>
      </w:r>
      <w:proofErr w:type="spellEnd"/>
      <w:r w:rsidRPr="00FC5524">
        <w:rPr>
          <w:rFonts w:ascii="Times New Roman" w:eastAsia="Calibri" w:hAnsi="Times New Roman" w:cs="Times New Roman"/>
          <w:kern w:val="0"/>
          <w:lang w:eastAsia="en-GB"/>
          <w14:ligatures w14:val="none"/>
        </w:rPr>
        <w:t xml:space="preserve"> = £616.21 (000) and </w:t>
      </w:r>
      <w:proofErr w:type="spellStart"/>
      <w:r w:rsidRPr="00FC5524">
        <w:rPr>
          <w:rFonts w:ascii="Times New Roman" w:eastAsia="Calibri" w:hAnsi="Times New Roman" w:cs="Times New Roman"/>
          <w:kern w:val="0"/>
          <w:lang w:eastAsia="en-GB"/>
          <w14:ligatures w14:val="none"/>
        </w:rPr>
        <w:t>NPVb</w:t>
      </w:r>
      <w:proofErr w:type="spellEnd"/>
      <w:r w:rsidRPr="00FC5524">
        <w:rPr>
          <w:rFonts w:ascii="Times New Roman" w:eastAsia="Calibri" w:hAnsi="Times New Roman" w:cs="Times New Roman"/>
          <w:kern w:val="0"/>
          <w:lang w:eastAsia="en-GB"/>
          <w14:ligatures w14:val="none"/>
        </w:rPr>
        <w:t>= -£170.75 (000)</w:t>
      </w:r>
    </w:p>
    <w:p w14:paraId="57637146"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IRR for Model A Ra </w:t>
      </w:r>
      <w:proofErr w:type="spellStart"/>
      <w:r w:rsidRPr="00FC5524">
        <w:rPr>
          <w:rFonts w:ascii="Times New Roman" w:eastAsia="Calibri" w:hAnsi="Times New Roman" w:cs="Times New Roman"/>
          <w:kern w:val="0"/>
          <w:lang w:eastAsia="en-GB"/>
          <w14:ligatures w14:val="none"/>
        </w:rPr>
        <w:t>NPVa</w:t>
      </w:r>
      <w:proofErr w:type="spellEnd"/>
      <w:r w:rsidRPr="00FC5524">
        <w:rPr>
          <w:rFonts w:ascii="Times New Roman" w:eastAsia="Calibri" w:hAnsi="Times New Roman" w:cs="Times New Roman"/>
          <w:kern w:val="0"/>
          <w:lang w:eastAsia="en-GB"/>
          <w14:ligatures w14:val="none"/>
        </w:rPr>
        <w:t xml:space="preserve"> (Rb-Ra)/ (</w:t>
      </w:r>
      <w:proofErr w:type="spellStart"/>
      <w:r w:rsidRPr="00FC5524">
        <w:rPr>
          <w:rFonts w:ascii="Times New Roman" w:eastAsia="Calibri" w:hAnsi="Times New Roman" w:cs="Times New Roman"/>
          <w:kern w:val="0"/>
          <w:lang w:eastAsia="en-GB"/>
          <w14:ligatures w14:val="none"/>
        </w:rPr>
        <w:t>NPVa-NPVb</w:t>
      </w:r>
      <w:proofErr w:type="spellEnd"/>
      <w:r w:rsidRPr="00FC5524">
        <w:rPr>
          <w:rFonts w:ascii="Times New Roman" w:eastAsia="Calibri" w:hAnsi="Times New Roman" w:cs="Times New Roman"/>
          <w:kern w:val="0"/>
          <w:lang w:eastAsia="en-GB"/>
          <w14:ligatures w14:val="none"/>
        </w:rPr>
        <w:t>)</w:t>
      </w:r>
    </w:p>
    <w:p w14:paraId="1CFD79DA"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Substituting the value in the stated formulas:</w:t>
      </w:r>
    </w:p>
    <w:p w14:paraId="4338577E"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0.06+ [616.21 (0.25-0.06)/ (616.21</w:t>
      </w:r>
      <w:proofErr w:type="gramStart"/>
      <w:r w:rsidRPr="00FC5524">
        <w:rPr>
          <w:rFonts w:ascii="Times New Roman" w:eastAsia="Calibri" w:hAnsi="Times New Roman" w:cs="Times New Roman"/>
          <w:kern w:val="0"/>
          <w:lang w:eastAsia="en-GB"/>
          <w14:ligatures w14:val="none"/>
        </w:rPr>
        <w:t>-(</w:t>
      </w:r>
      <w:proofErr w:type="gramEnd"/>
      <w:r w:rsidRPr="00FC5524">
        <w:rPr>
          <w:rFonts w:ascii="Times New Roman" w:eastAsia="Calibri" w:hAnsi="Times New Roman" w:cs="Times New Roman"/>
          <w:kern w:val="0"/>
          <w:lang w:eastAsia="en-GB"/>
          <w14:ligatures w14:val="none"/>
        </w:rPr>
        <w:t>-170.75))]</w:t>
      </w:r>
    </w:p>
    <w:p w14:paraId="6381588F"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0.06+ (117.08/786.96)</w:t>
      </w:r>
    </w:p>
    <w:p w14:paraId="742F5357"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0.06+ 0.1488</w:t>
      </w:r>
    </w:p>
    <w:p w14:paraId="569D384D"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=0.2087 or 20.88%</w:t>
      </w:r>
    </w:p>
    <w:p w14:paraId="6885BA03"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Hence, for the Model B, the company would generate 20.88%</w:t>
      </w:r>
    </w:p>
    <w:p w14:paraId="6D3DEF56"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Therefore, after comparing all the above results of the given models, it has been highlighted that the company should choose Model as the internal rate of return is higher when compared to the other two models. </w:t>
      </w:r>
    </w:p>
    <w:p w14:paraId="7C13A5CF"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21" w:name="_Toc203756916"/>
      <w:bookmarkEnd w:id="21"/>
      <w:r w:rsidRPr="00FC5524">
        <w:rPr>
          <w:rFonts w:ascii="Times New Roman" w:eastAsia="SimSun" w:hAnsi="Times New Roman" w:cs="Times New Roman"/>
          <w:b/>
          <w:bCs/>
          <w:color w:val="4F81BD"/>
          <w:kern w:val="0"/>
          <w:u w:val="single"/>
          <w:lang w:eastAsia="en-GB"/>
          <w14:ligatures w14:val="none"/>
        </w:rPr>
        <w:t>Solution c</w:t>
      </w:r>
    </w:p>
    <w:p w14:paraId="18CCE1E0" w14:textId="77777777" w:rsidR="00FC5524" w:rsidRPr="00FC5524" w:rsidRDefault="00FC5524" w:rsidP="00FC5524">
      <w:pPr>
        <w:keepNext/>
        <w:keepLines/>
        <w:widowControl w:val="0"/>
        <w:spacing w:before="200" w:after="0" w:line="273" w:lineRule="auto"/>
        <w:outlineLvl w:val="1"/>
        <w:rPr>
          <w:rFonts w:ascii="Cambria" w:eastAsia="SimSun" w:hAnsi="Cambria" w:cs="Times New Roman"/>
          <w:b/>
          <w:bCs/>
          <w:color w:val="4F81BD"/>
          <w:kern w:val="0"/>
          <w:sz w:val="26"/>
          <w:szCs w:val="26"/>
          <w:u w:val="single"/>
          <w:lang w:eastAsia="en-GB"/>
          <w14:ligatures w14:val="none"/>
        </w:rPr>
      </w:pPr>
      <w:bookmarkStart w:id="22" w:name="_Toc203756917"/>
      <w:bookmarkStart w:id="23" w:name="_Toc203746038"/>
      <w:bookmarkEnd w:id="22"/>
      <w:r w:rsidRPr="00FC5524">
        <w:rPr>
          <w:rFonts w:ascii="Cambria" w:eastAsia="SimSun" w:hAnsi="Cambria" w:cs="Times New Roman"/>
          <w:b/>
          <w:bCs/>
          <w:color w:val="4F81BD"/>
          <w:kern w:val="0"/>
          <w:sz w:val="26"/>
          <w:szCs w:val="26"/>
          <w:u w:val="single"/>
          <w:lang w:eastAsia="en-GB"/>
          <w14:ligatures w14:val="none"/>
        </w:rPr>
        <w:t xml:space="preserve">Answer </w:t>
      </w:r>
      <w:proofErr w:type="spellStart"/>
      <w:r w:rsidRPr="00FC5524">
        <w:rPr>
          <w:rFonts w:ascii="Cambria" w:eastAsia="SimSun" w:hAnsi="Cambria" w:cs="Times New Roman"/>
          <w:b/>
          <w:bCs/>
          <w:color w:val="4F81BD"/>
          <w:kern w:val="0"/>
          <w:sz w:val="26"/>
          <w:szCs w:val="26"/>
          <w:u w:val="single"/>
          <w:lang w:eastAsia="en-GB"/>
          <w14:ligatures w14:val="none"/>
        </w:rPr>
        <w:t>i</w:t>
      </w:r>
      <w:proofErr w:type="spellEnd"/>
      <w:r w:rsidRPr="00FC5524">
        <w:rPr>
          <w:rFonts w:ascii="Cambria" w:eastAsia="SimSun" w:hAnsi="Cambria" w:cs="Times New Roman"/>
          <w:b/>
          <w:bCs/>
          <w:color w:val="4F81BD"/>
          <w:kern w:val="0"/>
          <w:sz w:val="26"/>
          <w:szCs w:val="26"/>
          <w:u w:val="single"/>
          <w:lang w:eastAsia="en-GB"/>
          <w14:ligatures w14:val="none"/>
        </w:rPr>
        <w:t>)</w:t>
      </w:r>
      <w:bookmarkEnd w:id="23"/>
    </w:p>
    <w:p w14:paraId="0702029B"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 NPV is regarded as the most reliable method of investment appraisal because it directly measures how much profit the project will bring to the company’s owner after covering all </w:t>
      </w:r>
      <w:r w:rsidRPr="00FC5524">
        <w:rPr>
          <w:rFonts w:ascii="Times New Roman" w:eastAsia="Calibri" w:hAnsi="Times New Roman" w:cs="Times New Roman"/>
          <w:kern w:val="0"/>
          <w:lang w:eastAsia="en-GB"/>
          <w14:ligatures w14:val="none"/>
        </w:rPr>
        <w:lastRenderedPageBreak/>
        <w:t>costs. Whether an investment will make the business worth more or not. The idea behind the NPV is that it considers that money loses value over time. It converts all the money the project will earn in the future into today’s value. It helps the companies that every pound the project will earn later is given its true value in today’s terms.  The methods like Payback period or accounting rate of return, NPV approach all the money or cash inflow and outflow over the entire life of the project, ensuring no benefits or costs are ignored. One of the main advantages of the NPV is that it allows different projects to be added together, giving a clear picture of the combined financial benefit for the business. If the NPV of the project is positive, which means the project should take more money than its costs to fund it. This helps the company to earn extra profit for its owners, which the investment supports the fundamental aim of corporate finance (</w:t>
      </w:r>
      <w:proofErr w:type="spellStart"/>
      <w:r w:rsidRPr="00FC5524">
        <w:rPr>
          <w:rFonts w:ascii="Times New Roman" w:eastAsia="Calibri" w:hAnsi="Times New Roman" w:cs="Times New Roman"/>
          <w:kern w:val="0"/>
          <w:lang w:eastAsia="en-GB"/>
          <w14:ligatures w14:val="none"/>
        </w:rPr>
        <w:t>Chrysafis</w:t>
      </w:r>
      <w:proofErr w:type="spellEnd"/>
      <w:r w:rsidRPr="00FC5524">
        <w:rPr>
          <w:rFonts w:ascii="Times New Roman" w:eastAsia="Calibri" w:hAnsi="Times New Roman" w:cs="Times New Roman"/>
          <w:kern w:val="0"/>
          <w:lang w:eastAsia="en-GB"/>
          <w14:ligatures w14:val="none"/>
        </w:rPr>
        <w:t xml:space="preserve"> and Papadopoulos, 2020).</w:t>
      </w:r>
    </w:p>
    <w:p w14:paraId="732A9892" w14:textId="77777777" w:rsidR="00FC5524" w:rsidRPr="00FC5524" w:rsidRDefault="00FC5524" w:rsidP="00FC5524">
      <w:pPr>
        <w:keepNext/>
        <w:keepLines/>
        <w:widowControl w:val="0"/>
        <w:spacing w:before="200" w:after="0" w:line="273" w:lineRule="auto"/>
        <w:outlineLvl w:val="1"/>
        <w:rPr>
          <w:rFonts w:ascii="Cambria" w:eastAsia="SimSun" w:hAnsi="Cambria" w:cs="Times New Roman"/>
          <w:b/>
          <w:bCs/>
          <w:color w:val="4F81BD"/>
          <w:kern w:val="0"/>
          <w:sz w:val="26"/>
          <w:szCs w:val="26"/>
          <w:u w:val="single"/>
          <w:lang w:eastAsia="en-GB"/>
          <w14:ligatures w14:val="none"/>
        </w:rPr>
      </w:pPr>
      <w:bookmarkStart w:id="24" w:name="_Toc203756918"/>
      <w:bookmarkStart w:id="25" w:name="_Toc203746039"/>
      <w:bookmarkEnd w:id="24"/>
      <w:r w:rsidRPr="00FC5524">
        <w:rPr>
          <w:rFonts w:ascii="Cambria" w:eastAsia="SimSun" w:hAnsi="Cambria" w:cs="Times New Roman"/>
          <w:b/>
          <w:bCs/>
          <w:color w:val="4F81BD"/>
          <w:kern w:val="0"/>
          <w:sz w:val="26"/>
          <w:szCs w:val="26"/>
          <w:u w:val="single"/>
          <w:lang w:eastAsia="en-GB"/>
          <w14:ligatures w14:val="none"/>
        </w:rPr>
        <w:t>Answer ii)</w:t>
      </w:r>
      <w:bookmarkEnd w:id="25"/>
    </w:p>
    <w:p w14:paraId="442C15F2"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 continued popularity among decision makers of non-discontinuing methods of investment appraisal, including the discounted cash flow method, like Net Present value and Internal Rate of return, is seen better in theory. Still, different companies and managers rely on the non-discounted methods, or can be called a simple method, such as Payback period and Accounting Rate of return, to decide whether to invest in a project. Their ongoing use is mainly explained by the fact that they are practical, simple, and the ease with which they can be easily understood and explained to those who </w:t>
      </w:r>
      <w:proofErr w:type="gramStart"/>
      <w:r w:rsidRPr="00FC5524">
        <w:rPr>
          <w:rFonts w:ascii="Times New Roman" w:eastAsia="Calibri" w:hAnsi="Times New Roman" w:cs="Times New Roman"/>
          <w:kern w:val="0"/>
          <w:lang w:eastAsia="en-GB"/>
          <w14:ligatures w14:val="none"/>
        </w:rPr>
        <w:t>are not financial experts</w:t>
      </w:r>
      <w:proofErr w:type="gramEnd"/>
      <w:r w:rsidRPr="00FC5524">
        <w:rPr>
          <w:rFonts w:ascii="Times New Roman" w:eastAsia="Calibri" w:hAnsi="Times New Roman" w:cs="Times New Roman"/>
          <w:kern w:val="0"/>
          <w:lang w:eastAsia="en-GB"/>
          <w14:ligatures w14:val="none"/>
        </w:rPr>
        <w:t>.</w:t>
      </w:r>
    </w:p>
    <w:p w14:paraId="6A52B6F5"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Many managers and companies use this method because it is easy and simple and shows quickly how risky the investment is, its liquidity, and how soon the funds will return into the business. For small companies or projects that do not have extra funds or money, the recovery of the money is crucial for the company or project to quickly keep the business running; that is why this method is crucial for real life. In today's world, the technologies are changing fast, and the products of the companies are getting outdated, where future cash flows are highly uncertain. The payback period helps the company and managers to get their money back sooner. Like this, the company goes smoothly with long-term investments that may become unprofitable (Nukala and Prasada, 2021).</w:t>
      </w:r>
    </w:p>
    <w:p w14:paraId="0241D13D"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Similarly, the accounting rate of return is also simple and easy because it connects project returns to the company's regular profit, which is shown in the accounts and financial records. ARR gives the percentage based on profits instead of looking at cash flow, so it becomes easy </w:t>
      </w:r>
      <w:r w:rsidRPr="00FC5524">
        <w:rPr>
          <w:rFonts w:ascii="Times New Roman" w:eastAsia="Calibri" w:hAnsi="Times New Roman" w:cs="Times New Roman"/>
          <w:kern w:val="0"/>
          <w:lang w:eastAsia="en-GB"/>
          <w14:ligatures w14:val="none"/>
        </w:rPr>
        <w:lastRenderedPageBreak/>
        <w:t xml:space="preserve">for the company to compare with measures like ROCE. For decision makers, ARR makes it simple and easy to read for those who are not used to complicated cash flow calculations. </w:t>
      </w:r>
    </w:p>
    <w:p w14:paraId="3204CAC8"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Non-discounting methods are useful when it is supplementary to discounted methods. Mostly, companies use the payback period to get their money back easily, as a risk indicator. For boards and managers, these methods are easier to understand and explain than complicated present value calculations. Smaller businesses do not have the data accuracy, the information, or the resources to forecast the future cash flow and discounted rates reliably.  </w:t>
      </w:r>
    </w:p>
    <w:p w14:paraId="7CE42848"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Conclusion: The non-discounting method is practical and useful in real life for companies. They are not only popular for being the strongest in theory, but they are easy and simple to use and relevant to real-world managerial concerns about risk and liquidity (</w:t>
      </w:r>
      <w:proofErr w:type="spellStart"/>
      <w:r w:rsidRPr="00FC5524">
        <w:rPr>
          <w:rFonts w:ascii="Times New Roman" w:eastAsia="Calibri" w:hAnsi="Times New Roman" w:cs="Times New Roman"/>
          <w:kern w:val="0"/>
          <w:lang w:eastAsia="en-GB"/>
          <w14:ligatures w14:val="none"/>
        </w:rPr>
        <w:t>Focacci</w:t>
      </w:r>
      <w:proofErr w:type="spellEnd"/>
      <w:r w:rsidRPr="00FC5524">
        <w:rPr>
          <w:rFonts w:ascii="Times New Roman" w:eastAsia="Calibri" w:hAnsi="Times New Roman" w:cs="Times New Roman"/>
          <w:kern w:val="0"/>
          <w:lang w:eastAsia="en-GB"/>
          <w14:ligatures w14:val="none"/>
        </w:rPr>
        <w:t xml:space="preserve">, 2022). </w:t>
      </w:r>
    </w:p>
    <w:p w14:paraId="57EA49E4" w14:textId="77777777" w:rsidR="00FC5524" w:rsidRPr="00FC5524" w:rsidRDefault="00FC5524" w:rsidP="00FC5524">
      <w:pPr>
        <w:keepNext/>
        <w:keepLines/>
        <w:widowControl w:val="0"/>
        <w:spacing w:before="200" w:after="0" w:line="273" w:lineRule="auto"/>
        <w:outlineLvl w:val="1"/>
        <w:rPr>
          <w:rFonts w:ascii="Cambria" w:eastAsia="SimSun" w:hAnsi="Cambria" w:cs="Times New Roman"/>
          <w:b/>
          <w:bCs/>
          <w:color w:val="4F81BD"/>
          <w:kern w:val="0"/>
          <w:sz w:val="26"/>
          <w:szCs w:val="26"/>
          <w:u w:val="single"/>
          <w:lang w:eastAsia="en-GB"/>
          <w14:ligatures w14:val="none"/>
        </w:rPr>
      </w:pPr>
      <w:bookmarkStart w:id="26" w:name="_Toc203756919"/>
      <w:bookmarkStart w:id="27" w:name="_Toc203746040"/>
      <w:bookmarkEnd w:id="26"/>
      <w:r w:rsidRPr="00FC5524">
        <w:rPr>
          <w:rFonts w:ascii="Cambria" w:eastAsia="SimSun" w:hAnsi="Cambria" w:cs="Times New Roman"/>
          <w:b/>
          <w:bCs/>
          <w:color w:val="4F81BD"/>
          <w:kern w:val="0"/>
          <w:sz w:val="26"/>
          <w:szCs w:val="26"/>
          <w:u w:val="single"/>
          <w:lang w:eastAsia="en-GB"/>
          <w14:ligatures w14:val="none"/>
        </w:rPr>
        <w:t>Answer iii)</w:t>
      </w:r>
      <w:bookmarkEnd w:id="27"/>
    </w:p>
    <w:p w14:paraId="522193DB"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The other factors need to be considered before an investment decision is made, while the financial measure like Net present value and Internal rate of return plays an important role in vital assessing the viability and profitability of an investment project. Directors never rely on the numbers when making big spending decisions. Several strategic and qualitative factors are considered whether the decisions or options fit with Jordan Plc's investment or long-term plans and objectives, and how much risk the company and managers are ready to take (Pa et al, 2022).</w:t>
      </w:r>
    </w:p>
    <w:p w14:paraId="6D322534"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Firstly, the company should examine whether the market situation is crucial. It must be clear that the demand for online wooden blind sales is real for buying, and how the customers are buying the products and changing their habits to shop. Understanding competitors’ strengths and possible reactions to fight back is also important. Thorough research can help confirm if the expected sales figures used in the cash flow plans are realistic (Pawlak and Zarzecki, 2020).</w:t>
      </w:r>
    </w:p>
    <w:p w14:paraId="37CA2444"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Secondly, the directors should also check that the investment matches the goal and plans for the company to grow. Selling the blinds online may attract more customers and more sales across the country or even worldwide, and make the brand feel more modern. On the other hand, making new designs of the curtains and roman blinds would add new products online and help in learning about the new products regarding the quality of the material, creative new designs, and the latest ones. Directors should also see how to pay for the project. How the company is paying for the project by saving profits or borrowing money from banks, or from outside investors. The company needs to keep in mind the cash flow constraints and working </w:t>
      </w:r>
      <w:r w:rsidRPr="00FC5524">
        <w:rPr>
          <w:rFonts w:ascii="Times New Roman" w:eastAsia="Calibri" w:hAnsi="Times New Roman" w:cs="Times New Roman"/>
          <w:kern w:val="0"/>
          <w:lang w:eastAsia="en-GB"/>
          <w14:ligatures w14:val="none"/>
        </w:rPr>
        <w:lastRenderedPageBreak/>
        <w:t>capital requirements, especially if the project needs a lot of money at the start but brings in income slowly. Lastly, directors must think about other effects too, not just profit. Directors should keep in mind the image of the company, how the plan affects the staff's jobs, and how well it keeps promises about helping the environment (Mohamad, Tahir, and Ahmad,2021).</w:t>
      </w:r>
    </w:p>
    <w:p w14:paraId="60DE1F97"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It is also important to look at the risks and uncertainties. This includes the economic factors about things like changes in interest rates, exchange rate risk if selling in other countries, and extra costs to follow rules or to protect environmental compliance. By considering these factors, the board can make a more informed and balanced decision that not only delivers long-term business sustainability and growth but also delivers strong financial returns. </w:t>
      </w:r>
    </w:p>
    <w:p w14:paraId="446ECA5C" w14:textId="77777777" w:rsidR="00FC5524" w:rsidRPr="00FC5524" w:rsidRDefault="00FC5524" w:rsidP="00FC5524">
      <w:pPr>
        <w:keepNext/>
        <w:keepLines/>
        <w:widowControl w:val="0"/>
        <w:spacing w:before="200" w:after="0" w:line="360" w:lineRule="auto"/>
        <w:outlineLvl w:val="1"/>
        <w:rPr>
          <w:rFonts w:ascii="Times New Roman" w:eastAsia="SimSun" w:hAnsi="Times New Roman" w:cs="Times New Roman"/>
          <w:b/>
          <w:bCs/>
          <w:color w:val="4F81BD"/>
          <w:kern w:val="0"/>
          <w:u w:val="single"/>
          <w:lang w:eastAsia="en-GB"/>
          <w14:ligatures w14:val="none"/>
        </w:rPr>
      </w:pPr>
      <w:bookmarkStart w:id="28" w:name="_Toc203756920"/>
      <w:bookmarkEnd w:id="28"/>
      <w:r w:rsidRPr="00FC5524">
        <w:rPr>
          <w:rFonts w:ascii="Times New Roman" w:eastAsia="SimSun" w:hAnsi="Times New Roman" w:cs="Times New Roman"/>
          <w:b/>
          <w:bCs/>
          <w:color w:val="4F81BD"/>
          <w:kern w:val="0"/>
          <w:u w:val="single"/>
          <w:lang w:eastAsia="en-GB"/>
          <w14:ligatures w14:val="none"/>
        </w:rPr>
        <w:t>Solution d</w:t>
      </w:r>
    </w:p>
    <w:p w14:paraId="6955F17A"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Divisible projects are those projects that can be undertaken </w:t>
      </w:r>
      <w:proofErr w:type="gramStart"/>
      <w:r w:rsidRPr="00FC5524">
        <w:rPr>
          <w:rFonts w:ascii="Times New Roman" w:eastAsia="Calibri" w:hAnsi="Times New Roman" w:cs="Times New Roman"/>
          <w:kern w:val="0"/>
          <w:lang w:eastAsia="en-GB"/>
          <w14:ligatures w14:val="none"/>
        </w:rPr>
        <w:t>part-wise</w:t>
      </w:r>
      <w:proofErr w:type="gramEnd"/>
      <w:r w:rsidRPr="00FC5524">
        <w:rPr>
          <w:rFonts w:ascii="Times New Roman" w:eastAsia="Calibri" w:hAnsi="Times New Roman" w:cs="Times New Roman"/>
          <w:kern w:val="0"/>
          <w:lang w:eastAsia="en-GB"/>
          <w14:ligatures w14:val="none"/>
        </w:rPr>
        <w:t xml:space="preserve"> as per the availability of the funds. Hence, according to this process, the company can take the optimum benefit of the </w:t>
      </w:r>
      <w:proofErr w:type="spellStart"/>
      <w:r w:rsidRPr="00FC5524">
        <w:rPr>
          <w:rFonts w:ascii="Times New Roman" w:eastAsia="Calibri" w:hAnsi="Times New Roman" w:cs="Times New Roman"/>
          <w:kern w:val="0"/>
          <w:lang w:eastAsia="en-GB"/>
          <w14:ligatures w14:val="none"/>
        </w:rPr>
        <w:t>fundavailable</w:t>
      </w:r>
      <w:proofErr w:type="spellEnd"/>
      <w:r w:rsidRPr="00FC5524">
        <w:rPr>
          <w:rFonts w:ascii="Times New Roman" w:eastAsia="Calibri" w:hAnsi="Times New Roman" w:cs="Times New Roman"/>
          <w:kern w:val="0"/>
          <w:lang w:eastAsia="en-GB"/>
          <w14:ligatures w14:val="none"/>
        </w:rPr>
        <w:t>, thereby generating the maximum return. In the given scenario, the company has £2,000,000, and the projects are divisible (</w:t>
      </w:r>
      <w:proofErr w:type="spellStart"/>
      <w:r w:rsidRPr="00FC5524">
        <w:rPr>
          <w:rFonts w:ascii="Times New Roman" w:eastAsia="Calibri" w:hAnsi="Times New Roman" w:cs="Times New Roman"/>
          <w:color w:val="222222"/>
          <w:kern w:val="0"/>
          <w:shd w:val="clear" w:color="auto" w:fill="FFFFFF"/>
          <w:lang w:eastAsia="en-GB"/>
          <w14:ligatures w14:val="none"/>
        </w:rPr>
        <w:t>Tortia</w:t>
      </w:r>
      <w:proofErr w:type="spellEnd"/>
      <w:r w:rsidRPr="00FC5524">
        <w:rPr>
          <w:rFonts w:ascii="Times New Roman" w:eastAsia="Calibri" w:hAnsi="Times New Roman" w:cs="Times New Roman"/>
          <w:color w:val="222222"/>
          <w:kern w:val="0"/>
          <w:shd w:val="clear" w:color="auto" w:fill="FFFFFF"/>
          <w:lang w:eastAsia="en-GB"/>
          <w14:ligatures w14:val="none"/>
        </w:rPr>
        <w:t>, 2021)</w:t>
      </w:r>
      <w:r w:rsidRPr="00FC5524">
        <w:rPr>
          <w:rFonts w:ascii="Times New Roman" w:eastAsia="Calibri" w:hAnsi="Times New Roman" w:cs="Times New Roman"/>
          <w:kern w:val="0"/>
          <w:lang w:eastAsia="en-GB"/>
          <w14:ligatures w14:val="none"/>
        </w:rPr>
        <w:t xml:space="preserve">. Therefore, the company can take multiple projects for the available funds. Therefore, the company requires a choice process </w:t>
      </w:r>
      <w:proofErr w:type="gramStart"/>
      <w:r w:rsidRPr="00FC5524">
        <w:rPr>
          <w:rFonts w:ascii="Times New Roman" w:eastAsia="Calibri" w:hAnsi="Times New Roman" w:cs="Times New Roman"/>
          <w:kern w:val="0"/>
          <w:lang w:eastAsia="en-GB"/>
          <w14:ligatures w14:val="none"/>
        </w:rPr>
        <w:t>on the basis of</w:t>
      </w:r>
      <w:proofErr w:type="gramEnd"/>
      <w:r w:rsidRPr="00FC5524">
        <w:rPr>
          <w:rFonts w:ascii="Times New Roman" w:eastAsia="Calibri" w:hAnsi="Times New Roman" w:cs="Times New Roman"/>
          <w:kern w:val="0"/>
          <w:lang w:eastAsia="en-GB"/>
          <w14:ligatures w14:val="none"/>
        </w:rPr>
        <w:t xml:space="preserve"> NPV that has generated maximum cash flow for the selected model. In the calculation of the divisible projects, the profitability index comes into the picture and plays a pivotal role in the determination of the effective allocation of the fund available for the maximum generation of the outcome.</w:t>
      </w:r>
    </w:p>
    <w:p w14:paraId="211DCF28"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Profitability index = NPV/ Total investment made.</w:t>
      </w:r>
    </w:p>
    <w:p w14:paraId="0FA0F259" w14:textId="77777777" w:rsidR="00FC5524" w:rsidRPr="00FC5524" w:rsidRDefault="00FC5524" w:rsidP="00FC5524">
      <w:pPr>
        <w:keepNext/>
        <w:keepLines/>
        <w:widowControl w:val="0"/>
        <w:spacing w:before="200" w:after="0" w:line="360" w:lineRule="auto"/>
        <w:outlineLvl w:val="2"/>
        <w:rPr>
          <w:rFonts w:ascii="Times New Roman" w:eastAsia="SimSun" w:hAnsi="Times New Roman" w:cs="Times New Roman"/>
          <w:b/>
          <w:bCs/>
          <w:kern w:val="0"/>
          <w:u w:val="single"/>
          <w:lang w:eastAsia="en-GB"/>
          <w14:ligatures w14:val="none"/>
        </w:rPr>
      </w:pPr>
      <w:bookmarkStart w:id="29" w:name="_Toc203756921"/>
      <w:bookmarkEnd w:id="29"/>
      <w:r w:rsidRPr="00FC5524">
        <w:rPr>
          <w:rFonts w:ascii="Times New Roman" w:eastAsia="SimSun" w:hAnsi="Times New Roman" w:cs="Times New Roman"/>
          <w:b/>
          <w:bCs/>
          <w:kern w:val="0"/>
          <w:u w:val="single"/>
          <w:lang w:eastAsia="en-GB"/>
          <w14:ligatures w14:val="none"/>
        </w:rPr>
        <w:t>Step 1: Calculation of Profitability Index for each method</w:t>
      </w:r>
    </w:p>
    <w:p w14:paraId="2C7DF861"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Preparation of Ranking Table for the Divisible Projects</w:t>
      </w:r>
    </w:p>
    <w:tbl>
      <w:tblPr>
        <w:tblStyle w:val="TableGrid"/>
        <w:tblW w:w="4669" w:type="pct"/>
        <w:tblInd w:w="0" w:type="dxa"/>
        <w:tblLook w:val="04A0" w:firstRow="1" w:lastRow="0" w:firstColumn="1" w:lastColumn="0" w:noHBand="0" w:noVBand="1"/>
      </w:tblPr>
      <w:tblGrid>
        <w:gridCol w:w="2257"/>
        <w:gridCol w:w="1400"/>
        <w:gridCol w:w="1742"/>
        <w:gridCol w:w="1510"/>
        <w:gridCol w:w="1510"/>
      </w:tblGrid>
      <w:tr w:rsidR="00FC5524" w:rsidRPr="00FC5524" w14:paraId="4193DB54" w14:textId="77777777" w:rsidTr="00FC5524">
        <w:trPr>
          <w:trHeight w:val="237"/>
        </w:trPr>
        <w:tc>
          <w:tcPr>
            <w:tcW w:w="1340" w:type="pct"/>
            <w:tcBorders>
              <w:top w:val="single" w:sz="4" w:space="0" w:color="000000"/>
              <w:left w:val="single" w:sz="4" w:space="0" w:color="000000"/>
              <w:bottom w:val="single" w:sz="4" w:space="0" w:color="000000"/>
              <w:right w:val="single" w:sz="4" w:space="0" w:color="000000"/>
            </w:tcBorders>
            <w:hideMark/>
          </w:tcPr>
          <w:p w14:paraId="77AE75FB" w14:textId="77777777" w:rsidR="00FC5524" w:rsidRPr="00FC5524" w:rsidRDefault="00FC5524" w:rsidP="00FC5524">
            <w:pPr>
              <w:spacing w:before="100" w:beforeAutospacing="1" w:line="360" w:lineRule="auto"/>
              <w:jc w:val="both"/>
              <w:rPr>
                <w:rFonts w:eastAsia="Calibri"/>
              </w:rPr>
            </w:pPr>
            <w:r w:rsidRPr="00FC5524">
              <w:rPr>
                <w:rFonts w:eastAsia="Calibri"/>
              </w:rPr>
              <w:t>Model</w:t>
            </w:r>
          </w:p>
        </w:tc>
        <w:tc>
          <w:tcPr>
            <w:tcW w:w="831" w:type="pct"/>
            <w:tcBorders>
              <w:top w:val="single" w:sz="4" w:space="0" w:color="000000"/>
              <w:left w:val="single" w:sz="4" w:space="0" w:color="000000"/>
              <w:bottom w:val="single" w:sz="4" w:space="0" w:color="000000"/>
              <w:right w:val="single" w:sz="4" w:space="0" w:color="000000"/>
            </w:tcBorders>
            <w:hideMark/>
          </w:tcPr>
          <w:p w14:paraId="7AF108BA" w14:textId="77777777" w:rsidR="00FC5524" w:rsidRPr="00FC5524" w:rsidRDefault="00FC5524" w:rsidP="00FC5524">
            <w:pPr>
              <w:spacing w:before="100" w:beforeAutospacing="1" w:line="360" w:lineRule="auto"/>
              <w:jc w:val="both"/>
              <w:rPr>
                <w:rFonts w:eastAsia="Calibri"/>
              </w:rPr>
            </w:pPr>
            <w:r w:rsidRPr="00FC5524">
              <w:rPr>
                <w:rFonts w:eastAsia="Calibri"/>
              </w:rPr>
              <w:t>NPV (£’000)</w:t>
            </w:r>
          </w:p>
        </w:tc>
        <w:tc>
          <w:tcPr>
            <w:tcW w:w="1034" w:type="pct"/>
            <w:tcBorders>
              <w:top w:val="single" w:sz="4" w:space="0" w:color="000000"/>
              <w:left w:val="single" w:sz="4" w:space="0" w:color="000000"/>
              <w:bottom w:val="single" w:sz="4" w:space="0" w:color="000000"/>
              <w:right w:val="single" w:sz="4" w:space="0" w:color="000000"/>
            </w:tcBorders>
            <w:hideMark/>
          </w:tcPr>
          <w:p w14:paraId="0BE8D32A" w14:textId="77777777" w:rsidR="00FC5524" w:rsidRPr="00FC5524" w:rsidRDefault="00FC5524" w:rsidP="00FC5524">
            <w:pPr>
              <w:spacing w:before="100" w:beforeAutospacing="1" w:line="360" w:lineRule="auto"/>
              <w:jc w:val="both"/>
              <w:rPr>
                <w:rFonts w:eastAsia="Calibri"/>
              </w:rPr>
            </w:pPr>
            <w:r w:rsidRPr="00FC5524">
              <w:rPr>
                <w:rFonts w:eastAsia="Calibri"/>
              </w:rPr>
              <w:t>Initial investment</w:t>
            </w:r>
          </w:p>
        </w:tc>
        <w:tc>
          <w:tcPr>
            <w:tcW w:w="897" w:type="pct"/>
            <w:tcBorders>
              <w:top w:val="single" w:sz="4" w:space="0" w:color="000000"/>
              <w:left w:val="single" w:sz="4" w:space="0" w:color="000000"/>
              <w:bottom w:val="single" w:sz="4" w:space="0" w:color="000000"/>
              <w:right w:val="single" w:sz="4" w:space="0" w:color="000000"/>
            </w:tcBorders>
            <w:hideMark/>
          </w:tcPr>
          <w:p w14:paraId="7DF9B504" w14:textId="77777777" w:rsidR="00FC5524" w:rsidRPr="00FC5524" w:rsidRDefault="00FC5524" w:rsidP="00FC5524">
            <w:pPr>
              <w:spacing w:before="100" w:beforeAutospacing="1" w:line="360" w:lineRule="auto"/>
              <w:jc w:val="both"/>
              <w:rPr>
                <w:rFonts w:eastAsia="Calibri"/>
              </w:rPr>
            </w:pPr>
            <w:r w:rsidRPr="00FC5524">
              <w:rPr>
                <w:rFonts w:eastAsia="Calibri"/>
              </w:rPr>
              <w:t>Profitability Index</w:t>
            </w:r>
          </w:p>
        </w:tc>
        <w:tc>
          <w:tcPr>
            <w:tcW w:w="897" w:type="pct"/>
            <w:tcBorders>
              <w:top w:val="single" w:sz="4" w:space="0" w:color="000000"/>
              <w:left w:val="single" w:sz="4" w:space="0" w:color="000000"/>
              <w:bottom w:val="single" w:sz="4" w:space="0" w:color="000000"/>
              <w:right w:val="single" w:sz="4" w:space="0" w:color="000000"/>
            </w:tcBorders>
            <w:hideMark/>
          </w:tcPr>
          <w:p w14:paraId="6FA25495" w14:textId="77777777" w:rsidR="00FC5524" w:rsidRPr="00FC5524" w:rsidRDefault="00FC5524" w:rsidP="00FC5524">
            <w:pPr>
              <w:spacing w:before="100" w:beforeAutospacing="1" w:line="360" w:lineRule="auto"/>
              <w:jc w:val="both"/>
              <w:rPr>
                <w:rFonts w:eastAsia="Calibri"/>
              </w:rPr>
            </w:pPr>
            <w:r w:rsidRPr="00FC5524">
              <w:rPr>
                <w:rFonts w:eastAsia="Calibri"/>
              </w:rPr>
              <w:t>Rank</w:t>
            </w:r>
          </w:p>
        </w:tc>
      </w:tr>
      <w:tr w:rsidR="00FC5524" w:rsidRPr="00FC5524" w14:paraId="56D581A1" w14:textId="77777777" w:rsidTr="00FC5524">
        <w:trPr>
          <w:trHeight w:val="251"/>
        </w:trPr>
        <w:tc>
          <w:tcPr>
            <w:tcW w:w="1340" w:type="pct"/>
            <w:tcBorders>
              <w:top w:val="single" w:sz="4" w:space="0" w:color="000000"/>
              <w:left w:val="single" w:sz="4" w:space="0" w:color="000000"/>
              <w:bottom w:val="single" w:sz="4" w:space="0" w:color="000000"/>
              <w:right w:val="single" w:sz="4" w:space="0" w:color="000000"/>
            </w:tcBorders>
            <w:hideMark/>
          </w:tcPr>
          <w:p w14:paraId="60520173" w14:textId="77777777" w:rsidR="00FC5524" w:rsidRPr="00FC5524" w:rsidRDefault="00FC5524" w:rsidP="00FC5524">
            <w:pPr>
              <w:spacing w:before="100" w:beforeAutospacing="1" w:line="360" w:lineRule="auto"/>
              <w:jc w:val="both"/>
              <w:rPr>
                <w:rFonts w:eastAsia="Calibri"/>
              </w:rPr>
            </w:pPr>
            <w:r w:rsidRPr="00FC5524">
              <w:rPr>
                <w:rFonts w:eastAsia="Calibri"/>
              </w:rPr>
              <w:t>A</w:t>
            </w:r>
          </w:p>
        </w:tc>
        <w:tc>
          <w:tcPr>
            <w:tcW w:w="831" w:type="pct"/>
            <w:tcBorders>
              <w:top w:val="single" w:sz="4" w:space="0" w:color="000000"/>
              <w:left w:val="single" w:sz="4" w:space="0" w:color="000000"/>
              <w:bottom w:val="single" w:sz="4" w:space="0" w:color="000000"/>
              <w:right w:val="single" w:sz="4" w:space="0" w:color="000000"/>
            </w:tcBorders>
            <w:hideMark/>
          </w:tcPr>
          <w:p w14:paraId="450E941C" w14:textId="77777777" w:rsidR="00FC5524" w:rsidRPr="00FC5524" w:rsidRDefault="00FC5524" w:rsidP="00FC5524">
            <w:pPr>
              <w:spacing w:before="100" w:beforeAutospacing="1" w:line="360" w:lineRule="auto"/>
              <w:jc w:val="both"/>
              <w:rPr>
                <w:rFonts w:eastAsia="Calibri"/>
              </w:rPr>
            </w:pPr>
            <w:r w:rsidRPr="00FC5524">
              <w:rPr>
                <w:rFonts w:eastAsia="Calibri"/>
              </w:rPr>
              <w:t>394.63</w:t>
            </w:r>
          </w:p>
        </w:tc>
        <w:tc>
          <w:tcPr>
            <w:tcW w:w="1034" w:type="pct"/>
            <w:tcBorders>
              <w:top w:val="single" w:sz="4" w:space="0" w:color="000000"/>
              <w:left w:val="single" w:sz="4" w:space="0" w:color="000000"/>
              <w:bottom w:val="single" w:sz="4" w:space="0" w:color="000000"/>
              <w:right w:val="single" w:sz="4" w:space="0" w:color="000000"/>
            </w:tcBorders>
            <w:hideMark/>
          </w:tcPr>
          <w:p w14:paraId="5B54CF43" w14:textId="77777777" w:rsidR="00FC5524" w:rsidRPr="00FC5524" w:rsidRDefault="00FC5524" w:rsidP="00FC5524">
            <w:pPr>
              <w:spacing w:before="100" w:beforeAutospacing="1" w:line="360" w:lineRule="auto"/>
              <w:jc w:val="both"/>
              <w:rPr>
                <w:rFonts w:eastAsia="Calibri"/>
              </w:rPr>
            </w:pPr>
            <w:r w:rsidRPr="00FC5524">
              <w:rPr>
                <w:rFonts w:eastAsia="Calibri"/>
              </w:rPr>
              <w:t>600</w:t>
            </w:r>
          </w:p>
        </w:tc>
        <w:tc>
          <w:tcPr>
            <w:tcW w:w="897" w:type="pct"/>
            <w:tcBorders>
              <w:top w:val="single" w:sz="4" w:space="0" w:color="000000"/>
              <w:left w:val="single" w:sz="4" w:space="0" w:color="000000"/>
              <w:bottom w:val="single" w:sz="4" w:space="0" w:color="000000"/>
              <w:right w:val="single" w:sz="4" w:space="0" w:color="000000"/>
            </w:tcBorders>
            <w:hideMark/>
          </w:tcPr>
          <w:p w14:paraId="5FA0160E" w14:textId="77777777" w:rsidR="00FC5524" w:rsidRPr="00FC5524" w:rsidRDefault="00FC5524" w:rsidP="00FC5524">
            <w:pPr>
              <w:spacing w:before="100" w:beforeAutospacing="1" w:line="360" w:lineRule="auto"/>
              <w:jc w:val="both"/>
              <w:rPr>
                <w:rFonts w:eastAsia="Calibri"/>
              </w:rPr>
            </w:pPr>
            <w:r w:rsidRPr="00FC5524">
              <w:rPr>
                <w:rFonts w:eastAsia="Calibri"/>
              </w:rPr>
              <w:t>394.63/600 = 0.66</w:t>
            </w:r>
          </w:p>
        </w:tc>
        <w:tc>
          <w:tcPr>
            <w:tcW w:w="897" w:type="pct"/>
            <w:tcBorders>
              <w:top w:val="single" w:sz="4" w:space="0" w:color="000000"/>
              <w:left w:val="single" w:sz="4" w:space="0" w:color="000000"/>
              <w:bottom w:val="single" w:sz="4" w:space="0" w:color="000000"/>
              <w:right w:val="single" w:sz="4" w:space="0" w:color="000000"/>
            </w:tcBorders>
            <w:hideMark/>
          </w:tcPr>
          <w:p w14:paraId="1B7AF353" w14:textId="77777777" w:rsidR="00FC5524" w:rsidRPr="00FC5524" w:rsidRDefault="00FC5524" w:rsidP="00FC5524">
            <w:pPr>
              <w:spacing w:before="100" w:beforeAutospacing="1" w:line="360" w:lineRule="auto"/>
              <w:jc w:val="both"/>
              <w:rPr>
                <w:rFonts w:eastAsia="Calibri"/>
              </w:rPr>
            </w:pPr>
            <w:r w:rsidRPr="00FC5524">
              <w:rPr>
                <w:rFonts w:eastAsia="Calibri"/>
              </w:rPr>
              <w:t>2</w:t>
            </w:r>
            <w:r w:rsidRPr="00FC5524">
              <w:rPr>
                <w:rFonts w:eastAsia="Calibri"/>
                <w:vertAlign w:val="superscript"/>
              </w:rPr>
              <w:t>nd</w:t>
            </w:r>
          </w:p>
        </w:tc>
      </w:tr>
      <w:tr w:rsidR="00FC5524" w:rsidRPr="00FC5524" w14:paraId="58D4B163" w14:textId="77777777" w:rsidTr="00FC5524">
        <w:trPr>
          <w:trHeight w:val="251"/>
        </w:trPr>
        <w:tc>
          <w:tcPr>
            <w:tcW w:w="1340" w:type="pct"/>
            <w:tcBorders>
              <w:top w:val="single" w:sz="4" w:space="0" w:color="000000"/>
              <w:left w:val="single" w:sz="4" w:space="0" w:color="000000"/>
              <w:bottom w:val="single" w:sz="4" w:space="0" w:color="000000"/>
              <w:right w:val="single" w:sz="4" w:space="0" w:color="000000"/>
            </w:tcBorders>
            <w:hideMark/>
          </w:tcPr>
          <w:p w14:paraId="57DAEC75" w14:textId="77777777" w:rsidR="00FC5524" w:rsidRPr="00FC5524" w:rsidRDefault="00FC5524" w:rsidP="00FC5524">
            <w:pPr>
              <w:spacing w:before="100" w:beforeAutospacing="1" w:line="360" w:lineRule="auto"/>
              <w:jc w:val="both"/>
              <w:rPr>
                <w:rFonts w:eastAsia="Calibri"/>
              </w:rPr>
            </w:pPr>
            <w:r w:rsidRPr="00FC5524">
              <w:rPr>
                <w:rFonts w:eastAsia="Calibri"/>
              </w:rPr>
              <w:t>B</w:t>
            </w:r>
          </w:p>
        </w:tc>
        <w:tc>
          <w:tcPr>
            <w:tcW w:w="831" w:type="pct"/>
            <w:tcBorders>
              <w:top w:val="single" w:sz="4" w:space="0" w:color="000000"/>
              <w:left w:val="single" w:sz="4" w:space="0" w:color="000000"/>
              <w:bottom w:val="single" w:sz="4" w:space="0" w:color="000000"/>
              <w:right w:val="single" w:sz="4" w:space="0" w:color="000000"/>
            </w:tcBorders>
            <w:hideMark/>
          </w:tcPr>
          <w:p w14:paraId="04AE1EB9" w14:textId="77777777" w:rsidR="00FC5524" w:rsidRPr="00FC5524" w:rsidRDefault="00FC5524" w:rsidP="00FC5524">
            <w:pPr>
              <w:spacing w:before="100" w:beforeAutospacing="1" w:line="360" w:lineRule="auto"/>
              <w:jc w:val="both"/>
              <w:rPr>
                <w:rFonts w:eastAsia="Calibri"/>
              </w:rPr>
            </w:pPr>
            <w:r w:rsidRPr="00FC5524">
              <w:rPr>
                <w:rFonts w:eastAsia="Calibri"/>
              </w:rPr>
              <w:t>748.15</w:t>
            </w:r>
          </w:p>
        </w:tc>
        <w:tc>
          <w:tcPr>
            <w:tcW w:w="1034" w:type="pct"/>
            <w:tcBorders>
              <w:top w:val="single" w:sz="4" w:space="0" w:color="000000"/>
              <w:left w:val="single" w:sz="4" w:space="0" w:color="000000"/>
              <w:bottom w:val="single" w:sz="4" w:space="0" w:color="000000"/>
              <w:right w:val="single" w:sz="4" w:space="0" w:color="000000"/>
            </w:tcBorders>
            <w:hideMark/>
          </w:tcPr>
          <w:p w14:paraId="26DD46FF" w14:textId="77777777" w:rsidR="00FC5524" w:rsidRPr="00FC5524" w:rsidRDefault="00FC5524" w:rsidP="00FC5524">
            <w:pPr>
              <w:spacing w:before="100" w:beforeAutospacing="1" w:line="360" w:lineRule="auto"/>
              <w:jc w:val="both"/>
              <w:rPr>
                <w:rFonts w:eastAsia="Calibri"/>
              </w:rPr>
            </w:pPr>
            <w:r w:rsidRPr="00FC5524">
              <w:rPr>
                <w:rFonts w:eastAsia="Calibri"/>
              </w:rPr>
              <w:t>1000</w:t>
            </w:r>
          </w:p>
        </w:tc>
        <w:tc>
          <w:tcPr>
            <w:tcW w:w="897" w:type="pct"/>
            <w:tcBorders>
              <w:top w:val="single" w:sz="4" w:space="0" w:color="000000"/>
              <w:left w:val="single" w:sz="4" w:space="0" w:color="000000"/>
              <w:bottom w:val="single" w:sz="4" w:space="0" w:color="000000"/>
              <w:right w:val="single" w:sz="4" w:space="0" w:color="000000"/>
            </w:tcBorders>
            <w:hideMark/>
          </w:tcPr>
          <w:p w14:paraId="11F9696D" w14:textId="77777777" w:rsidR="00FC5524" w:rsidRPr="00FC5524" w:rsidRDefault="00FC5524" w:rsidP="00FC5524">
            <w:pPr>
              <w:spacing w:before="100" w:beforeAutospacing="1" w:line="360" w:lineRule="auto"/>
              <w:jc w:val="both"/>
              <w:rPr>
                <w:rFonts w:eastAsia="Calibri"/>
              </w:rPr>
            </w:pPr>
            <w:r w:rsidRPr="00FC5524">
              <w:rPr>
                <w:rFonts w:eastAsia="Calibri"/>
              </w:rPr>
              <w:t>748.1/1000= 0.75</w:t>
            </w:r>
          </w:p>
        </w:tc>
        <w:tc>
          <w:tcPr>
            <w:tcW w:w="897" w:type="pct"/>
            <w:tcBorders>
              <w:top w:val="single" w:sz="4" w:space="0" w:color="000000"/>
              <w:left w:val="single" w:sz="4" w:space="0" w:color="000000"/>
              <w:bottom w:val="single" w:sz="4" w:space="0" w:color="000000"/>
              <w:right w:val="single" w:sz="4" w:space="0" w:color="000000"/>
            </w:tcBorders>
            <w:hideMark/>
          </w:tcPr>
          <w:p w14:paraId="284E2456" w14:textId="77777777" w:rsidR="00FC5524" w:rsidRPr="00FC5524" w:rsidRDefault="00FC5524" w:rsidP="00FC5524">
            <w:pPr>
              <w:spacing w:before="100" w:beforeAutospacing="1" w:line="360" w:lineRule="auto"/>
              <w:jc w:val="both"/>
              <w:rPr>
                <w:rFonts w:eastAsia="Calibri"/>
              </w:rPr>
            </w:pPr>
            <w:r w:rsidRPr="00FC5524">
              <w:rPr>
                <w:rFonts w:eastAsia="Calibri"/>
              </w:rPr>
              <w:t>1</w:t>
            </w:r>
            <w:r w:rsidRPr="00FC5524">
              <w:rPr>
                <w:rFonts w:eastAsia="Calibri"/>
                <w:vertAlign w:val="superscript"/>
              </w:rPr>
              <w:t>st</w:t>
            </w:r>
          </w:p>
        </w:tc>
      </w:tr>
      <w:tr w:rsidR="00FC5524" w:rsidRPr="00FC5524" w14:paraId="45B4A271" w14:textId="77777777" w:rsidTr="00FC5524">
        <w:trPr>
          <w:trHeight w:val="251"/>
        </w:trPr>
        <w:tc>
          <w:tcPr>
            <w:tcW w:w="1340" w:type="pct"/>
            <w:tcBorders>
              <w:top w:val="single" w:sz="4" w:space="0" w:color="000000"/>
              <w:left w:val="single" w:sz="4" w:space="0" w:color="000000"/>
              <w:bottom w:val="single" w:sz="4" w:space="0" w:color="000000"/>
              <w:right w:val="single" w:sz="4" w:space="0" w:color="000000"/>
            </w:tcBorders>
            <w:hideMark/>
          </w:tcPr>
          <w:p w14:paraId="72A5FB01" w14:textId="77777777" w:rsidR="00FC5524" w:rsidRPr="00FC5524" w:rsidRDefault="00FC5524" w:rsidP="00FC5524">
            <w:pPr>
              <w:spacing w:before="100" w:beforeAutospacing="1" w:line="360" w:lineRule="auto"/>
              <w:jc w:val="both"/>
              <w:rPr>
                <w:rFonts w:eastAsia="Calibri"/>
              </w:rPr>
            </w:pPr>
            <w:r w:rsidRPr="00FC5524">
              <w:rPr>
                <w:rFonts w:eastAsia="Calibri"/>
              </w:rPr>
              <w:t>C</w:t>
            </w:r>
          </w:p>
        </w:tc>
        <w:tc>
          <w:tcPr>
            <w:tcW w:w="831" w:type="pct"/>
            <w:tcBorders>
              <w:top w:val="single" w:sz="4" w:space="0" w:color="000000"/>
              <w:left w:val="single" w:sz="4" w:space="0" w:color="000000"/>
              <w:bottom w:val="single" w:sz="4" w:space="0" w:color="000000"/>
              <w:right w:val="single" w:sz="4" w:space="0" w:color="000000"/>
            </w:tcBorders>
            <w:hideMark/>
          </w:tcPr>
          <w:p w14:paraId="649B3F9C" w14:textId="77777777" w:rsidR="00FC5524" w:rsidRPr="00FC5524" w:rsidRDefault="00FC5524" w:rsidP="00FC5524">
            <w:pPr>
              <w:spacing w:before="100" w:beforeAutospacing="1" w:line="360" w:lineRule="auto"/>
              <w:jc w:val="both"/>
              <w:rPr>
                <w:rFonts w:eastAsia="Calibri"/>
              </w:rPr>
            </w:pPr>
            <w:r w:rsidRPr="00FC5524">
              <w:rPr>
                <w:rFonts w:eastAsia="Calibri"/>
              </w:rPr>
              <w:t>616.21</w:t>
            </w:r>
          </w:p>
        </w:tc>
        <w:tc>
          <w:tcPr>
            <w:tcW w:w="1034" w:type="pct"/>
            <w:tcBorders>
              <w:top w:val="single" w:sz="4" w:space="0" w:color="000000"/>
              <w:left w:val="single" w:sz="4" w:space="0" w:color="000000"/>
              <w:bottom w:val="single" w:sz="4" w:space="0" w:color="000000"/>
              <w:right w:val="single" w:sz="4" w:space="0" w:color="000000"/>
            </w:tcBorders>
            <w:hideMark/>
          </w:tcPr>
          <w:p w14:paraId="32E43364" w14:textId="77777777" w:rsidR="00FC5524" w:rsidRPr="00FC5524" w:rsidRDefault="00FC5524" w:rsidP="00FC5524">
            <w:pPr>
              <w:spacing w:before="100" w:beforeAutospacing="1" w:line="360" w:lineRule="auto"/>
              <w:jc w:val="both"/>
              <w:rPr>
                <w:rFonts w:eastAsia="Calibri"/>
              </w:rPr>
            </w:pPr>
            <w:r w:rsidRPr="00FC5524">
              <w:rPr>
                <w:rFonts w:eastAsia="Calibri"/>
              </w:rPr>
              <w:t>1600</w:t>
            </w:r>
          </w:p>
        </w:tc>
        <w:tc>
          <w:tcPr>
            <w:tcW w:w="897" w:type="pct"/>
            <w:tcBorders>
              <w:top w:val="single" w:sz="4" w:space="0" w:color="000000"/>
              <w:left w:val="single" w:sz="4" w:space="0" w:color="000000"/>
              <w:bottom w:val="single" w:sz="4" w:space="0" w:color="000000"/>
              <w:right w:val="single" w:sz="4" w:space="0" w:color="000000"/>
            </w:tcBorders>
            <w:hideMark/>
          </w:tcPr>
          <w:p w14:paraId="7794567F" w14:textId="77777777" w:rsidR="00FC5524" w:rsidRPr="00FC5524" w:rsidRDefault="00FC5524" w:rsidP="00FC5524">
            <w:pPr>
              <w:spacing w:before="100" w:beforeAutospacing="1" w:line="360" w:lineRule="auto"/>
              <w:jc w:val="both"/>
              <w:rPr>
                <w:rFonts w:eastAsia="Calibri"/>
              </w:rPr>
            </w:pPr>
            <w:r w:rsidRPr="00FC5524">
              <w:rPr>
                <w:rFonts w:eastAsia="Calibri"/>
              </w:rPr>
              <w:t>616.21/1600 = 0.39</w:t>
            </w:r>
          </w:p>
        </w:tc>
        <w:tc>
          <w:tcPr>
            <w:tcW w:w="897" w:type="pct"/>
            <w:tcBorders>
              <w:top w:val="single" w:sz="4" w:space="0" w:color="000000"/>
              <w:left w:val="single" w:sz="4" w:space="0" w:color="000000"/>
              <w:bottom w:val="single" w:sz="4" w:space="0" w:color="000000"/>
              <w:right w:val="single" w:sz="4" w:space="0" w:color="000000"/>
            </w:tcBorders>
            <w:hideMark/>
          </w:tcPr>
          <w:p w14:paraId="10C737CE" w14:textId="77777777" w:rsidR="00FC5524" w:rsidRPr="00FC5524" w:rsidRDefault="00FC5524" w:rsidP="00FC5524">
            <w:pPr>
              <w:spacing w:before="100" w:beforeAutospacing="1" w:line="360" w:lineRule="auto"/>
              <w:jc w:val="both"/>
              <w:rPr>
                <w:rFonts w:eastAsia="Calibri"/>
              </w:rPr>
            </w:pPr>
            <w:r w:rsidRPr="00FC5524">
              <w:rPr>
                <w:rFonts w:eastAsia="Calibri"/>
              </w:rPr>
              <w:t>3</w:t>
            </w:r>
            <w:r w:rsidRPr="00FC5524">
              <w:rPr>
                <w:rFonts w:eastAsia="Calibri"/>
                <w:vertAlign w:val="superscript"/>
              </w:rPr>
              <w:t>rd</w:t>
            </w:r>
          </w:p>
        </w:tc>
      </w:tr>
    </w:tbl>
    <w:p w14:paraId="3DC8A344"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lastRenderedPageBreak/>
        <w:t xml:space="preserve"> </w:t>
      </w:r>
    </w:p>
    <w:p w14:paraId="552C35DA" w14:textId="36DD1FD4"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From the above table, it has been concluded that the company should give first preference to Model B as the NPV has reached to £748.15 (000), 2</w:t>
      </w:r>
      <w:r w:rsidRPr="00FC5524">
        <w:rPr>
          <w:rFonts w:ascii="Times New Roman" w:eastAsia="Calibri" w:hAnsi="Times New Roman" w:cs="Times New Roman"/>
          <w:kern w:val="0"/>
          <w:vertAlign w:val="superscript"/>
          <w:lang w:eastAsia="en-GB"/>
          <w14:ligatures w14:val="none"/>
        </w:rPr>
        <w:t>nd</w:t>
      </w:r>
      <w:r w:rsidRPr="00FC5524">
        <w:rPr>
          <w:rFonts w:ascii="Times New Roman" w:eastAsia="Calibri" w:hAnsi="Times New Roman" w:cs="Times New Roman"/>
          <w:kern w:val="0"/>
          <w:lang w:eastAsia="en-GB"/>
          <w14:ligatures w14:val="none"/>
        </w:rPr>
        <w:t xml:space="preserve"> preference to Model A as the NPV </w:t>
      </w:r>
      <w:r w:rsidR="00A174A8" w:rsidRPr="00FC5524">
        <w:rPr>
          <w:rFonts w:ascii="Times New Roman" w:eastAsia="Calibri" w:hAnsi="Times New Roman" w:cs="Times New Roman"/>
          <w:kern w:val="0"/>
          <w:lang w:eastAsia="en-GB"/>
          <w14:ligatures w14:val="none"/>
        </w:rPr>
        <w:t>has reached</w:t>
      </w:r>
      <w:r w:rsidRPr="00FC5524">
        <w:rPr>
          <w:rFonts w:ascii="Times New Roman" w:eastAsia="Calibri" w:hAnsi="Times New Roman" w:cs="Times New Roman"/>
          <w:kern w:val="0"/>
          <w:lang w:eastAsia="en-GB"/>
          <w14:ligatures w14:val="none"/>
        </w:rPr>
        <w:t xml:space="preserve"> to£394.63 (000) and 3</w:t>
      </w:r>
      <w:r w:rsidRPr="00FC5524">
        <w:rPr>
          <w:rFonts w:ascii="Times New Roman" w:eastAsia="Calibri" w:hAnsi="Times New Roman" w:cs="Times New Roman"/>
          <w:kern w:val="0"/>
          <w:vertAlign w:val="superscript"/>
          <w:lang w:eastAsia="en-GB"/>
          <w14:ligatures w14:val="none"/>
        </w:rPr>
        <w:t>rd</w:t>
      </w:r>
      <w:r w:rsidRPr="00FC5524">
        <w:rPr>
          <w:rFonts w:ascii="Times New Roman" w:eastAsia="Calibri" w:hAnsi="Times New Roman" w:cs="Times New Roman"/>
          <w:kern w:val="0"/>
          <w:lang w:eastAsia="en-GB"/>
          <w14:ligatures w14:val="none"/>
        </w:rPr>
        <w:t xml:space="preserve"> preference to Model C as the generated NPV is limited to 616.21 (000).</w:t>
      </w:r>
    </w:p>
    <w:p w14:paraId="1C1AD758" w14:textId="77777777" w:rsidR="00FC5524" w:rsidRPr="00FC5524" w:rsidRDefault="00FC5524" w:rsidP="00FC5524">
      <w:pPr>
        <w:keepNext/>
        <w:keepLines/>
        <w:widowControl w:val="0"/>
        <w:spacing w:before="200" w:after="0" w:line="360" w:lineRule="auto"/>
        <w:outlineLvl w:val="2"/>
        <w:rPr>
          <w:rFonts w:ascii="Times New Roman" w:eastAsia="SimSun" w:hAnsi="Times New Roman" w:cs="Times New Roman"/>
          <w:b/>
          <w:bCs/>
          <w:kern w:val="0"/>
          <w:u w:val="single"/>
          <w:lang w:eastAsia="en-GB"/>
          <w14:ligatures w14:val="none"/>
        </w:rPr>
      </w:pPr>
      <w:bookmarkStart w:id="30" w:name="_Toc203756922"/>
      <w:bookmarkEnd w:id="30"/>
      <w:r w:rsidRPr="00FC5524">
        <w:rPr>
          <w:rFonts w:ascii="Times New Roman" w:eastAsia="SimSun" w:hAnsi="Times New Roman" w:cs="Times New Roman"/>
          <w:b/>
          <w:bCs/>
          <w:kern w:val="0"/>
          <w:u w:val="single"/>
          <w:lang w:eastAsia="en-GB"/>
          <w14:ligatures w14:val="none"/>
        </w:rPr>
        <w:t>Step 2: From the above ranking process, the funds have been allocated accordingly, which are as follows:</w:t>
      </w:r>
    </w:p>
    <w:tbl>
      <w:tblPr>
        <w:tblW w:w="5000" w:type="pct"/>
        <w:tblLook w:val="04A0" w:firstRow="1" w:lastRow="0" w:firstColumn="1" w:lastColumn="0" w:noHBand="0" w:noVBand="1"/>
      </w:tblPr>
      <w:tblGrid>
        <w:gridCol w:w="835"/>
        <w:gridCol w:w="1955"/>
        <w:gridCol w:w="1810"/>
        <w:gridCol w:w="2139"/>
        <w:gridCol w:w="1231"/>
        <w:gridCol w:w="1046"/>
      </w:tblGrid>
      <w:tr w:rsidR="00FC5524" w:rsidRPr="00FC5524" w14:paraId="7873F008" w14:textId="77777777" w:rsidTr="00FC5524">
        <w:trPr>
          <w:trHeight w:val="300"/>
        </w:trPr>
        <w:tc>
          <w:tcPr>
            <w:tcW w:w="760" w:type="pct"/>
            <w:tcBorders>
              <w:top w:val="single" w:sz="4" w:space="0" w:color="auto"/>
              <w:left w:val="single" w:sz="4" w:space="0" w:color="auto"/>
              <w:bottom w:val="single" w:sz="4" w:space="0" w:color="auto"/>
              <w:right w:val="single" w:sz="4" w:space="0" w:color="auto"/>
            </w:tcBorders>
            <w:noWrap/>
            <w:vAlign w:val="bottom"/>
            <w:hideMark/>
          </w:tcPr>
          <w:p w14:paraId="4CC41B11"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Model</w:t>
            </w:r>
          </w:p>
        </w:tc>
        <w:tc>
          <w:tcPr>
            <w:tcW w:w="799" w:type="pct"/>
            <w:tcBorders>
              <w:top w:val="single" w:sz="4" w:space="0" w:color="auto"/>
              <w:left w:val="nil"/>
              <w:bottom w:val="single" w:sz="4" w:space="0" w:color="auto"/>
              <w:right w:val="single" w:sz="4" w:space="0" w:color="auto"/>
            </w:tcBorders>
            <w:noWrap/>
            <w:vAlign w:val="bottom"/>
            <w:hideMark/>
          </w:tcPr>
          <w:p w14:paraId="1A4F3BB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Fund available (£)</w:t>
            </w:r>
          </w:p>
        </w:tc>
        <w:tc>
          <w:tcPr>
            <w:tcW w:w="790" w:type="pct"/>
            <w:tcBorders>
              <w:top w:val="single" w:sz="4" w:space="0" w:color="auto"/>
              <w:left w:val="nil"/>
              <w:bottom w:val="single" w:sz="4" w:space="0" w:color="auto"/>
              <w:right w:val="single" w:sz="4" w:space="0" w:color="auto"/>
            </w:tcBorders>
            <w:noWrap/>
            <w:vAlign w:val="bottom"/>
            <w:hideMark/>
          </w:tcPr>
          <w:p w14:paraId="6CB1809D"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Fund utilized (£)</w:t>
            </w:r>
          </w:p>
        </w:tc>
        <w:tc>
          <w:tcPr>
            <w:tcW w:w="920" w:type="pct"/>
            <w:tcBorders>
              <w:top w:val="single" w:sz="4" w:space="0" w:color="auto"/>
              <w:left w:val="nil"/>
              <w:bottom w:val="single" w:sz="4" w:space="0" w:color="auto"/>
              <w:right w:val="single" w:sz="4" w:space="0" w:color="auto"/>
            </w:tcBorders>
            <w:noWrap/>
            <w:vAlign w:val="bottom"/>
            <w:hideMark/>
          </w:tcPr>
          <w:p w14:paraId="709FF14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Remaining Fund (£)</w:t>
            </w:r>
          </w:p>
        </w:tc>
        <w:tc>
          <w:tcPr>
            <w:tcW w:w="940" w:type="pct"/>
            <w:tcBorders>
              <w:top w:val="single" w:sz="4" w:space="0" w:color="auto"/>
              <w:left w:val="nil"/>
              <w:bottom w:val="single" w:sz="4" w:space="0" w:color="auto"/>
              <w:right w:val="single" w:sz="4" w:space="0" w:color="auto"/>
            </w:tcBorders>
            <w:noWrap/>
            <w:vAlign w:val="bottom"/>
            <w:hideMark/>
          </w:tcPr>
          <w:p w14:paraId="42F846E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Proportion</w:t>
            </w:r>
          </w:p>
        </w:tc>
        <w:tc>
          <w:tcPr>
            <w:tcW w:w="790" w:type="pct"/>
            <w:tcBorders>
              <w:top w:val="single" w:sz="4" w:space="0" w:color="auto"/>
              <w:left w:val="nil"/>
              <w:bottom w:val="single" w:sz="4" w:space="0" w:color="auto"/>
              <w:right w:val="single" w:sz="4" w:space="0" w:color="auto"/>
            </w:tcBorders>
            <w:noWrap/>
            <w:vAlign w:val="bottom"/>
            <w:hideMark/>
          </w:tcPr>
          <w:p w14:paraId="49C3D29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NPV (£)</w:t>
            </w:r>
          </w:p>
        </w:tc>
      </w:tr>
      <w:tr w:rsidR="00FC5524" w:rsidRPr="00FC5524" w14:paraId="27130CB7" w14:textId="77777777" w:rsidTr="00FC5524">
        <w:trPr>
          <w:trHeight w:val="300"/>
        </w:trPr>
        <w:tc>
          <w:tcPr>
            <w:tcW w:w="760" w:type="pct"/>
            <w:tcBorders>
              <w:top w:val="nil"/>
              <w:left w:val="single" w:sz="4" w:space="0" w:color="auto"/>
              <w:bottom w:val="single" w:sz="4" w:space="0" w:color="auto"/>
              <w:right w:val="single" w:sz="4" w:space="0" w:color="auto"/>
            </w:tcBorders>
            <w:noWrap/>
            <w:vAlign w:val="bottom"/>
            <w:hideMark/>
          </w:tcPr>
          <w:p w14:paraId="12CC4DA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B</w:t>
            </w:r>
          </w:p>
        </w:tc>
        <w:tc>
          <w:tcPr>
            <w:tcW w:w="799" w:type="pct"/>
            <w:tcBorders>
              <w:top w:val="nil"/>
              <w:left w:val="nil"/>
              <w:bottom w:val="single" w:sz="4" w:space="0" w:color="auto"/>
              <w:right w:val="single" w:sz="4" w:space="0" w:color="auto"/>
            </w:tcBorders>
            <w:noWrap/>
            <w:vAlign w:val="bottom"/>
            <w:hideMark/>
          </w:tcPr>
          <w:p w14:paraId="42CCDFE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2000000</w:t>
            </w:r>
          </w:p>
        </w:tc>
        <w:tc>
          <w:tcPr>
            <w:tcW w:w="790" w:type="pct"/>
            <w:tcBorders>
              <w:top w:val="nil"/>
              <w:left w:val="nil"/>
              <w:bottom w:val="single" w:sz="4" w:space="0" w:color="auto"/>
              <w:right w:val="single" w:sz="4" w:space="0" w:color="auto"/>
            </w:tcBorders>
            <w:noWrap/>
            <w:vAlign w:val="bottom"/>
            <w:hideMark/>
          </w:tcPr>
          <w:p w14:paraId="48B69D0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1000000</w:t>
            </w:r>
          </w:p>
        </w:tc>
        <w:tc>
          <w:tcPr>
            <w:tcW w:w="920" w:type="pct"/>
            <w:tcBorders>
              <w:top w:val="nil"/>
              <w:left w:val="nil"/>
              <w:bottom w:val="single" w:sz="4" w:space="0" w:color="auto"/>
              <w:right w:val="single" w:sz="4" w:space="0" w:color="auto"/>
            </w:tcBorders>
            <w:noWrap/>
            <w:vAlign w:val="bottom"/>
            <w:hideMark/>
          </w:tcPr>
          <w:p w14:paraId="20B1DB0C"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1000000</w:t>
            </w:r>
          </w:p>
        </w:tc>
        <w:tc>
          <w:tcPr>
            <w:tcW w:w="940" w:type="pct"/>
            <w:tcBorders>
              <w:top w:val="nil"/>
              <w:left w:val="nil"/>
              <w:bottom w:val="single" w:sz="4" w:space="0" w:color="auto"/>
              <w:right w:val="single" w:sz="4" w:space="0" w:color="auto"/>
            </w:tcBorders>
            <w:noWrap/>
            <w:vAlign w:val="bottom"/>
            <w:hideMark/>
          </w:tcPr>
          <w:p w14:paraId="622D313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100%</w:t>
            </w:r>
          </w:p>
        </w:tc>
        <w:tc>
          <w:tcPr>
            <w:tcW w:w="790" w:type="pct"/>
            <w:tcBorders>
              <w:top w:val="nil"/>
              <w:left w:val="nil"/>
              <w:bottom w:val="single" w:sz="4" w:space="0" w:color="auto"/>
              <w:right w:val="single" w:sz="4" w:space="0" w:color="auto"/>
            </w:tcBorders>
            <w:noWrap/>
            <w:vAlign w:val="bottom"/>
            <w:hideMark/>
          </w:tcPr>
          <w:p w14:paraId="7AC65E0D"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748150</w:t>
            </w:r>
          </w:p>
        </w:tc>
      </w:tr>
      <w:tr w:rsidR="00FC5524" w:rsidRPr="00FC5524" w14:paraId="13B74162" w14:textId="77777777" w:rsidTr="00FC5524">
        <w:trPr>
          <w:trHeight w:val="300"/>
        </w:trPr>
        <w:tc>
          <w:tcPr>
            <w:tcW w:w="760" w:type="pct"/>
            <w:tcBorders>
              <w:top w:val="nil"/>
              <w:left w:val="single" w:sz="4" w:space="0" w:color="auto"/>
              <w:bottom w:val="single" w:sz="4" w:space="0" w:color="auto"/>
              <w:right w:val="single" w:sz="4" w:space="0" w:color="auto"/>
            </w:tcBorders>
            <w:noWrap/>
            <w:vAlign w:val="bottom"/>
            <w:hideMark/>
          </w:tcPr>
          <w:p w14:paraId="20DB82D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A</w:t>
            </w:r>
          </w:p>
        </w:tc>
        <w:tc>
          <w:tcPr>
            <w:tcW w:w="799" w:type="pct"/>
            <w:tcBorders>
              <w:top w:val="nil"/>
              <w:left w:val="nil"/>
              <w:bottom w:val="single" w:sz="4" w:space="0" w:color="auto"/>
              <w:right w:val="single" w:sz="4" w:space="0" w:color="auto"/>
            </w:tcBorders>
            <w:noWrap/>
            <w:vAlign w:val="bottom"/>
            <w:hideMark/>
          </w:tcPr>
          <w:p w14:paraId="2037ABC8"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1000000</w:t>
            </w:r>
          </w:p>
        </w:tc>
        <w:tc>
          <w:tcPr>
            <w:tcW w:w="790" w:type="pct"/>
            <w:tcBorders>
              <w:top w:val="nil"/>
              <w:left w:val="nil"/>
              <w:bottom w:val="single" w:sz="4" w:space="0" w:color="auto"/>
              <w:right w:val="single" w:sz="4" w:space="0" w:color="auto"/>
            </w:tcBorders>
            <w:noWrap/>
            <w:vAlign w:val="bottom"/>
            <w:hideMark/>
          </w:tcPr>
          <w:p w14:paraId="12C5CF2E"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600000</w:t>
            </w:r>
          </w:p>
        </w:tc>
        <w:tc>
          <w:tcPr>
            <w:tcW w:w="920" w:type="pct"/>
            <w:tcBorders>
              <w:top w:val="nil"/>
              <w:left w:val="nil"/>
              <w:bottom w:val="single" w:sz="4" w:space="0" w:color="auto"/>
              <w:right w:val="single" w:sz="4" w:space="0" w:color="auto"/>
            </w:tcBorders>
            <w:noWrap/>
            <w:vAlign w:val="bottom"/>
            <w:hideMark/>
          </w:tcPr>
          <w:p w14:paraId="49A9E20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400000</w:t>
            </w:r>
          </w:p>
        </w:tc>
        <w:tc>
          <w:tcPr>
            <w:tcW w:w="940" w:type="pct"/>
            <w:tcBorders>
              <w:top w:val="nil"/>
              <w:left w:val="nil"/>
              <w:bottom w:val="single" w:sz="4" w:space="0" w:color="auto"/>
              <w:right w:val="single" w:sz="4" w:space="0" w:color="auto"/>
            </w:tcBorders>
            <w:noWrap/>
            <w:vAlign w:val="bottom"/>
            <w:hideMark/>
          </w:tcPr>
          <w:p w14:paraId="15517AAB"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100%</w:t>
            </w:r>
          </w:p>
        </w:tc>
        <w:tc>
          <w:tcPr>
            <w:tcW w:w="790" w:type="pct"/>
            <w:tcBorders>
              <w:top w:val="nil"/>
              <w:left w:val="nil"/>
              <w:bottom w:val="single" w:sz="4" w:space="0" w:color="auto"/>
              <w:right w:val="single" w:sz="4" w:space="0" w:color="auto"/>
            </w:tcBorders>
            <w:noWrap/>
            <w:vAlign w:val="bottom"/>
            <w:hideMark/>
          </w:tcPr>
          <w:p w14:paraId="71DBAE36"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394630</w:t>
            </w:r>
          </w:p>
        </w:tc>
      </w:tr>
      <w:tr w:rsidR="00FC5524" w:rsidRPr="00FC5524" w14:paraId="62E7FC8D" w14:textId="77777777" w:rsidTr="00FC5524">
        <w:trPr>
          <w:trHeight w:val="300"/>
        </w:trPr>
        <w:tc>
          <w:tcPr>
            <w:tcW w:w="760" w:type="pct"/>
            <w:tcBorders>
              <w:top w:val="nil"/>
              <w:left w:val="single" w:sz="4" w:space="0" w:color="auto"/>
              <w:bottom w:val="single" w:sz="4" w:space="0" w:color="auto"/>
              <w:right w:val="single" w:sz="4" w:space="0" w:color="auto"/>
            </w:tcBorders>
            <w:noWrap/>
            <w:vAlign w:val="bottom"/>
            <w:hideMark/>
          </w:tcPr>
          <w:p w14:paraId="78541880"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C</w:t>
            </w:r>
          </w:p>
        </w:tc>
        <w:tc>
          <w:tcPr>
            <w:tcW w:w="799" w:type="pct"/>
            <w:tcBorders>
              <w:top w:val="nil"/>
              <w:left w:val="nil"/>
              <w:bottom w:val="single" w:sz="4" w:space="0" w:color="auto"/>
              <w:right w:val="single" w:sz="4" w:space="0" w:color="auto"/>
            </w:tcBorders>
            <w:noWrap/>
            <w:vAlign w:val="bottom"/>
            <w:hideMark/>
          </w:tcPr>
          <w:p w14:paraId="4D3CE6C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400000</w:t>
            </w:r>
          </w:p>
        </w:tc>
        <w:tc>
          <w:tcPr>
            <w:tcW w:w="790" w:type="pct"/>
            <w:tcBorders>
              <w:top w:val="nil"/>
              <w:left w:val="nil"/>
              <w:bottom w:val="single" w:sz="4" w:space="0" w:color="auto"/>
              <w:right w:val="single" w:sz="4" w:space="0" w:color="auto"/>
            </w:tcBorders>
            <w:noWrap/>
            <w:vAlign w:val="bottom"/>
            <w:hideMark/>
          </w:tcPr>
          <w:p w14:paraId="346E38EF"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400000</w:t>
            </w:r>
          </w:p>
        </w:tc>
        <w:tc>
          <w:tcPr>
            <w:tcW w:w="920" w:type="pct"/>
            <w:tcBorders>
              <w:top w:val="nil"/>
              <w:left w:val="nil"/>
              <w:bottom w:val="single" w:sz="4" w:space="0" w:color="auto"/>
              <w:right w:val="single" w:sz="4" w:space="0" w:color="auto"/>
            </w:tcBorders>
            <w:noWrap/>
            <w:vAlign w:val="bottom"/>
            <w:hideMark/>
          </w:tcPr>
          <w:p w14:paraId="038AFE19"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0</w:t>
            </w:r>
          </w:p>
        </w:tc>
        <w:tc>
          <w:tcPr>
            <w:tcW w:w="940" w:type="pct"/>
            <w:tcBorders>
              <w:top w:val="nil"/>
              <w:left w:val="nil"/>
              <w:bottom w:val="single" w:sz="4" w:space="0" w:color="auto"/>
              <w:right w:val="single" w:sz="4" w:space="0" w:color="auto"/>
            </w:tcBorders>
            <w:noWrap/>
            <w:vAlign w:val="bottom"/>
            <w:hideMark/>
          </w:tcPr>
          <w:p w14:paraId="0642AD53"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25%</w:t>
            </w:r>
          </w:p>
        </w:tc>
        <w:tc>
          <w:tcPr>
            <w:tcW w:w="790" w:type="pct"/>
            <w:tcBorders>
              <w:top w:val="nil"/>
              <w:left w:val="nil"/>
              <w:bottom w:val="single" w:sz="4" w:space="0" w:color="auto"/>
              <w:right w:val="single" w:sz="4" w:space="0" w:color="auto"/>
            </w:tcBorders>
            <w:noWrap/>
            <w:vAlign w:val="bottom"/>
            <w:hideMark/>
          </w:tcPr>
          <w:p w14:paraId="46FFEB05"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154053</w:t>
            </w:r>
          </w:p>
        </w:tc>
      </w:tr>
      <w:tr w:rsidR="00FC5524" w:rsidRPr="00FC5524" w14:paraId="7CF0A17F" w14:textId="77777777" w:rsidTr="00FC5524">
        <w:trPr>
          <w:trHeight w:val="300"/>
        </w:trPr>
        <w:tc>
          <w:tcPr>
            <w:tcW w:w="4210" w:type="pct"/>
            <w:gridSpan w:val="5"/>
            <w:tcBorders>
              <w:top w:val="single" w:sz="4" w:space="0" w:color="auto"/>
              <w:left w:val="single" w:sz="4" w:space="0" w:color="auto"/>
              <w:bottom w:val="single" w:sz="4" w:space="0" w:color="auto"/>
              <w:right w:val="single" w:sz="4" w:space="0" w:color="auto"/>
            </w:tcBorders>
            <w:noWrap/>
            <w:vAlign w:val="bottom"/>
            <w:hideMark/>
          </w:tcPr>
          <w:p w14:paraId="78D08FFA"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Total Result</w:t>
            </w:r>
          </w:p>
        </w:tc>
        <w:tc>
          <w:tcPr>
            <w:tcW w:w="790" w:type="pct"/>
            <w:tcBorders>
              <w:top w:val="nil"/>
              <w:left w:val="nil"/>
              <w:bottom w:val="single" w:sz="4" w:space="0" w:color="auto"/>
              <w:right w:val="single" w:sz="4" w:space="0" w:color="auto"/>
            </w:tcBorders>
            <w:noWrap/>
            <w:vAlign w:val="bottom"/>
            <w:hideMark/>
          </w:tcPr>
          <w:p w14:paraId="74305317" w14:textId="77777777" w:rsidR="00FC5524" w:rsidRPr="00FC5524" w:rsidRDefault="00FC5524" w:rsidP="00FC5524">
            <w:pPr>
              <w:spacing w:before="100" w:beforeAutospacing="1" w:after="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1296833</w:t>
            </w:r>
          </w:p>
        </w:tc>
      </w:tr>
    </w:tbl>
    <w:p w14:paraId="367086FD"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 </w:t>
      </w:r>
    </w:p>
    <w:p w14:paraId="15F76983" w14:textId="77777777" w:rsidR="00FC5524" w:rsidRPr="00FC5524" w:rsidRDefault="00FC5524" w:rsidP="00FC5524">
      <w:pPr>
        <w:spacing w:before="100" w:beforeAutospacing="1" w:after="20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Calibri" w:hAnsi="Times New Roman" w:cs="Times New Roman"/>
          <w:kern w:val="0"/>
          <w:lang w:eastAsia="en-GB"/>
          <w14:ligatures w14:val="none"/>
        </w:rPr>
        <w:t xml:space="preserve">Hence, as the projects are divisible, the company can generate </w:t>
      </w:r>
      <w:r w:rsidRPr="00FC5524">
        <w:rPr>
          <w:rFonts w:ascii="Times New Roman" w:eastAsia="Times New Roman" w:hAnsi="Times New Roman" w:cs="Times New Roman"/>
          <w:color w:val="000000"/>
          <w:kern w:val="0"/>
          <w:lang w:eastAsia="en-GB"/>
          <w14:ligatures w14:val="none"/>
        </w:rPr>
        <w:t>£1,296,833 from the deployment of £2000 000. The application of this process enables an organization to generate the maximum result.</w:t>
      </w:r>
    </w:p>
    <w:p w14:paraId="4F9772A6" w14:textId="77777777" w:rsidR="00FC5524" w:rsidRPr="00FC5524" w:rsidRDefault="00FC5524" w:rsidP="00FC5524">
      <w:pPr>
        <w:keepNext/>
        <w:keepLines/>
        <w:widowControl w:val="0"/>
        <w:spacing w:before="480" w:after="0" w:line="273" w:lineRule="auto"/>
        <w:outlineLvl w:val="0"/>
        <w:rPr>
          <w:rFonts w:ascii="Cambria" w:eastAsia="Times New Roman" w:hAnsi="Cambria" w:cs="Times New Roman"/>
          <w:b/>
          <w:bCs/>
          <w:color w:val="366091"/>
          <w:kern w:val="36"/>
          <w:sz w:val="28"/>
          <w:szCs w:val="28"/>
          <w:lang w:eastAsia="en-GB"/>
          <w14:ligatures w14:val="none"/>
        </w:rPr>
      </w:pPr>
      <w:bookmarkStart w:id="31" w:name="_Toc203756923"/>
      <w:bookmarkEnd w:id="31"/>
      <w:r w:rsidRPr="00FC5524">
        <w:rPr>
          <w:rFonts w:ascii="Cambria" w:eastAsia="Times New Roman" w:hAnsi="Cambria" w:cs="Times New Roman"/>
          <w:b/>
          <w:bCs/>
          <w:color w:val="366091"/>
          <w:kern w:val="36"/>
          <w:sz w:val="28"/>
          <w:szCs w:val="28"/>
          <w:lang w:eastAsia="en-GB"/>
          <w14:ligatures w14:val="none"/>
        </w:rPr>
        <w:t>Conclusion</w:t>
      </w:r>
    </w:p>
    <w:p w14:paraId="00161CA8" w14:textId="087D761E" w:rsidR="00FC5524" w:rsidRPr="00FC5524" w:rsidRDefault="00FC5524" w:rsidP="00FC5524">
      <w:pPr>
        <w:spacing w:before="100" w:beforeAutospacing="1" w:after="200" w:line="360" w:lineRule="auto"/>
        <w:jc w:val="both"/>
        <w:rPr>
          <w:rFonts w:ascii="Times New Roman" w:eastAsia="Times New Roman" w:hAnsi="Times New Roman" w:cs="Times New Roman"/>
          <w:color w:val="000000"/>
          <w:kern w:val="0"/>
          <w:lang w:eastAsia="en-GB"/>
          <w14:ligatures w14:val="none"/>
        </w:rPr>
      </w:pPr>
      <w:r w:rsidRPr="00FC5524">
        <w:rPr>
          <w:rFonts w:ascii="Times New Roman" w:eastAsia="Times New Roman" w:hAnsi="Times New Roman" w:cs="Times New Roman"/>
          <w:color w:val="000000"/>
          <w:kern w:val="0"/>
          <w:lang w:eastAsia="en-GB"/>
          <w14:ligatures w14:val="none"/>
        </w:rPr>
        <w:t xml:space="preserve">The above calculation stated that the company should choose Model B when the funds are limited, and if the projects are divisible, then in such a case, the </w:t>
      </w:r>
      <w:r w:rsidR="00A174A8" w:rsidRPr="00FC5524">
        <w:rPr>
          <w:rFonts w:ascii="Times New Roman" w:eastAsia="Times New Roman" w:hAnsi="Times New Roman" w:cs="Times New Roman"/>
          <w:color w:val="000000"/>
          <w:kern w:val="0"/>
          <w:lang w:eastAsia="en-GB"/>
          <w14:ligatures w14:val="none"/>
        </w:rPr>
        <w:t>ranking process needs</w:t>
      </w:r>
      <w:r w:rsidRPr="00FC5524">
        <w:rPr>
          <w:rFonts w:ascii="Times New Roman" w:eastAsia="Times New Roman" w:hAnsi="Times New Roman" w:cs="Times New Roman"/>
          <w:color w:val="000000"/>
          <w:kern w:val="0"/>
          <w:lang w:eastAsia="en-GB"/>
          <w14:ligatures w14:val="none"/>
        </w:rPr>
        <w:t xml:space="preserve"> to follow for the generation of effective and maximum return. </w:t>
      </w:r>
    </w:p>
    <w:p w14:paraId="6B55FE0B" w14:textId="4574F8C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The main sources of finance are internal and external. In an internal source, the company can avail itself of finance from </w:t>
      </w:r>
      <w:r w:rsidR="00367948" w:rsidRPr="00FC5524">
        <w:rPr>
          <w:rFonts w:ascii="Times New Roman" w:eastAsia="Calibri" w:hAnsi="Times New Roman" w:cs="Times New Roman"/>
          <w:kern w:val="0"/>
          <w:lang w:eastAsia="en-GB"/>
          <w14:ligatures w14:val="none"/>
        </w:rPr>
        <w:t>two sources</w:t>
      </w:r>
      <w:r w:rsidRPr="00FC5524">
        <w:rPr>
          <w:rFonts w:ascii="Times New Roman" w:eastAsia="Calibri" w:hAnsi="Times New Roman" w:cs="Times New Roman"/>
          <w:kern w:val="0"/>
          <w:lang w:eastAsia="en-GB"/>
          <w14:ligatures w14:val="none"/>
        </w:rPr>
        <w:t>, which include equity capital and retained earnings. The company can raise capital by the issuance of new equity shares (</w:t>
      </w:r>
      <w:r w:rsidRPr="00FC5524">
        <w:rPr>
          <w:rFonts w:ascii="Times New Roman" w:eastAsia="Calibri" w:hAnsi="Times New Roman" w:cs="Times New Roman"/>
          <w:color w:val="222222"/>
          <w:kern w:val="0"/>
          <w:shd w:val="clear" w:color="auto" w:fill="FFFFFF"/>
          <w:lang w:eastAsia="en-GB"/>
          <w14:ligatures w14:val="none"/>
        </w:rPr>
        <w:t xml:space="preserve">Polzin, Sanders, and </w:t>
      </w:r>
      <w:proofErr w:type="spellStart"/>
      <w:r w:rsidRPr="00FC5524">
        <w:rPr>
          <w:rFonts w:ascii="Times New Roman" w:eastAsia="Calibri" w:hAnsi="Times New Roman" w:cs="Times New Roman"/>
          <w:color w:val="222222"/>
          <w:kern w:val="0"/>
          <w:shd w:val="clear" w:color="auto" w:fill="FFFFFF"/>
          <w:lang w:eastAsia="en-GB"/>
          <w14:ligatures w14:val="none"/>
        </w:rPr>
        <w:t>Serebriakova</w:t>
      </w:r>
      <w:proofErr w:type="spellEnd"/>
      <w:r w:rsidRPr="00FC5524">
        <w:rPr>
          <w:rFonts w:ascii="Times New Roman" w:eastAsia="Calibri" w:hAnsi="Times New Roman" w:cs="Times New Roman"/>
          <w:color w:val="222222"/>
          <w:kern w:val="0"/>
          <w:shd w:val="clear" w:color="auto" w:fill="FFFFFF"/>
          <w:lang w:eastAsia="en-GB"/>
          <w14:ligatures w14:val="none"/>
        </w:rPr>
        <w:t>, 2021)</w:t>
      </w:r>
      <w:r w:rsidRPr="00FC5524">
        <w:rPr>
          <w:rFonts w:ascii="Times New Roman" w:eastAsia="Calibri" w:hAnsi="Times New Roman" w:cs="Times New Roman"/>
          <w:kern w:val="0"/>
          <w:lang w:eastAsia="en-GB"/>
          <w14:ligatures w14:val="none"/>
        </w:rPr>
        <w:t xml:space="preserve">. When the company has sufficient profits, which are present in the retained earnings, then such excessive funds are deployed in the expansion and development phase for the generation of the maximum result. In the internal source of finance, the company has no </w:t>
      </w:r>
      <w:r w:rsidRPr="00FC5524">
        <w:rPr>
          <w:rFonts w:ascii="Times New Roman" w:eastAsia="Calibri" w:hAnsi="Times New Roman" w:cs="Times New Roman"/>
          <w:kern w:val="0"/>
          <w:lang w:eastAsia="en-GB"/>
          <w14:ligatures w14:val="none"/>
        </w:rPr>
        <w:lastRenderedPageBreak/>
        <w:t>obligation to pay higher interest charges. However, when the funds are limited in nature, then the funds can be borrowed from outside sources that include debentures, bank loans, and preference share capital (</w:t>
      </w:r>
      <w:r w:rsidRPr="00FC5524">
        <w:rPr>
          <w:rFonts w:ascii="Times New Roman" w:eastAsia="Calibri" w:hAnsi="Times New Roman" w:cs="Times New Roman"/>
          <w:color w:val="222222"/>
          <w:kern w:val="0"/>
          <w:shd w:val="clear" w:color="auto" w:fill="FFFFFF"/>
          <w:lang w:eastAsia="en-GB"/>
          <w14:ligatures w14:val="none"/>
        </w:rPr>
        <w:t>Xiang, Liu, and Yang, 2022)</w:t>
      </w:r>
      <w:r w:rsidRPr="00FC5524">
        <w:rPr>
          <w:rFonts w:ascii="Times New Roman" w:eastAsia="Calibri" w:hAnsi="Times New Roman" w:cs="Times New Roman"/>
          <w:kern w:val="0"/>
          <w:lang w:eastAsia="en-GB"/>
          <w14:ligatures w14:val="none"/>
        </w:rPr>
        <w:t xml:space="preserve">. The company can borrow from a bank loan or debentures at an inflated rate of interest to accomplish the funding process. In this process, there is no interference in the operational process, and you also would enjoy tax benefits while paying the interest expenses. However, there is a compulsory payment of interest and principal amount as per the stated limit. Hence, the company should accordingly choose the equity or debt source of capital in the funding process to maintain </w:t>
      </w:r>
      <w:r w:rsidR="00367948" w:rsidRPr="00FC5524">
        <w:rPr>
          <w:rFonts w:ascii="Times New Roman" w:eastAsia="Calibri" w:hAnsi="Times New Roman" w:cs="Times New Roman"/>
          <w:kern w:val="0"/>
          <w:lang w:eastAsia="en-GB"/>
          <w14:ligatures w14:val="none"/>
        </w:rPr>
        <w:t>sufficient liquidity</w:t>
      </w:r>
      <w:r w:rsidRPr="00FC5524">
        <w:rPr>
          <w:rFonts w:ascii="Times New Roman" w:eastAsia="Calibri" w:hAnsi="Times New Roman" w:cs="Times New Roman"/>
          <w:kern w:val="0"/>
          <w:lang w:eastAsia="en-GB"/>
          <w14:ligatures w14:val="none"/>
        </w:rPr>
        <w:t xml:space="preserve"> within an organization without changing the solvency ratios rapidly. The higher contribution of equity funds would lead to higher interference in the operational task, and on the other hand, the higher contribution of debt funds means that the company </w:t>
      </w:r>
      <w:proofErr w:type="gramStart"/>
      <w:r w:rsidRPr="00FC5524">
        <w:rPr>
          <w:rFonts w:ascii="Times New Roman" w:eastAsia="Calibri" w:hAnsi="Times New Roman" w:cs="Times New Roman"/>
          <w:kern w:val="0"/>
          <w:lang w:eastAsia="en-GB"/>
          <w14:ligatures w14:val="none"/>
        </w:rPr>
        <w:t>has to</w:t>
      </w:r>
      <w:proofErr w:type="gramEnd"/>
      <w:r w:rsidRPr="00FC5524">
        <w:rPr>
          <w:rFonts w:ascii="Times New Roman" w:eastAsia="Calibri" w:hAnsi="Times New Roman" w:cs="Times New Roman"/>
          <w:kern w:val="0"/>
          <w:lang w:eastAsia="en-GB"/>
          <w14:ligatures w14:val="none"/>
        </w:rPr>
        <w:t xml:space="preserve"> pay an elevated rate of interest charges for borrowing the principal amount. The weighted contribution must be deployed, which would equally contribute to the fund of equity sources as well as debt funds.</w:t>
      </w:r>
    </w:p>
    <w:p w14:paraId="5CFFE1DC" w14:textId="77777777" w:rsidR="00FC5524" w:rsidRPr="00FC5524" w:rsidRDefault="00FC5524" w:rsidP="00FC5524">
      <w:pPr>
        <w:spacing w:before="100" w:beforeAutospacing="1" w:after="200" w:line="360" w:lineRule="auto"/>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br w:type="page"/>
      </w:r>
    </w:p>
    <w:p w14:paraId="5F8891C2" w14:textId="77777777" w:rsidR="00FC5524" w:rsidRPr="00FC5524" w:rsidRDefault="00FC5524" w:rsidP="00FC5524">
      <w:pPr>
        <w:keepNext/>
        <w:keepLines/>
        <w:widowControl w:val="0"/>
        <w:spacing w:before="480" w:after="0" w:line="273" w:lineRule="auto"/>
        <w:outlineLvl w:val="0"/>
        <w:rPr>
          <w:rFonts w:ascii="Cambria" w:eastAsia="SimSun" w:hAnsi="Cambria" w:cs="Times New Roman"/>
          <w:b/>
          <w:bCs/>
          <w:color w:val="366091"/>
          <w:kern w:val="36"/>
          <w:sz w:val="28"/>
          <w:szCs w:val="28"/>
          <w:lang w:eastAsia="en-GB"/>
          <w14:ligatures w14:val="none"/>
        </w:rPr>
      </w:pPr>
      <w:bookmarkStart w:id="32" w:name="_Toc203756924"/>
      <w:bookmarkEnd w:id="32"/>
      <w:r w:rsidRPr="00FC5524">
        <w:rPr>
          <w:rFonts w:ascii="Cambria" w:eastAsia="SimSun" w:hAnsi="Cambria" w:cs="Times New Roman"/>
          <w:b/>
          <w:bCs/>
          <w:color w:val="366091"/>
          <w:kern w:val="36"/>
          <w:sz w:val="28"/>
          <w:szCs w:val="28"/>
          <w:lang w:eastAsia="en-GB"/>
          <w14:ligatures w14:val="none"/>
        </w:rPr>
        <w:lastRenderedPageBreak/>
        <w:t>References</w:t>
      </w:r>
    </w:p>
    <w:p w14:paraId="154C9B57"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Al Maani, A., </w:t>
      </w:r>
      <w:proofErr w:type="spellStart"/>
      <w:r w:rsidRPr="00FC5524">
        <w:rPr>
          <w:rFonts w:ascii="Times New Roman" w:eastAsia="Calibri" w:hAnsi="Times New Roman" w:cs="Times New Roman"/>
          <w:color w:val="222222"/>
          <w:kern w:val="0"/>
          <w:shd w:val="clear" w:color="auto" w:fill="FFFFFF"/>
          <w:lang w:eastAsia="en-GB"/>
          <w14:ligatures w14:val="none"/>
        </w:rPr>
        <w:t>Alawad</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A.S. and Karaki, B.S.A., 2021. Impact of liquidity and profitability ratios on the stock market value of Jordan insurance companies. </w:t>
      </w:r>
      <w:r w:rsidRPr="00FC5524">
        <w:rPr>
          <w:rFonts w:ascii="Times New Roman" w:eastAsia="Calibri" w:hAnsi="Times New Roman" w:cs="Times New Roman"/>
          <w:i/>
          <w:iCs/>
          <w:color w:val="222222"/>
          <w:kern w:val="0"/>
          <w:shd w:val="clear" w:color="auto" w:fill="FFFFFF"/>
          <w:lang w:eastAsia="en-GB"/>
          <w14:ligatures w14:val="none"/>
        </w:rPr>
        <w:t>Academy of Accounting and Financial Studies Journal</w:t>
      </w:r>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25</w:t>
      </w:r>
      <w:r w:rsidRPr="00FC5524">
        <w:rPr>
          <w:rFonts w:ascii="Times New Roman" w:eastAsia="Calibri" w:hAnsi="Times New Roman" w:cs="Times New Roman"/>
          <w:color w:val="222222"/>
          <w:kern w:val="0"/>
          <w:shd w:val="clear" w:color="auto" w:fill="FFFFFF"/>
          <w:lang w:eastAsia="en-GB"/>
          <w14:ligatures w14:val="none"/>
        </w:rPr>
        <w:t xml:space="preserve">(2), pp.1-14. </w:t>
      </w:r>
    </w:p>
    <w:p w14:paraId="36F0269B"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Aliganyira, J., 2019. The role of accounting ratio analysis in measuring the financial performance of a firm: a case of </w:t>
      </w:r>
      <w:proofErr w:type="spellStart"/>
      <w:r w:rsidRPr="00FC5524">
        <w:rPr>
          <w:rFonts w:ascii="Times New Roman" w:eastAsia="Calibri" w:hAnsi="Times New Roman" w:cs="Times New Roman"/>
          <w:kern w:val="0"/>
          <w:lang w:eastAsia="en-GB"/>
          <w14:ligatures w14:val="none"/>
        </w:rPr>
        <w:t>Mukwano</w:t>
      </w:r>
      <w:proofErr w:type="spellEnd"/>
      <w:r w:rsidRPr="00FC5524">
        <w:rPr>
          <w:rFonts w:ascii="Times New Roman" w:eastAsia="Calibri" w:hAnsi="Times New Roman" w:cs="Times New Roman"/>
          <w:kern w:val="0"/>
          <w:lang w:eastAsia="en-GB"/>
          <w14:ligatures w14:val="none"/>
        </w:rPr>
        <w:t xml:space="preserve"> Group of Companies.</w:t>
      </w:r>
    </w:p>
    <w:p w14:paraId="3605E585" w14:textId="77777777" w:rsidR="00FC5524" w:rsidRPr="00FC5524" w:rsidRDefault="00FC5524" w:rsidP="00FC5524">
      <w:pPr>
        <w:numPr>
          <w:ilvl w:val="0"/>
          <w:numId w:val="4"/>
        </w:numPr>
        <w:shd w:val="clear" w:color="auto" w:fill="FFFFFF"/>
        <w:spacing w:before="100" w:beforeAutospacing="1" w:after="0" w:line="360" w:lineRule="auto"/>
        <w:contextualSpacing/>
        <w:jc w:val="both"/>
        <w:rPr>
          <w:rFonts w:ascii="Times New Roman" w:eastAsia="Times New Roman" w:hAnsi="Times New Roman" w:cs="Times New Roman"/>
          <w:color w:val="000000"/>
          <w:kern w:val="0"/>
          <w:lang w:eastAsia="en-GB"/>
          <w14:ligatures w14:val="none"/>
        </w:rPr>
      </w:pPr>
      <w:proofErr w:type="spellStart"/>
      <w:r w:rsidRPr="00FC5524">
        <w:rPr>
          <w:rFonts w:ascii="Times New Roman" w:eastAsia="Times New Roman" w:hAnsi="Times New Roman" w:cs="Times New Roman"/>
          <w:color w:val="000000"/>
          <w:kern w:val="0"/>
          <w:lang w:eastAsia="en-GB"/>
          <w14:ligatures w14:val="none"/>
        </w:rPr>
        <w:t>Atabaeva</w:t>
      </w:r>
      <w:proofErr w:type="spellEnd"/>
      <w:r w:rsidRPr="00FC5524">
        <w:rPr>
          <w:rFonts w:ascii="Times New Roman" w:eastAsia="Times New Roman" w:hAnsi="Times New Roman" w:cs="Times New Roman"/>
          <w:color w:val="000000"/>
          <w:kern w:val="0"/>
          <w:lang w:eastAsia="en-GB"/>
          <w14:ligatures w14:val="none"/>
        </w:rPr>
        <w:t xml:space="preserve">, G., </w:t>
      </w:r>
      <w:proofErr w:type="spellStart"/>
      <w:r w:rsidRPr="00FC5524">
        <w:rPr>
          <w:rFonts w:ascii="Times New Roman" w:eastAsia="Times New Roman" w:hAnsi="Times New Roman" w:cs="Times New Roman"/>
          <w:color w:val="000000"/>
          <w:kern w:val="0"/>
          <w:lang w:eastAsia="en-GB"/>
          <w14:ligatures w14:val="none"/>
        </w:rPr>
        <w:t>Tashbaeva</w:t>
      </w:r>
      <w:proofErr w:type="spellEnd"/>
      <w:r w:rsidRPr="00FC5524">
        <w:rPr>
          <w:rFonts w:ascii="Times New Roman" w:eastAsia="Times New Roman" w:hAnsi="Times New Roman" w:cs="Times New Roman"/>
          <w:color w:val="000000"/>
          <w:kern w:val="0"/>
          <w:lang w:eastAsia="en-GB"/>
          <w14:ligatures w14:val="none"/>
        </w:rPr>
        <w:t xml:space="preserve">, F., </w:t>
      </w:r>
      <w:proofErr w:type="spellStart"/>
      <w:r w:rsidRPr="00FC5524">
        <w:rPr>
          <w:rFonts w:ascii="Times New Roman" w:eastAsia="Times New Roman" w:hAnsi="Times New Roman" w:cs="Times New Roman"/>
          <w:color w:val="000000"/>
          <w:kern w:val="0"/>
          <w:lang w:eastAsia="en-GB"/>
          <w14:ligatures w14:val="none"/>
        </w:rPr>
        <w:t>Atabaev</w:t>
      </w:r>
      <w:proofErr w:type="spellEnd"/>
      <w:r w:rsidRPr="00FC5524">
        <w:rPr>
          <w:rFonts w:ascii="Times New Roman" w:eastAsia="Times New Roman" w:hAnsi="Times New Roman" w:cs="Times New Roman"/>
          <w:color w:val="000000"/>
          <w:kern w:val="0"/>
          <w:lang w:eastAsia="en-GB"/>
          <w14:ligatures w14:val="none"/>
        </w:rPr>
        <w:t xml:space="preserve">, N. and Keles, I. 2022. The liquidity ratios and profitability of the Kyrgyz banking system.  </w:t>
      </w:r>
      <w:r w:rsidRPr="00FC5524">
        <w:rPr>
          <w:rFonts w:ascii="Times New Roman" w:eastAsia="Times New Roman" w:hAnsi="Times New Roman" w:cs="Times New Roman"/>
          <w:iCs/>
          <w:color w:val="000000"/>
          <w:kern w:val="0"/>
          <w:lang w:eastAsia="en-GB"/>
          <w14:ligatures w14:val="none"/>
        </w:rPr>
        <w:t>Journal of Sustainable Business, Economics and Finance</w:t>
      </w:r>
      <w:r w:rsidRPr="00FC5524">
        <w:rPr>
          <w:rFonts w:ascii="Times New Roman" w:eastAsia="Times New Roman" w:hAnsi="Times New Roman" w:cs="Times New Roman"/>
          <w:color w:val="000000"/>
          <w:kern w:val="0"/>
          <w:lang w:eastAsia="en-GB"/>
          <w14:ligatures w14:val="none"/>
        </w:rPr>
        <w:t xml:space="preserve">, 1(1), 1–22. </w:t>
      </w:r>
    </w:p>
    <w:p w14:paraId="1B42F7A9"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kern w:val="0"/>
          <w:lang w:eastAsia="en-GB"/>
          <w14:ligatures w14:val="none"/>
        </w:rPr>
      </w:pPr>
      <w:proofErr w:type="spellStart"/>
      <w:r w:rsidRPr="00FC5524">
        <w:rPr>
          <w:rFonts w:ascii="Times New Roman" w:eastAsia="Calibri" w:hAnsi="Times New Roman" w:cs="Times New Roman"/>
          <w:kern w:val="0"/>
          <w:lang w:eastAsia="en-GB"/>
          <w14:ligatures w14:val="none"/>
        </w:rPr>
        <w:t>Chrysafis</w:t>
      </w:r>
      <w:proofErr w:type="spellEnd"/>
      <w:r w:rsidRPr="00FC5524">
        <w:rPr>
          <w:rFonts w:ascii="Times New Roman" w:eastAsia="Calibri" w:hAnsi="Times New Roman" w:cs="Times New Roman"/>
          <w:kern w:val="0"/>
          <w:lang w:eastAsia="en-GB"/>
          <w14:ligatures w14:val="none"/>
        </w:rPr>
        <w:t xml:space="preserve">, K.A. and Papadopoulos, B.K., 2020. Decision making for project appraisal in uncertain environments: A fuzzy-possibilistic approach of the expanded NPV method. </w:t>
      </w:r>
      <w:r w:rsidRPr="00FC5524">
        <w:rPr>
          <w:rFonts w:ascii="Times New Roman" w:eastAsia="Calibri" w:hAnsi="Times New Roman" w:cs="Times New Roman"/>
          <w:i/>
          <w:iCs/>
          <w:kern w:val="0"/>
          <w:lang w:eastAsia="en-GB"/>
          <w14:ligatures w14:val="none"/>
        </w:rPr>
        <w:t>Symmetry</w:t>
      </w:r>
      <w:r w:rsidRPr="00FC5524">
        <w:rPr>
          <w:rFonts w:ascii="Times New Roman" w:eastAsia="Calibri" w:hAnsi="Times New Roman" w:cs="Times New Roman"/>
          <w:kern w:val="0"/>
          <w:lang w:eastAsia="en-GB"/>
          <w14:ligatures w14:val="none"/>
        </w:rPr>
        <w:t xml:space="preserve">, </w:t>
      </w:r>
      <w:r w:rsidRPr="00FC5524">
        <w:rPr>
          <w:rFonts w:ascii="Times New Roman" w:eastAsia="Calibri" w:hAnsi="Times New Roman" w:cs="Times New Roman"/>
          <w:i/>
          <w:iCs/>
          <w:kern w:val="0"/>
          <w:lang w:eastAsia="en-GB"/>
          <w14:ligatures w14:val="none"/>
        </w:rPr>
        <w:t>13</w:t>
      </w:r>
      <w:r w:rsidRPr="00FC5524">
        <w:rPr>
          <w:rFonts w:ascii="Times New Roman" w:eastAsia="Calibri" w:hAnsi="Times New Roman" w:cs="Times New Roman"/>
          <w:kern w:val="0"/>
          <w:lang w:eastAsia="en-GB"/>
          <w14:ligatures w14:val="none"/>
        </w:rPr>
        <w:t>(1), p.27.</w:t>
      </w:r>
    </w:p>
    <w:p w14:paraId="7323C7C9"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Dai, H., Li, N., Wang, Y. and Zhao, X., 2022. The analysis of three main investment criteria: NPV, IRR, and payback period. In </w:t>
      </w:r>
      <w:r w:rsidRPr="00FC5524">
        <w:rPr>
          <w:rFonts w:ascii="Times New Roman" w:eastAsia="Calibri" w:hAnsi="Times New Roman" w:cs="Times New Roman"/>
          <w:i/>
          <w:iCs/>
          <w:color w:val="222222"/>
          <w:kern w:val="0"/>
          <w:shd w:val="clear" w:color="auto" w:fill="FFFFFF"/>
          <w:lang w:eastAsia="en-GB"/>
          <w14:ligatures w14:val="none"/>
        </w:rPr>
        <w:t>2022, 7th International Conference on Financial Innovation and Economic Development (ICFIED 2022)</w:t>
      </w:r>
      <w:r w:rsidRPr="00FC5524">
        <w:rPr>
          <w:rFonts w:ascii="Times New Roman" w:eastAsia="Calibri" w:hAnsi="Times New Roman" w:cs="Times New Roman"/>
          <w:color w:val="222222"/>
          <w:kern w:val="0"/>
          <w:shd w:val="clear" w:color="auto" w:fill="FFFFFF"/>
          <w:lang w:eastAsia="en-GB"/>
          <w14:ligatures w14:val="none"/>
        </w:rPr>
        <w:t xml:space="preserve"> (pp. 185-189). Atlantis Press.</w:t>
      </w:r>
    </w:p>
    <w:p w14:paraId="3EB46F78"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kern w:val="0"/>
          <w:lang w:eastAsia="en-GB"/>
          <w14:ligatures w14:val="none"/>
        </w:rPr>
      </w:pPr>
      <w:proofErr w:type="spellStart"/>
      <w:r w:rsidRPr="00FC5524">
        <w:rPr>
          <w:rFonts w:ascii="Times New Roman" w:eastAsia="Calibri" w:hAnsi="Times New Roman" w:cs="Times New Roman"/>
          <w:kern w:val="0"/>
          <w:lang w:eastAsia="en-GB"/>
          <w14:ligatures w14:val="none"/>
        </w:rPr>
        <w:t>Focacci</w:t>
      </w:r>
      <w:proofErr w:type="spellEnd"/>
      <w:r w:rsidRPr="00FC5524">
        <w:rPr>
          <w:rFonts w:ascii="Times New Roman" w:eastAsia="Calibri" w:hAnsi="Times New Roman" w:cs="Times New Roman"/>
          <w:kern w:val="0"/>
          <w:lang w:eastAsia="en-GB"/>
          <w14:ligatures w14:val="none"/>
        </w:rPr>
        <w:t xml:space="preserve">, A., 2022. The investment rate of return at the end of the period: a future worth approach to capital budgeting. </w:t>
      </w:r>
      <w:r w:rsidRPr="00FC5524">
        <w:rPr>
          <w:rFonts w:ascii="Times New Roman" w:eastAsia="Calibri" w:hAnsi="Times New Roman" w:cs="Times New Roman"/>
          <w:i/>
          <w:iCs/>
          <w:kern w:val="0"/>
          <w:lang w:eastAsia="en-GB"/>
          <w14:ligatures w14:val="none"/>
        </w:rPr>
        <w:t>International Journal of Revenue Management</w:t>
      </w:r>
      <w:r w:rsidRPr="00FC5524">
        <w:rPr>
          <w:rFonts w:ascii="Times New Roman" w:eastAsia="Calibri" w:hAnsi="Times New Roman" w:cs="Times New Roman"/>
          <w:kern w:val="0"/>
          <w:lang w:eastAsia="en-GB"/>
          <w14:ligatures w14:val="none"/>
        </w:rPr>
        <w:t xml:space="preserve">, </w:t>
      </w:r>
      <w:r w:rsidRPr="00FC5524">
        <w:rPr>
          <w:rFonts w:ascii="Times New Roman" w:eastAsia="Calibri" w:hAnsi="Times New Roman" w:cs="Times New Roman"/>
          <w:i/>
          <w:iCs/>
          <w:kern w:val="0"/>
          <w:lang w:eastAsia="en-GB"/>
          <w14:ligatures w14:val="none"/>
        </w:rPr>
        <w:t>13</w:t>
      </w:r>
      <w:r w:rsidRPr="00FC5524">
        <w:rPr>
          <w:rFonts w:ascii="Times New Roman" w:eastAsia="Calibri" w:hAnsi="Times New Roman" w:cs="Times New Roman"/>
          <w:kern w:val="0"/>
          <w:lang w:eastAsia="en-GB"/>
          <w14:ligatures w14:val="none"/>
        </w:rPr>
        <w:t>(1-2), pp.79-98.</w:t>
      </w:r>
    </w:p>
    <w:p w14:paraId="2B251567"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Frenkel, J.A., 2019. A monetary approach to the exchange rate: doctrinal aspects and empirical evidence. In </w:t>
      </w:r>
      <w:r w:rsidRPr="00FC5524">
        <w:rPr>
          <w:rFonts w:ascii="Times New Roman" w:eastAsia="Calibri" w:hAnsi="Times New Roman" w:cs="Times New Roman"/>
          <w:i/>
          <w:iCs/>
          <w:kern w:val="0"/>
          <w:lang w:eastAsia="en-GB"/>
          <w14:ligatures w14:val="none"/>
        </w:rPr>
        <w:t>Flexible Exchange Rates</w:t>
      </w:r>
      <w:r w:rsidRPr="00FC5524">
        <w:rPr>
          <w:rFonts w:ascii="Times New Roman" w:eastAsia="Calibri" w:hAnsi="Times New Roman" w:cs="Times New Roman"/>
          <w:kern w:val="0"/>
          <w:lang w:eastAsia="en-GB"/>
          <w14:ligatures w14:val="none"/>
        </w:rPr>
        <w:t xml:space="preserve"> (pp. 68-92). Routledge.</w:t>
      </w:r>
    </w:p>
    <w:p w14:paraId="48B2DCD8"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Gong, H., Tabesh, M., Moradi </w:t>
      </w:r>
      <w:proofErr w:type="spellStart"/>
      <w:r w:rsidRPr="00FC5524">
        <w:rPr>
          <w:rFonts w:ascii="Times New Roman" w:eastAsia="Calibri" w:hAnsi="Times New Roman" w:cs="Times New Roman"/>
          <w:color w:val="222222"/>
          <w:kern w:val="0"/>
          <w:shd w:val="clear" w:color="auto" w:fill="FFFFFF"/>
          <w:lang w:eastAsia="en-GB"/>
          <w14:ligatures w14:val="none"/>
        </w:rPr>
        <w:t>Afrapoli</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A., and Askari-Nasab, H., 2023. Near-face stockpile open pit mining: a method to enhance NPV and quality of the plant throughput. </w:t>
      </w:r>
      <w:r w:rsidRPr="00FC5524">
        <w:rPr>
          <w:rFonts w:ascii="Times New Roman" w:eastAsia="Calibri" w:hAnsi="Times New Roman" w:cs="Times New Roman"/>
          <w:i/>
          <w:iCs/>
          <w:color w:val="222222"/>
          <w:kern w:val="0"/>
          <w:shd w:val="clear" w:color="auto" w:fill="FFFFFF"/>
          <w:lang w:eastAsia="en-GB"/>
          <w14:ligatures w14:val="none"/>
        </w:rPr>
        <w:t>International Journal of Mining, Reclamation and Environment</w:t>
      </w:r>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37</w:t>
      </w:r>
      <w:r w:rsidRPr="00FC5524">
        <w:rPr>
          <w:rFonts w:ascii="Times New Roman" w:eastAsia="Calibri" w:hAnsi="Times New Roman" w:cs="Times New Roman"/>
          <w:color w:val="222222"/>
          <w:kern w:val="0"/>
          <w:shd w:val="clear" w:color="auto" w:fill="FFFFFF"/>
          <w:lang w:eastAsia="en-GB"/>
          <w14:ligatures w14:val="none"/>
        </w:rPr>
        <w:t>(3), pp.200-215.</w:t>
      </w:r>
    </w:p>
    <w:p w14:paraId="10CF2ECD"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Husain, T. and </w:t>
      </w:r>
      <w:proofErr w:type="spellStart"/>
      <w:r w:rsidRPr="00FC5524">
        <w:rPr>
          <w:rFonts w:ascii="Times New Roman" w:eastAsia="Calibri" w:hAnsi="Times New Roman" w:cs="Times New Roman"/>
          <w:color w:val="222222"/>
          <w:kern w:val="0"/>
          <w:shd w:val="clear" w:color="auto" w:fill="FFFFFF"/>
          <w:lang w:eastAsia="en-GB"/>
          <w14:ligatures w14:val="none"/>
        </w:rPr>
        <w:t>Sunardi</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N., 2020. Firm's Value Prediction Based on Profitability Ratios and Dividend Policy. </w:t>
      </w:r>
      <w:r w:rsidRPr="00FC5524">
        <w:rPr>
          <w:rFonts w:ascii="Times New Roman" w:eastAsia="Calibri" w:hAnsi="Times New Roman" w:cs="Times New Roman"/>
          <w:i/>
          <w:iCs/>
          <w:color w:val="222222"/>
          <w:kern w:val="0"/>
          <w:shd w:val="clear" w:color="auto" w:fill="FFFFFF"/>
          <w:lang w:eastAsia="en-GB"/>
          <w14:ligatures w14:val="none"/>
        </w:rPr>
        <w:t>Finance &amp; Economics Review</w:t>
      </w:r>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2</w:t>
      </w:r>
      <w:r w:rsidRPr="00FC5524">
        <w:rPr>
          <w:rFonts w:ascii="Times New Roman" w:eastAsia="Calibri" w:hAnsi="Times New Roman" w:cs="Times New Roman"/>
          <w:color w:val="222222"/>
          <w:kern w:val="0"/>
          <w:shd w:val="clear" w:color="auto" w:fill="FFFFFF"/>
          <w:lang w:eastAsia="en-GB"/>
          <w14:ligatures w14:val="none"/>
        </w:rPr>
        <w:t>(2), pp.13-26.</w:t>
      </w:r>
    </w:p>
    <w:p w14:paraId="77432A43"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222222"/>
          <w:kern w:val="0"/>
          <w:shd w:val="clear" w:color="auto" w:fill="FFFFFF"/>
          <w:lang w:eastAsia="en-GB"/>
          <w14:ligatures w14:val="none"/>
        </w:rPr>
      </w:pPr>
      <w:proofErr w:type="spellStart"/>
      <w:r w:rsidRPr="00FC5524">
        <w:rPr>
          <w:rFonts w:ascii="Times New Roman" w:eastAsia="Calibri" w:hAnsi="Times New Roman" w:cs="Times New Roman"/>
          <w:color w:val="222222"/>
          <w:kern w:val="0"/>
          <w:shd w:val="clear" w:color="auto" w:fill="FFFFFF"/>
          <w:lang w:eastAsia="en-GB"/>
          <w14:ligatures w14:val="none"/>
        </w:rPr>
        <w:t>Kayedppour</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F., </w:t>
      </w:r>
      <w:proofErr w:type="spellStart"/>
      <w:r w:rsidRPr="00FC5524">
        <w:rPr>
          <w:rFonts w:ascii="Times New Roman" w:eastAsia="Calibri" w:hAnsi="Times New Roman" w:cs="Times New Roman"/>
          <w:color w:val="222222"/>
          <w:kern w:val="0"/>
          <w:shd w:val="clear" w:color="auto" w:fill="FFFFFF"/>
          <w:lang w:eastAsia="en-GB"/>
          <w14:ligatures w14:val="none"/>
        </w:rPr>
        <w:t>Sayadmanesh</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S., Salmani, Y. and Sadeghi, Z., 2021. Measuring the efficiency and productivity of cement companies in Tehran Stock Exchange by data envelopment analysis and Malmquist productivity index in a </w:t>
      </w:r>
      <w:proofErr w:type="spellStart"/>
      <w:r w:rsidRPr="00FC5524">
        <w:rPr>
          <w:rFonts w:ascii="Times New Roman" w:eastAsia="Calibri" w:hAnsi="Times New Roman" w:cs="Times New Roman"/>
          <w:color w:val="222222"/>
          <w:kern w:val="0"/>
          <w:shd w:val="clear" w:color="auto" w:fill="FFFFFF"/>
          <w:lang w:eastAsia="en-GB"/>
          <w14:ligatures w14:val="none"/>
        </w:rPr>
        <w:t>gray</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environment. </w:t>
      </w:r>
      <w:r w:rsidRPr="00FC5524">
        <w:rPr>
          <w:rFonts w:ascii="Times New Roman" w:eastAsia="Calibri" w:hAnsi="Times New Roman" w:cs="Times New Roman"/>
          <w:i/>
          <w:iCs/>
          <w:color w:val="222222"/>
          <w:kern w:val="0"/>
          <w:shd w:val="clear" w:color="auto" w:fill="FFFFFF"/>
          <w:lang w:eastAsia="en-GB"/>
          <w14:ligatures w14:val="none"/>
        </w:rPr>
        <w:t>Innovation management and operational strategies</w:t>
      </w:r>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1</w:t>
      </w:r>
      <w:r w:rsidRPr="00FC5524">
        <w:rPr>
          <w:rFonts w:ascii="Times New Roman" w:eastAsia="Calibri" w:hAnsi="Times New Roman" w:cs="Times New Roman"/>
          <w:color w:val="222222"/>
          <w:kern w:val="0"/>
          <w:shd w:val="clear" w:color="auto" w:fill="FFFFFF"/>
          <w:lang w:eastAsia="en-GB"/>
          <w14:ligatures w14:val="none"/>
        </w:rPr>
        <w:t xml:space="preserve">(4), pp.363-382. </w:t>
      </w:r>
    </w:p>
    <w:p w14:paraId="66B94A98"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000000"/>
          <w:kern w:val="0"/>
          <w:shd w:val="clear" w:color="auto" w:fill="FFFFFF"/>
          <w:lang w:eastAsia="en-GB"/>
          <w14:ligatures w14:val="none"/>
        </w:rPr>
      </w:pPr>
      <w:proofErr w:type="spellStart"/>
      <w:r w:rsidRPr="00FC5524">
        <w:rPr>
          <w:rFonts w:ascii="Times New Roman" w:eastAsia="Calibri" w:hAnsi="Times New Roman" w:cs="Times New Roman"/>
          <w:color w:val="000000"/>
          <w:kern w:val="0"/>
          <w:shd w:val="clear" w:color="auto" w:fill="FFFFFF"/>
          <w:lang w:eastAsia="en-GB"/>
          <w14:ligatures w14:val="none"/>
        </w:rPr>
        <w:t>Makrelov</w:t>
      </w:r>
      <w:proofErr w:type="spellEnd"/>
      <w:r w:rsidRPr="00FC5524">
        <w:rPr>
          <w:rFonts w:ascii="Times New Roman" w:eastAsia="Calibri" w:hAnsi="Times New Roman" w:cs="Times New Roman"/>
          <w:color w:val="000000"/>
          <w:kern w:val="0"/>
          <w:shd w:val="clear" w:color="auto" w:fill="FFFFFF"/>
          <w:lang w:eastAsia="en-GB"/>
          <w14:ligatures w14:val="none"/>
        </w:rPr>
        <w:t>, K., Davies, R. and Harris, L. (2021). The impact of higher leverage ratios on the South African economy, Studies in Economics and Econometrics, 45(3), 184-207</w:t>
      </w:r>
    </w:p>
    <w:p w14:paraId="6D6F859A"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lastRenderedPageBreak/>
        <w:t xml:space="preserve">Mohamad, A., Tahir, N.S. and Ahmad, Y., 2021. Factors in investment decision making from directors ' perspectives. </w:t>
      </w:r>
      <w:proofErr w:type="spellStart"/>
      <w:r w:rsidRPr="00FC5524">
        <w:rPr>
          <w:rFonts w:ascii="Times New Roman" w:eastAsia="Calibri" w:hAnsi="Times New Roman" w:cs="Times New Roman"/>
          <w:i/>
          <w:iCs/>
          <w:kern w:val="0"/>
          <w:lang w:eastAsia="en-GB"/>
          <w14:ligatures w14:val="none"/>
        </w:rPr>
        <w:t>Ilkogretim</w:t>
      </w:r>
      <w:proofErr w:type="spellEnd"/>
      <w:r w:rsidRPr="00FC5524">
        <w:rPr>
          <w:rFonts w:ascii="Times New Roman" w:eastAsia="Calibri" w:hAnsi="Times New Roman" w:cs="Times New Roman"/>
          <w:i/>
          <w:iCs/>
          <w:kern w:val="0"/>
          <w:lang w:eastAsia="en-GB"/>
          <w14:ligatures w14:val="none"/>
        </w:rPr>
        <w:t xml:space="preserve"> Online</w:t>
      </w:r>
      <w:r w:rsidRPr="00FC5524">
        <w:rPr>
          <w:rFonts w:ascii="Times New Roman" w:eastAsia="Calibri" w:hAnsi="Times New Roman" w:cs="Times New Roman"/>
          <w:kern w:val="0"/>
          <w:lang w:eastAsia="en-GB"/>
          <w14:ligatures w14:val="none"/>
        </w:rPr>
        <w:t xml:space="preserve">, </w:t>
      </w:r>
      <w:r w:rsidRPr="00FC5524">
        <w:rPr>
          <w:rFonts w:ascii="Times New Roman" w:eastAsia="Calibri" w:hAnsi="Times New Roman" w:cs="Times New Roman"/>
          <w:i/>
          <w:iCs/>
          <w:kern w:val="0"/>
          <w:lang w:eastAsia="en-GB"/>
          <w14:ligatures w14:val="none"/>
        </w:rPr>
        <w:t>20</w:t>
      </w:r>
      <w:r w:rsidRPr="00FC5524">
        <w:rPr>
          <w:rFonts w:ascii="Times New Roman" w:eastAsia="Calibri" w:hAnsi="Times New Roman" w:cs="Times New Roman"/>
          <w:kern w:val="0"/>
          <w:lang w:eastAsia="en-GB"/>
          <w14:ligatures w14:val="none"/>
        </w:rPr>
        <w:t>(4).</w:t>
      </w:r>
    </w:p>
    <w:p w14:paraId="6A6563B9"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Mohammed, N.F., </w:t>
      </w:r>
      <w:proofErr w:type="spellStart"/>
      <w:r w:rsidRPr="00FC5524">
        <w:rPr>
          <w:rFonts w:ascii="Times New Roman" w:eastAsia="Calibri" w:hAnsi="Times New Roman" w:cs="Times New Roman"/>
          <w:color w:val="222222"/>
          <w:kern w:val="0"/>
          <w:shd w:val="clear" w:color="auto" w:fill="FFFFFF"/>
          <w:lang w:eastAsia="en-GB"/>
          <w14:ligatures w14:val="none"/>
        </w:rPr>
        <w:t>Puat</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S.A., </w:t>
      </w:r>
      <w:proofErr w:type="spellStart"/>
      <w:r w:rsidRPr="00FC5524">
        <w:rPr>
          <w:rFonts w:ascii="Times New Roman" w:eastAsia="Calibri" w:hAnsi="Times New Roman" w:cs="Times New Roman"/>
          <w:color w:val="222222"/>
          <w:kern w:val="0"/>
          <w:shd w:val="clear" w:color="auto" w:fill="FFFFFF"/>
          <w:lang w:eastAsia="en-GB"/>
          <w14:ligatures w14:val="none"/>
        </w:rPr>
        <w:t>Amirrudin</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M.S. and Hashim, A., 2020. Leverage, liquidity, and profitability ratios: Accountability of Malaysian listed oil and gas firms. </w:t>
      </w:r>
      <w:r w:rsidRPr="00FC5524">
        <w:rPr>
          <w:rFonts w:ascii="Times New Roman" w:eastAsia="Calibri" w:hAnsi="Times New Roman" w:cs="Times New Roman"/>
          <w:i/>
          <w:iCs/>
          <w:color w:val="222222"/>
          <w:kern w:val="0"/>
          <w:shd w:val="clear" w:color="auto" w:fill="FFFFFF"/>
          <w:lang w:eastAsia="en-GB"/>
          <w14:ligatures w14:val="none"/>
        </w:rPr>
        <w:t>Humanities &amp; Social Sciences Reviews</w:t>
      </w:r>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8</w:t>
      </w:r>
      <w:r w:rsidRPr="00FC5524">
        <w:rPr>
          <w:rFonts w:ascii="Times New Roman" w:eastAsia="Calibri" w:hAnsi="Times New Roman" w:cs="Times New Roman"/>
          <w:color w:val="222222"/>
          <w:kern w:val="0"/>
          <w:shd w:val="clear" w:color="auto" w:fill="FFFFFF"/>
          <w:lang w:eastAsia="en-GB"/>
          <w14:ligatures w14:val="none"/>
        </w:rPr>
        <w:t>(2), pp.941-947.</w:t>
      </w:r>
    </w:p>
    <w:p w14:paraId="4EAF96EF" w14:textId="77777777" w:rsidR="00FC5524" w:rsidRPr="00FC5524" w:rsidRDefault="00FC5524" w:rsidP="00FC5524">
      <w:pPr>
        <w:numPr>
          <w:ilvl w:val="0"/>
          <w:numId w:val="4"/>
        </w:numPr>
        <w:spacing w:before="100" w:beforeAutospacing="1" w:after="200" w:line="360" w:lineRule="auto"/>
        <w:contextualSpacing/>
        <w:rPr>
          <w:rFonts w:ascii="Times New Roman" w:eastAsia="Calibri" w:hAnsi="Times New Roman" w:cs="Times New Roman"/>
          <w:kern w:val="0"/>
          <w:shd w:val="clear" w:color="auto" w:fill="FFFFFF"/>
          <w:lang w:eastAsia="en-GB"/>
          <w14:ligatures w14:val="none"/>
        </w:rPr>
      </w:pPr>
      <w:proofErr w:type="spellStart"/>
      <w:r w:rsidRPr="00FC5524">
        <w:rPr>
          <w:rFonts w:ascii="Times New Roman" w:eastAsia="Calibri" w:hAnsi="Times New Roman" w:cs="Times New Roman"/>
          <w:kern w:val="0"/>
          <w:shd w:val="clear" w:color="auto" w:fill="FFFFFF"/>
          <w:lang w:eastAsia="en-GB"/>
          <w14:ligatures w14:val="none"/>
        </w:rPr>
        <w:t>Nariswari</w:t>
      </w:r>
      <w:proofErr w:type="spellEnd"/>
      <w:r w:rsidRPr="00FC5524">
        <w:rPr>
          <w:rFonts w:ascii="Times New Roman" w:eastAsia="Calibri" w:hAnsi="Times New Roman" w:cs="Times New Roman"/>
          <w:kern w:val="0"/>
          <w:shd w:val="clear" w:color="auto" w:fill="FFFFFF"/>
          <w:lang w:eastAsia="en-GB"/>
          <w14:ligatures w14:val="none"/>
        </w:rPr>
        <w:t xml:space="preserve">, T. N., </w:t>
      </w:r>
      <w:proofErr w:type="spellStart"/>
      <w:r w:rsidRPr="00FC5524">
        <w:rPr>
          <w:rFonts w:ascii="Times New Roman" w:eastAsia="Calibri" w:hAnsi="Times New Roman" w:cs="Times New Roman"/>
          <w:kern w:val="0"/>
          <w:shd w:val="clear" w:color="auto" w:fill="FFFFFF"/>
          <w:lang w:eastAsia="en-GB"/>
          <w14:ligatures w14:val="none"/>
        </w:rPr>
        <w:t>andNugraha</w:t>
      </w:r>
      <w:proofErr w:type="spellEnd"/>
      <w:r w:rsidRPr="00FC5524">
        <w:rPr>
          <w:rFonts w:ascii="Times New Roman" w:eastAsia="Calibri" w:hAnsi="Times New Roman" w:cs="Times New Roman"/>
          <w:kern w:val="0"/>
          <w:shd w:val="clear" w:color="auto" w:fill="FFFFFF"/>
          <w:lang w:eastAsia="en-GB"/>
          <w14:ligatures w14:val="none"/>
        </w:rPr>
        <w:t xml:space="preserve">, N. M. 2020. Profit Growth: Impact of Net Profit Margin, Gross Profit Margin, and Total Assets Turnover. </w:t>
      </w:r>
      <w:r w:rsidRPr="00FC5524">
        <w:rPr>
          <w:rFonts w:ascii="Times New Roman" w:eastAsia="Calibri" w:hAnsi="Times New Roman" w:cs="Times New Roman"/>
          <w:i/>
          <w:iCs/>
          <w:kern w:val="0"/>
          <w:shd w:val="clear" w:color="auto" w:fill="FFFFFF"/>
          <w:lang w:eastAsia="en-GB"/>
          <w14:ligatures w14:val="none"/>
        </w:rPr>
        <w:t>International Journal of Finance and Banking Studies (2147-4486)</w:t>
      </w:r>
      <w:r w:rsidRPr="00FC5524">
        <w:rPr>
          <w:rFonts w:ascii="Times New Roman" w:eastAsia="Calibri" w:hAnsi="Times New Roman" w:cs="Times New Roman"/>
          <w:kern w:val="0"/>
          <w:shd w:val="clear" w:color="auto" w:fill="FFFFFF"/>
          <w:lang w:eastAsia="en-GB"/>
          <w14:ligatures w14:val="none"/>
        </w:rPr>
        <w:t xml:space="preserve">, </w:t>
      </w:r>
      <w:r w:rsidRPr="00FC5524">
        <w:rPr>
          <w:rFonts w:ascii="Times New Roman" w:eastAsia="Calibri" w:hAnsi="Times New Roman" w:cs="Times New Roman"/>
          <w:i/>
          <w:iCs/>
          <w:kern w:val="0"/>
          <w:shd w:val="clear" w:color="auto" w:fill="FFFFFF"/>
          <w:lang w:eastAsia="en-GB"/>
          <w14:ligatures w14:val="none"/>
        </w:rPr>
        <w:t>9</w:t>
      </w:r>
      <w:r w:rsidRPr="00FC5524">
        <w:rPr>
          <w:rFonts w:ascii="Times New Roman" w:eastAsia="Calibri" w:hAnsi="Times New Roman" w:cs="Times New Roman"/>
          <w:kern w:val="0"/>
          <w:shd w:val="clear" w:color="auto" w:fill="FFFFFF"/>
          <w:lang w:eastAsia="en-GB"/>
          <w14:ligatures w14:val="none"/>
        </w:rPr>
        <w:t>(4), 87–96</w:t>
      </w:r>
    </w:p>
    <w:p w14:paraId="413E29CA"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Nukala, V.B. and Prasada Rao, S.S., 2021. Role of debt-to-equity ratio in project investment valuation, assessing risk and return in capital markets. </w:t>
      </w:r>
      <w:r w:rsidRPr="00FC5524">
        <w:rPr>
          <w:rFonts w:ascii="Times New Roman" w:eastAsia="Calibri" w:hAnsi="Times New Roman" w:cs="Times New Roman"/>
          <w:i/>
          <w:iCs/>
          <w:kern w:val="0"/>
          <w:lang w:eastAsia="en-GB"/>
          <w14:ligatures w14:val="none"/>
        </w:rPr>
        <w:t>Future Business Journal</w:t>
      </w:r>
      <w:r w:rsidRPr="00FC5524">
        <w:rPr>
          <w:rFonts w:ascii="Times New Roman" w:eastAsia="Calibri" w:hAnsi="Times New Roman" w:cs="Times New Roman"/>
          <w:kern w:val="0"/>
          <w:lang w:eastAsia="en-GB"/>
          <w14:ligatures w14:val="none"/>
        </w:rPr>
        <w:t xml:space="preserve">, </w:t>
      </w:r>
      <w:r w:rsidRPr="00FC5524">
        <w:rPr>
          <w:rFonts w:ascii="Times New Roman" w:eastAsia="Calibri" w:hAnsi="Times New Roman" w:cs="Times New Roman"/>
          <w:i/>
          <w:iCs/>
          <w:kern w:val="0"/>
          <w:lang w:eastAsia="en-GB"/>
          <w14:ligatures w14:val="none"/>
        </w:rPr>
        <w:t>7</w:t>
      </w:r>
      <w:r w:rsidRPr="00FC5524">
        <w:rPr>
          <w:rFonts w:ascii="Times New Roman" w:eastAsia="Calibri" w:hAnsi="Times New Roman" w:cs="Times New Roman"/>
          <w:kern w:val="0"/>
          <w:lang w:eastAsia="en-GB"/>
          <w14:ligatures w14:val="none"/>
        </w:rPr>
        <w:t>(1), p.13.</w:t>
      </w:r>
    </w:p>
    <w:p w14:paraId="08D5F17E"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Nuriah, S., Laba, A.R. and </w:t>
      </w:r>
      <w:proofErr w:type="spellStart"/>
      <w:r w:rsidRPr="00FC5524">
        <w:rPr>
          <w:rFonts w:ascii="Times New Roman" w:eastAsia="Calibri" w:hAnsi="Times New Roman" w:cs="Times New Roman"/>
          <w:color w:val="222222"/>
          <w:kern w:val="0"/>
          <w:shd w:val="clear" w:color="auto" w:fill="FFFFFF"/>
          <w:lang w:eastAsia="en-GB"/>
          <w14:ligatures w14:val="none"/>
        </w:rPr>
        <w:t>Sobarsyah</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M., 2020. Analysis of the Management and Control System of Trade Receivables on the Effectiveness of the Corporate Cash Flow on PT. </w:t>
      </w:r>
      <w:proofErr w:type="spellStart"/>
      <w:r w:rsidRPr="00FC5524">
        <w:rPr>
          <w:rFonts w:ascii="Times New Roman" w:eastAsia="Calibri" w:hAnsi="Times New Roman" w:cs="Times New Roman"/>
          <w:color w:val="222222"/>
          <w:kern w:val="0"/>
          <w:shd w:val="clear" w:color="auto" w:fill="FFFFFF"/>
          <w:lang w:eastAsia="en-GB"/>
          <w14:ligatures w14:val="none"/>
        </w:rPr>
        <w:t>EnsevalPuteraMegatrading</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w:t>
      </w:r>
      <w:proofErr w:type="spellStart"/>
      <w:r w:rsidRPr="00FC5524">
        <w:rPr>
          <w:rFonts w:ascii="Times New Roman" w:eastAsia="Calibri" w:hAnsi="Times New Roman" w:cs="Times New Roman"/>
          <w:color w:val="222222"/>
          <w:kern w:val="0"/>
          <w:shd w:val="clear" w:color="auto" w:fill="FFFFFF"/>
          <w:lang w:eastAsia="en-GB"/>
          <w14:ligatures w14:val="none"/>
        </w:rPr>
        <w:t>tbk</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Hasanuddin Journal of Business Strategy</w:t>
      </w:r>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2</w:t>
      </w:r>
      <w:r w:rsidRPr="00FC5524">
        <w:rPr>
          <w:rFonts w:ascii="Times New Roman" w:eastAsia="Calibri" w:hAnsi="Times New Roman" w:cs="Times New Roman"/>
          <w:color w:val="222222"/>
          <w:kern w:val="0"/>
          <w:shd w:val="clear" w:color="auto" w:fill="FFFFFF"/>
          <w:lang w:eastAsia="en-GB"/>
          <w14:ligatures w14:val="none"/>
        </w:rPr>
        <w:t>(1), pp.75-87.</w:t>
      </w:r>
    </w:p>
    <w:p w14:paraId="129E30B7"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Pa, A.N.P., </w:t>
      </w:r>
      <w:proofErr w:type="spellStart"/>
      <w:r w:rsidRPr="00FC5524">
        <w:rPr>
          <w:rFonts w:ascii="Times New Roman" w:eastAsia="Calibri" w:hAnsi="Times New Roman" w:cs="Times New Roman"/>
          <w:kern w:val="0"/>
          <w:lang w:eastAsia="en-GB"/>
          <w14:ligatures w14:val="none"/>
        </w:rPr>
        <w:t>Wiksuana</w:t>
      </w:r>
      <w:proofErr w:type="spellEnd"/>
      <w:r w:rsidRPr="00FC5524">
        <w:rPr>
          <w:rFonts w:ascii="Times New Roman" w:eastAsia="Calibri" w:hAnsi="Times New Roman" w:cs="Times New Roman"/>
          <w:kern w:val="0"/>
          <w:lang w:eastAsia="en-GB"/>
          <w14:ligatures w14:val="none"/>
        </w:rPr>
        <w:t xml:space="preserve">, I.G.B., </w:t>
      </w:r>
      <w:proofErr w:type="spellStart"/>
      <w:r w:rsidRPr="00FC5524">
        <w:rPr>
          <w:rFonts w:ascii="Times New Roman" w:eastAsia="Calibri" w:hAnsi="Times New Roman" w:cs="Times New Roman"/>
          <w:kern w:val="0"/>
          <w:lang w:eastAsia="en-GB"/>
          <w14:ligatures w14:val="none"/>
        </w:rPr>
        <w:t>Suartana</w:t>
      </w:r>
      <w:proofErr w:type="spellEnd"/>
      <w:r w:rsidRPr="00FC5524">
        <w:rPr>
          <w:rFonts w:ascii="Times New Roman" w:eastAsia="Calibri" w:hAnsi="Times New Roman" w:cs="Times New Roman"/>
          <w:kern w:val="0"/>
          <w:lang w:eastAsia="en-GB"/>
          <w14:ligatures w14:val="none"/>
        </w:rPr>
        <w:t xml:space="preserve">, I.W. and </w:t>
      </w:r>
      <w:proofErr w:type="spellStart"/>
      <w:r w:rsidRPr="00FC5524">
        <w:rPr>
          <w:rFonts w:ascii="Times New Roman" w:eastAsia="Calibri" w:hAnsi="Times New Roman" w:cs="Times New Roman"/>
          <w:kern w:val="0"/>
          <w:lang w:eastAsia="en-GB"/>
          <w14:ligatures w14:val="none"/>
        </w:rPr>
        <w:t>Artini</w:t>
      </w:r>
      <w:proofErr w:type="spellEnd"/>
      <w:r w:rsidRPr="00FC5524">
        <w:rPr>
          <w:rFonts w:ascii="Times New Roman" w:eastAsia="Calibri" w:hAnsi="Times New Roman" w:cs="Times New Roman"/>
          <w:kern w:val="0"/>
          <w:lang w:eastAsia="en-GB"/>
          <w14:ligatures w14:val="none"/>
        </w:rPr>
        <w:t xml:space="preserve">, L.G.S., 2022. The influence of social and personal factors in individual investment decision making. </w:t>
      </w:r>
      <w:proofErr w:type="spellStart"/>
      <w:r w:rsidRPr="00FC5524">
        <w:rPr>
          <w:rFonts w:ascii="Times New Roman" w:eastAsia="Calibri" w:hAnsi="Times New Roman" w:cs="Times New Roman"/>
          <w:i/>
          <w:iCs/>
          <w:kern w:val="0"/>
          <w:lang w:eastAsia="en-GB"/>
          <w14:ligatures w14:val="none"/>
        </w:rPr>
        <w:t>Calitatea</w:t>
      </w:r>
      <w:proofErr w:type="spellEnd"/>
      <w:r w:rsidRPr="00FC5524">
        <w:rPr>
          <w:rFonts w:ascii="Times New Roman" w:eastAsia="Calibri" w:hAnsi="Times New Roman" w:cs="Times New Roman"/>
          <w:kern w:val="0"/>
          <w:lang w:eastAsia="en-GB"/>
          <w14:ligatures w14:val="none"/>
        </w:rPr>
        <w:t xml:space="preserve">, </w:t>
      </w:r>
      <w:r w:rsidRPr="00FC5524">
        <w:rPr>
          <w:rFonts w:ascii="Times New Roman" w:eastAsia="Calibri" w:hAnsi="Times New Roman" w:cs="Times New Roman"/>
          <w:i/>
          <w:iCs/>
          <w:kern w:val="0"/>
          <w:lang w:eastAsia="en-GB"/>
          <w14:ligatures w14:val="none"/>
        </w:rPr>
        <w:t>23</w:t>
      </w:r>
      <w:r w:rsidRPr="00FC5524">
        <w:rPr>
          <w:rFonts w:ascii="Times New Roman" w:eastAsia="Calibri" w:hAnsi="Times New Roman" w:cs="Times New Roman"/>
          <w:kern w:val="0"/>
          <w:lang w:eastAsia="en-GB"/>
          <w14:ligatures w14:val="none"/>
        </w:rPr>
        <w:t>(191), pp.80-88.</w:t>
      </w:r>
    </w:p>
    <w:p w14:paraId="59BF89F6"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kern w:val="0"/>
          <w:lang w:eastAsia="en-GB"/>
          <w14:ligatures w14:val="none"/>
        </w:rPr>
      </w:pPr>
      <w:r w:rsidRPr="00FC5524">
        <w:rPr>
          <w:rFonts w:ascii="Times New Roman" w:eastAsia="Calibri" w:hAnsi="Times New Roman" w:cs="Times New Roman"/>
          <w:kern w:val="0"/>
          <w:lang w:eastAsia="en-GB"/>
          <w14:ligatures w14:val="none"/>
        </w:rPr>
        <w:t xml:space="preserve">Pawlak, M. and Zarzecki, D., 2020. Investment appraisal practice in the European Union countries. </w:t>
      </w:r>
      <w:r w:rsidRPr="00FC5524">
        <w:rPr>
          <w:rFonts w:ascii="Times New Roman" w:eastAsia="Calibri" w:hAnsi="Times New Roman" w:cs="Times New Roman"/>
          <w:i/>
          <w:iCs/>
          <w:kern w:val="0"/>
          <w:lang w:eastAsia="en-GB"/>
          <w14:ligatures w14:val="none"/>
        </w:rPr>
        <w:t>European Research Studies</w:t>
      </w:r>
      <w:r w:rsidRPr="00FC5524">
        <w:rPr>
          <w:rFonts w:ascii="Times New Roman" w:eastAsia="Calibri" w:hAnsi="Times New Roman" w:cs="Times New Roman"/>
          <w:kern w:val="0"/>
          <w:lang w:eastAsia="en-GB"/>
          <w14:ligatures w14:val="none"/>
        </w:rPr>
        <w:t xml:space="preserve">, </w:t>
      </w:r>
      <w:r w:rsidRPr="00FC5524">
        <w:rPr>
          <w:rFonts w:ascii="Times New Roman" w:eastAsia="Calibri" w:hAnsi="Times New Roman" w:cs="Times New Roman"/>
          <w:i/>
          <w:iCs/>
          <w:kern w:val="0"/>
          <w:lang w:eastAsia="en-GB"/>
          <w14:ligatures w14:val="none"/>
        </w:rPr>
        <w:t>23</w:t>
      </w:r>
      <w:r w:rsidRPr="00FC5524">
        <w:rPr>
          <w:rFonts w:ascii="Times New Roman" w:eastAsia="Calibri" w:hAnsi="Times New Roman" w:cs="Times New Roman"/>
          <w:kern w:val="0"/>
          <w:lang w:eastAsia="en-GB"/>
          <w14:ligatures w14:val="none"/>
        </w:rPr>
        <w:t>(2), pp.687-699.</w:t>
      </w:r>
    </w:p>
    <w:p w14:paraId="241C8606"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Polzin, F., Sanders, M. and </w:t>
      </w:r>
      <w:proofErr w:type="spellStart"/>
      <w:r w:rsidRPr="00FC5524">
        <w:rPr>
          <w:rFonts w:ascii="Times New Roman" w:eastAsia="Calibri" w:hAnsi="Times New Roman" w:cs="Times New Roman"/>
          <w:color w:val="222222"/>
          <w:kern w:val="0"/>
          <w:shd w:val="clear" w:color="auto" w:fill="FFFFFF"/>
          <w:lang w:eastAsia="en-GB"/>
          <w14:ligatures w14:val="none"/>
        </w:rPr>
        <w:t>Serebriakova</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A., 2021. Finance in global transition scenarios: Mapping investments by technology into finance needs by source. </w:t>
      </w:r>
      <w:r w:rsidRPr="00FC5524">
        <w:rPr>
          <w:rFonts w:ascii="Times New Roman" w:eastAsia="Calibri" w:hAnsi="Times New Roman" w:cs="Times New Roman"/>
          <w:i/>
          <w:iCs/>
          <w:color w:val="222222"/>
          <w:kern w:val="0"/>
          <w:shd w:val="clear" w:color="auto" w:fill="FFFFFF"/>
          <w:lang w:eastAsia="en-GB"/>
          <w14:ligatures w14:val="none"/>
        </w:rPr>
        <w:t>Energy Economics</w:t>
      </w:r>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99</w:t>
      </w:r>
      <w:r w:rsidRPr="00FC5524">
        <w:rPr>
          <w:rFonts w:ascii="Times New Roman" w:eastAsia="Calibri" w:hAnsi="Times New Roman" w:cs="Times New Roman"/>
          <w:color w:val="222222"/>
          <w:kern w:val="0"/>
          <w:shd w:val="clear" w:color="auto" w:fill="FFFFFF"/>
          <w:lang w:eastAsia="en-GB"/>
          <w14:ligatures w14:val="none"/>
        </w:rPr>
        <w:t>, p.105281.</w:t>
      </w:r>
    </w:p>
    <w:p w14:paraId="754E5DFB"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333333"/>
          <w:kern w:val="0"/>
          <w:shd w:val="clear" w:color="auto" w:fill="FCFCFC"/>
          <w:lang w:eastAsia="en-GB"/>
          <w14:ligatures w14:val="none"/>
        </w:rPr>
      </w:pPr>
      <w:proofErr w:type="spellStart"/>
      <w:r w:rsidRPr="00FC5524">
        <w:rPr>
          <w:rFonts w:ascii="Times New Roman" w:eastAsia="Calibri" w:hAnsi="Times New Roman" w:cs="Times New Roman"/>
          <w:color w:val="222222"/>
          <w:kern w:val="0"/>
          <w:shd w:val="clear" w:color="auto" w:fill="FFFFFF"/>
          <w:lang w:eastAsia="en-GB"/>
          <w14:ligatures w14:val="none"/>
        </w:rPr>
        <w:t>Rudianto</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E., 2022. Analysis of liquidity and solvency ratios on the balance sheet of the regional government of </w:t>
      </w:r>
      <w:proofErr w:type="spellStart"/>
      <w:r w:rsidRPr="00FC5524">
        <w:rPr>
          <w:rFonts w:ascii="Times New Roman" w:eastAsia="Calibri" w:hAnsi="Times New Roman" w:cs="Times New Roman"/>
          <w:color w:val="222222"/>
          <w:kern w:val="0"/>
          <w:shd w:val="clear" w:color="auto" w:fill="FFFFFF"/>
          <w:lang w:eastAsia="en-GB"/>
          <w14:ligatures w14:val="none"/>
        </w:rPr>
        <w:t>Temanggung</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in 2014-2015. </w:t>
      </w:r>
      <w:r w:rsidRPr="00FC5524">
        <w:rPr>
          <w:rFonts w:ascii="Times New Roman" w:eastAsia="Calibri" w:hAnsi="Times New Roman" w:cs="Times New Roman"/>
          <w:i/>
          <w:iCs/>
          <w:color w:val="222222"/>
          <w:kern w:val="0"/>
          <w:shd w:val="clear" w:color="auto" w:fill="FFFFFF"/>
          <w:lang w:eastAsia="en-GB"/>
          <w14:ligatures w14:val="none"/>
        </w:rPr>
        <w:t xml:space="preserve">Journal Of Management, Accounting, General Finance </w:t>
      </w:r>
      <w:proofErr w:type="gramStart"/>
      <w:r w:rsidRPr="00FC5524">
        <w:rPr>
          <w:rFonts w:ascii="Times New Roman" w:eastAsia="Calibri" w:hAnsi="Times New Roman" w:cs="Times New Roman"/>
          <w:i/>
          <w:iCs/>
          <w:color w:val="222222"/>
          <w:kern w:val="0"/>
          <w:shd w:val="clear" w:color="auto" w:fill="FFFFFF"/>
          <w:lang w:eastAsia="en-GB"/>
          <w14:ligatures w14:val="none"/>
        </w:rPr>
        <w:t>And</w:t>
      </w:r>
      <w:proofErr w:type="gramEnd"/>
      <w:r w:rsidRPr="00FC5524">
        <w:rPr>
          <w:rFonts w:ascii="Times New Roman" w:eastAsia="Calibri" w:hAnsi="Times New Roman" w:cs="Times New Roman"/>
          <w:i/>
          <w:iCs/>
          <w:color w:val="222222"/>
          <w:kern w:val="0"/>
          <w:shd w:val="clear" w:color="auto" w:fill="FFFFFF"/>
          <w:lang w:eastAsia="en-GB"/>
          <w14:ligatures w14:val="none"/>
        </w:rPr>
        <w:t xml:space="preserve"> International Economic Issues</w:t>
      </w:r>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1</w:t>
      </w:r>
      <w:r w:rsidRPr="00FC5524">
        <w:rPr>
          <w:rFonts w:ascii="Times New Roman" w:eastAsia="Calibri" w:hAnsi="Times New Roman" w:cs="Times New Roman"/>
          <w:color w:val="222222"/>
          <w:kern w:val="0"/>
          <w:shd w:val="clear" w:color="auto" w:fill="FFFFFF"/>
          <w:lang w:eastAsia="en-GB"/>
          <w14:ligatures w14:val="none"/>
        </w:rPr>
        <w:t xml:space="preserve">(2), pp.19-26. </w:t>
      </w:r>
    </w:p>
    <w:p w14:paraId="5A78632A"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Syarifah, S., 2021. Effect of Earnings Management, Liquidity Ratio, Solvency Ratio, and Ratio Profitability of Bond Ratings in Manufacturing:(Case Study Sub-Sector Property and Real Estate Sector Companies listed on the Indonesia Stock Exchange (IDX)). </w:t>
      </w:r>
      <w:r w:rsidRPr="00FC5524">
        <w:rPr>
          <w:rFonts w:ascii="Times New Roman" w:eastAsia="Calibri" w:hAnsi="Times New Roman" w:cs="Times New Roman"/>
          <w:i/>
          <w:iCs/>
          <w:color w:val="222222"/>
          <w:kern w:val="0"/>
          <w:shd w:val="clear" w:color="auto" w:fill="FFFFFF"/>
          <w:lang w:eastAsia="en-GB"/>
          <w14:ligatures w14:val="none"/>
        </w:rPr>
        <w:t>International Journal of Business, Economics, and Social Development</w:t>
      </w:r>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2</w:t>
      </w:r>
      <w:r w:rsidRPr="00FC5524">
        <w:rPr>
          <w:rFonts w:ascii="Times New Roman" w:eastAsia="Calibri" w:hAnsi="Times New Roman" w:cs="Times New Roman"/>
          <w:color w:val="222222"/>
          <w:kern w:val="0"/>
          <w:shd w:val="clear" w:color="auto" w:fill="FFFFFF"/>
          <w:lang w:eastAsia="en-GB"/>
          <w14:ligatures w14:val="none"/>
        </w:rPr>
        <w:t>(2), pp.89-97.</w:t>
      </w:r>
    </w:p>
    <w:p w14:paraId="57811B32"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222222"/>
          <w:kern w:val="0"/>
          <w:shd w:val="clear" w:color="auto" w:fill="FFFFFF"/>
          <w:lang w:eastAsia="en-GB"/>
          <w14:ligatures w14:val="none"/>
        </w:rPr>
      </w:pPr>
      <w:proofErr w:type="spellStart"/>
      <w:r w:rsidRPr="00FC5524">
        <w:rPr>
          <w:rFonts w:ascii="Times New Roman" w:eastAsia="Calibri" w:hAnsi="Times New Roman" w:cs="Times New Roman"/>
          <w:color w:val="222222"/>
          <w:kern w:val="0"/>
          <w:shd w:val="clear" w:color="auto" w:fill="FFFFFF"/>
          <w:lang w:eastAsia="en-GB"/>
          <w14:ligatures w14:val="none"/>
        </w:rPr>
        <w:lastRenderedPageBreak/>
        <w:t>Tortia</w:t>
      </w:r>
      <w:proofErr w:type="spellEnd"/>
      <w:r w:rsidRPr="00FC5524">
        <w:rPr>
          <w:rFonts w:ascii="Times New Roman" w:eastAsia="Calibri" w:hAnsi="Times New Roman" w:cs="Times New Roman"/>
          <w:color w:val="222222"/>
          <w:kern w:val="0"/>
          <w:shd w:val="clear" w:color="auto" w:fill="FFFFFF"/>
          <w:lang w:eastAsia="en-GB"/>
          <w14:ligatures w14:val="none"/>
        </w:rPr>
        <w:t xml:space="preserve">, E.C., 2021. Capital as a common-pool resource: Horizon problem, financial sustainability, and reserves in worker cooperatives. </w:t>
      </w:r>
      <w:r w:rsidRPr="00FC5524">
        <w:rPr>
          <w:rFonts w:ascii="Times New Roman" w:eastAsia="Calibri" w:hAnsi="Times New Roman" w:cs="Times New Roman"/>
          <w:i/>
          <w:iCs/>
          <w:color w:val="222222"/>
          <w:kern w:val="0"/>
          <w:shd w:val="clear" w:color="auto" w:fill="FFFFFF"/>
          <w:lang w:eastAsia="en-GB"/>
          <w14:ligatures w14:val="none"/>
        </w:rPr>
        <w:t>Journal of Co-operative Organization and Management</w:t>
      </w:r>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9</w:t>
      </w:r>
      <w:r w:rsidRPr="00FC5524">
        <w:rPr>
          <w:rFonts w:ascii="Times New Roman" w:eastAsia="Calibri" w:hAnsi="Times New Roman" w:cs="Times New Roman"/>
          <w:color w:val="222222"/>
          <w:kern w:val="0"/>
          <w:shd w:val="clear" w:color="auto" w:fill="FFFFFF"/>
          <w:lang w:eastAsia="en-GB"/>
          <w14:ligatures w14:val="none"/>
        </w:rPr>
        <w:t>(2), p.100137.</w:t>
      </w:r>
    </w:p>
    <w:p w14:paraId="0EFD3E4F" w14:textId="77777777" w:rsidR="00FC5524" w:rsidRPr="00FC5524" w:rsidRDefault="00FC5524" w:rsidP="00FC5524">
      <w:pPr>
        <w:numPr>
          <w:ilvl w:val="0"/>
          <w:numId w:val="4"/>
        </w:numPr>
        <w:spacing w:before="100" w:beforeAutospacing="1" w:after="200" w:line="360" w:lineRule="auto"/>
        <w:contextualSpacing/>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Xiang, X., Liu, C. and Yang, M., 2022. Who is financing corporate green </w:t>
      </w:r>
      <w:proofErr w:type="gramStart"/>
      <w:r w:rsidRPr="00FC5524">
        <w:rPr>
          <w:rFonts w:ascii="Times New Roman" w:eastAsia="Calibri" w:hAnsi="Times New Roman" w:cs="Times New Roman"/>
          <w:color w:val="222222"/>
          <w:kern w:val="0"/>
          <w:shd w:val="clear" w:color="auto" w:fill="FFFFFF"/>
          <w:lang w:eastAsia="en-GB"/>
          <w14:ligatures w14:val="none"/>
        </w:rPr>
        <w:t>innovation?.</w:t>
      </w:r>
      <w:proofErr w:type="gramEnd"/>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International Review of Economics &amp; Finance</w:t>
      </w:r>
      <w:r w:rsidRPr="00FC5524">
        <w:rPr>
          <w:rFonts w:ascii="Times New Roman" w:eastAsia="Calibri" w:hAnsi="Times New Roman" w:cs="Times New Roman"/>
          <w:color w:val="222222"/>
          <w:kern w:val="0"/>
          <w:shd w:val="clear" w:color="auto" w:fill="FFFFFF"/>
          <w:lang w:eastAsia="en-GB"/>
          <w14:ligatures w14:val="none"/>
        </w:rPr>
        <w:t xml:space="preserve">, </w:t>
      </w:r>
      <w:r w:rsidRPr="00FC5524">
        <w:rPr>
          <w:rFonts w:ascii="Times New Roman" w:eastAsia="Calibri" w:hAnsi="Times New Roman" w:cs="Times New Roman"/>
          <w:i/>
          <w:iCs/>
          <w:color w:val="222222"/>
          <w:kern w:val="0"/>
          <w:shd w:val="clear" w:color="auto" w:fill="FFFFFF"/>
          <w:lang w:eastAsia="en-GB"/>
          <w14:ligatures w14:val="none"/>
        </w:rPr>
        <w:t>78</w:t>
      </w:r>
      <w:r w:rsidRPr="00FC5524">
        <w:rPr>
          <w:rFonts w:ascii="Times New Roman" w:eastAsia="Calibri" w:hAnsi="Times New Roman" w:cs="Times New Roman"/>
          <w:color w:val="222222"/>
          <w:kern w:val="0"/>
          <w:shd w:val="clear" w:color="auto" w:fill="FFFFFF"/>
          <w:lang w:eastAsia="en-GB"/>
          <w14:ligatures w14:val="none"/>
        </w:rPr>
        <w:t>, pp.321-337.</w:t>
      </w:r>
    </w:p>
    <w:p w14:paraId="244C1AD1"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16AD8DA8"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1B2035AF"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3DB83146"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5E4714D5"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67F71761"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0D48C294"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3B5D4F2E"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05B36005"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4D775E28"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7764032A"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52DA4BE8"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1B9EE19E"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3942382D"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3C71DEA7"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3DC95E57" w14:textId="77777777" w:rsidR="00367948" w:rsidRDefault="00367948" w:rsidP="00FC5524">
      <w:pPr>
        <w:keepNext/>
        <w:keepLines/>
        <w:widowControl w:val="0"/>
        <w:spacing w:before="480" w:after="0" w:line="273" w:lineRule="auto"/>
        <w:outlineLvl w:val="0"/>
        <w:rPr>
          <w:rFonts w:ascii="Cambria" w:eastAsia="SimSun" w:hAnsi="Cambria" w:cs="Times New Roman"/>
          <w:b/>
          <w:bCs/>
          <w:color w:val="366091"/>
          <w:kern w:val="36"/>
          <w:sz w:val="28"/>
          <w:szCs w:val="28"/>
          <w:shd w:val="clear" w:color="auto" w:fill="FFFFFF"/>
          <w:lang w:eastAsia="en-GB"/>
          <w14:ligatures w14:val="none"/>
        </w:rPr>
      </w:pPr>
      <w:bookmarkStart w:id="33" w:name="_Toc203756925"/>
      <w:bookmarkEnd w:id="33"/>
    </w:p>
    <w:p w14:paraId="7777915E" w14:textId="3378D67E" w:rsidR="00FC5524" w:rsidRPr="00FC5524" w:rsidRDefault="00FC5524" w:rsidP="00FC5524">
      <w:pPr>
        <w:keepNext/>
        <w:keepLines/>
        <w:widowControl w:val="0"/>
        <w:spacing w:before="480" w:after="0" w:line="273" w:lineRule="auto"/>
        <w:outlineLvl w:val="0"/>
        <w:rPr>
          <w:rFonts w:ascii="Cambria" w:eastAsia="SimSun" w:hAnsi="Cambria" w:cs="Times New Roman"/>
          <w:b/>
          <w:bCs/>
          <w:color w:val="366091"/>
          <w:kern w:val="36"/>
          <w:sz w:val="28"/>
          <w:szCs w:val="28"/>
          <w:shd w:val="clear" w:color="auto" w:fill="FFFFFF"/>
          <w:lang w:eastAsia="en-GB"/>
          <w14:ligatures w14:val="none"/>
        </w:rPr>
      </w:pPr>
      <w:r w:rsidRPr="00FC5524">
        <w:rPr>
          <w:rFonts w:ascii="Cambria" w:eastAsia="SimSun" w:hAnsi="Cambria" w:cs="Times New Roman"/>
          <w:b/>
          <w:bCs/>
          <w:color w:val="366091"/>
          <w:kern w:val="36"/>
          <w:sz w:val="28"/>
          <w:szCs w:val="28"/>
          <w:shd w:val="clear" w:color="auto" w:fill="FFFFFF"/>
          <w:lang w:eastAsia="en-GB"/>
          <w14:ligatures w14:val="none"/>
        </w:rPr>
        <w:t>Appendices</w:t>
      </w:r>
    </w:p>
    <w:p w14:paraId="4110C825"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Appendix 1 Financial Ratios</w:t>
      </w:r>
    </w:p>
    <w:tbl>
      <w:tblPr>
        <w:tblW w:w="9260" w:type="dxa"/>
        <w:tblInd w:w="93" w:type="dxa"/>
        <w:tblLook w:val="04A0" w:firstRow="1" w:lastRow="0" w:firstColumn="1" w:lastColumn="0" w:noHBand="0" w:noVBand="1"/>
      </w:tblPr>
      <w:tblGrid>
        <w:gridCol w:w="2740"/>
        <w:gridCol w:w="4920"/>
        <w:gridCol w:w="875"/>
        <w:gridCol w:w="875"/>
      </w:tblGrid>
      <w:tr w:rsidR="00FC5524" w:rsidRPr="00FC5524" w14:paraId="2AB478B5" w14:textId="77777777" w:rsidTr="00FC5524">
        <w:trPr>
          <w:trHeight w:val="300"/>
        </w:trPr>
        <w:tc>
          <w:tcPr>
            <w:tcW w:w="2740" w:type="dxa"/>
            <w:tcBorders>
              <w:top w:val="single" w:sz="4" w:space="0" w:color="auto"/>
              <w:left w:val="single" w:sz="4" w:space="0" w:color="auto"/>
              <w:bottom w:val="single" w:sz="4" w:space="0" w:color="auto"/>
              <w:right w:val="single" w:sz="4" w:space="0" w:color="auto"/>
            </w:tcBorders>
            <w:shd w:val="clear" w:color="auto" w:fill="DDD9C3"/>
            <w:noWrap/>
            <w:vAlign w:val="bottom"/>
            <w:hideMark/>
          </w:tcPr>
          <w:p w14:paraId="3BDB1D2A"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Particulars</w:t>
            </w:r>
          </w:p>
        </w:tc>
        <w:tc>
          <w:tcPr>
            <w:tcW w:w="4920" w:type="dxa"/>
            <w:tcBorders>
              <w:top w:val="single" w:sz="4" w:space="0" w:color="auto"/>
              <w:left w:val="nil"/>
              <w:bottom w:val="single" w:sz="4" w:space="0" w:color="auto"/>
              <w:right w:val="single" w:sz="4" w:space="0" w:color="auto"/>
            </w:tcBorders>
            <w:shd w:val="clear" w:color="auto" w:fill="DDD9C3"/>
            <w:noWrap/>
            <w:vAlign w:val="bottom"/>
            <w:hideMark/>
          </w:tcPr>
          <w:p w14:paraId="5FFAB969"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Formulas</w:t>
            </w:r>
          </w:p>
        </w:tc>
        <w:tc>
          <w:tcPr>
            <w:tcW w:w="800" w:type="dxa"/>
            <w:tcBorders>
              <w:top w:val="single" w:sz="4" w:space="0" w:color="auto"/>
              <w:left w:val="nil"/>
              <w:bottom w:val="single" w:sz="4" w:space="0" w:color="auto"/>
              <w:right w:val="single" w:sz="4" w:space="0" w:color="auto"/>
            </w:tcBorders>
            <w:shd w:val="clear" w:color="auto" w:fill="DDD9C3"/>
            <w:noWrap/>
            <w:vAlign w:val="bottom"/>
            <w:hideMark/>
          </w:tcPr>
          <w:p w14:paraId="30A7D33A"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2024</w:t>
            </w:r>
          </w:p>
        </w:tc>
        <w:tc>
          <w:tcPr>
            <w:tcW w:w="800" w:type="dxa"/>
            <w:tcBorders>
              <w:top w:val="single" w:sz="4" w:space="0" w:color="auto"/>
              <w:left w:val="nil"/>
              <w:bottom w:val="single" w:sz="4" w:space="0" w:color="auto"/>
              <w:right w:val="single" w:sz="4" w:space="0" w:color="auto"/>
            </w:tcBorders>
            <w:shd w:val="clear" w:color="auto" w:fill="DDD9C3"/>
            <w:noWrap/>
            <w:vAlign w:val="bottom"/>
            <w:hideMark/>
          </w:tcPr>
          <w:p w14:paraId="315F28FE"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2023</w:t>
            </w:r>
          </w:p>
        </w:tc>
      </w:tr>
      <w:tr w:rsidR="00FC5524" w:rsidRPr="00FC5524" w14:paraId="3A13E59F"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688788D3" w14:textId="77777777" w:rsidR="00FC5524" w:rsidRPr="00FC5524" w:rsidRDefault="00FC5524" w:rsidP="00FC5524">
            <w:pPr>
              <w:spacing w:before="100" w:beforeAutospacing="1" w:after="0" w:line="273" w:lineRule="auto"/>
              <w:rPr>
                <w:rFonts w:ascii="Calibri" w:eastAsia="Times New Roman" w:hAnsi="Calibri" w:cs="Calibri"/>
                <w:b/>
                <w:bCs/>
                <w:color w:val="000000"/>
                <w:kern w:val="0"/>
                <w:sz w:val="22"/>
                <w:szCs w:val="22"/>
                <w:u w:val="single"/>
                <w:lang w:eastAsia="en-GB"/>
                <w14:ligatures w14:val="none"/>
              </w:rPr>
            </w:pPr>
            <w:r w:rsidRPr="00FC5524">
              <w:rPr>
                <w:rFonts w:ascii="Calibri" w:eastAsia="Times New Roman" w:hAnsi="Calibri" w:cs="Calibri"/>
                <w:b/>
                <w:bCs/>
                <w:color w:val="000000"/>
                <w:kern w:val="0"/>
                <w:sz w:val="22"/>
                <w:szCs w:val="22"/>
                <w:u w:val="single"/>
                <w:lang w:eastAsia="en-GB"/>
                <w14:ligatures w14:val="none"/>
              </w:rPr>
              <w:t>Profitability Ratios</w:t>
            </w:r>
          </w:p>
        </w:tc>
        <w:tc>
          <w:tcPr>
            <w:tcW w:w="4920" w:type="dxa"/>
            <w:tcBorders>
              <w:top w:val="nil"/>
              <w:left w:val="nil"/>
              <w:bottom w:val="single" w:sz="4" w:space="0" w:color="auto"/>
              <w:right w:val="single" w:sz="4" w:space="0" w:color="auto"/>
            </w:tcBorders>
            <w:shd w:val="clear" w:color="auto" w:fill="DBE5F1"/>
            <w:noWrap/>
            <w:vAlign w:val="bottom"/>
            <w:hideMark/>
          </w:tcPr>
          <w:p w14:paraId="3298F506"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c>
          <w:tcPr>
            <w:tcW w:w="800" w:type="dxa"/>
            <w:tcBorders>
              <w:top w:val="nil"/>
              <w:left w:val="nil"/>
              <w:bottom w:val="single" w:sz="4" w:space="0" w:color="auto"/>
              <w:right w:val="single" w:sz="4" w:space="0" w:color="auto"/>
            </w:tcBorders>
            <w:shd w:val="clear" w:color="auto" w:fill="DBE5F1"/>
            <w:noWrap/>
            <w:vAlign w:val="bottom"/>
            <w:hideMark/>
          </w:tcPr>
          <w:p w14:paraId="30FCB003"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c>
          <w:tcPr>
            <w:tcW w:w="800" w:type="dxa"/>
            <w:tcBorders>
              <w:top w:val="nil"/>
              <w:left w:val="nil"/>
              <w:bottom w:val="single" w:sz="4" w:space="0" w:color="auto"/>
              <w:right w:val="single" w:sz="4" w:space="0" w:color="auto"/>
            </w:tcBorders>
            <w:shd w:val="clear" w:color="auto" w:fill="DBE5F1"/>
            <w:noWrap/>
            <w:vAlign w:val="bottom"/>
            <w:hideMark/>
          </w:tcPr>
          <w:p w14:paraId="68F92BD8"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r>
      <w:tr w:rsidR="00FC5524" w:rsidRPr="00FC5524" w14:paraId="1ED63846"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285CCAAC"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Gross Profit Margin</w:t>
            </w:r>
          </w:p>
        </w:tc>
        <w:tc>
          <w:tcPr>
            <w:tcW w:w="4920" w:type="dxa"/>
            <w:tcBorders>
              <w:top w:val="nil"/>
              <w:left w:val="nil"/>
              <w:bottom w:val="single" w:sz="4" w:space="0" w:color="auto"/>
              <w:right w:val="single" w:sz="4" w:space="0" w:color="auto"/>
            </w:tcBorders>
            <w:shd w:val="clear" w:color="auto" w:fill="DBE5F1"/>
            <w:noWrap/>
            <w:vAlign w:val="bottom"/>
            <w:hideMark/>
          </w:tcPr>
          <w:p w14:paraId="0AD7EE05"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Gross Margin x 100/Total Sales</w:t>
            </w:r>
          </w:p>
        </w:tc>
        <w:tc>
          <w:tcPr>
            <w:tcW w:w="800" w:type="dxa"/>
            <w:tcBorders>
              <w:top w:val="nil"/>
              <w:left w:val="nil"/>
              <w:bottom w:val="single" w:sz="4" w:space="0" w:color="auto"/>
              <w:right w:val="single" w:sz="4" w:space="0" w:color="auto"/>
            </w:tcBorders>
            <w:shd w:val="clear" w:color="auto" w:fill="DBE5F1"/>
            <w:noWrap/>
            <w:vAlign w:val="bottom"/>
            <w:hideMark/>
          </w:tcPr>
          <w:p w14:paraId="18D2FEE0"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20.98%</w:t>
            </w:r>
          </w:p>
        </w:tc>
        <w:tc>
          <w:tcPr>
            <w:tcW w:w="800" w:type="dxa"/>
            <w:tcBorders>
              <w:top w:val="nil"/>
              <w:left w:val="nil"/>
              <w:bottom w:val="single" w:sz="4" w:space="0" w:color="auto"/>
              <w:right w:val="single" w:sz="4" w:space="0" w:color="auto"/>
            </w:tcBorders>
            <w:shd w:val="clear" w:color="auto" w:fill="DBE5F1"/>
            <w:noWrap/>
            <w:vAlign w:val="bottom"/>
            <w:hideMark/>
          </w:tcPr>
          <w:p w14:paraId="71888EAB"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20.57%</w:t>
            </w:r>
          </w:p>
        </w:tc>
      </w:tr>
      <w:tr w:rsidR="00FC5524" w:rsidRPr="00FC5524" w14:paraId="19FED6C9"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1B399C8A"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Operating Profit Margin</w:t>
            </w:r>
          </w:p>
        </w:tc>
        <w:tc>
          <w:tcPr>
            <w:tcW w:w="4920" w:type="dxa"/>
            <w:tcBorders>
              <w:top w:val="nil"/>
              <w:left w:val="nil"/>
              <w:bottom w:val="single" w:sz="4" w:space="0" w:color="auto"/>
              <w:right w:val="single" w:sz="4" w:space="0" w:color="auto"/>
            </w:tcBorders>
            <w:shd w:val="clear" w:color="auto" w:fill="DBE5F1"/>
            <w:noWrap/>
            <w:vAlign w:val="bottom"/>
            <w:hideMark/>
          </w:tcPr>
          <w:p w14:paraId="0C371C13"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Operating Margin x 100/Total Sales</w:t>
            </w:r>
          </w:p>
        </w:tc>
        <w:tc>
          <w:tcPr>
            <w:tcW w:w="800" w:type="dxa"/>
            <w:tcBorders>
              <w:top w:val="nil"/>
              <w:left w:val="nil"/>
              <w:bottom w:val="single" w:sz="4" w:space="0" w:color="auto"/>
              <w:right w:val="single" w:sz="4" w:space="0" w:color="auto"/>
            </w:tcBorders>
            <w:shd w:val="clear" w:color="auto" w:fill="DBE5F1"/>
            <w:noWrap/>
            <w:vAlign w:val="bottom"/>
            <w:hideMark/>
          </w:tcPr>
          <w:p w14:paraId="393CB262"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10.97%</w:t>
            </w:r>
          </w:p>
        </w:tc>
        <w:tc>
          <w:tcPr>
            <w:tcW w:w="800" w:type="dxa"/>
            <w:tcBorders>
              <w:top w:val="nil"/>
              <w:left w:val="nil"/>
              <w:bottom w:val="single" w:sz="4" w:space="0" w:color="auto"/>
              <w:right w:val="single" w:sz="4" w:space="0" w:color="auto"/>
            </w:tcBorders>
            <w:shd w:val="clear" w:color="auto" w:fill="DBE5F1"/>
            <w:noWrap/>
            <w:vAlign w:val="bottom"/>
            <w:hideMark/>
          </w:tcPr>
          <w:p w14:paraId="68943D41"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10.48%</w:t>
            </w:r>
          </w:p>
        </w:tc>
      </w:tr>
      <w:tr w:rsidR="00FC5524" w:rsidRPr="00FC5524" w14:paraId="0D6B3285"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60828D46"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Net Profit Margin</w:t>
            </w:r>
          </w:p>
        </w:tc>
        <w:tc>
          <w:tcPr>
            <w:tcW w:w="4920" w:type="dxa"/>
            <w:tcBorders>
              <w:top w:val="nil"/>
              <w:left w:val="nil"/>
              <w:bottom w:val="single" w:sz="4" w:space="0" w:color="auto"/>
              <w:right w:val="single" w:sz="4" w:space="0" w:color="auto"/>
            </w:tcBorders>
            <w:shd w:val="clear" w:color="auto" w:fill="DBE5F1"/>
            <w:noWrap/>
            <w:vAlign w:val="bottom"/>
            <w:hideMark/>
          </w:tcPr>
          <w:p w14:paraId="0B728F60"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Net Margin x 100/Total Sales</w:t>
            </w:r>
          </w:p>
        </w:tc>
        <w:tc>
          <w:tcPr>
            <w:tcW w:w="800" w:type="dxa"/>
            <w:tcBorders>
              <w:top w:val="nil"/>
              <w:left w:val="nil"/>
              <w:bottom w:val="single" w:sz="4" w:space="0" w:color="auto"/>
              <w:right w:val="single" w:sz="4" w:space="0" w:color="auto"/>
            </w:tcBorders>
            <w:shd w:val="clear" w:color="auto" w:fill="DBE5F1"/>
            <w:noWrap/>
            <w:vAlign w:val="bottom"/>
            <w:hideMark/>
          </w:tcPr>
          <w:p w14:paraId="44F2FA4A"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8.48%</w:t>
            </w:r>
          </w:p>
        </w:tc>
        <w:tc>
          <w:tcPr>
            <w:tcW w:w="800" w:type="dxa"/>
            <w:tcBorders>
              <w:top w:val="nil"/>
              <w:left w:val="nil"/>
              <w:bottom w:val="single" w:sz="4" w:space="0" w:color="auto"/>
              <w:right w:val="single" w:sz="4" w:space="0" w:color="auto"/>
            </w:tcBorders>
            <w:shd w:val="clear" w:color="auto" w:fill="DBE5F1"/>
            <w:noWrap/>
            <w:vAlign w:val="bottom"/>
            <w:hideMark/>
          </w:tcPr>
          <w:p w14:paraId="3878CD5D"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7.56%</w:t>
            </w:r>
          </w:p>
        </w:tc>
      </w:tr>
      <w:tr w:rsidR="00FC5524" w:rsidRPr="00FC5524" w14:paraId="2973F23F"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647DC19A"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Return on capital employed</w:t>
            </w:r>
          </w:p>
        </w:tc>
        <w:tc>
          <w:tcPr>
            <w:tcW w:w="4920" w:type="dxa"/>
            <w:tcBorders>
              <w:top w:val="nil"/>
              <w:left w:val="nil"/>
              <w:bottom w:val="single" w:sz="4" w:space="0" w:color="auto"/>
              <w:right w:val="single" w:sz="4" w:space="0" w:color="auto"/>
            </w:tcBorders>
            <w:shd w:val="clear" w:color="auto" w:fill="DBE5F1"/>
            <w:noWrap/>
            <w:vAlign w:val="bottom"/>
            <w:hideMark/>
          </w:tcPr>
          <w:p w14:paraId="47790E02"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Operating Profit/ (Total Assets - Current Liabilities)</w:t>
            </w:r>
          </w:p>
        </w:tc>
        <w:tc>
          <w:tcPr>
            <w:tcW w:w="800" w:type="dxa"/>
            <w:tcBorders>
              <w:top w:val="nil"/>
              <w:left w:val="nil"/>
              <w:bottom w:val="single" w:sz="4" w:space="0" w:color="auto"/>
              <w:right w:val="single" w:sz="4" w:space="0" w:color="auto"/>
            </w:tcBorders>
            <w:shd w:val="clear" w:color="auto" w:fill="DBE5F1"/>
            <w:noWrap/>
            <w:vAlign w:val="bottom"/>
            <w:hideMark/>
          </w:tcPr>
          <w:p w14:paraId="0A1B2D22"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21.72%</w:t>
            </w:r>
          </w:p>
        </w:tc>
        <w:tc>
          <w:tcPr>
            <w:tcW w:w="800" w:type="dxa"/>
            <w:tcBorders>
              <w:top w:val="nil"/>
              <w:left w:val="nil"/>
              <w:bottom w:val="single" w:sz="4" w:space="0" w:color="auto"/>
              <w:right w:val="single" w:sz="4" w:space="0" w:color="auto"/>
            </w:tcBorders>
            <w:shd w:val="clear" w:color="auto" w:fill="DBE5F1"/>
            <w:noWrap/>
            <w:vAlign w:val="bottom"/>
            <w:hideMark/>
          </w:tcPr>
          <w:p w14:paraId="4F9F32FD"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19.43%</w:t>
            </w:r>
          </w:p>
        </w:tc>
      </w:tr>
      <w:tr w:rsidR="00FC5524" w:rsidRPr="00FC5524" w14:paraId="30BFBE38"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602128A9"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Return on Assets</w:t>
            </w:r>
          </w:p>
        </w:tc>
        <w:tc>
          <w:tcPr>
            <w:tcW w:w="4920" w:type="dxa"/>
            <w:tcBorders>
              <w:top w:val="nil"/>
              <w:left w:val="nil"/>
              <w:bottom w:val="single" w:sz="4" w:space="0" w:color="auto"/>
              <w:right w:val="single" w:sz="4" w:space="0" w:color="auto"/>
            </w:tcBorders>
            <w:shd w:val="clear" w:color="auto" w:fill="DBE5F1"/>
            <w:noWrap/>
            <w:vAlign w:val="bottom"/>
            <w:hideMark/>
          </w:tcPr>
          <w:p w14:paraId="7321CA10"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Operating profit/ Total Assets</w:t>
            </w:r>
          </w:p>
        </w:tc>
        <w:tc>
          <w:tcPr>
            <w:tcW w:w="800" w:type="dxa"/>
            <w:tcBorders>
              <w:top w:val="nil"/>
              <w:left w:val="nil"/>
              <w:bottom w:val="single" w:sz="4" w:space="0" w:color="auto"/>
              <w:right w:val="single" w:sz="4" w:space="0" w:color="auto"/>
            </w:tcBorders>
            <w:shd w:val="clear" w:color="auto" w:fill="DBE5F1"/>
            <w:noWrap/>
            <w:vAlign w:val="bottom"/>
            <w:hideMark/>
          </w:tcPr>
          <w:p w14:paraId="7251AC83"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12.77%</w:t>
            </w:r>
          </w:p>
        </w:tc>
        <w:tc>
          <w:tcPr>
            <w:tcW w:w="800" w:type="dxa"/>
            <w:tcBorders>
              <w:top w:val="nil"/>
              <w:left w:val="nil"/>
              <w:bottom w:val="single" w:sz="4" w:space="0" w:color="auto"/>
              <w:right w:val="single" w:sz="4" w:space="0" w:color="auto"/>
            </w:tcBorders>
            <w:shd w:val="clear" w:color="auto" w:fill="DBE5F1"/>
            <w:noWrap/>
            <w:vAlign w:val="bottom"/>
            <w:hideMark/>
          </w:tcPr>
          <w:p w14:paraId="42542296"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11.57%</w:t>
            </w:r>
          </w:p>
        </w:tc>
      </w:tr>
      <w:tr w:rsidR="00FC5524" w:rsidRPr="00FC5524" w14:paraId="4A4C2DF0"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DD9C3"/>
            <w:noWrap/>
            <w:vAlign w:val="bottom"/>
            <w:hideMark/>
          </w:tcPr>
          <w:p w14:paraId="46F12922"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Particulars</w:t>
            </w:r>
          </w:p>
        </w:tc>
        <w:tc>
          <w:tcPr>
            <w:tcW w:w="4920" w:type="dxa"/>
            <w:tcBorders>
              <w:top w:val="nil"/>
              <w:left w:val="nil"/>
              <w:bottom w:val="single" w:sz="4" w:space="0" w:color="auto"/>
              <w:right w:val="single" w:sz="4" w:space="0" w:color="auto"/>
            </w:tcBorders>
            <w:shd w:val="clear" w:color="auto" w:fill="DDD9C3"/>
            <w:noWrap/>
            <w:vAlign w:val="bottom"/>
            <w:hideMark/>
          </w:tcPr>
          <w:p w14:paraId="2CC3DF6F"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Formulas</w:t>
            </w:r>
          </w:p>
        </w:tc>
        <w:tc>
          <w:tcPr>
            <w:tcW w:w="800" w:type="dxa"/>
            <w:tcBorders>
              <w:top w:val="nil"/>
              <w:left w:val="nil"/>
              <w:bottom w:val="single" w:sz="4" w:space="0" w:color="auto"/>
              <w:right w:val="single" w:sz="4" w:space="0" w:color="auto"/>
            </w:tcBorders>
            <w:shd w:val="clear" w:color="auto" w:fill="DDD9C3"/>
            <w:noWrap/>
            <w:vAlign w:val="bottom"/>
            <w:hideMark/>
          </w:tcPr>
          <w:p w14:paraId="715F763E"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2024</w:t>
            </w:r>
          </w:p>
        </w:tc>
        <w:tc>
          <w:tcPr>
            <w:tcW w:w="800" w:type="dxa"/>
            <w:tcBorders>
              <w:top w:val="nil"/>
              <w:left w:val="nil"/>
              <w:bottom w:val="single" w:sz="4" w:space="0" w:color="auto"/>
              <w:right w:val="single" w:sz="4" w:space="0" w:color="auto"/>
            </w:tcBorders>
            <w:shd w:val="clear" w:color="auto" w:fill="DDD9C3"/>
            <w:noWrap/>
            <w:vAlign w:val="bottom"/>
            <w:hideMark/>
          </w:tcPr>
          <w:p w14:paraId="76482F51"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2023</w:t>
            </w:r>
          </w:p>
        </w:tc>
      </w:tr>
      <w:tr w:rsidR="00FC5524" w:rsidRPr="00FC5524" w14:paraId="58C14A47"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678B1F3C" w14:textId="77777777" w:rsidR="00FC5524" w:rsidRPr="00FC5524" w:rsidRDefault="00FC5524" w:rsidP="00FC5524">
            <w:pPr>
              <w:spacing w:before="100" w:beforeAutospacing="1" w:after="0" w:line="273" w:lineRule="auto"/>
              <w:rPr>
                <w:rFonts w:ascii="Calibri" w:eastAsia="Times New Roman" w:hAnsi="Calibri" w:cs="Calibri"/>
                <w:b/>
                <w:bCs/>
                <w:color w:val="000000"/>
                <w:kern w:val="0"/>
                <w:sz w:val="22"/>
                <w:szCs w:val="22"/>
                <w:u w:val="single"/>
                <w:lang w:eastAsia="en-GB"/>
                <w14:ligatures w14:val="none"/>
              </w:rPr>
            </w:pPr>
            <w:r w:rsidRPr="00FC5524">
              <w:rPr>
                <w:rFonts w:ascii="Calibri" w:eastAsia="Times New Roman" w:hAnsi="Calibri" w:cs="Calibri"/>
                <w:b/>
                <w:bCs/>
                <w:color w:val="000000"/>
                <w:kern w:val="0"/>
                <w:sz w:val="22"/>
                <w:szCs w:val="22"/>
                <w:u w:val="single"/>
                <w:lang w:eastAsia="en-GB"/>
                <w14:ligatures w14:val="none"/>
              </w:rPr>
              <w:t>Liquidity Ratios</w:t>
            </w:r>
          </w:p>
        </w:tc>
        <w:tc>
          <w:tcPr>
            <w:tcW w:w="4920" w:type="dxa"/>
            <w:tcBorders>
              <w:top w:val="nil"/>
              <w:left w:val="nil"/>
              <w:bottom w:val="single" w:sz="4" w:space="0" w:color="auto"/>
              <w:right w:val="single" w:sz="4" w:space="0" w:color="auto"/>
            </w:tcBorders>
            <w:shd w:val="clear" w:color="auto" w:fill="DBE5F1"/>
            <w:noWrap/>
            <w:vAlign w:val="bottom"/>
            <w:hideMark/>
          </w:tcPr>
          <w:p w14:paraId="5F3A32D6"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c>
          <w:tcPr>
            <w:tcW w:w="800" w:type="dxa"/>
            <w:tcBorders>
              <w:top w:val="nil"/>
              <w:left w:val="nil"/>
              <w:bottom w:val="single" w:sz="4" w:space="0" w:color="auto"/>
              <w:right w:val="single" w:sz="4" w:space="0" w:color="auto"/>
            </w:tcBorders>
            <w:shd w:val="clear" w:color="auto" w:fill="DBE5F1"/>
            <w:noWrap/>
            <w:vAlign w:val="bottom"/>
            <w:hideMark/>
          </w:tcPr>
          <w:p w14:paraId="56BD271D"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c>
          <w:tcPr>
            <w:tcW w:w="800" w:type="dxa"/>
            <w:tcBorders>
              <w:top w:val="nil"/>
              <w:left w:val="nil"/>
              <w:bottom w:val="single" w:sz="4" w:space="0" w:color="auto"/>
              <w:right w:val="single" w:sz="4" w:space="0" w:color="auto"/>
            </w:tcBorders>
            <w:shd w:val="clear" w:color="auto" w:fill="DBE5F1"/>
            <w:noWrap/>
            <w:vAlign w:val="bottom"/>
            <w:hideMark/>
          </w:tcPr>
          <w:p w14:paraId="3192688A"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r>
      <w:tr w:rsidR="00FC5524" w:rsidRPr="00FC5524" w14:paraId="14EFFDA3"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0A4B5EF6"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Current Ratio</w:t>
            </w:r>
          </w:p>
        </w:tc>
        <w:tc>
          <w:tcPr>
            <w:tcW w:w="4920" w:type="dxa"/>
            <w:tcBorders>
              <w:top w:val="nil"/>
              <w:left w:val="nil"/>
              <w:bottom w:val="single" w:sz="4" w:space="0" w:color="auto"/>
              <w:right w:val="single" w:sz="4" w:space="0" w:color="auto"/>
            </w:tcBorders>
            <w:shd w:val="clear" w:color="auto" w:fill="DBE5F1"/>
            <w:noWrap/>
            <w:vAlign w:val="bottom"/>
            <w:hideMark/>
          </w:tcPr>
          <w:p w14:paraId="0886BCB1"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Current Assets/ Current Liabilities</w:t>
            </w:r>
          </w:p>
        </w:tc>
        <w:tc>
          <w:tcPr>
            <w:tcW w:w="800" w:type="dxa"/>
            <w:tcBorders>
              <w:top w:val="nil"/>
              <w:left w:val="nil"/>
              <w:bottom w:val="single" w:sz="4" w:space="0" w:color="auto"/>
              <w:right w:val="single" w:sz="4" w:space="0" w:color="auto"/>
            </w:tcBorders>
            <w:shd w:val="clear" w:color="auto" w:fill="DBE5F1"/>
            <w:noWrap/>
            <w:vAlign w:val="bottom"/>
            <w:hideMark/>
          </w:tcPr>
          <w:p w14:paraId="3401840E"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2.428</w:t>
            </w:r>
          </w:p>
        </w:tc>
        <w:tc>
          <w:tcPr>
            <w:tcW w:w="800" w:type="dxa"/>
            <w:tcBorders>
              <w:top w:val="nil"/>
              <w:left w:val="nil"/>
              <w:bottom w:val="single" w:sz="4" w:space="0" w:color="auto"/>
              <w:right w:val="single" w:sz="4" w:space="0" w:color="auto"/>
            </w:tcBorders>
            <w:shd w:val="clear" w:color="auto" w:fill="DBE5F1"/>
            <w:noWrap/>
            <w:vAlign w:val="bottom"/>
            <w:hideMark/>
          </w:tcPr>
          <w:p w14:paraId="3933D7F1"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2.478</w:t>
            </w:r>
          </w:p>
        </w:tc>
      </w:tr>
      <w:tr w:rsidR="00FC5524" w:rsidRPr="00FC5524" w14:paraId="1A700680"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55E21BD2"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Quick Ratio</w:t>
            </w:r>
          </w:p>
        </w:tc>
        <w:tc>
          <w:tcPr>
            <w:tcW w:w="4920" w:type="dxa"/>
            <w:tcBorders>
              <w:top w:val="nil"/>
              <w:left w:val="nil"/>
              <w:bottom w:val="single" w:sz="4" w:space="0" w:color="auto"/>
              <w:right w:val="single" w:sz="4" w:space="0" w:color="auto"/>
            </w:tcBorders>
            <w:shd w:val="clear" w:color="auto" w:fill="DBE5F1"/>
            <w:noWrap/>
            <w:vAlign w:val="bottom"/>
            <w:hideMark/>
          </w:tcPr>
          <w:p w14:paraId="5E523DAD"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(Current Assets- Inventory)/ Current Liabilities</w:t>
            </w:r>
          </w:p>
        </w:tc>
        <w:tc>
          <w:tcPr>
            <w:tcW w:w="800" w:type="dxa"/>
            <w:tcBorders>
              <w:top w:val="nil"/>
              <w:left w:val="nil"/>
              <w:bottom w:val="single" w:sz="4" w:space="0" w:color="auto"/>
              <w:right w:val="single" w:sz="4" w:space="0" w:color="auto"/>
            </w:tcBorders>
            <w:shd w:val="clear" w:color="auto" w:fill="DBE5F1"/>
            <w:noWrap/>
            <w:vAlign w:val="bottom"/>
            <w:hideMark/>
          </w:tcPr>
          <w:p w14:paraId="1414EF64"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2.072</w:t>
            </w:r>
          </w:p>
        </w:tc>
        <w:tc>
          <w:tcPr>
            <w:tcW w:w="800" w:type="dxa"/>
            <w:tcBorders>
              <w:top w:val="nil"/>
              <w:left w:val="nil"/>
              <w:bottom w:val="single" w:sz="4" w:space="0" w:color="auto"/>
              <w:right w:val="single" w:sz="4" w:space="0" w:color="auto"/>
            </w:tcBorders>
            <w:shd w:val="clear" w:color="auto" w:fill="DBE5F1"/>
            <w:noWrap/>
            <w:vAlign w:val="bottom"/>
            <w:hideMark/>
          </w:tcPr>
          <w:p w14:paraId="02308521"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2.098</w:t>
            </w:r>
          </w:p>
        </w:tc>
      </w:tr>
      <w:tr w:rsidR="00FC5524" w:rsidRPr="00FC5524" w14:paraId="45E4A166"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DD9C3"/>
            <w:noWrap/>
            <w:vAlign w:val="bottom"/>
            <w:hideMark/>
          </w:tcPr>
          <w:p w14:paraId="56B6293A"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Particulars</w:t>
            </w:r>
          </w:p>
        </w:tc>
        <w:tc>
          <w:tcPr>
            <w:tcW w:w="4920" w:type="dxa"/>
            <w:tcBorders>
              <w:top w:val="nil"/>
              <w:left w:val="nil"/>
              <w:bottom w:val="single" w:sz="4" w:space="0" w:color="auto"/>
              <w:right w:val="single" w:sz="4" w:space="0" w:color="auto"/>
            </w:tcBorders>
            <w:shd w:val="clear" w:color="auto" w:fill="DDD9C3"/>
            <w:noWrap/>
            <w:vAlign w:val="bottom"/>
            <w:hideMark/>
          </w:tcPr>
          <w:p w14:paraId="255886EA"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Formulas</w:t>
            </w:r>
          </w:p>
        </w:tc>
        <w:tc>
          <w:tcPr>
            <w:tcW w:w="800" w:type="dxa"/>
            <w:tcBorders>
              <w:top w:val="nil"/>
              <w:left w:val="nil"/>
              <w:bottom w:val="single" w:sz="4" w:space="0" w:color="auto"/>
              <w:right w:val="single" w:sz="4" w:space="0" w:color="auto"/>
            </w:tcBorders>
            <w:shd w:val="clear" w:color="auto" w:fill="DDD9C3"/>
            <w:noWrap/>
            <w:vAlign w:val="bottom"/>
            <w:hideMark/>
          </w:tcPr>
          <w:p w14:paraId="503C879D"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2024</w:t>
            </w:r>
          </w:p>
        </w:tc>
        <w:tc>
          <w:tcPr>
            <w:tcW w:w="800" w:type="dxa"/>
            <w:tcBorders>
              <w:top w:val="nil"/>
              <w:left w:val="nil"/>
              <w:bottom w:val="single" w:sz="4" w:space="0" w:color="auto"/>
              <w:right w:val="single" w:sz="4" w:space="0" w:color="auto"/>
            </w:tcBorders>
            <w:shd w:val="clear" w:color="auto" w:fill="DDD9C3"/>
            <w:noWrap/>
            <w:vAlign w:val="bottom"/>
            <w:hideMark/>
          </w:tcPr>
          <w:p w14:paraId="3D2B6C40"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2023</w:t>
            </w:r>
          </w:p>
        </w:tc>
      </w:tr>
      <w:tr w:rsidR="00FC5524" w:rsidRPr="00FC5524" w14:paraId="4DC79BA7"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6F10B133" w14:textId="77777777" w:rsidR="00FC5524" w:rsidRPr="00FC5524" w:rsidRDefault="00FC5524" w:rsidP="00FC5524">
            <w:pPr>
              <w:spacing w:before="100" w:beforeAutospacing="1" w:after="0" w:line="273" w:lineRule="auto"/>
              <w:rPr>
                <w:rFonts w:ascii="Calibri" w:eastAsia="Times New Roman" w:hAnsi="Calibri" w:cs="Calibri"/>
                <w:b/>
                <w:bCs/>
                <w:color w:val="000000"/>
                <w:kern w:val="0"/>
                <w:sz w:val="22"/>
                <w:szCs w:val="22"/>
                <w:u w:val="single"/>
                <w:lang w:eastAsia="en-GB"/>
                <w14:ligatures w14:val="none"/>
              </w:rPr>
            </w:pPr>
            <w:r w:rsidRPr="00FC5524">
              <w:rPr>
                <w:rFonts w:ascii="Calibri" w:eastAsia="Times New Roman" w:hAnsi="Calibri" w:cs="Calibri"/>
                <w:b/>
                <w:bCs/>
                <w:color w:val="000000"/>
                <w:kern w:val="0"/>
                <w:sz w:val="22"/>
                <w:szCs w:val="22"/>
                <w:u w:val="single"/>
                <w:lang w:eastAsia="en-GB"/>
                <w14:ligatures w14:val="none"/>
              </w:rPr>
              <w:t>Solvency Ratios</w:t>
            </w:r>
          </w:p>
        </w:tc>
        <w:tc>
          <w:tcPr>
            <w:tcW w:w="4920" w:type="dxa"/>
            <w:tcBorders>
              <w:top w:val="nil"/>
              <w:left w:val="nil"/>
              <w:bottom w:val="single" w:sz="4" w:space="0" w:color="auto"/>
              <w:right w:val="single" w:sz="4" w:space="0" w:color="auto"/>
            </w:tcBorders>
            <w:shd w:val="clear" w:color="auto" w:fill="DBE5F1"/>
            <w:noWrap/>
            <w:vAlign w:val="bottom"/>
            <w:hideMark/>
          </w:tcPr>
          <w:p w14:paraId="6E6AE7FD"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c>
          <w:tcPr>
            <w:tcW w:w="800" w:type="dxa"/>
            <w:tcBorders>
              <w:top w:val="nil"/>
              <w:left w:val="nil"/>
              <w:bottom w:val="single" w:sz="4" w:space="0" w:color="auto"/>
              <w:right w:val="single" w:sz="4" w:space="0" w:color="auto"/>
            </w:tcBorders>
            <w:shd w:val="clear" w:color="auto" w:fill="DBE5F1"/>
            <w:noWrap/>
            <w:vAlign w:val="bottom"/>
            <w:hideMark/>
          </w:tcPr>
          <w:p w14:paraId="1652B57F"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c>
          <w:tcPr>
            <w:tcW w:w="800" w:type="dxa"/>
            <w:tcBorders>
              <w:top w:val="nil"/>
              <w:left w:val="nil"/>
              <w:bottom w:val="single" w:sz="4" w:space="0" w:color="auto"/>
              <w:right w:val="single" w:sz="4" w:space="0" w:color="auto"/>
            </w:tcBorders>
            <w:shd w:val="clear" w:color="auto" w:fill="DBE5F1"/>
            <w:noWrap/>
            <w:vAlign w:val="bottom"/>
            <w:hideMark/>
          </w:tcPr>
          <w:p w14:paraId="7E0981DB"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r>
      <w:tr w:rsidR="00FC5524" w:rsidRPr="00FC5524" w14:paraId="0DCA222D"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7DAB417D"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Debt-equity Ratios</w:t>
            </w:r>
          </w:p>
        </w:tc>
        <w:tc>
          <w:tcPr>
            <w:tcW w:w="4920" w:type="dxa"/>
            <w:tcBorders>
              <w:top w:val="nil"/>
              <w:left w:val="nil"/>
              <w:bottom w:val="single" w:sz="4" w:space="0" w:color="auto"/>
              <w:right w:val="single" w:sz="4" w:space="0" w:color="auto"/>
            </w:tcBorders>
            <w:shd w:val="clear" w:color="auto" w:fill="DBE5F1"/>
            <w:noWrap/>
            <w:vAlign w:val="bottom"/>
            <w:hideMark/>
          </w:tcPr>
          <w:p w14:paraId="2DFC40DD"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Total debts/shareholders' equity</w:t>
            </w:r>
          </w:p>
        </w:tc>
        <w:tc>
          <w:tcPr>
            <w:tcW w:w="800" w:type="dxa"/>
            <w:tcBorders>
              <w:top w:val="nil"/>
              <w:left w:val="nil"/>
              <w:bottom w:val="single" w:sz="4" w:space="0" w:color="auto"/>
              <w:right w:val="single" w:sz="4" w:space="0" w:color="auto"/>
            </w:tcBorders>
            <w:shd w:val="clear" w:color="auto" w:fill="DBE5F1"/>
            <w:noWrap/>
            <w:vAlign w:val="bottom"/>
            <w:hideMark/>
          </w:tcPr>
          <w:p w14:paraId="415119DA"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3.615</w:t>
            </w:r>
          </w:p>
        </w:tc>
        <w:tc>
          <w:tcPr>
            <w:tcW w:w="800" w:type="dxa"/>
            <w:tcBorders>
              <w:top w:val="nil"/>
              <w:left w:val="nil"/>
              <w:bottom w:val="single" w:sz="4" w:space="0" w:color="auto"/>
              <w:right w:val="single" w:sz="4" w:space="0" w:color="auto"/>
            </w:tcBorders>
            <w:shd w:val="clear" w:color="auto" w:fill="DBE5F1"/>
            <w:noWrap/>
            <w:vAlign w:val="bottom"/>
            <w:hideMark/>
          </w:tcPr>
          <w:p w14:paraId="5F59A98B"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3.440</w:t>
            </w:r>
          </w:p>
        </w:tc>
      </w:tr>
      <w:tr w:rsidR="00FC5524" w:rsidRPr="00FC5524" w14:paraId="012EC32D"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1E8DC24F"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Interest Coverage Ratio</w:t>
            </w:r>
          </w:p>
        </w:tc>
        <w:tc>
          <w:tcPr>
            <w:tcW w:w="4920" w:type="dxa"/>
            <w:tcBorders>
              <w:top w:val="nil"/>
              <w:left w:val="nil"/>
              <w:bottom w:val="single" w:sz="4" w:space="0" w:color="auto"/>
              <w:right w:val="single" w:sz="4" w:space="0" w:color="auto"/>
            </w:tcBorders>
            <w:shd w:val="clear" w:color="auto" w:fill="DBE5F1"/>
            <w:noWrap/>
            <w:vAlign w:val="bottom"/>
            <w:hideMark/>
          </w:tcPr>
          <w:p w14:paraId="3F641FC0"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EBIT/ Interest Expenses</w:t>
            </w:r>
          </w:p>
        </w:tc>
        <w:tc>
          <w:tcPr>
            <w:tcW w:w="800" w:type="dxa"/>
            <w:tcBorders>
              <w:top w:val="nil"/>
              <w:left w:val="nil"/>
              <w:bottom w:val="single" w:sz="4" w:space="0" w:color="auto"/>
              <w:right w:val="single" w:sz="4" w:space="0" w:color="auto"/>
            </w:tcBorders>
            <w:shd w:val="clear" w:color="auto" w:fill="DBE5F1"/>
            <w:noWrap/>
            <w:vAlign w:val="bottom"/>
            <w:hideMark/>
          </w:tcPr>
          <w:p w14:paraId="7F22D46D"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6.655</w:t>
            </w:r>
          </w:p>
        </w:tc>
        <w:tc>
          <w:tcPr>
            <w:tcW w:w="800" w:type="dxa"/>
            <w:tcBorders>
              <w:top w:val="nil"/>
              <w:left w:val="nil"/>
              <w:bottom w:val="single" w:sz="4" w:space="0" w:color="auto"/>
              <w:right w:val="single" w:sz="4" w:space="0" w:color="auto"/>
            </w:tcBorders>
            <w:shd w:val="clear" w:color="auto" w:fill="DBE5F1"/>
            <w:noWrap/>
            <w:vAlign w:val="bottom"/>
            <w:hideMark/>
          </w:tcPr>
          <w:p w14:paraId="763C44F8"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11.416</w:t>
            </w:r>
          </w:p>
        </w:tc>
      </w:tr>
      <w:tr w:rsidR="00FC5524" w:rsidRPr="00FC5524" w14:paraId="41097FC4"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DD9C3"/>
            <w:noWrap/>
            <w:vAlign w:val="bottom"/>
            <w:hideMark/>
          </w:tcPr>
          <w:p w14:paraId="7A024A2B"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Particulars</w:t>
            </w:r>
          </w:p>
        </w:tc>
        <w:tc>
          <w:tcPr>
            <w:tcW w:w="4920" w:type="dxa"/>
            <w:tcBorders>
              <w:top w:val="nil"/>
              <w:left w:val="nil"/>
              <w:bottom w:val="single" w:sz="4" w:space="0" w:color="auto"/>
              <w:right w:val="single" w:sz="4" w:space="0" w:color="auto"/>
            </w:tcBorders>
            <w:shd w:val="clear" w:color="auto" w:fill="DDD9C3"/>
            <w:noWrap/>
            <w:vAlign w:val="bottom"/>
            <w:hideMark/>
          </w:tcPr>
          <w:p w14:paraId="44E455FF"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Formulas</w:t>
            </w:r>
          </w:p>
        </w:tc>
        <w:tc>
          <w:tcPr>
            <w:tcW w:w="800" w:type="dxa"/>
            <w:tcBorders>
              <w:top w:val="nil"/>
              <w:left w:val="nil"/>
              <w:bottom w:val="single" w:sz="4" w:space="0" w:color="auto"/>
              <w:right w:val="single" w:sz="4" w:space="0" w:color="auto"/>
            </w:tcBorders>
            <w:shd w:val="clear" w:color="auto" w:fill="DDD9C3"/>
            <w:noWrap/>
            <w:vAlign w:val="bottom"/>
            <w:hideMark/>
          </w:tcPr>
          <w:p w14:paraId="06C3FF1E"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2024</w:t>
            </w:r>
          </w:p>
        </w:tc>
        <w:tc>
          <w:tcPr>
            <w:tcW w:w="800" w:type="dxa"/>
            <w:tcBorders>
              <w:top w:val="nil"/>
              <w:left w:val="nil"/>
              <w:bottom w:val="single" w:sz="4" w:space="0" w:color="auto"/>
              <w:right w:val="single" w:sz="4" w:space="0" w:color="auto"/>
            </w:tcBorders>
            <w:shd w:val="clear" w:color="auto" w:fill="DDD9C3"/>
            <w:noWrap/>
            <w:vAlign w:val="bottom"/>
            <w:hideMark/>
          </w:tcPr>
          <w:p w14:paraId="281ECF75"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2023</w:t>
            </w:r>
          </w:p>
        </w:tc>
      </w:tr>
      <w:tr w:rsidR="00FC5524" w:rsidRPr="00FC5524" w14:paraId="03AC926C"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247747E3" w14:textId="77777777" w:rsidR="00FC5524" w:rsidRPr="00FC5524" w:rsidRDefault="00FC5524" w:rsidP="00FC5524">
            <w:pPr>
              <w:spacing w:before="100" w:beforeAutospacing="1" w:after="0" w:line="273" w:lineRule="auto"/>
              <w:rPr>
                <w:rFonts w:ascii="Calibri" w:eastAsia="Times New Roman" w:hAnsi="Calibri" w:cs="Calibri"/>
                <w:b/>
                <w:bCs/>
                <w:color w:val="000000"/>
                <w:kern w:val="0"/>
                <w:sz w:val="22"/>
                <w:szCs w:val="22"/>
                <w:u w:val="single"/>
                <w:lang w:eastAsia="en-GB"/>
                <w14:ligatures w14:val="none"/>
              </w:rPr>
            </w:pPr>
            <w:r w:rsidRPr="00FC5524">
              <w:rPr>
                <w:rFonts w:ascii="Calibri" w:eastAsia="Times New Roman" w:hAnsi="Calibri" w:cs="Calibri"/>
                <w:b/>
                <w:bCs/>
                <w:color w:val="000000"/>
                <w:kern w:val="0"/>
                <w:sz w:val="22"/>
                <w:szCs w:val="22"/>
                <w:u w:val="single"/>
                <w:lang w:eastAsia="en-GB"/>
                <w14:ligatures w14:val="none"/>
              </w:rPr>
              <w:t>Efficiency Ratio</w:t>
            </w:r>
          </w:p>
        </w:tc>
        <w:tc>
          <w:tcPr>
            <w:tcW w:w="4920" w:type="dxa"/>
            <w:tcBorders>
              <w:top w:val="nil"/>
              <w:left w:val="nil"/>
              <w:bottom w:val="single" w:sz="4" w:space="0" w:color="auto"/>
              <w:right w:val="single" w:sz="4" w:space="0" w:color="auto"/>
            </w:tcBorders>
            <w:shd w:val="clear" w:color="auto" w:fill="DBE5F1"/>
            <w:noWrap/>
            <w:vAlign w:val="bottom"/>
            <w:hideMark/>
          </w:tcPr>
          <w:p w14:paraId="0F0DA676"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c>
          <w:tcPr>
            <w:tcW w:w="800" w:type="dxa"/>
            <w:tcBorders>
              <w:top w:val="nil"/>
              <w:left w:val="nil"/>
              <w:bottom w:val="single" w:sz="4" w:space="0" w:color="auto"/>
              <w:right w:val="single" w:sz="4" w:space="0" w:color="auto"/>
            </w:tcBorders>
            <w:shd w:val="clear" w:color="auto" w:fill="DBE5F1"/>
            <w:noWrap/>
            <w:vAlign w:val="bottom"/>
            <w:hideMark/>
          </w:tcPr>
          <w:p w14:paraId="19B7ABED"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c>
          <w:tcPr>
            <w:tcW w:w="800" w:type="dxa"/>
            <w:tcBorders>
              <w:top w:val="nil"/>
              <w:left w:val="nil"/>
              <w:bottom w:val="single" w:sz="4" w:space="0" w:color="auto"/>
              <w:right w:val="single" w:sz="4" w:space="0" w:color="auto"/>
            </w:tcBorders>
            <w:shd w:val="clear" w:color="auto" w:fill="DBE5F1"/>
            <w:noWrap/>
            <w:vAlign w:val="bottom"/>
            <w:hideMark/>
          </w:tcPr>
          <w:p w14:paraId="364B5946"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r>
      <w:tr w:rsidR="00FC5524" w:rsidRPr="00FC5524" w14:paraId="1CD2D209"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0E79F15C"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Debtors Day</w:t>
            </w:r>
          </w:p>
        </w:tc>
        <w:tc>
          <w:tcPr>
            <w:tcW w:w="4920" w:type="dxa"/>
            <w:tcBorders>
              <w:top w:val="nil"/>
              <w:left w:val="nil"/>
              <w:bottom w:val="single" w:sz="4" w:space="0" w:color="auto"/>
              <w:right w:val="single" w:sz="4" w:space="0" w:color="auto"/>
            </w:tcBorders>
            <w:shd w:val="clear" w:color="auto" w:fill="DBE5F1"/>
            <w:noWrap/>
            <w:vAlign w:val="bottom"/>
            <w:hideMark/>
          </w:tcPr>
          <w:p w14:paraId="772D0BC5"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Debtors x 365/ Credit sales</w:t>
            </w:r>
          </w:p>
        </w:tc>
        <w:tc>
          <w:tcPr>
            <w:tcW w:w="800" w:type="dxa"/>
            <w:tcBorders>
              <w:top w:val="nil"/>
              <w:left w:val="nil"/>
              <w:bottom w:val="single" w:sz="4" w:space="0" w:color="auto"/>
              <w:right w:val="single" w:sz="4" w:space="0" w:color="auto"/>
            </w:tcBorders>
            <w:shd w:val="clear" w:color="auto" w:fill="DBE5F1"/>
            <w:noWrap/>
            <w:vAlign w:val="bottom"/>
            <w:hideMark/>
          </w:tcPr>
          <w:p w14:paraId="16296AFF"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29.79</w:t>
            </w:r>
          </w:p>
        </w:tc>
        <w:tc>
          <w:tcPr>
            <w:tcW w:w="800" w:type="dxa"/>
            <w:tcBorders>
              <w:top w:val="nil"/>
              <w:left w:val="nil"/>
              <w:bottom w:val="single" w:sz="4" w:space="0" w:color="auto"/>
              <w:right w:val="single" w:sz="4" w:space="0" w:color="auto"/>
            </w:tcBorders>
            <w:shd w:val="clear" w:color="auto" w:fill="DBE5F1"/>
            <w:noWrap/>
            <w:vAlign w:val="bottom"/>
            <w:hideMark/>
          </w:tcPr>
          <w:p w14:paraId="4DFA77CD"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27.99</w:t>
            </w:r>
          </w:p>
        </w:tc>
      </w:tr>
      <w:tr w:rsidR="00FC5524" w:rsidRPr="00FC5524" w14:paraId="08D81F0C"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5ED05F96"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Creditors Days</w:t>
            </w:r>
          </w:p>
        </w:tc>
        <w:tc>
          <w:tcPr>
            <w:tcW w:w="4920" w:type="dxa"/>
            <w:tcBorders>
              <w:top w:val="nil"/>
              <w:left w:val="nil"/>
              <w:bottom w:val="single" w:sz="4" w:space="0" w:color="auto"/>
              <w:right w:val="single" w:sz="4" w:space="0" w:color="auto"/>
            </w:tcBorders>
            <w:shd w:val="clear" w:color="auto" w:fill="DBE5F1"/>
            <w:noWrap/>
            <w:vAlign w:val="bottom"/>
            <w:hideMark/>
          </w:tcPr>
          <w:p w14:paraId="7AEFDFCB"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Creditors x 365/ Credit Purchases</w:t>
            </w:r>
          </w:p>
        </w:tc>
        <w:tc>
          <w:tcPr>
            <w:tcW w:w="800" w:type="dxa"/>
            <w:tcBorders>
              <w:top w:val="nil"/>
              <w:left w:val="nil"/>
              <w:bottom w:val="single" w:sz="4" w:space="0" w:color="auto"/>
              <w:right w:val="single" w:sz="4" w:space="0" w:color="auto"/>
            </w:tcBorders>
            <w:shd w:val="clear" w:color="auto" w:fill="DBE5F1"/>
            <w:noWrap/>
            <w:vAlign w:val="bottom"/>
            <w:hideMark/>
          </w:tcPr>
          <w:p w14:paraId="5F697AEF"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135.24</w:t>
            </w:r>
          </w:p>
        </w:tc>
        <w:tc>
          <w:tcPr>
            <w:tcW w:w="800" w:type="dxa"/>
            <w:tcBorders>
              <w:top w:val="nil"/>
              <w:left w:val="nil"/>
              <w:bottom w:val="single" w:sz="4" w:space="0" w:color="auto"/>
              <w:right w:val="single" w:sz="4" w:space="0" w:color="auto"/>
            </w:tcBorders>
            <w:shd w:val="clear" w:color="auto" w:fill="DBE5F1"/>
            <w:noWrap/>
            <w:vAlign w:val="bottom"/>
            <w:hideMark/>
          </w:tcPr>
          <w:p w14:paraId="6C9E1D54"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135.54</w:t>
            </w:r>
          </w:p>
        </w:tc>
      </w:tr>
      <w:tr w:rsidR="00FC5524" w:rsidRPr="00FC5524" w14:paraId="0D75C6EF"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662BC8D4"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Stock Days</w:t>
            </w:r>
          </w:p>
        </w:tc>
        <w:tc>
          <w:tcPr>
            <w:tcW w:w="4920" w:type="dxa"/>
            <w:tcBorders>
              <w:top w:val="nil"/>
              <w:left w:val="nil"/>
              <w:bottom w:val="single" w:sz="4" w:space="0" w:color="auto"/>
              <w:right w:val="single" w:sz="4" w:space="0" w:color="auto"/>
            </w:tcBorders>
            <w:shd w:val="clear" w:color="auto" w:fill="DBE5F1"/>
            <w:noWrap/>
            <w:vAlign w:val="bottom"/>
            <w:hideMark/>
          </w:tcPr>
          <w:p w14:paraId="38C45312"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Stock x 365/ Cost of sales</w:t>
            </w:r>
          </w:p>
        </w:tc>
        <w:tc>
          <w:tcPr>
            <w:tcW w:w="800" w:type="dxa"/>
            <w:tcBorders>
              <w:top w:val="nil"/>
              <w:left w:val="nil"/>
              <w:bottom w:val="single" w:sz="4" w:space="0" w:color="auto"/>
              <w:right w:val="single" w:sz="4" w:space="0" w:color="auto"/>
            </w:tcBorders>
            <w:shd w:val="clear" w:color="auto" w:fill="DBE5F1"/>
            <w:noWrap/>
            <w:vAlign w:val="bottom"/>
            <w:hideMark/>
          </w:tcPr>
          <w:p w14:paraId="5EB39C26"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58.10</w:t>
            </w:r>
          </w:p>
        </w:tc>
        <w:tc>
          <w:tcPr>
            <w:tcW w:w="800" w:type="dxa"/>
            <w:tcBorders>
              <w:top w:val="nil"/>
              <w:left w:val="nil"/>
              <w:bottom w:val="single" w:sz="4" w:space="0" w:color="auto"/>
              <w:right w:val="single" w:sz="4" w:space="0" w:color="auto"/>
            </w:tcBorders>
            <w:shd w:val="clear" w:color="auto" w:fill="DBE5F1"/>
            <w:noWrap/>
            <w:vAlign w:val="bottom"/>
            <w:hideMark/>
          </w:tcPr>
          <w:p w14:paraId="2B7A4A01"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63.99</w:t>
            </w:r>
          </w:p>
        </w:tc>
      </w:tr>
      <w:tr w:rsidR="00FC5524" w:rsidRPr="00FC5524" w14:paraId="55D6B6F6"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DD9C3"/>
            <w:noWrap/>
            <w:vAlign w:val="bottom"/>
            <w:hideMark/>
          </w:tcPr>
          <w:p w14:paraId="7A5D65A2"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Particulars</w:t>
            </w:r>
          </w:p>
        </w:tc>
        <w:tc>
          <w:tcPr>
            <w:tcW w:w="4920" w:type="dxa"/>
            <w:tcBorders>
              <w:top w:val="nil"/>
              <w:left w:val="nil"/>
              <w:bottom w:val="single" w:sz="4" w:space="0" w:color="auto"/>
              <w:right w:val="single" w:sz="4" w:space="0" w:color="auto"/>
            </w:tcBorders>
            <w:shd w:val="clear" w:color="auto" w:fill="DDD9C3"/>
            <w:noWrap/>
            <w:vAlign w:val="bottom"/>
            <w:hideMark/>
          </w:tcPr>
          <w:p w14:paraId="6C10FB80"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Formulas</w:t>
            </w:r>
          </w:p>
        </w:tc>
        <w:tc>
          <w:tcPr>
            <w:tcW w:w="800" w:type="dxa"/>
            <w:tcBorders>
              <w:top w:val="nil"/>
              <w:left w:val="nil"/>
              <w:bottom w:val="single" w:sz="4" w:space="0" w:color="auto"/>
              <w:right w:val="single" w:sz="4" w:space="0" w:color="auto"/>
            </w:tcBorders>
            <w:shd w:val="clear" w:color="auto" w:fill="DDD9C3"/>
            <w:noWrap/>
            <w:vAlign w:val="bottom"/>
            <w:hideMark/>
          </w:tcPr>
          <w:p w14:paraId="628D3CE2"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2024</w:t>
            </w:r>
          </w:p>
        </w:tc>
        <w:tc>
          <w:tcPr>
            <w:tcW w:w="800" w:type="dxa"/>
            <w:tcBorders>
              <w:top w:val="nil"/>
              <w:left w:val="nil"/>
              <w:bottom w:val="single" w:sz="4" w:space="0" w:color="auto"/>
              <w:right w:val="single" w:sz="4" w:space="0" w:color="auto"/>
            </w:tcBorders>
            <w:shd w:val="clear" w:color="auto" w:fill="DDD9C3"/>
            <w:noWrap/>
            <w:vAlign w:val="bottom"/>
            <w:hideMark/>
          </w:tcPr>
          <w:p w14:paraId="5F658CC8"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2023</w:t>
            </w:r>
          </w:p>
        </w:tc>
      </w:tr>
      <w:tr w:rsidR="00FC5524" w:rsidRPr="00FC5524" w14:paraId="4BB64D02"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2935E132" w14:textId="77777777" w:rsidR="00FC5524" w:rsidRPr="00FC5524" w:rsidRDefault="00FC5524" w:rsidP="00FC5524">
            <w:pPr>
              <w:spacing w:before="100" w:beforeAutospacing="1" w:after="0" w:line="273" w:lineRule="auto"/>
              <w:rPr>
                <w:rFonts w:ascii="Calibri" w:eastAsia="Times New Roman" w:hAnsi="Calibri" w:cs="Calibri"/>
                <w:b/>
                <w:bCs/>
                <w:color w:val="000000"/>
                <w:kern w:val="0"/>
                <w:sz w:val="22"/>
                <w:szCs w:val="22"/>
                <w:u w:val="single"/>
                <w:lang w:eastAsia="en-GB"/>
                <w14:ligatures w14:val="none"/>
              </w:rPr>
            </w:pPr>
            <w:r w:rsidRPr="00FC5524">
              <w:rPr>
                <w:rFonts w:ascii="Calibri" w:eastAsia="Times New Roman" w:hAnsi="Calibri" w:cs="Calibri"/>
                <w:b/>
                <w:bCs/>
                <w:color w:val="000000"/>
                <w:kern w:val="0"/>
                <w:sz w:val="22"/>
                <w:szCs w:val="22"/>
                <w:u w:val="single"/>
                <w:lang w:eastAsia="en-GB"/>
                <w14:ligatures w14:val="none"/>
              </w:rPr>
              <w:t>Investment Ratios</w:t>
            </w:r>
          </w:p>
        </w:tc>
        <w:tc>
          <w:tcPr>
            <w:tcW w:w="4920" w:type="dxa"/>
            <w:tcBorders>
              <w:top w:val="nil"/>
              <w:left w:val="nil"/>
              <w:bottom w:val="single" w:sz="4" w:space="0" w:color="auto"/>
              <w:right w:val="single" w:sz="4" w:space="0" w:color="auto"/>
            </w:tcBorders>
            <w:shd w:val="clear" w:color="auto" w:fill="DBE5F1"/>
            <w:noWrap/>
            <w:vAlign w:val="bottom"/>
            <w:hideMark/>
          </w:tcPr>
          <w:p w14:paraId="130D0F3D"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c>
          <w:tcPr>
            <w:tcW w:w="800" w:type="dxa"/>
            <w:tcBorders>
              <w:top w:val="nil"/>
              <w:left w:val="nil"/>
              <w:bottom w:val="single" w:sz="4" w:space="0" w:color="auto"/>
              <w:right w:val="single" w:sz="4" w:space="0" w:color="auto"/>
            </w:tcBorders>
            <w:shd w:val="clear" w:color="auto" w:fill="DBE5F1"/>
            <w:noWrap/>
            <w:vAlign w:val="bottom"/>
            <w:hideMark/>
          </w:tcPr>
          <w:p w14:paraId="770E42FD"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c>
          <w:tcPr>
            <w:tcW w:w="800" w:type="dxa"/>
            <w:tcBorders>
              <w:top w:val="nil"/>
              <w:left w:val="nil"/>
              <w:bottom w:val="single" w:sz="4" w:space="0" w:color="auto"/>
              <w:right w:val="single" w:sz="4" w:space="0" w:color="auto"/>
            </w:tcBorders>
            <w:shd w:val="clear" w:color="auto" w:fill="DBE5F1"/>
            <w:noWrap/>
            <w:vAlign w:val="bottom"/>
            <w:hideMark/>
          </w:tcPr>
          <w:p w14:paraId="792CEE13"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 </w:t>
            </w:r>
          </w:p>
        </w:tc>
      </w:tr>
      <w:tr w:rsidR="00FC5524" w:rsidRPr="00FC5524" w14:paraId="12068AFE"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2BB5142E"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Earnings per share</w:t>
            </w:r>
          </w:p>
        </w:tc>
        <w:tc>
          <w:tcPr>
            <w:tcW w:w="4920" w:type="dxa"/>
            <w:tcBorders>
              <w:top w:val="nil"/>
              <w:left w:val="nil"/>
              <w:bottom w:val="single" w:sz="4" w:space="0" w:color="auto"/>
              <w:right w:val="single" w:sz="4" w:space="0" w:color="auto"/>
            </w:tcBorders>
            <w:shd w:val="clear" w:color="auto" w:fill="DBE5F1"/>
            <w:noWrap/>
            <w:vAlign w:val="bottom"/>
            <w:hideMark/>
          </w:tcPr>
          <w:p w14:paraId="5CD3E301"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Net profit/ total number of ordinary shares</w:t>
            </w:r>
          </w:p>
        </w:tc>
        <w:tc>
          <w:tcPr>
            <w:tcW w:w="800" w:type="dxa"/>
            <w:tcBorders>
              <w:top w:val="nil"/>
              <w:left w:val="nil"/>
              <w:bottom w:val="single" w:sz="4" w:space="0" w:color="auto"/>
              <w:right w:val="single" w:sz="4" w:space="0" w:color="auto"/>
            </w:tcBorders>
            <w:shd w:val="clear" w:color="auto" w:fill="DBE5F1"/>
            <w:noWrap/>
            <w:vAlign w:val="bottom"/>
            <w:hideMark/>
          </w:tcPr>
          <w:p w14:paraId="47B88357"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300.00</w:t>
            </w:r>
          </w:p>
        </w:tc>
        <w:tc>
          <w:tcPr>
            <w:tcW w:w="800" w:type="dxa"/>
            <w:tcBorders>
              <w:top w:val="nil"/>
              <w:left w:val="nil"/>
              <w:bottom w:val="single" w:sz="4" w:space="0" w:color="auto"/>
              <w:right w:val="single" w:sz="4" w:space="0" w:color="auto"/>
            </w:tcBorders>
            <w:shd w:val="clear" w:color="auto" w:fill="DBE5F1"/>
            <w:noWrap/>
            <w:vAlign w:val="bottom"/>
            <w:hideMark/>
          </w:tcPr>
          <w:p w14:paraId="0C93829D"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252.40</w:t>
            </w:r>
          </w:p>
        </w:tc>
      </w:tr>
      <w:tr w:rsidR="00FC5524" w:rsidRPr="00FC5524" w14:paraId="16C66E38" w14:textId="77777777" w:rsidTr="00FC5524">
        <w:trPr>
          <w:trHeight w:val="300"/>
        </w:trPr>
        <w:tc>
          <w:tcPr>
            <w:tcW w:w="2740" w:type="dxa"/>
            <w:tcBorders>
              <w:top w:val="nil"/>
              <w:left w:val="single" w:sz="4" w:space="0" w:color="auto"/>
              <w:bottom w:val="single" w:sz="4" w:space="0" w:color="auto"/>
              <w:right w:val="single" w:sz="4" w:space="0" w:color="auto"/>
            </w:tcBorders>
            <w:shd w:val="clear" w:color="auto" w:fill="DBE5F1"/>
            <w:noWrap/>
            <w:vAlign w:val="bottom"/>
            <w:hideMark/>
          </w:tcPr>
          <w:p w14:paraId="200EF077"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Price Earnings Ratio</w:t>
            </w:r>
          </w:p>
        </w:tc>
        <w:tc>
          <w:tcPr>
            <w:tcW w:w="4920" w:type="dxa"/>
            <w:tcBorders>
              <w:top w:val="nil"/>
              <w:left w:val="nil"/>
              <w:bottom w:val="single" w:sz="4" w:space="0" w:color="auto"/>
              <w:right w:val="single" w:sz="4" w:space="0" w:color="auto"/>
            </w:tcBorders>
            <w:shd w:val="clear" w:color="auto" w:fill="DBE5F1"/>
            <w:noWrap/>
            <w:vAlign w:val="bottom"/>
            <w:hideMark/>
          </w:tcPr>
          <w:p w14:paraId="782BD5ED"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Market price per share/earnings price per share</w:t>
            </w:r>
          </w:p>
        </w:tc>
        <w:tc>
          <w:tcPr>
            <w:tcW w:w="800" w:type="dxa"/>
            <w:tcBorders>
              <w:top w:val="nil"/>
              <w:left w:val="nil"/>
              <w:bottom w:val="single" w:sz="4" w:space="0" w:color="auto"/>
              <w:right w:val="single" w:sz="4" w:space="0" w:color="auto"/>
            </w:tcBorders>
            <w:shd w:val="clear" w:color="auto" w:fill="DBE5F1"/>
            <w:noWrap/>
            <w:vAlign w:val="bottom"/>
            <w:hideMark/>
          </w:tcPr>
          <w:p w14:paraId="44BAD6FD"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6.18</w:t>
            </w:r>
          </w:p>
        </w:tc>
        <w:tc>
          <w:tcPr>
            <w:tcW w:w="800" w:type="dxa"/>
            <w:tcBorders>
              <w:top w:val="nil"/>
              <w:left w:val="nil"/>
              <w:bottom w:val="single" w:sz="4" w:space="0" w:color="auto"/>
              <w:right w:val="single" w:sz="4" w:space="0" w:color="auto"/>
            </w:tcBorders>
            <w:shd w:val="clear" w:color="auto" w:fill="DBE5F1"/>
            <w:noWrap/>
            <w:vAlign w:val="bottom"/>
            <w:hideMark/>
          </w:tcPr>
          <w:p w14:paraId="4ED68558" w14:textId="77777777" w:rsidR="00FC5524" w:rsidRPr="00FC5524" w:rsidRDefault="00FC5524" w:rsidP="00FC5524">
            <w:pPr>
              <w:spacing w:before="100" w:beforeAutospacing="1" w:after="0" w:line="273" w:lineRule="auto"/>
              <w:jc w:val="right"/>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8.37</w:t>
            </w:r>
          </w:p>
        </w:tc>
      </w:tr>
    </w:tbl>
    <w:p w14:paraId="557F0760"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054ACE16"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Working notes</w:t>
      </w:r>
    </w:p>
    <w:tbl>
      <w:tblPr>
        <w:tblW w:w="9484" w:type="dxa"/>
        <w:tblInd w:w="94" w:type="dxa"/>
        <w:tblLook w:val="04A0" w:firstRow="1" w:lastRow="0" w:firstColumn="1" w:lastColumn="0" w:noHBand="0" w:noVBand="1"/>
      </w:tblPr>
      <w:tblGrid>
        <w:gridCol w:w="4499"/>
        <w:gridCol w:w="2553"/>
        <w:gridCol w:w="2432"/>
      </w:tblGrid>
      <w:tr w:rsidR="00FC5524" w:rsidRPr="00FC5524" w14:paraId="36837E77" w14:textId="77777777" w:rsidTr="00FC5524">
        <w:trPr>
          <w:trHeight w:val="286"/>
        </w:trPr>
        <w:tc>
          <w:tcPr>
            <w:tcW w:w="4499" w:type="dxa"/>
            <w:tcBorders>
              <w:top w:val="single" w:sz="4" w:space="0" w:color="auto"/>
              <w:left w:val="single" w:sz="4" w:space="0" w:color="auto"/>
              <w:bottom w:val="single" w:sz="4" w:space="0" w:color="auto"/>
              <w:right w:val="single" w:sz="4" w:space="0" w:color="auto"/>
            </w:tcBorders>
            <w:shd w:val="clear" w:color="auto" w:fill="DDD9C3"/>
            <w:noWrap/>
            <w:vAlign w:val="bottom"/>
            <w:hideMark/>
          </w:tcPr>
          <w:p w14:paraId="21D0DE29"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Particulars</w:t>
            </w:r>
          </w:p>
        </w:tc>
        <w:tc>
          <w:tcPr>
            <w:tcW w:w="2553" w:type="dxa"/>
            <w:tcBorders>
              <w:top w:val="single" w:sz="4" w:space="0" w:color="auto"/>
              <w:left w:val="nil"/>
              <w:bottom w:val="single" w:sz="4" w:space="0" w:color="auto"/>
              <w:right w:val="single" w:sz="4" w:space="0" w:color="auto"/>
            </w:tcBorders>
            <w:shd w:val="clear" w:color="auto" w:fill="DDD9C3"/>
            <w:noWrap/>
            <w:vAlign w:val="bottom"/>
            <w:hideMark/>
          </w:tcPr>
          <w:p w14:paraId="64E79F43"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2024 (£ million)</w:t>
            </w:r>
          </w:p>
        </w:tc>
        <w:tc>
          <w:tcPr>
            <w:tcW w:w="2432" w:type="dxa"/>
            <w:tcBorders>
              <w:top w:val="single" w:sz="4" w:space="0" w:color="auto"/>
              <w:left w:val="nil"/>
              <w:bottom w:val="single" w:sz="4" w:space="0" w:color="auto"/>
              <w:right w:val="single" w:sz="4" w:space="0" w:color="auto"/>
            </w:tcBorders>
            <w:shd w:val="clear" w:color="auto" w:fill="DDD9C3"/>
            <w:noWrap/>
            <w:vAlign w:val="bottom"/>
            <w:hideMark/>
          </w:tcPr>
          <w:p w14:paraId="24D5BB69"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2023 (£ million)</w:t>
            </w:r>
          </w:p>
        </w:tc>
      </w:tr>
      <w:tr w:rsidR="00FC5524" w:rsidRPr="00FC5524" w14:paraId="0911D313"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6D977478"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Revenue</w:t>
            </w:r>
          </w:p>
        </w:tc>
        <w:tc>
          <w:tcPr>
            <w:tcW w:w="2553" w:type="dxa"/>
            <w:tcBorders>
              <w:top w:val="nil"/>
              <w:left w:val="nil"/>
              <w:bottom w:val="single" w:sz="4" w:space="0" w:color="auto"/>
              <w:right w:val="single" w:sz="4" w:space="0" w:color="auto"/>
            </w:tcBorders>
            <w:noWrap/>
            <w:vAlign w:val="bottom"/>
            <w:hideMark/>
          </w:tcPr>
          <w:p w14:paraId="665C063E"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32411</w:t>
            </w:r>
          </w:p>
        </w:tc>
        <w:tc>
          <w:tcPr>
            <w:tcW w:w="2432" w:type="dxa"/>
            <w:tcBorders>
              <w:top w:val="nil"/>
              <w:left w:val="nil"/>
              <w:bottom w:val="single" w:sz="4" w:space="0" w:color="auto"/>
              <w:right w:val="single" w:sz="4" w:space="0" w:color="auto"/>
            </w:tcBorders>
            <w:noWrap/>
            <w:vAlign w:val="bottom"/>
            <w:hideMark/>
          </w:tcPr>
          <w:p w14:paraId="73687307"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32475</w:t>
            </w:r>
          </w:p>
        </w:tc>
      </w:tr>
      <w:tr w:rsidR="00FC5524" w:rsidRPr="00FC5524" w14:paraId="3E6514CB"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0BDB3960"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Gross Profit</w:t>
            </w:r>
          </w:p>
        </w:tc>
        <w:tc>
          <w:tcPr>
            <w:tcW w:w="2553" w:type="dxa"/>
            <w:tcBorders>
              <w:top w:val="nil"/>
              <w:left w:val="nil"/>
              <w:bottom w:val="single" w:sz="4" w:space="0" w:color="auto"/>
              <w:right w:val="single" w:sz="4" w:space="0" w:color="auto"/>
            </w:tcBorders>
            <w:noWrap/>
            <w:vAlign w:val="bottom"/>
            <w:hideMark/>
          </w:tcPr>
          <w:p w14:paraId="7434D790"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6799</w:t>
            </w:r>
          </w:p>
        </w:tc>
        <w:tc>
          <w:tcPr>
            <w:tcW w:w="2432" w:type="dxa"/>
            <w:tcBorders>
              <w:top w:val="nil"/>
              <w:left w:val="nil"/>
              <w:bottom w:val="single" w:sz="4" w:space="0" w:color="auto"/>
              <w:right w:val="single" w:sz="4" w:space="0" w:color="auto"/>
            </w:tcBorders>
            <w:noWrap/>
            <w:vAlign w:val="bottom"/>
            <w:hideMark/>
          </w:tcPr>
          <w:p w14:paraId="2A3E984A"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6680</w:t>
            </w:r>
          </w:p>
        </w:tc>
      </w:tr>
      <w:tr w:rsidR="00FC5524" w:rsidRPr="00FC5524" w14:paraId="2CCD34BB"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46DB7548"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Operating Profit</w:t>
            </w:r>
          </w:p>
        </w:tc>
        <w:tc>
          <w:tcPr>
            <w:tcW w:w="2553" w:type="dxa"/>
            <w:tcBorders>
              <w:top w:val="nil"/>
              <w:left w:val="nil"/>
              <w:bottom w:val="single" w:sz="4" w:space="0" w:color="auto"/>
              <w:right w:val="single" w:sz="4" w:space="0" w:color="auto"/>
            </w:tcBorders>
            <w:noWrap/>
            <w:vAlign w:val="bottom"/>
            <w:hideMark/>
          </w:tcPr>
          <w:p w14:paraId="6C2F1435"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3554</w:t>
            </w:r>
          </w:p>
        </w:tc>
        <w:tc>
          <w:tcPr>
            <w:tcW w:w="2432" w:type="dxa"/>
            <w:tcBorders>
              <w:top w:val="nil"/>
              <w:left w:val="nil"/>
              <w:bottom w:val="single" w:sz="4" w:space="0" w:color="auto"/>
              <w:right w:val="single" w:sz="4" w:space="0" w:color="auto"/>
            </w:tcBorders>
            <w:noWrap/>
            <w:vAlign w:val="bottom"/>
            <w:hideMark/>
          </w:tcPr>
          <w:p w14:paraId="65273947"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3402</w:t>
            </w:r>
          </w:p>
        </w:tc>
      </w:tr>
      <w:tr w:rsidR="00FC5524" w:rsidRPr="00FC5524" w14:paraId="5211614A"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576CBEE7"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Net Profit</w:t>
            </w:r>
          </w:p>
        </w:tc>
        <w:tc>
          <w:tcPr>
            <w:tcW w:w="2553" w:type="dxa"/>
            <w:tcBorders>
              <w:top w:val="nil"/>
              <w:left w:val="nil"/>
              <w:bottom w:val="single" w:sz="4" w:space="0" w:color="auto"/>
              <w:right w:val="single" w:sz="4" w:space="0" w:color="auto"/>
            </w:tcBorders>
            <w:noWrap/>
            <w:vAlign w:val="bottom"/>
            <w:hideMark/>
          </w:tcPr>
          <w:p w14:paraId="01E47D03"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2747</w:t>
            </w:r>
          </w:p>
        </w:tc>
        <w:tc>
          <w:tcPr>
            <w:tcW w:w="2432" w:type="dxa"/>
            <w:tcBorders>
              <w:top w:val="nil"/>
              <w:left w:val="nil"/>
              <w:bottom w:val="single" w:sz="4" w:space="0" w:color="auto"/>
              <w:right w:val="single" w:sz="4" w:space="0" w:color="auto"/>
            </w:tcBorders>
            <w:noWrap/>
            <w:vAlign w:val="bottom"/>
            <w:hideMark/>
          </w:tcPr>
          <w:p w14:paraId="359C8E71"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2456</w:t>
            </w:r>
          </w:p>
        </w:tc>
      </w:tr>
      <w:tr w:rsidR="00FC5524" w:rsidRPr="00FC5524" w14:paraId="14CF9CE6"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7FCE355C"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Total Assets</w:t>
            </w:r>
          </w:p>
        </w:tc>
        <w:tc>
          <w:tcPr>
            <w:tcW w:w="2553" w:type="dxa"/>
            <w:tcBorders>
              <w:top w:val="nil"/>
              <w:left w:val="nil"/>
              <w:bottom w:val="single" w:sz="4" w:space="0" w:color="auto"/>
              <w:right w:val="single" w:sz="4" w:space="0" w:color="auto"/>
            </w:tcBorders>
            <w:noWrap/>
            <w:vAlign w:val="bottom"/>
            <w:hideMark/>
          </w:tcPr>
          <w:p w14:paraId="24E216B1"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27826</w:t>
            </w:r>
          </w:p>
        </w:tc>
        <w:tc>
          <w:tcPr>
            <w:tcW w:w="2432" w:type="dxa"/>
            <w:tcBorders>
              <w:top w:val="nil"/>
              <w:left w:val="nil"/>
              <w:bottom w:val="single" w:sz="4" w:space="0" w:color="auto"/>
              <w:right w:val="single" w:sz="4" w:space="0" w:color="auto"/>
            </w:tcBorders>
            <w:noWrap/>
            <w:vAlign w:val="bottom"/>
            <w:hideMark/>
          </w:tcPr>
          <w:p w14:paraId="108D38FB"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29411</w:t>
            </w:r>
          </w:p>
        </w:tc>
      </w:tr>
      <w:tr w:rsidR="00FC5524" w:rsidRPr="00FC5524" w14:paraId="5BB4EAD0"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7BC2E15E"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Current Liabilities</w:t>
            </w:r>
          </w:p>
        </w:tc>
        <w:tc>
          <w:tcPr>
            <w:tcW w:w="2553" w:type="dxa"/>
            <w:tcBorders>
              <w:top w:val="nil"/>
              <w:left w:val="nil"/>
              <w:bottom w:val="single" w:sz="4" w:space="0" w:color="auto"/>
              <w:right w:val="single" w:sz="4" w:space="0" w:color="auto"/>
            </w:tcBorders>
            <w:noWrap/>
            <w:vAlign w:val="bottom"/>
            <w:hideMark/>
          </w:tcPr>
          <w:p w14:paraId="7E4CCDBA"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11462</w:t>
            </w:r>
          </w:p>
        </w:tc>
        <w:tc>
          <w:tcPr>
            <w:tcW w:w="2432" w:type="dxa"/>
            <w:tcBorders>
              <w:top w:val="nil"/>
              <w:left w:val="nil"/>
              <w:bottom w:val="single" w:sz="4" w:space="0" w:color="auto"/>
              <w:right w:val="single" w:sz="4" w:space="0" w:color="auto"/>
            </w:tcBorders>
            <w:noWrap/>
            <w:vAlign w:val="bottom"/>
            <w:hideMark/>
          </w:tcPr>
          <w:p w14:paraId="637D5F11"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11899</w:t>
            </w:r>
          </w:p>
        </w:tc>
      </w:tr>
      <w:tr w:rsidR="00FC5524" w:rsidRPr="00FC5524" w14:paraId="6A5B57D1"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46A10D05"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Current Assets</w:t>
            </w:r>
          </w:p>
        </w:tc>
        <w:tc>
          <w:tcPr>
            <w:tcW w:w="2553" w:type="dxa"/>
            <w:tcBorders>
              <w:top w:val="nil"/>
              <w:left w:val="nil"/>
              <w:bottom w:val="single" w:sz="4" w:space="0" w:color="auto"/>
              <w:right w:val="single" w:sz="4" w:space="0" w:color="auto"/>
            </w:tcBorders>
            <w:noWrap/>
            <w:vAlign w:val="bottom"/>
            <w:hideMark/>
          </w:tcPr>
          <w:p w14:paraId="2B7D6264"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27826</w:t>
            </w:r>
          </w:p>
        </w:tc>
        <w:tc>
          <w:tcPr>
            <w:tcW w:w="2432" w:type="dxa"/>
            <w:tcBorders>
              <w:top w:val="nil"/>
              <w:left w:val="nil"/>
              <w:bottom w:val="single" w:sz="4" w:space="0" w:color="auto"/>
              <w:right w:val="single" w:sz="4" w:space="0" w:color="auto"/>
            </w:tcBorders>
            <w:noWrap/>
            <w:vAlign w:val="bottom"/>
            <w:hideMark/>
          </w:tcPr>
          <w:p w14:paraId="04346D8C"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29491</w:t>
            </w:r>
          </w:p>
        </w:tc>
      </w:tr>
      <w:tr w:rsidR="00FC5524" w:rsidRPr="00FC5524" w14:paraId="06863B17"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4D44E376"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lastRenderedPageBreak/>
              <w:t>Inventory</w:t>
            </w:r>
          </w:p>
        </w:tc>
        <w:tc>
          <w:tcPr>
            <w:tcW w:w="2553" w:type="dxa"/>
            <w:tcBorders>
              <w:top w:val="nil"/>
              <w:left w:val="nil"/>
              <w:bottom w:val="single" w:sz="4" w:space="0" w:color="auto"/>
              <w:right w:val="single" w:sz="4" w:space="0" w:color="auto"/>
            </w:tcBorders>
            <w:noWrap/>
            <w:vAlign w:val="bottom"/>
            <w:hideMark/>
          </w:tcPr>
          <w:p w14:paraId="66D70D57"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4080</w:t>
            </w:r>
          </w:p>
        </w:tc>
        <w:tc>
          <w:tcPr>
            <w:tcW w:w="2432" w:type="dxa"/>
            <w:tcBorders>
              <w:top w:val="nil"/>
              <w:left w:val="nil"/>
              <w:bottom w:val="single" w:sz="4" w:space="0" w:color="auto"/>
              <w:right w:val="single" w:sz="4" w:space="0" w:color="auto"/>
            </w:tcBorders>
            <w:noWrap/>
            <w:vAlign w:val="bottom"/>
            <w:hideMark/>
          </w:tcPr>
          <w:p w14:paraId="6327BCE3"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4522</w:t>
            </w:r>
          </w:p>
        </w:tc>
      </w:tr>
      <w:tr w:rsidR="00FC5524" w:rsidRPr="00FC5524" w14:paraId="7C5EAD07"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6695A709"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Total Liabilities</w:t>
            </w:r>
          </w:p>
        </w:tc>
        <w:tc>
          <w:tcPr>
            <w:tcW w:w="2553" w:type="dxa"/>
            <w:tcBorders>
              <w:top w:val="nil"/>
              <w:left w:val="nil"/>
              <w:bottom w:val="single" w:sz="4" w:space="0" w:color="auto"/>
              <w:right w:val="single" w:sz="4" w:space="0" w:color="auto"/>
            </w:tcBorders>
            <w:noWrap/>
            <w:vAlign w:val="bottom"/>
            <w:hideMark/>
          </w:tcPr>
          <w:p w14:paraId="163601A1"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21797</w:t>
            </w:r>
          </w:p>
        </w:tc>
        <w:tc>
          <w:tcPr>
            <w:tcW w:w="2432" w:type="dxa"/>
            <w:tcBorders>
              <w:top w:val="nil"/>
              <w:left w:val="nil"/>
              <w:bottom w:val="single" w:sz="4" w:space="0" w:color="auto"/>
              <w:right w:val="single" w:sz="4" w:space="0" w:color="auto"/>
            </w:tcBorders>
            <w:noWrap/>
            <w:vAlign w:val="bottom"/>
            <w:hideMark/>
          </w:tcPr>
          <w:p w14:paraId="30E92C8B"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22849</w:t>
            </w:r>
          </w:p>
        </w:tc>
      </w:tr>
      <w:tr w:rsidR="00FC5524" w:rsidRPr="00FC5524" w14:paraId="111115FA"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5720F242"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Shareholder Equity</w:t>
            </w:r>
          </w:p>
        </w:tc>
        <w:tc>
          <w:tcPr>
            <w:tcW w:w="2553" w:type="dxa"/>
            <w:tcBorders>
              <w:top w:val="nil"/>
              <w:left w:val="nil"/>
              <w:bottom w:val="single" w:sz="4" w:space="0" w:color="auto"/>
              <w:right w:val="single" w:sz="4" w:space="0" w:color="auto"/>
            </w:tcBorders>
            <w:noWrap/>
            <w:vAlign w:val="bottom"/>
            <w:hideMark/>
          </w:tcPr>
          <w:p w14:paraId="25FAAC9D"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6029</w:t>
            </w:r>
          </w:p>
        </w:tc>
        <w:tc>
          <w:tcPr>
            <w:tcW w:w="2432" w:type="dxa"/>
            <w:tcBorders>
              <w:top w:val="nil"/>
              <w:left w:val="nil"/>
              <w:bottom w:val="single" w:sz="4" w:space="0" w:color="auto"/>
              <w:right w:val="single" w:sz="4" w:space="0" w:color="auto"/>
            </w:tcBorders>
            <w:noWrap/>
            <w:vAlign w:val="bottom"/>
            <w:hideMark/>
          </w:tcPr>
          <w:p w14:paraId="1CBCC653"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6642</w:t>
            </w:r>
          </w:p>
        </w:tc>
      </w:tr>
      <w:tr w:rsidR="00FC5524" w:rsidRPr="00FC5524" w14:paraId="0A6C458B"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5784D7A8"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Trade Receivables</w:t>
            </w:r>
          </w:p>
        </w:tc>
        <w:tc>
          <w:tcPr>
            <w:tcW w:w="2553" w:type="dxa"/>
            <w:tcBorders>
              <w:top w:val="nil"/>
              <w:left w:val="nil"/>
              <w:bottom w:val="single" w:sz="4" w:space="0" w:color="auto"/>
              <w:right w:val="single" w:sz="4" w:space="0" w:color="auto"/>
            </w:tcBorders>
            <w:noWrap/>
            <w:vAlign w:val="bottom"/>
            <w:hideMark/>
          </w:tcPr>
          <w:p w14:paraId="1E523EF2"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2645</w:t>
            </w:r>
          </w:p>
        </w:tc>
        <w:tc>
          <w:tcPr>
            <w:tcW w:w="2432" w:type="dxa"/>
            <w:tcBorders>
              <w:top w:val="nil"/>
              <w:left w:val="nil"/>
              <w:bottom w:val="single" w:sz="4" w:space="0" w:color="auto"/>
              <w:right w:val="single" w:sz="4" w:space="0" w:color="auto"/>
            </w:tcBorders>
            <w:noWrap/>
            <w:vAlign w:val="bottom"/>
            <w:hideMark/>
          </w:tcPr>
          <w:p w14:paraId="54458781"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2490</w:t>
            </w:r>
          </w:p>
        </w:tc>
      </w:tr>
      <w:tr w:rsidR="00FC5524" w:rsidRPr="00FC5524" w14:paraId="35AEA2D3"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76B4ABA0"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Trade Payables</w:t>
            </w:r>
          </w:p>
        </w:tc>
        <w:tc>
          <w:tcPr>
            <w:tcW w:w="2553" w:type="dxa"/>
            <w:tcBorders>
              <w:top w:val="nil"/>
              <w:left w:val="nil"/>
              <w:bottom w:val="single" w:sz="4" w:space="0" w:color="auto"/>
              <w:right w:val="single" w:sz="4" w:space="0" w:color="auto"/>
            </w:tcBorders>
            <w:noWrap/>
            <w:vAlign w:val="bottom"/>
            <w:hideMark/>
          </w:tcPr>
          <w:p w14:paraId="0C2919EE"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9497</w:t>
            </w:r>
          </w:p>
        </w:tc>
        <w:tc>
          <w:tcPr>
            <w:tcW w:w="2432" w:type="dxa"/>
            <w:tcBorders>
              <w:top w:val="nil"/>
              <w:left w:val="nil"/>
              <w:bottom w:val="single" w:sz="4" w:space="0" w:color="auto"/>
              <w:right w:val="single" w:sz="4" w:space="0" w:color="auto"/>
            </w:tcBorders>
            <w:noWrap/>
            <w:vAlign w:val="bottom"/>
            <w:hideMark/>
          </w:tcPr>
          <w:p w14:paraId="1FD47C3B"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9579</w:t>
            </w:r>
          </w:p>
        </w:tc>
      </w:tr>
      <w:tr w:rsidR="00FC5524" w:rsidRPr="00FC5524" w14:paraId="7A1B0596"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07A945C2"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Purchases</w:t>
            </w:r>
          </w:p>
        </w:tc>
        <w:tc>
          <w:tcPr>
            <w:tcW w:w="2553" w:type="dxa"/>
            <w:tcBorders>
              <w:top w:val="nil"/>
              <w:left w:val="nil"/>
              <w:bottom w:val="single" w:sz="4" w:space="0" w:color="auto"/>
              <w:right w:val="single" w:sz="4" w:space="0" w:color="auto"/>
            </w:tcBorders>
            <w:noWrap/>
            <w:vAlign w:val="bottom"/>
            <w:hideMark/>
          </w:tcPr>
          <w:p w14:paraId="03E5D36F"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25632</w:t>
            </w:r>
          </w:p>
        </w:tc>
        <w:tc>
          <w:tcPr>
            <w:tcW w:w="2432" w:type="dxa"/>
            <w:tcBorders>
              <w:top w:val="nil"/>
              <w:left w:val="nil"/>
              <w:bottom w:val="single" w:sz="4" w:space="0" w:color="auto"/>
              <w:right w:val="single" w:sz="4" w:space="0" w:color="auto"/>
            </w:tcBorders>
            <w:noWrap/>
            <w:vAlign w:val="bottom"/>
            <w:hideMark/>
          </w:tcPr>
          <w:p w14:paraId="22ED0665"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25795</w:t>
            </w:r>
          </w:p>
        </w:tc>
      </w:tr>
      <w:tr w:rsidR="00FC5524" w:rsidRPr="00FC5524" w14:paraId="3E294893"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79B254D5"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Cost of sales</w:t>
            </w:r>
          </w:p>
        </w:tc>
        <w:tc>
          <w:tcPr>
            <w:tcW w:w="2553" w:type="dxa"/>
            <w:tcBorders>
              <w:top w:val="nil"/>
              <w:left w:val="nil"/>
              <w:bottom w:val="single" w:sz="4" w:space="0" w:color="auto"/>
              <w:right w:val="single" w:sz="4" w:space="0" w:color="auto"/>
            </w:tcBorders>
            <w:noWrap/>
            <w:vAlign w:val="bottom"/>
            <w:hideMark/>
          </w:tcPr>
          <w:p w14:paraId="496D6DA2"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25632</w:t>
            </w:r>
          </w:p>
        </w:tc>
        <w:tc>
          <w:tcPr>
            <w:tcW w:w="2432" w:type="dxa"/>
            <w:tcBorders>
              <w:top w:val="nil"/>
              <w:left w:val="nil"/>
              <w:bottom w:val="single" w:sz="4" w:space="0" w:color="auto"/>
              <w:right w:val="single" w:sz="4" w:space="0" w:color="auto"/>
            </w:tcBorders>
            <w:noWrap/>
            <w:vAlign w:val="bottom"/>
            <w:hideMark/>
          </w:tcPr>
          <w:p w14:paraId="0613BC3E"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25795</w:t>
            </w:r>
          </w:p>
        </w:tc>
      </w:tr>
      <w:tr w:rsidR="00FC5524" w:rsidRPr="00FC5524" w14:paraId="3EDFBCB0"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50D21621"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Market Price per share</w:t>
            </w:r>
          </w:p>
        </w:tc>
        <w:tc>
          <w:tcPr>
            <w:tcW w:w="2553" w:type="dxa"/>
            <w:tcBorders>
              <w:top w:val="nil"/>
              <w:left w:val="nil"/>
              <w:bottom w:val="single" w:sz="4" w:space="0" w:color="auto"/>
              <w:right w:val="single" w:sz="4" w:space="0" w:color="auto"/>
            </w:tcBorders>
            <w:noWrap/>
            <w:vAlign w:val="bottom"/>
            <w:hideMark/>
          </w:tcPr>
          <w:p w14:paraId="26A7CAF4"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1855</w:t>
            </w:r>
          </w:p>
        </w:tc>
        <w:tc>
          <w:tcPr>
            <w:tcW w:w="2432" w:type="dxa"/>
            <w:tcBorders>
              <w:top w:val="nil"/>
              <w:left w:val="nil"/>
              <w:bottom w:val="single" w:sz="4" w:space="0" w:color="auto"/>
              <w:right w:val="single" w:sz="4" w:space="0" w:color="auto"/>
            </w:tcBorders>
            <w:noWrap/>
            <w:vAlign w:val="bottom"/>
            <w:hideMark/>
          </w:tcPr>
          <w:p w14:paraId="0E21B9C0"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2112</w:t>
            </w:r>
          </w:p>
        </w:tc>
      </w:tr>
      <w:tr w:rsidR="00FC5524" w:rsidRPr="00FC5524" w14:paraId="478D4044" w14:textId="77777777" w:rsidTr="00FC5524">
        <w:trPr>
          <w:trHeight w:val="286"/>
        </w:trPr>
        <w:tc>
          <w:tcPr>
            <w:tcW w:w="4499" w:type="dxa"/>
            <w:tcBorders>
              <w:top w:val="nil"/>
              <w:left w:val="single" w:sz="4" w:space="0" w:color="auto"/>
              <w:bottom w:val="single" w:sz="4" w:space="0" w:color="auto"/>
              <w:right w:val="single" w:sz="4" w:space="0" w:color="auto"/>
            </w:tcBorders>
            <w:noWrap/>
            <w:vAlign w:val="bottom"/>
            <w:hideMark/>
          </w:tcPr>
          <w:p w14:paraId="28567FC9" w14:textId="77777777" w:rsidR="00FC5524" w:rsidRPr="00FC5524" w:rsidRDefault="00FC5524" w:rsidP="00FC5524">
            <w:pPr>
              <w:spacing w:before="100" w:beforeAutospacing="1" w:after="0" w:line="273" w:lineRule="auto"/>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Interest Expenses</w:t>
            </w:r>
          </w:p>
        </w:tc>
        <w:tc>
          <w:tcPr>
            <w:tcW w:w="2553" w:type="dxa"/>
            <w:tcBorders>
              <w:top w:val="nil"/>
              <w:left w:val="nil"/>
              <w:bottom w:val="single" w:sz="4" w:space="0" w:color="auto"/>
              <w:right w:val="single" w:sz="4" w:space="0" w:color="auto"/>
            </w:tcBorders>
            <w:noWrap/>
            <w:vAlign w:val="bottom"/>
            <w:hideMark/>
          </w:tcPr>
          <w:p w14:paraId="1970FF50"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534</w:t>
            </w:r>
          </w:p>
        </w:tc>
        <w:tc>
          <w:tcPr>
            <w:tcW w:w="2432" w:type="dxa"/>
            <w:tcBorders>
              <w:top w:val="nil"/>
              <w:left w:val="nil"/>
              <w:bottom w:val="single" w:sz="4" w:space="0" w:color="auto"/>
              <w:right w:val="single" w:sz="4" w:space="0" w:color="auto"/>
            </w:tcBorders>
            <w:noWrap/>
            <w:vAlign w:val="bottom"/>
            <w:hideMark/>
          </w:tcPr>
          <w:p w14:paraId="1EFF69DF" w14:textId="77777777" w:rsidR="00FC5524" w:rsidRPr="00FC5524" w:rsidRDefault="00FC5524" w:rsidP="00FC5524">
            <w:pPr>
              <w:spacing w:before="100" w:beforeAutospacing="1" w:after="0" w:line="273" w:lineRule="auto"/>
              <w:jc w:val="center"/>
              <w:rPr>
                <w:rFonts w:ascii="Calibri" w:eastAsia="Times New Roman" w:hAnsi="Calibri" w:cs="Calibri"/>
                <w:color w:val="000000"/>
                <w:kern w:val="0"/>
                <w:sz w:val="22"/>
                <w:szCs w:val="22"/>
                <w:lang w:eastAsia="en-GB"/>
                <w14:ligatures w14:val="none"/>
              </w:rPr>
            </w:pPr>
            <w:r w:rsidRPr="00FC5524">
              <w:rPr>
                <w:rFonts w:ascii="Calibri" w:eastAsia="Times New Roman" w:hAnsi="Calibri" w:cs="Calibri"/>
                <w:color w:val="000000"/>
                <w:kern w:val="0"/>
                <w:sz w:val="22"/>
                <w:szCs w:val="22"/>
                <w:lang w:eastAsia="en-GB"/>
                <w14:ligatures w14:val="none"/>
              </w:rPr>
              <w:t>298</w:t>
            </w:r>
          </w:p>
        </w:tc>
      </w:tr>
    </w:tbl>
    <w:p w14:paraId="10E749A5"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 xml:space="preserve"> </w:t>
      </w:r>
    </w:p>
    <w:p w14:paraId="140109B9"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Times New Roman" w:eastAsia="Calibri" w:hAnsi="Times New Roman" w:cs="Times New Roman"/>
          <w:color w:val="222222"/>
          <w:kern w:val="0"/>
          <w:shd w:val="clear" w:color="auto" w:fill="FFFFFF"/>
          <w:lang w:eastAsia="en-GB"/>
          <w14:ligatures w14:val="none"/>
        </w:rPr>
        <w:t>Appendix 2</w:t>
      </w:r>
    </w:p>
    <w:p w14:paraId="06DEBC54"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Calibri" w:eastAsia="Times New Roman" w:hAnsi="Calibri" w:cs="Times New Roman"/>
          <w:noProof/>
          <w:kern w:val="0"/>
          <w:sz w:val="22"/>
          <w:szCs w:val="22"/>
          <w:lang w:eastAsia="en-GB"/>
          <w14:ligatures w14:val="none"/>
        </w:rPr>
        <w:drawing>
          <wp:inline distT="0" distB="0" distL="0" distR="0" wp14:anchorId="7A71D1FC" wp14:editId="5C49018A">
            <wp:extent cx="5746750" cy="4724400"/>
            <wp:effectExtent l="0" t="0" r="6350" b="0"/>
            <wp:docPr id="11" name="Picture 3" descr="A screenshot of a financial stat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 descr="A screenshot of a financial statement&#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46750" cy="4724400"/>
                    </a:xfrm>
                    <a:prstGeom prst="rect">
                      <a:avLst/>
                    </a:prstGeom>
                    <a:noFill/>
                    <a:ln>
                      <a:noFill/>
                    </a:ln>
                  </pic:spPr>
                </pic:pic>
              </a:graphicData>
            </a:graphic>
          </wp:inline>
        </w:drawing>
      </w:r>
      <w:r w:rsidRPr="00FC5524">
        <w:rPr>
          <w:rFonts w:ascii="Times New Roman" w:eastAsia="Calibri" w:hAnsi="Times New Roman" w:cs="Times New Roman"/>
          <w:color w:val="222222"/>
          <w:kern w:val="0"/>
          <w:shd w:val="clear" w:color="auto" w:fill="FFFFFF"/>
          <w:lang w:eastAsia="en-GB"/>
          <w14:ligatures w14:val="none"/>
        </w:rPr>
        <w:t xml:space="preserve"> </w:t>
      </w:r>
    </w:p>
    <w:p w14:paraId="29EB85E2" w14:textId="77777777" w:rsidR="00FC5524" w:rsidRPr="00FC5524" w:rsidRDefault="00FC5524" w:rsidP="00FC5524">
      <w:pPr>
        <w:spacing w:before="100" w:beforeAutospacing="1" w:after="200" w:line="360" w:lineRule="auto"/>
        <w:jc w:val="both"/>
        <w:rPr>
          <w:rFonts w:ascii="Times New Roman" w:eastAsia="Calibri" w:hAnsi="Times New Roman" w:cs="Times New Roman"/>
          <w:color w:val="222222"/>
          <w:kern w:val="0"/>
          <w:shd w:val="clear" w:color="auto" w:fill="FFFFFF"/>
          <w:lang w:eastAsia="en-GB"/>
          <w14:ligatures w14:val="none"/>
        </w:rPr>
      </w:pPr>
      <w:r w:rsidRPr="00FC5524">
        <w:rPr>
          <w:rFonts w:ascii="Calibri" w:eastAsia="Times New Roman" w:hAnsi="Calibri" w:cs="Times New Roman"/>
          <w:noProof/>
          <w:kern w:val="0"/>
          <w:sz w:val="22"/>
          <w:szCs w:val="22"/>
          <w:lang w:eastAsia="en-GB"/>
          <w14:ligatures w14:val="none"/>
        </w:rPr>
        <w:lastRenderedPageBreak/>
        <w:drawing>
          <wp:inline distT="0" distB="0" distL="0" distR="0" wp14:anchorId="1DE0825A" wp14:editId="77CCFC59">
            <wp:extent cx="5943600" cy="3981450"/>
            <wp:effectExtent l="0" t="0" r="0" b="0"/>
            <wp:docPr id="12" name="Picture 2"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 descr="A screenshot of a report&#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3981450"/>
                    </a:xfrm>
                    <a:prstGeom prst="rect">
                      <a:avLst/>
                    </a:prstGeom>
                    <a:noFill/>
                    <a:ln>
                      <a:noFill/>
                    </a:ln>
                  </pic:spPr>
                </pic:pic>
              </a:graphicData>
            </a:graphic>
          </wp:inline>
        </w:drawing>
      </w:r>
      <w:r w:rsidRPr="00FC5524">
        <w:rPr>
          <w:rFonts w:ascii="Times New Roman" w:eastAsia="Calibri" w:hAnsi="Times New Roman" w:cs="Times New Roman"/>
          <w:color w:val="222222"/>
          <w:kern w:val="0"/>
          <w:shd w:val="clear" w:color="auto" w:fill="FFFFFF"/>
          <w:lang w:eastAsia="en-GB"/>
          <w14:ligatures w14:val="none"/>
        </w:rPr>
        <w:t xml:space="preserve"> </w:t>
      </w:r>
    </w:p>
    <w:p w14:paraId="4B7BFEC0" w14:textId="77777777" w:rsidR="00FC5524" w:rsidRPr="00FC5524" w:rsidRDefault="00FC5524" w:rsidP="00FC5524">
      <w:pPr>
        <w:spacing w:before="100" w:beforeAutospacing="1" w:after="200" w:line="273" w:lineRule="auto"/>
        <w:rPr>
          <w:rFonts w:ascii="Calibri" w:eastAsia="Times New Roman" w:hAnsi="Calibri" w:cs="Times New Roman"/>
          <w:kern w:val="0"/>
          <w:sz w:val="22"/>
          <w:szCs w:val="22"/>
          <w:lang w:eastAsia="en-GB"/>
          <w14:ligatures w14:val="none"/>
        </w:rPr>
      </w:pPr>
      <w:r w:rsidRPr="00FC5524">
        <w:rPr>
          <w:rFonts w:ascii="Calibri" w:eastAsia="Times New Roman" w:hAnsi="Calibri" w:cs="Times New Roman"/>
          <w:noProof/>
          <w:kern w:val="0"/>
          <w:sz w:val="22"/>
          <w:szCs w:val="22"/>
          <w:lang w:eastAsia="en-GB"/>
          <w14:ligatures w14:val="none"/>
        </w:rPr>
        <w:drawing>
          <wp:inline distT="0" distB="0" distL="0" distR="0" wp14:anchorId="0E40FA42" wp14:editId="0DF9CDC8">
            <wp:extent cx="5867400" cy="2825750"/>
            <wp:effectExtent l="0" t="0" r="0" b="0"/>
            <wp:docPr id="13" name="Picture 1" descr="A close-up of a note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A close-up of a notebook&#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867400" cy="2825750"/>
                    </a:xfrm>
                    <a:prstGeom prst="rect">
                      <a:avLst/>
                    </a:prstGeom>
                    <a:noFill/>
                    <a:ln>
                      <a:noFill/>
                    </a:ln>
                  </pic:spPr>
                </pic:pic>
              </a:graphicData>
            </a:graphic>
          </wp:inline>
        </w:drawing>
      </w:r>
    </w:p>
    <w:p w14:paraId="34324948" w14:textId="77777777" w:rsidR="00FC5524" w:rsidRPr="00FC5524" w:rsidRDefault="00FC5524" w:rsidP="00FC5524">
      <w:pPr>
        <w:jc w:val="center"/>
      </w:pPr>
    </w:p>
    <w:sectPr w:rsidR="00FC5524" w:rsidRPr="00FC55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61B31"/>
    <w:multiLevelType w:val="multilevel"/>
    <w:tmpl w:val="92962E5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62663B5C"/>
    <w:multiLevelType w:val="multilevel"/>
    <w:tmpl w:val="0E983F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67005940">
    <w:abstractNumId w:val="0"/>
  </w:num>
  <w:num w:numId="2" w16cid:durableId="1816599726">
    <w:abstractNumId w:val="0"/>
    <w:lvlOverride w:ilvl="0"/>
    <w:lvlOverride w:ilvl="1"/>
    <w:lvlOverride w:ilvl="2"/>
    <w:lvlOverride w:ilvl="3"/>
    <w:lvlOverride w:ilvl="4"/>
    <w:lvlOverride w:ilvl="5"/>
    <w:lvlOverride w:ilvl="6"/>
    <w:lvlOverride w:ilvl="7"/>
    <w:lvlOverride w:ilvl="8"/>
  </w:num>
  <w:num w:numId="3" w16cid:durableId="1854761277">
    <w:abstractNumId w:val="1"/>
  </w:num>
  <w:num w:numId="4" w16cid:durableId="109862727">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524"/>
    <w:rsid w:val="002B4A14"/>
    <w:rsid w:val="00367948"/>
    <w:rsid w:val="004F0EB0"/>
    <w:rsid w:val="00755B61"/>
    <w:rsid w:val="008A1D83"/>
    <w:rsid w:val="00A174A8"/>
    <w:rsid w:val="00B03E18"/>
    <w:rsid w:val="00FC5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1B03C"/>
  <w15:chartTrackingRefBased/>
  <w15:docId w15:val="{A771E2AA-8631-4F6B-AD65-23AA4A097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C55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FC55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FC55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55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55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55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55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55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55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C55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9"/>
    <w:rsid w:val="00FC55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9"/>
    <w:rsid w:val="00FC55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55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55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55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55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55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5524"/>
    <w:rPr>
      <w:rFonts w:eastAsiaTheme="majorEastAsia" w:cstheme="majorBidi"/>
      <w:color w:val="272727" w:themeColor="text1" w:themeTint="D8"/>
    </w:rPr>
  </w:style>
  <w:style w:type="paragraph" w:styleId="Title">
    <w:name w:val="Title"/>
    <w:basedOn w:val="Normal"/>
    <w:next w:val="Normal"/>
    <w:link w:val="TitleChar"/>
    <w:uiPriority w:val="10"/>
    <w:qFormat/>
    <w:rsid w:val="00FC55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55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55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55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5524"/>
    <w:pPr>
      <w:spacing w:before="160"/>
      <w:jc w:val="center"/>
    </w:pPr>
    <w:rPr>
      <w:i/>
      <w:iCs/>
      <w:color w:val="404040" w:themeColor="text1" w:themeTint="BF"/>
    </w:rPr>
  </w:style>
  <w:style w:type="character" w:customStyle="1" w:styleId="QuoteChar">
    <w:name w:val="Quote Char"/>
    <w:basedOn w:val="DefaultParagraphFont"/>
    <w:link w:val="Quote"/>
    <w:uiPriority w:val="29"/>
    <w:rsid w:val="00FC5524"/>
    <w:rPr>
      <w:i/>
      <w:iCs/>
      <w:color w:val="404040" w:themeColor="text1" w:themeTint="BF"/>
    </w:rPr>
  </w:style>
  <w:style w:type="paragraph" w:styleId="ListParagraph">
    <w:name w:val="List Paragraph"/>
    <w:basedOn w:val="Normal"/>
    <w:uiPriority w:val="99"/>
    <w:qFormat/>
    <w:rsid w:val="00FC5524"/>
    <w:pPr>
      <w:ind w:left="720"/>
      <w:contextualSpacing/>
    </w:pPr>
  </w:style>
  <w:style w:type="character" w:styleId="IntenseEmphasis">
    <w:name w:val="Intense Emphasis"/>
    <w:basedOn w:val="DefaultParagraphFont"/>
    <w:uiPriority w:val="21"/>
    <w:qFormat/>
    <w:rsid w:val="00FC5524"/>
    <w:rPr>
      <w:i/>
      <w:iCs/>
      <w:color w:val="0F4761" w:themeColor="accent1" w:themeShade="BF"/>
    </w:rPr>
  </w:style>
  <w:style w:type="paragraph" w:styleId="IntenseQuote">
    <w:name w:val="Intense Quote"/>
    <w:basedOn w:val="Normal"/>
    <w:next w:val="Normal"/>
    <w:link w:val="IntenseQuoteChar"/>
    <w:uiPriority w:val="30"/>
    <w:qFormat/>
    <w:rsid w:val="00FC55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5524"/>
    <w:rPr>
      <w:i/>
      <w:iCs/>
      <w:color w:val="0F4761" w:themeColor="accent1" w:themeShade="BF"/>
    </w:rPr>
  </w:style>
  <w:style w:type="character" w:styleId="IntenseReference">
    <w:name w:val="Intense Reference"/>
    <w:basedOn w:val="DefaultParagraphFont"/>
    <w:uiPriority w:val="32"/>
    <w:qFormat/>
    <w:rsid w:val="00FC5524"/>
    <w:rPr>
      <w:b/>
      <w:bCs/>
      <w:smallCaps/>
      <w:color w:val="0F4761" w:themeColor="accent1" w:themeShade="BF"/>
      <w:spacing w:val="5"/>
    </w:rPr>
  </w:style>
  <w:style w:type="numbering" w:customStyle="1" w:styleId="NoList1">
    <w:name w:val="No List1"/>
    <w:next w:val="NoList"/>
    <w:uiPriority w:val="99"/>
    <w:semiHidden/>
    <w:unhideWhenUsed/>
    <w:rsid w:val="00FC5524"/>
  </w:style>
  <w:style w:type="paragraph" w:customStyle="1" w:styleId="msonormal0">
    <w:name w:val="msonormal"/>
    <w:basedOn w:val="Normal"/>
    <w:rsid w:val="00FC552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99"/>
    <w:semiHidden/>
    <w:unhideWhenUsed/>
    <w:rsid w:val="00FC5524"/>
    <w:pPr>
      <w:spacing w:before="100" w:beforeAutospacing="1" w:after="100" w:line="273" w:lineRule="auto"/>
      <w:ind w:left="440"/>
    </w:pPr>
    <w:rPr>
      <w:rFonts w:ascii="Calibri" w:eastAsia="Times New Roman" w:hAnsi="Calibri" w:cs="Times New Roman"/>
      <w:kern w:val="0"/>
      <w:sz w:val="22"/>
      <w:szCs w:val="22"/>
      <w:lang w:eastAsia="en-GB"/>
      <w14:ligatures w14:val="none"/>
    </w:rPr>
  </w:style>
  <w:style w:type="paragraph" w:styleId="Caption">
    <w:name w:val="caption"/>
    <w:basedOn w:val="Normal"/>
    <w:next w:val="Normal"/>
    <w:uiPriority w:val="99"/>
    <w:qFormat/>
    <w:rsid w:val="00FC5524"/>
    <w:pPr>
      <w:spacing w:before="100" w:beforeAutospacing="1" w:after="200" w:line="240" w:lineRule="auto"/>
    </w:pPr>
    <w:rPr>
      <w:rFonts w:ascii="Calibri" w:eastAsia="Times New Roman" w:hAnsi="Calibri" w:cs="Times New Roman"/>
      <w:b/>
      <w:bCs/>
      <w:color w:val="4F81BD"/>
      <w:kern w:val="0"/>
      <w:sz w:val="18"/>
      <w:szCs w:val="18"/>
      <w:lang w:eastAsia="en-GB"/>
      <w14:ligatures w14:val="none"/>
    </w:rPr>
  </w:style>
  <w:style w:type="paragraph" w:styleId="TOCHeading">
    <w:name w:val="TOC Heading"/>
    <w:basedOn w:val="Heading1"/>
    <w:next w:val="Normal"/>
    <w:uiPriority w:val="39"/>
    <w:qFormat/>
    <w:rsid w:val="00FC5524"/>
    <w:pPr>
      <w:widowControl w:val="0"/>
      <w:spacing w:before="240" w:after="0" w:line="256" w:lineRule="auto"/>
      <w:outlineLvl w:val="9"/>
    </w:pPr>
    <w:rPr>
      <w:rFonts w:ascii="Cambria" w:eastAsia="SimSun" w:hAnsi="Cambria" w:cs="Times New Roman"/>
      <w:color w:val="366091"/>
      <w:kern w:val="0"/>
      <w:sz w:val="32"/>
      <w:szCs w:val="32"/>
      <w:lang w:eastAsia="en-GB"/>
      <w14:ligatures w14:val="none"/>
    </w:rPr>
  </w:style>
  <w:style w:type="paragraph" w:styleId="TOC1">
    <w:name w:val="toc 1"/>
    <w:basedOn w:val="Normal"/>
    <w:next w:val="Normal"/>
    <w:autoRedefine/>
    <w:uiPriority w:val="99"/>
    <w:semiHidden/>
    <w:unhideWhenUsed/>
    <w:rsid w:val="00FC5524"/>
    <w:pPr>
      <w:spacing w:before="100" w:beforeAutospacing="1" w:after="100" w:line="273" w:lineRule="auto"/>
    </w:pPr>
    <w:rPr>
      <w:rFonts w:ascii="Calibri" w:eastAsia="Times New Roman" w:hAnsi="Calibri" w:cs="Times New Roman"/>
      <w:kern w:val="0"/>
      <w:sz w:val="22"/>
      <w:szCs w:val="22"/>
      <w:lang w:eastAsia="en-GB"/>
      <w14:ligatures w14:val="none"/>
    </w:rPr>
  </w:style>
  <w:style w:type="paragraph" w:styleId="TOC2">
    <w:name w:val="toc 2"/>
    <w:basedOn w:val="Normal"/>
    <w:next w:val="Normal"/>
    <w:autoRedefine/>
    <w:uiPriority w:val="99"/>
    <w:semiHidden/>
    <w:unhideWhenUsed/>
    <w:rsid w:val="00FC5524"/>
    <w:pPr>
      <w:spacing w:before="100" w:beforeAutospacing="1" w:after="100" w:line="273" w:lineRule="auto"/>
      <w:ind w:left="220"/>
    </w:pPr>
    <w:rPr>
      <w:rFonts w:ascii="Calibri" w:eastAsia="Times New Roman" w:hAnsi="Calibri" w:cs="Times New Roman"/>
      <w:kern w:val="0"/>
      <w:sz w:val="22"/>
      <w:szCs w:val="22"/>
      <w:lang w:eastAsia="en-GB"/>
      <w14:ligatures w14:val="none"/>
    </w:rPr>
  </w:style>
  <w:style w:type="paragraph" w:styleId="Footer">
    <w:name w:val="footer"/>
    <w:basedOn w:val="Normal"/>
    <w:link w:val="FooterChar"/>
    <w:uiPriority w:val="99"/>
    <w:semiHidden/>
    <w:unhideWhenUsed/>
    <w:rsid w:val="00FC5524"/>
    <w:pPr>
      <w:tabs>
        <w:tab w:val="center" w:pos="4680"/>
        <w:tab w:val="right" w:pos="9360"/>
      </w:tabs>
      <w:spacing w:before="100" w:beforeAutospacing="1" w:after="0" w:line="240" w:lineRule="auto"/>
    </w:pPr>
    <w:rPr>
      <w:rFonts w:ascii="Calibri" w:eastAsia="Times New Roman" w:hAnsi="Calibri" w:cs="Times New Roman"/>
      <w:kern w:val="0"/>
      <w:sz w:val="22"/>
      <w:szCs w:val="22"/>
      <w:lang w:eastAsia="en-GB"/>
      <w14:ligatures w14:val="none"/>
    </w:rPr>
  </w:style>
  <w:style w:type="character" w:customStyle="1" w:styleId="FooterChar">
    <w:name w:val="Footer Char"/>
    <w:basedOn w:val="DefaultParagraphFont"/>
    <w:link w:val="Footer"/>
    <w:uiPriority w:val="99"/>
    <w:semiHidden/>
    <w:rsid w:val="00FC5524"/>
    <w:rPr>
      <w:rFonts w:ascii="Calibri" w:eastAsia="Times New Roman" w:hAnsi="Calibri" w:cs="Times New Roman"/>
      <w:kern w:val="0"/>
      <w:sz w:val="22"/>
      <w:szCs w:val="22"/>
      <w:lang w:eastAsia="en-GB"/>
      <w14:ligatures w14:val="none"/>
    </w:rPr>
  </w:style>
  <w:style w:type="character" w:customStyle="1" w:styleId="10">
    <w:name w:val="10"/>
    <w:basedOn w:val="DefaultParagraphFont"/>
    <w:rsid w:val="00FC5524"/>
    <w:rPr>
      <w:rFonts w:ascii="Calibri" w:hAnsi="Calibri" w:cs="Calibri" w:hint="default"/>
    </w:rPr>
  </w:style>
  <w:style w:type="character" w:customStyle="1" w:styleId="15">
    <w:name w:val="15"/>
    <w:basedOn w:val="DefaultParagraphFont"/>
    <w:rsid w:val="00FC5524"/>
    <w:rPr>
      <w:rFonts w:ascii="Calibri" w:hAnsi="Calibri" w:cs="Calibri" w:hint="default"/>
    </w:rPr>
  </w:style>
  <w:style w:type="character" w:customStyle="1" w:styleId="16">
    <w:name w:val="16"/>
    <w:basedOn w:val="DefaultParagraphFont"/>
    <w:rsid w:val="00FC5524"/>
    <w:rPr>
      <w:rFonts w:ascii="Calibri" w:hAnsi="Calibri" w:cs="Calibri" w:hint="default"/>
      <w:color w:val="0000FF"/>
      <w:u w:val="single"/>
    </w:rPr>
  </w:style>
  <w:style w:type="character" w:customStyle="1" w:styleId="17">
    <w:name w:val="17"/>
    <w:basedOn w:val="DefaultParagraphFont"/>
    <w:rsid w:val="00FC5524"/>
    <w:rPr>
      <w:rFonts w:ascii="Calibri" w:hAnsi="Calibri" w:cs="Calibri" w:hint="default"/>
    </w:rPr>
  </w:style>
  <w:style w:type="character" w:customStyle="1" w:styleId="18">
    <w:name w:val="18"/>
    <w:basedOn w:val="DefaultParagraphFont"/>
    <w:rsid w:val="00FC5524"/>
    <w:rPr>
      <w:rFonts w:ascii="Calibri" w:hAnsi="Calibri" w:cs="Calibri" w:hint="default"/>
    </w:rPr>
  </w:style>
  <w:style w:type="character" w:customStyle="1" w:styleId="19">
    <w:name w:val="19"/>
    <w:basedOn w:val="DefaultParagraphFont"/>
    <w:rsid w:val="00FC5524"/>
    <w:rPr>
      <w:rFonts w:ascii="Calibri" w:hAnsi="Calibri" w:cs="Calibri" w:hint="default"/>
    </w:rPr>
  </w:style>
  <w:style w:type="character" w:customStyle="1" w:styleId="20">
    <w:name w:val="20"/>
    <w:basedOn w:val="DefaultParagraphFont"/>
    <w:rsid w:val="00FC5524"/>
    <w:rPr>
      <w:rFonts w:ascii="Calibri" w:hAnsi="Calibri" w:cs="Calibri" w:hint="default"/>
    </w:rPr>
  </w:style>
  <w:style w:type="character" w:customStyle="1" w:styleId="21">
    <w:name w:val="21"/>
    <w:basedOn w:val="DefaultParagraphFont"/>
    <w:rsid w:val="00FC5524"/>
    <w:rPr>
      <w:rFonts w:ascii="Calibri" w:hAnsi="Calibri" w:cs="Calibri" w:hint="default"/>
    </w:rPr>
  </w:style>
  <w:style w:type="table" w:styleId="TableGrid">
    <w:name w:val="Table Grid"/>
    <w:basedOn w:val="TableNormal"/>
    <w:uiPriority w:val="99"/>
    <w:rsid w:val="00FC5524"/>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uiPriority w:val="99"/>
    <w:unhideWhenUsed/>
    <w:rsid w:val="00FC5524"/>
    <w:rPr>
      <w:color w:val="0000FF"/>
      <w:u w:val="single"/>
    </w:rPr>
  </w:style>
  <w:style w:type="character" w:styleId="FollowedHyperlink">
    <w:name w:val="FollowedHyperlink"/>
    <w:basedOn w:val="DefaultParagraphFont"/>
    <w:uiPriority w:val="99"/>
    <w:unhideWhenUsed/>
    <w:rsid w:val="00FC5524"/>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3789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vr561\Downloads\imperial%20brand.edited%20(2).docx" TargetMode="External"/><Relationship Id="rId18" Type="http://schemas.openxmlformats.org/officeDocument/2006/relationships/hyperlink" Target="file:///C:\Users\vr561\Downloads\imperial%20brand.edited%20(2).docx" TargetMode="External"/><Relationship Id="rId26" Type="http://schemas.openxmlformats.org/officeDocument/2006/relationships/hyperlink" Target="file:///C:\Users\vr561\Downloads\imperial%20brand.edited%20(2).docx" TargetMode="External"/><Relationship Id="rId39"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hyperlink" Target="file:///C:\Users\vr561\Downloads\imperial%20brand.edited%20(2).docx" TargetMode="External"/><Relationship Id="rId34" Type="http://schemas.openxmlformats.org/officeDocument/2006/relationships/hyperlink" Target="file:///C:\Users\vr561\Downloads\imperial%20brand.edited%20(2).docx" TargetMode="External"/><Relationship Id="rId42" Type="http://schemas.openxmlformats.org/officeDocument/2006/relationships/image" Target="media/image8.png"/><Relationship Id="rId47" Type="http://schemas.openxmlformats.org/officeDocument/2006/relationships/hyperlink" Target="mailto:DR@6%25" TargetMode="External"/><Relationship Id="rId50" Type="http://schemas.openxmlformats.org/officeDocument/2006/relationships/image" Target="media/image13.jpeg"/><Relationship Id="rId7" Type="http://schemas.openxmlformats.org/officeDocument/2006/relationships/hyperlink" Target="file:///C:\Users\vr561\Downloads\imperial%20brand.edited%20(2).docx" TargetMode="External"/><Relationship Id="rId12" Type="http://schemas.openxmlformats.org/officeDocument/2006/relationships/hyperlink" Target="file:///C:\Users\vr561\Downloads\imperial%20brand.edited%20(2).docx" TargetMode="External"/><Relationship Id="rId17" Type="http://schemas.openxmlformats.org/officeDocument/2006/relationships/hyperlink" Target="file:///C:\Users\vr561\Downloads\imperial%20brand.edited%20(2).docx" TargetMode="External"/><Relationship Id="rId25" Type="http://schemas.openxmlformats.org/officeDocument/2006/relationships/hyperlink" Target="file:///C:\Users\vr561\Downloads\imperial%20brand.edited%20(2).docx" TargetMode="External"/><Relationship Id="rId33" Type="http://schemas.openxmlformats.org/officeDocument/2006/relationships/hyperlink" Target="file:///C:\Users\vr561\Downloads\imperial%20brand.edited%20(2).docx" TargetMode="External"/><Relationship Id="rId38" Type="http://schemas.openxmlformats.org/officeDocument/2006/relationships/image" Target="media/image4.png"/><Relationship Id="rId46" Type="http://schemas.openxmlformats.org/officeDocument/2006/relationships/hyperlink" Target="mailto:DR@6%25" TargetMode="External"/><Relationship Id="rId2" Type="http://schemas.openxmlformats.org/officeDocument/2006/relationships/styles" Target="styles.xml"/><Relationship Id="rId16" Type="http://schemas.openxmlformats.org/officeDocument/2006/relationships/hyperlink" Target="file:///C:\Users\vr561\Downloads\imperial%20brand.edited%20(2).docx" TargetMode="External"/><Relationship Id="rId20" Type="http://schemas.openxmlformats.org/officeDocument/2006/relationships/hyperlink" Target="file:///C:\Users\vr561\Downloads\imperial%20brand.edited%20(2).docx" TargetMode="External"/><Relationship Id="rId29" Type="http://schemas.openxmlformats.org/officeDocument/2006/relationships/hyperlink" Target="file:///C:\Users\vr561\Downloads\imperial%20brand.edited%20(2).docx" TargetMode="External"/><Relationship Id="rId41"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hyperlink" Target="file:///C:\Users\vr561\Downloads\imperial%20brand.edited%20(2).docx" TargetMode="External"/><Relationship Id="rId11" Type="http://schemas.openxmlformats.org/officeDocument/2006/relationships/hyperlink" Target="file:///C:\Users\vr561\Downloads\imperial%20brand.edited%20(2).docx" TargetMode="External"/><Relationship Id="rId24" Type="http://schemas.openxmlformats.org/officeDocument/2006/relationships/hyperlink" Target="file:///C:\Users\vr561\Downloads\imperial%20brand.edited%20(2).docx" TargetMode="External"/><Relationship Id="rId32" Type="http://schemas.openxmlformats.org/officeDocument/2006/relationships/hyperlink" Target="file:///C:\Users\vr561\Downloads\imperial%20brand.edited%20(2).docx" TargetMode="External"/><Relationship Id="rId37" Type="http://schemas.openxmlformats.org/officeDocument/2006/relationships/image" Target="media/image3.png"/><Relationship Id="rId40" Type="http://schemas.openxmlformats.org/officeDocument/2006/relationships/image" Target="media/image6.png"/><Relationship Id="rId45" Type="http://schemas.openxmlformats.org/officeDocument/2006/relationships/image" Target="media/image11.png"/><Relationship Id="rId53"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hyperlink" Target="file:///C:\Users\vr561\Downloads\imperial%20brand.edited%20(2).docx" TargetMode="External"/><Relationship Id="rId23" Type="http://schemas.openxmlformats.org/officeDocument/2006/relationships/hyperlink" Target="file:///C:\Users\vr561\Downloads\imperial%20brand.edited%20(2).docx" TargetMode="External"/><Relationship Id="rId28" Type="http://schemas.openxmlformats.org/officeDocument/2006/relationships/hyperlink" Target="file:///C:\Users\vr561\Downloads\imperial%20brand.edited%20(2).docx" TargetMode="External"/><Relationship Id="rId36" Type="http://schemas.openxmlformats.org/officeDocument/2006/relationships/image" Target="media/image2.png"/><Relationship Id="rId49" Type="http://schemas.openxmlformats.org/officeDocument/2006/relationships/image" Target="media/image12.jpeg"/><Relationship Id="rId10" Type="http://schemas.openxmlformats.org/officeDocument/2006/relationships/hyperlink" Target="file:///C:\Users\vr561\Downloads\imperial%20brand.edited%20(2).docx" TargetMode="External"/><Relationship Id="rId19" Type="http://schemas.openxmlformats.org/officeDocument/2006/relationships/hyperlink" Target="file:///C:\Users\vr561\Downloads\imperial%20brand.edited%20(2).docx" TargetMode="External"/><Relationship Id="rId31" Type="http://schemas.openxmlformats.org/officeDocument/2006/relationships/hyperlink" Target="file:///C:\Users\vr561\Downloads\imperial%20brand.edited%20(2).docx" TargetMode="External"/><Relationship Id="rId44" Type="http://schemas.openxmlformats.org/officeDocument/2006/relationships/image" Target="media/image10.pn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vr561\Downloads\imperial%20brand.edited%20(2).docx" TargetMode="External"/><Relationship Id="rId14" Type="http://schemas.openxmlformats.org/officeDocument/2006/relationships/hyperlink" Target="file:///C:\Users\vr561\Downloads\imperial%20brand.edited%20(2).docx" TargetMode="External"/><Relationship Id="rId22" Type="http://schemas.openxmlformats.org/officeDocument/2006/relationships/hyperlink" Target="file:///C:\Users\vr561\Downloads\imperial%20brand.edited%20(2).docx" TargetMode="External"/><Relationship Id="rId27" Type="http://schemas.openxmlformats.org/officeDocument/2006/relationships/hyperlink" Target="file:///C:\Users\vr561\Downloads\imperial%20brand.edited%20(2).docx" TargetMode="External"/><Relationship Id="rId30" Type="http://schemas.openxmlformats.org/officeDocument/2006/relationships/hyperlink" Target="file:///C:\Users\vr561\Downloads\imperial%20brand.edited%20(2).docx" TargetMode="External"/><Relationship Id="rId35" Type="http://schemas.openxmlformats.org/officeDocument/2006/relationships/hyperlink" Target="file:///C:\Users\vr561\Downloads\imperial%20brand.edited%20(2).docx" TargetMode="External"/><Relationship Id="rId43" Type="http://schemas.openxmlformats.org/officeDocument/2006/relationships/image" Target="media/image9.png"/><Relationship Id="rId48" Type="http://schemas.openxmlformats.org/officeDocument/2006/relationships/hyperlink" Target="mailto:DR@6%25" TargetMode="External"/><Relationship Id="rId8" Type="http://schemas.openxmlformats.org/officeDocument/2006/relationships/hyperlink" Target="file:///C:\Users\vr561\Downloads\imperial%20brand.edited%20(2).docx" TargetMode="External"/><Relationship Id="rId51"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6493</Words>
  <Characters>37013</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Varun Kumar Reddy Kothakapu (2416235)</dc:creator>
  <cp:keywords/>
  <dc:description/>
  <cp:lastModifiedBy>Varun Kumar Reddy Kothakapu (2416235)</cp:lastModifiedBy>
  <cp:revision>6</cp:revision>
  <dcterms:created xsi:type="dcterms:W3CDTF">2025-07-21T21:44:00Z</dcterms:created>
  <dcterms:modified xsi:type="dcterms:W3CDTF">2025-07-21T22:08:00Z</dcterms:modified>
</cp:coreProperties>
</file>