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E96BB" w14:textId="77777777" w:rsidR="00072ABC" w:rsidRPr="00072ABC" w:rsidRDefault="00072ABC" w:rsidP="00072ABC">
      <w:pPr>
        <w:pStyle w:val="Title"/>
        <w:spacing w:line="360" w:lineRule="auto"/>
        <w:rPr>
          <w:rFonts w:ascii="Arial" w:hAnsi="Arial" w:cs="Arial"/>
        </w:rPr>
      </w:pPr>
      <w:r w:rsidRPr="00072ABC">
        <w:rPr>
          <w:rFonts w:ascii="Arial" w:hAnsi="Arial" w:cs="Arial"/>
          <w:noProof/>
          <w:sz w:val="20"/>
        </w:rPr>
        <w:drawing>
          <wp:inline distT="0" distB="0" distL="0" distR="0" wp14:anchorId="5F1118D6" wp14:editId="4A4C0A90">
            <wp:extent cx="1943100" cy="685165"/>
            <wp:effectExtent l="0" t="0" r="0" b="635"/>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953950" cy="688991"/>
                    </a:xfrm>
                    <a:prstGeom prst="rect">
                      <a:avLst/>
                    </a:prstGeom>
                  </pic:spPr>
                </pic:pic>
              </a:graphicData>
            </a:graphic>
          </wp:inline>
        </w:drawing>
      </w:r>
    </w:p>
    <w:p w14:paraId="1573EF00" w14:textId="4F5B8FF5" w:rsidR="00072ABC" w:rsidRPr="00072ABC" w:rsidRDefault="006D7CF4" w:rsidP="00072ABC">
      <w:pPr>
        <w:pStyle w:val="Title"/>
        <w:spacing w:line="360" w:lineRule="auto"/>
        <w:jc w:val="center"/>
        <w:rPr>
          <w:rFonts w:ascii="Arial" w:hAnsi="Arial" w:cs="Arial"/>
          <w:sz w:val="44"/>
          <w:szCs w:val="44"/>
        </w:rPr>
      </w:pPr>
      <w:r w:rsidRPr="00072ABC">
        <w:rPr>
          <w:rFonts w:ascii="Arial" w:hAnsi="Arial" w:cs="Arial"/>
          <w:sz w:val="44"/>
          <w:szCs w:val="44"/>
        </w:rPr>
        <w:t>Decarbonising Tata Steel: Marketing-Environment Analysis, Strategic Growth and Critical Reflection on AI</w:t>
      </w:r>
    </w:p>
    <w:p w14:paraId="5DDA5FBC" w14:textId="77777777" w:rsidR="00072ABC" w:rsidRPr="00072ABC" w:rsidRDefault="00072ABC" w:rsidP="00072ABC">
      <w:pPr>
        <w:rPr>
          <w:rFonts w:cs="Arial"/>
          <w:b/>
          <w:sz w:val="22"/>
        </w:rPr>
      </w:pPr>
    </w:p>
    <w:p w14:paraId="59AEBAB1" w14:textId="6A7B1D92" w:rsidR="00072ABC" w:rsidRPr="00072ABC" w:rsidRDefault="00072ABC" w:rsidP="00714D82">
      <w:pPr>
        <w:pStyle w:val="TableParagraph"/>
        <w:spacing w:before="120" w:line="360" w:lineRule="auto"/>
        <w:ind w:left="0"/>
        <w:jc w:val="both"/>
        <w:rPr>
          <w:rFonts w:ascii="Arial" w:hAnsi="Arial" w:cs="Arial"/>
          <w:b/>
          <w:sz w:val="28"/>
          <w:szCs w:val="28"/>
        </w:rPr>
      </w:pPr>
      <w:r w:rsidRPr="00072ABC">
        <w:rPr>
          <w:rFonts w:ascii="Arial" w:hAnsi="Arial" w:cs="Arial"/>
          <w:b/>
          <w:sz w:val="28"/>
          <w:szCs w:val="28"/>
        </w:rPr>
        <w:t>Student</w:t>
      </w:r>
      <w:r w:rsidRPr="00072ABC">
        <w:rPr>
          <w:rFonts w:ascii="Arial" w:hAnsi="Arial" w:cs="Arial"/>
          <w:b/>
          <w:spacing w:val="-3"/>
          <w:sz w:val="28"/>
          <w:szCs w:val="28"/>
        </w:rPr>
        <w:t xml:space="preserve"> </w:t>
      </w:r>
      <w:r w:rsidRPr="00072ABC">
        <w:rPr>
          <w:rFonts w:ascii="Arial" w:hAnsi="Arial" w:cs="Arial"/>
          <w:b/>
          <w:spacing w:val="-2"/>
          <w:sz w:val="28"/>
          <w:szCs w:val="28"/>
        </w:rPr>
        <w:t>name</w:t>
      </w:r>
      <w:r w:rsidRPr="008F166C">
        <w:rPr>
          <w:rFonts w:ascii="Arial" w:hAnsi="Arial" w:cs="Arial"/>
          <w:bCs/>
          <w:spacing w:val="-2"/>
          <w:sz w:val="28"/>
          <w:szCs w:val="28"/>
        </w:rPr>
        <w:t>:</w:t>
      </w:r>
      <w:r w:rsidR="008F166C" w:rsidRPr="008F166C">
        <w:rPr>
          <w:rFonts w:ascii="Arial" w:hAnsi="Arial" w:cs="Arial"/>
          <w:bCs/>
          <w:spacing w:val="-2"/>
          <w:sz w:val="28"/>
          <w:szCs w:val="28"/>
        </w:rPr>
        <w:t xml:space="preserve"> </w:t>
      </w:r>
      <w:r w:rsidR="00714D82">
        <w:rPr>
          <w:rFonts w:ascii="Arial" w:hAnsi="Arial" w:cs="Arial"/>
          <w:bCs/>
          <w:spacing w:val="-2"/>
          <w:sz w:val="28"/>
          <w:szCs w:val="28"/>
        </w:rPr>
        <w:t>Tarjan Bhandari</w:t>
      </w:r>
    </w:p>
    <w:p w14:paraId="4209A094" w14:textId="5341AC68" w:rsidR="00072ABC" w:rsidRPr="00072ABC" w:rsidRDefault="00072ABC" w:rsidP="00714D82">
      <w:pPr>
        <w:spacing w:line="360" w:lineRule="auto"/>
        <w:jc w:val="both"/>
        <w:rPr>
          <w:rFonts w:cs="Arial"/>
          <w:b/>
          <w:spacing w:val="-2"/>
          <w:sz w:val="28"/>
          <w:szCs w:val="28"/>
        </w:rPr>
      </w:pPr>
      <w:r w:rsidRPr="00072ABC">
        <w:rPr>
          <w:rFonts w:cs="Arial"/>
          <w:b/>
          <w:sz w:val="28"/>
          <w:szCs w:val="28"/>
        </w:rPr>
        <w:t>Student</w:t>
      </w:r>
      <w:r w:rsidRPr="00072ABC">
        <w:rPr>
          <w:rFonts w:cs="Arial"/>
          <w:b/>
          <w:spacing w:val="-3"/>
          <w:sz w:val="28"/>
          <w:szCs w:val="28"/>
        </w:rPr>
        <w:t xml:space="preserve"> </w:t>
      </w:r>
      <w:r w:rsidRPr="00072ABC">
        <w:rPr>
          <w:rFonts w:cs="Arial"/>
          <w:b/>
          <w:sz w:val="28"/>
          <w:szCs w:val="28"/>
        </w:rPr>
        <w:t>ID</w:t>
      </w:r>
      <w:r w:rsidRPr="00072ABC">
        <w:rPr>
          <w:rFonts w:cs="Arial"/>
          <w:b/>
          <w:spacing w:val="-1"/>
          <w:sz w:val="28"/>
          <w:szCs w:val="28"/>
        </w:rPr>
        <w:t xml:space="preserve"> </w:t>
      </w:r>
      <w:r w:rsidRPr="00072ABC">
        <w:rPr>
          <w:rFonts w:cs="Arial"/>
          <w:b/>
          <w:spacing w:val="-2"/>
          <w:sz w:val="28"/>
          <w:szCs w:val="28"/>
        </w:rPr>
        <w:t>number:</w:t>
      </w:r>
      <w:r w:rsidR="008F166C">
        <w:rPr>
          <w:rFonts w:cs="Arial"/>
          <w:b/>
          <w:spacing w:val="-2"/>
          <w:sz w:val="28"/>
          <w:szCs w:val="28"/>
        </w:rPr>
        <w:t xml:space="preserve">   </w:t>
      </w:r>
      <w:hyperlink r:id="rId9" w:history="1"/>
      <w:r w:rsidR="00714D82">
        <w:rPr>
          <w:rFonts w:cs="Arial"/>
          <w:b/>
          <w:spacing w:val="-2"/>
          <w:sz w:val="28"/>
          <w:szCs w:val="28"/>
        </w:rPr>
        <w:t xml:space="preserve"> </w:t>
      </w:r>
      <w:r w:rsidR="00714D82" w:rsidRPr="00714D82">
        <w:rPr>
          <w:rFonts w:cs="Arial"/>
          <w:bCs/>
          <w:spacing w:val="-2"/>
          <w:sz w:val="28"/>
          <w:szCs w:val="28"/>
        </w:rPr>
        <w:t>2542504</w:t>
      </w:r>
    </w:p>
    <w:p w14:paraId="70C5B6E5" w14:textId="44230679" w:rsidR="00072ABC" w:rsidRPr="00072ABC" w:rsidRDefault="00072ABC" w:rsidP="00714D82">
      <w:pPr>
        <w:spacing w:line="360" w:lineRule="auto"/>
        <w:jc w:val="both"/>
        <w:rPr>
          <w:rFonts w:cs="Arial"/>
          <w:bCs/>
          <w:spacing w:val="-2"/>
          <w:sz w:val="28"/>
          <w:szCs w:val="28"/>
        </w:rPr>
      </w:pPr>
      <w:r w:rsidRPr="00072ABC">
        <w:rPr>
          <w:rFonts w:cs="Arial"/>
          <w:b/>
          <w:spacing w:val="-2"/>
          <w:sz w:val="28"/>
          <w:szCs w:val="28"/>
        </w:rPr>
        <w:t>Programme:</w:t>
      </w:r>
      <w:r w:rsidRPr="00072ABC">
        <w:rPr>
          <w:rFonts w:cs="Arial"/>
          <w:b/>
          <w:sz w:val="28"/>
          <w:szCs w:val="28"/>
        </w:rPr>
        <w:t xml:space="preserve"> </w:t>
      </w:r>
      <w:r w:rsidRPr="00072ABC">
        <w:rPr>
          <w:rFonts w:cs="Arial"/>
          <w:bCs/>
          <w:sz w:val="28"/>
          <w:szCs w:val="28"/>
        </w:rPr>
        <w:t>Master</w:t>
      </w:r>
      <w:r w:rsidRPr="00072ABC">
        <w:rPr>
          <w:rFonts w:cs="Arial"/>
          <w:bCs/>
          <w:spacing w:val="-6"/>
          <w:sz w:val="28"/>
          <w:szCs w:val="28"/>
        </w:rPr>
        <w:t xml:space="preserve"> </w:t>
      </w:r>
      <w:r w:rsidRPr="00072ABC">
        <w:rPr>
          <w:rFonts w:cs="Arial"/>
          <w:bCs/>
          <w:sz w:val="28"/>
          <w:szCs w:val="28"/>
        </w:rPr>
        <w:t>of</w:t>
      </w:r>
      <w:r w:rsidRPr="00072ABC">
        <w:rPr>
          <w:rFonts w:cs="Arial"/>
          <w:bCs/>
          <w:spacing w:val="-4"/>
          <w:sz w:val="28"/>
          <w:szCs w:val="28"/>
        </w:rPr>
        <w:t xml:space="preserve"> </w:t>
      </w:r>
      <w:r w:rsidRPr="00072ABC">
        <w:rPr>
          <w:rFonts w:cs="Arial"/>
          <w:bCs/>
          <w:sz w:val="28"/>
          <w:szCs w:val="28"/>
        </w:rPr>
        <w:t>Business</w:t>
      </w:r>
      <w:r w:rsidRPr="00072ABC">
        <w:rPr>
          <w:rFonts w:cs="Arial"/>
          <w:bCs/>
          <w:spacing w:val="-8"/>
          <w:sz w:val="28"/>
          <w:szCs w:val="28"/>
        </w:rPr>
        <w:t xml:space="preserve"> </w:t>
      </w:r>
      <w:r w:rsidRPr="00072ABC">
        <w:rPr>
          <w:rFonts w:cs="Arial"/>
          <w:bCs/>
          <w:spacing w:val="-2"/>
          <w:sz w:val="28"/>
          <w:szCs w:val="28"/>
        </w:rPr>
        <w:t>Administration</w:t>
      </w:r>
    </w:p>
    <w:p w14:paraId="433D29BE" w14:textId="02D047B0" w:rsidR="00072ABC" w:rsidRPr="00072ABC" w:rsidRDefault="00072ABC" w:rsidP="00714D82">
      <w:pPr>
        <w:spacing w:line="360" w:lineRule="auto"/>
        <w:jc w:val="both"/>
        <w:rPr>
          <w:rFonts w:cs="Arial"/>
          <w:b/>
          <w:spacing w:val="-2"/>
          <w:sz w:val="28"/>
          <w:szCs w:val="28"/>
        </w:rPr>
      </w:pPr>
      <w:r w:rsidRPr="00072ABC">
        <w:rPr>
          <w:rFonts w:cs="Arial"/>
          <w:b/>
          <w:spacing w:val="-2"/>
          <w:sz w:val="28"/>
          <w:szCs w:val="28"/>
        </w:rPr>
        <w:t xml:space="preserve">Module: </w:t>
      </w:r>
      <w:r w:rsidRPr="00072ABC">
        <w:rPr>
          <w:rFonts w:cs="Arial"/>
          <w:bCs/>
          <w:sz w:val="28"/>
          <w:szCs w:val="28"/>
        </w:rPr>
        <w:t>Marketing</w:t>
      </w:r>
      <w:r w:rsidRPr="00072ABC">
        <w:rPr>
          <w:rFonts w:cs="Arial"/>
          <w:bCs/>
          <w:spacing w:val="-6"/>
          <w:sz w:val="28"/>
          <w:szCs w:val="28"/>
        </w:rPr>
        <w:t xml:space="preserve"> </w:t>
      </w:r>
      <w:r w:rsidRPr="00072ABC">
        <w:rPr>
          <w:rFonts w:cs="Arial"/>
          <w:bCs/>
          <w:spacing w:val="-2"/>
          <w:sz w:val="28"/>
          <w:szCs w:val="28"/>
        </w:rPr>
        <w:t>Management</w:t>
      </w:r>
    </w:p>
    <w:p w14:paraId="0934E0EC" w14:textId="12AEB661" w:rsidR="00072ABC" w:rsidRPr="00072ABC" w:rsidRDefault="00072ABC" w:rsidP="00714D82">
      <w:pPr>
        <w:spacing w:line="360" w:lineRule="auto"/>
        <w:jc w:val="both"/>
        <w:rPr>
          <w:rFonts w:cs="Arial"/>
          <w:bCs/>
          <w:spacing w:val="-2"/>
          <w:sz w:val="28"/>
          <w:szCs w:val="28"/>
        </w:rPr>
      </w:pPr>
      <w:r w:rsidRPr="00072ABC">
        <w:rPr>
          <w:rFonts w:cs="Arial"/>
          <w:b/>
          <w:sz w:val="28"/>
          <w:szCs w:val="28"/>
        </w:rPr>
        <w:t>Module</w:t>
      </w:r>
      <w:r w:rsidRPr="00072ABC">
        <w:rPr>
          <w:rFonts w:cs="Arial"/>
          <w:b/>
          <w:spacing w:val="-8"/>
          <w:sz w:val="28"/>
          <w:szCs w:val="28"/>
        </w:rPr>
        <w:t xml:space="preserve"> </w:t>
      </w:r>
      <w:r w:rsidRPr="00072ABC">
        <w:rPr>
          <w:rFonts w:cs="Arial"/>
          <w:b/>
          <w:spacing w:val="-2"/>
          <w:sz w:val="28"/>
          <w:szCs w:val="28"/>
        </w:rPr>
        <w:t xml:space="preserve">code: </w:t>
      </w:r>
      <w:r w:rsidRPr="00072ABC">
        <w:rPr>
          <w:rFonts w:cs="Arial"/>
          <w:bCs/>
          <w:spacing w:val="-2"/>
          <w:sz w:val="28"/>
          <w:szCs w:val="28"/>
        </w:rPr>
        <w:t>LCMB7024</w:t>
      </w:r>
    </w:p>
    <w:p w14:paraId="5D5D0612" w14:textId="6EC9E89C" w:rsidR="00072ABC" w:rsidRPr="00072ABC" w:rsidRDefault="00072ABC" w:rsidP="00714D82">
      <w:pPr>
        <w:spacing w:line="360" w:lineRule="auto"/>
        <w:jc w:val="both"/>
        <w:rPr>
          <w:rFonts w:cs="Arial"/>
          <w:b/>
          <w:spacing w:val="-2"/>
          <w:sz w:val="28"/>
          <w:szCs w:val="28"/>
        </w:rPr>
      </w:pPr>
      <w:r w:rsidRPr="00072ABC">
        <w:rPr>
          <w:rFonts w:cs="Arial"/>
          <w:b/>
          <w:spacing w:val="-2"/>
          <w:sz w:val="28"/>
          <w:szCs w:val="28"/>
        </w:rPr>
        <w:t>Lecturer:</w:t>
      </w:r>
      <w:r w:rsidR="0023035C" w:rsidRPr="0023035C">
        <w:t xml:space="preserve"> </w:t>
      </w:r>
      <w:r w:rsidR="0023035C" w:rsidRPr="0023035C">
        <w:rPr>
          <w:rFonts w:cs="Arial"/>
          <w:bCs/>
          <w:spacing w:val="-2"/>
          <w:sz w:val="28"/>
          <w:szCs w:val="28"/>
        </w:rPr>
        <w:t>Sinan He</w:t>
      </w:r>
    </w:p>
    <w:p w14:paraId="632CAC12" w14:textId="32C1D7AD" w:rsidR="00072ABC" w:rsidRPr="00072ABC" w:rsidRDefault="00072ABC" w:rsidP="00714D82">
      <w:pPr>
        <w:pStyle w:val="TableParagraph"/>
        <w:spacing w:before="120" w:line="360" w:lineRule="auto"/>
        <w:ind w:left="0"/>
        <w:jc w:val="both"/>
        <w:rPr>
          <w:rFonts w:ascii="Arial" w:hAnsi="Arial" w:cs="Arial"/>
          <w:bCs/>
        </w:rPr>
      </w:pPr>
      <w:r w:rsidRPr="00072ABC">
        <w:rPr>
          <w:rFonts w:ascii="Arial" w:hAnsi="Arial" w:cs="Arial"/>
          <w:b/>
          <w:sz w:val="28"/>
          <w:szCs w:val="28"/>
        </w:rPr>
        <w:t>Assignment</w:t>
      </w:r>
      <w:r w:rsidRPr="00072ABC">
        <w:rPr>
          <w:rFonts w:ascii="Arial" w:hAnsi="Arial" w:cs="Arial"/>
          <w:b/>
          <w:spacing w:val="-9"/>
          <w:sz w:val="28"/>
          <w:szCs w:val="28"/>
        </w:rPr>
        <w:t xml:space="preserve"> </w:t>
      </w:r>
      <w:r w:rsidRPr="00072ABC">
        <w:rPr>
          <w:rFonts w:ascii="Arial" w:hAnsi="Arial" w:cs="Arial"/>
          <w:b/>
          <w:spacing w:val="-2"/>
          <w:sz w:val="28"/>
          <w:szCs w:val="28"/>
        </w:rPr>
        <w:t>Title:</w:t>
      </w:r>
      <w:r w:rsidRPr="00072ABC">
        <w:rPr>
          <w:rFonts w:ascii="Arial" w:hAnsi="Arial" w:cs="Arial"/>
          <w:b/>
        </w:rPr>
        <w:t xml:space="preserve"> </w:t>
      </w:r>
      <w:r w:rsidRPr="00072ABC">
        <w:rPr>
          <w:rFonts w:ascii="Arial" w:hAnsi="Arial" w:cs="Arial"/>
          <w:bCs/>
          <w:sz w:val="32"/>
          <w:szCs w:val="32"/>
        </w:rPr>
        <w:t>Marketing</w:t>
      </w:r>
      <w:r w:rsidRPr="00072ABC">
        <w:rPr>
          <w:rFonts w:ascii="Arial" w:hAnsi="Arial" w:cs="Arial"/>
          <w:bCs/>
          <w:spacing w:val="-16"/>
          <w:sz w:val="32"/>
          <w:szCs w:val="32"/>
        </w:rPr>
        <w:t xml:space="preserve"> </w:t>
      </w:r>
      <w:r w:rsidRPr="00072ABC">
        <w:rPr>
          <w:rFonts w:ascii="Arial" w:hAnsi="Arial" w:cs="Arial"/>
          <w:bCs/>
          <w:sz w:val="32"/>
          <w:szCs w:val="32"/>
        </w:rPr>
        <w:t xml:space="preserve">Environment </w:t>
      </w:r>
      <w:r w:rsidRPr="00072ABC">
        <w:rPr>
          <w:rFonts w:ascii="Arial" w:hAnsi="Arial" w:cs="Arial"/>
          <w:bCs/>
          <w:spacing w:val="-2"/>
          <w:sz w:val="32"/>
          <w:szCs w:val="32"/>
        </w:rPr>
        <w:t>Analysis</w:t>
      </w:r>
    </w:p>
    <w:p w14:paraId="0F0F10BF" w14:textId="2E1D1612" w:rsidR="00072ABC" w:rsidRPr="00072ABC" w:rsidRDefault="00072ABC" w:rsidP="00714D82">
      <w:pPr>
        <w:spacing w:line="360" w:lineRule="auto"/>
        <w:jc w:val="both"/>
        <w:rPr>
          <w:rFonts w:cs="Arial"/>
          <w:bCs/>
          <w:spacing w:val="-2"/>
          <w:sz w:val="28"/>
          <w:szCs w:val="28"/>
        </w:rPr>
      </w:pPr>
      <w:r w:rsidRPr="00072ABC">
        <w:rPr>
          <w:rFonts w:cs="Arial"/>
          <w:b/>
          <w:spacing w:val="-2"/>
          <w:sz w:val="28"/>
          <w:szCs w:val="28"/>
        </w:rPr>
        <w:t xml:space="preserve">Word count:  </w:t>
      </w:r>
      <w:r w:rsidRPr="00072ABC">
        <w:rPr>
          <w:rFonts w:cs="Arial"/>
          <w:bCs/>
          <w:spacing w:val="-2"/>
          <w:sz w:val="28"/>
          <w:szCs w:val="28"/>
        </w:rPr>
        <w:t>2628</w:t>
      </w:r>
    </w:p>
    <w:p w14:paraId="32D1F05C" w14:textId="5FF7A8FB" w:rsidR="00072ABC" w:rsidRPr="00072ABC" w:rsidRDefault="00072ABC" w:rsidP="00714D82">
      <w:pPr>
        <w:spacing w:line="360" w:lineRule="auto"/>
        <w:jc w:val="both"/>
        <w:rPr>
          <w:rFonts w:cs="Arial"/>
          <w:sz w:val="28"/>
          <w:szCs w:val="28"/>
        </w:rPr>
      </w:pPr>
      <w:r w:rsidRPr="00072ABC">
        <w:rPr>
          <w:rFonts w:cs="Arial"/>
          <w:b/>
          <w:spacing w:val="-2"/>
          <w:sz w:val="28"/>
          <w:szCs w:val="28"/>
        </w:rPr>
        <w:t>Submission deadline:</w:t>
      </w:r>
      <w:r w:rsidR="00714D82">
        <w:rPr>
          <w:rFonts w:cs="Arial"/>
          <w:b/>
          <w:spacing w:val="-2"/>
          <w:sz w:val="28"/>
          <w:szCs w:val="28"/>
        </w:rPr>
        <w:t xml:space="preserve"> </w:t>
      </w:r>
      <w:r w:rsidR="00714D82" w:rsidRPr="00714D82">
        <w:rPr>
          <w:rFonts w:cs="Arial"/>
          <w:bCs/>
          <w:spacing w:val="-2"/>
          <w:sz w:val="28"/>
          <w:szCs w:val="28"/>
        </w:rPr>
        <w:t>7/24/2026</w:t>
      </w:r>
    </w:p>
    <w:p w14:paraId="451FA856" w14:textId="77777777" w:rsidR="00072ABC" w:rsidRPr="00072ABC" w:rsidRDefault="00072ABC" w:rsidP="00072ABC">
      <w:pPr>
        <w:jc w:val="both"/>
        <w:rPr>
          <w:rFonts w:eastAsiaTheme="majorEastAsia" w:cs="Arial"/>
          <w:spacing w:val="-10"/>
          <w:kern w:val="28"/>
          <w:sz w:val="28"/>
          <w:szCs w:val="28"/>
        </w:rPr>
      </w:pPr>
      <w:r w:rsidRPr="00072ABC">
        <w:rPr>
          <w:rFonts w:cs="Arial"/>
          <w:sz w:val="28"/>
          <w:szCs w:val="28"/>
        </w:rPr>
        <w:br w:type="page"/>
      </w:r>
    </w:p>
    <w:sdt>
      <w:sdtPr>
        <w:rPr>
          <w:rFonts w:asciiTheme="minorHAnsi" w:eastAsiaTheme="minorEastAsia" w:hAnsiTheme="minorHAnsi" w:cstheme="minorBidi"/>
          <w:color w:val="auto"/>
          <w:kern w:val="2"/>
          <w:sz w:val="24"/>
          <w:szCs w:val="24"/>
          <w:lang w:val="en-GB" w:eastAsia="zh-CN"/>
          <w14:ligatures w14:val="standardContextual"/>
        </w:rPr>
        <w:id w:val="-1963799128"/>
        <w:docPartObj>
          <w:docPartGallery w:val="Table of Contents"/>
          <w:docPartUnique/>
        </w:docPartObj>
      </w:sdtPr>
      <w:sdtEndPr>
        <w:rPr>
          <w:rFonts w:ascii="Arial" w:hAnsi="Arial"/>
          <w:b/>
          <w:bCs/>
          <w:noProof/>
        </w:rPr>
      </w:sdtEndPr>
      <w:sdtContent>
        <w:p w14:paraId="6588E65D" w14:textId="0909E3AD" w:rsidR="00072ABC" w:rsidRDefault="00072ABC">
          <w:pPr>
            <w:pStyle w:val="TOCHeading"/>
          </w:pPr>
          <w:r>
            <w:t>Table of Contents</w:t>
          </w:r>
        </w:p>
        <w:p w14:paraId="1D4B90D7" w14:textId="2A1067A9" w:rsidR="00891D99" w:rsidRDefault="00072ABC">
          <w:pPr>
            <w:pStyle w:val="TOC1"/>
            <w:tabs>
              <w:tab w:val="right" w:leader="dot" w:pos="9016"/>
            </w:tabs>
            <w:rPr>
              <w:rFonts w:asciiTheme="minorHAnsi" w:hAnsiTheme="minorHAnsi"/>
              <w:noProof/>
              <w:lang w:val="en-US" w:eastAsia="en-US"/>
            </w:rPr>
          </w:pPr>
          <w:r>
            <w:fldChar w:fldCharType="begin"/>
          </w:r>
          <w:r>
            <w:instrText xml:space="preserve"> TOC \o "1-3" \h \z \u </w:instrText>
          </w:r>
          <w:r>
            <w:fldChar w:fldCharType="separate"/>
          </w:r>
          <w:hyperlink w:anchor="_Toc235792269" w:history="1">
            <w:r w:rsidR="00891D99" w:rsidRPr="00F958FE">
              <w:rPr>
                <w:rStyle w:val="Hyperlink"/>
                <w:noProof/>
              </w:rPr>
              <w:t>Introduction</w:t>
            </w:r>
            <w:r w:rsidR="00891D99">
              <w:rPr>
                <w:noProof/>
                <w:webHidden/>
              </w:rPr>
              <w:tab/>
            </w:r>
            <w:r w:rsidR="00891D99">
              <w:rPr>
                <w:noProof/>
                <w:webHidden/>
              </w:rPr>
              <w:fldChar w:fldCharType="begin"/>
            </w:r>
            <w:r w:rsidR="00891D99">
              <w:rPr>
                <w:noProof/>
                <w:webHidden/>
              </w:rPr>
              <w:instrText xml:space="preserve"> PAGEREF _Toc235792269 \h </w:instrText>
            </w:r>
            <w:r w:rsidR="00891D99">
              <w:rPr>
                <w:noProof/>
                <w:webHidden/>
              </w:rPr>
            </w:r>
            <w:r w:rsidR="00891D99">
              <w:rPr>
                <w:noProof/>
                <w:webHidden/>
              </w:rPr>
              <w:fldChar w:fldCharType="separate"/>
            </w:r>
            <w:r w:rsidR="00891D99">
              <w:rPr>
                <w:noProof/>
                <w:webHidden/>
              </w:rPr>
              <w:t>1</w:t>
            </w:r>
            <w:r w:rsidR="00891D99">
              <w:rPr>
                <w:noProof/>
                <w:webHidden/>
              </w:rPr>
              <w:fldChar w:fldCharType="end"/>
            </w:r>
          </w:hyperlink>
        </w:p>
        <w:p w14:paraId="77003702" w14:textId="1DF2CE74" w:rsidR="00891D99" w:rsidRDefault="00891D99">
          <w:pPr>
            <w:pStyle w:val="TOC1"/>
            <w:tabs>
              <w:tab w:val="right" w:leader="dot" w:pos="9016"/>
            </w:tabs>
            <w:rPr>
              <w:rFonts w:asciiTheme="minorHAnsi" w:hAnsiTheme="minorHAnsi"/>
              <w:noProof/>
              <w:lang w:val="en-US" w:eastAsia="en-US"/>
            </w:rPr>
          </w:pPr>
          <w:hyperlink w:anchor="_Toc235792270" w:history="1">
            <w:r w:rsidRPr="00F958FE">
              <w:rPr>
                <w:rStyle w:val="Hyperlink"/>
                <w:noProof/>
              </w:rPr>
              <w:t>Task 1: Marketing Environment Analysis</w:t>
            </w:r>
            <w:r>
              <w:rPr>
                <w:noProof/>
                <w:webHidden/>
              </w:rPr>
              <w:tab/>
            </w:r>
            <w:r>
              <w:rPr>
                <w:noProof/>
                <w:webHidden/>
              </w:rPr>
              <w:fldChar w:fldCharType="begin"/>
            </w:r>
            <w:r>
              <w:rPr>
                <w:noProof/>
                <w:webHidden/>
              </w:rPr>
              <w:instrText xml:space="preserve"> PAGEREF _Toc235792270 \h </w:instrText>
            </w:r>
            <w:r>
              <w:rPr>
                <w:noProof/>
                <w:webHidden/>
              </w:rPr>
            </w:r>
            <w:r>
              <w:rPr>
                <w:noProof/>
                <w:webHidden/>
              </w:rPr>
              <w:fldChar w:fldCharType="separate"/>
            </w:r>
            <w:r>
              <w:rPr>
                <w:noProof/>
                <w:webHidden/>
              </w:rPr>
              <w:t>1</w:t>
            </w:r>
            <w:r>
              <w:rPr>
                <w:noProof/>
                <w:webHidden/>
              </w:rPr>
              <w:fldChar w:fldCharType="end"/>
            </w:r>
          </w:hyperlink>
        </w:p>
        <w:p w14:paraId="5E4B3CB0" w14:textId="687329D2" w:rsidR="00891D99" w:rsidRDefault="00891D99">
          <w:pPr>
            <w:pStyle w:val="TOC2"/>
            <w:tabs>
              <w:tab w:val="right" w:leader="dot" w:pos="9016"/>
            </w:tabs>
            <w:rPr>
              <w:rFonts w:asciiTheme="minorHAnsi" w:hAnsiTheme="minorHAnsi"/>
              <w:noProof/>
              <w:lang w:val="en-US" w:eastAsia="en-US"/>
            </w:rPr>
          </w:pPr>
          <w:hyperlink w:anchor="_Toc235792271" w:history="1">
            <w:r w:rsidRPr="00F958FE">
              <w:rPr>
                <w:rStyle w:val="Hyperlink"/>
                <w:noProof/>
              </w:rPr>
              <w:t>1.1 Company and Analytical Context</w:t>
            </w:r>
            <w:r>
              <w:rPr>
                <w:noProof/>
                <w:webHidden/>
              </w:rPr>
              <w:tab/>
            </w:r>
            <w:r>
              <w:rPr>
                <w:noProof/>
                <w:webHidden/>
              </w:rPr>
              <w:fldChar w:fldCharType="begin"/>
            </w:r>
            <w:r>
              <w:rPr>
                <w:noProof/>
                <w:webHidden/>
              </w:rPr>
              <w:instrText xml:space="preserve"> PAGEREF _Toc235792271 \h </w:instrText>
            </w:r>
            <w:r>
              <w:rPr>
                <w:noProof/>
                <w:webHidden/>
              </w:rPr>
            </w:r>
            <w:r>
              <w:rPr>
                <w:noProof/>
                <w:webHidden/>
              </w:rPr>
              <w:fldChar w:fldCharType="separate"/>
            </w:r>
            <w:r>
              <w:rPr>
                <w:noProof/>
                <w:webHidden/>
              </w:rPr>
              <w:t>1</w:t>
            </w:r>
            <w:r>
              <w:rPr>
                <w:noProof/>
                <w:webHidden/>
              </w:rPr>
              <w:fldChar w:fldCharType="end"/>
            </w:r>
          </w:hyperlink>
        </w:p>
        <w:p w14:paraId="07641A9C" w14:textId="306BD79B" w:rsidR="00891D99" w:rsidRDefault="00891D99">
          <w:pPr>
            <w:pStyle w:val="TOC2"/>
            <w:tabs>
              <w:tab w:val="right" w:leader="dot" w:pos="9016"/>
            </w:tabs>
            <w:rPr>
              <w:rFonts w:asciiTheme="minorHAnsi" w:hAnsiTheme="minorHAnsi"/>
              <w:noProof/>
              <w:lang w:val="en-US" w:eastAsia="en-US"/>
            </w:rPr>
          </w:pPr>
          <w:hyperlink w:anchor="_Toc235792272" w:history="1">
            <w:r w:rsidRPr="00F958FE">
              <w:rPr>
                <w:rStyle w:val="Hyperlink"/>
                <w:noProof/>
              </w:rPr>
              <w:t>1.2 Natural Environment Actor</w:t>
            </w:r>
            <w:r>
              <w:rPr>
                <w:noProof/>
                <w:webHidden/>
              </w:rPr>
              <w:tab/>
            </w:r>
            <w:r>
              <w:rPr>
                <w:noProof/>
                <w:webHidden/>
              </w:rPr>
              <w:fldChar w:fldCharType="begin"/>
            </w:r>
            <w:r>
              <w:rPr>
                <w:noProof/>
                <w:webHidden/>
              </w:rPr>
              <w:instrText xml:space="preserve"> PAGEREF _Toc235792272 \h </w:instrText>
            </w:r>
            <w:r>
              <w:rPr>
                <w:noProof/>
                <w:webHidden/>
              </w:rPr>
            </w:r>
            <w:r>
              <w:rPr>
                <w:noProof/>
                <w:webHidden/>
              </w:rPr>
              <w:fldChar w:fldCharType="separate"/>
            </w:r>
            <w:r>
              <w:rPr>
                <w:noProof/>
                <w:webHidden/>
              </w:rPr>
              <w:t>2</w:t>
            </w:r>
            <w:r>
              <w:rPr>
                <w:noProof/>
                <w:webHidden/>
              </w:rPr>
              <w:fldChar w:fldCharType="end"/>
            </w:r>
          </w:hyperlink>
        </w:p>
        <w:p w14:paraId="265D9104" w14:textId="5AF1B47B" w:rsidR="00891D99" w:rsidRDefault="00891D99">
          <w:pPr>
            <w:pStyle w:val="TOC2"/>
            <w:tabs>
              <w:tab w:val="right" w:leader="dot" w:pos="9016"/>
            </w:tabs>
            <w:rPr>
              <w:rFonts w:asciiTheme="minorHAnsi" w:hAnsiTheme="minorHAnsi"/>
              <w:noProof/>
              <w:lang w:val="en-US" w:eastAsia="en-US"/>
            </w:rPr>
          </w:pPr>
          <w:hyperlink w:anchor="_Toc235792273" w:history="1">
            <w:r w:rsidRPr="00F958FE">
              <w:rPr>
                <w:rStyle w:val="Hyperlink"/>
                <w:noProof/>
              </w:rPr>
              <w:t>1.3 Government and Regulatory Actor</w:t>
            </w:r>
            <w:r>
              <w:rPr>
                <w:noProof/>
                <w:webHidden/>
              </w:rPr>
              <w:tab/>
            </w:r>
            <w:r>
              <w:rPr>
                <w:noProof/>
                <w:webHidden/>
              </w:rPr>
              <w:fldChar w:fldCharType="begin"/>
            </w:r>
            <w:r>
              <w:rPr>
                <w:noProof/>
                <w:webHidden/>
              </w:rPr>
              <w:instrText xml:space="preserve"> PAGEREF _Toc235792273 \h </w:instrText>
            </w:r>
            <w:r>
              <w:rPr>
                <w:noProof/>
                <w:webHidden/>
              </w:rPr>
            </w:r>
            <w:r>
              <w:rPr>
                <w:noProof/>
                <w:webHidden/>
              </w:rPr>
              <w:fldChar w:fldCharType="separate"/>
            </w:r>
            <w:r>
              <w:rPr>
                <w:noProof/>
                <w:webHidden/>
              </w:rPr>
              <w:t>4</w:t>
            </w:r>
            <w:r>
              <w:rPr>
                <w:noProof/>
                <w:webHidden/>
              </w:rPr>
              <w:fldChar w:fldCharType="end"/>
            </w:r>
          </w:hyperlink>
        </w:p>
        <w:p w14:paraId="6E90FEB9" w14:textId="3F54284D" w:rsidR="00891D99" w:rsidRDefault="00891D99">
          <w:pPr>
            <w:pStyle w:val="TOC2"/>
            <w:tabs>
              <w:tab w:val="right" w:leader="dot" w:pos="9016"/>
            </w:tabs>
            <w:rPr>
              <w:rFonts w:asciiTheme="minorHAnsi" w:hAnsiTheme="minorHAnsi"/>
              <w:noProof/>
              <w:lang w:val="en-US" w:eastAsia="en-US"/>
            </w:rPr>
          </w:pPr>
          <w:hyperlink w:anchor="_Toc235792274" w:history="1">
            <w:r w:rsidRPr="00F958FE">
              <w:rPr>
                <w:rStyle w:val="Hyperlink"/>
                <w:noProof/>
              </w:rPr>
              <w:t>1.4 Critical Synthesis</w:t>
            </w:r>
            <w:r>
              <w:rPr>
                <w:noProof/>
                <w:webHidden/>
              </w:rPr>
              <w:tab/>
            </w:r>
            <w:r>
              <w:rPr>
                <w:noProof/>
                <w:webHidden/>
              </w:rPr>
              <w:fldChar w:fldCharType="begin"/>
            </w:r>
            <w:r>
              <w:rPr>
                <w:noProof/>
                <w:webHidden/>
              </w:rPr>
              <w:instrText xml:space="preserve"> PAGEREF _Toc235792274 \h </w:instrText>
            </w:r>
            <w:r>
              <w:rPr>
                <w:noProof/>
                <w:webHidden/>
              </w:rPr>
            </w:r>
            <w:r>
              <w:rPr>
                <w:noProof/>
                <w:webHidden/>
              </w:rPr>
              <w:fldChar w:fldCharType="separate"/>
            </w:r>
            <w:r>
              <w:rPr>
                <w:noProof/>
                <w:webHidden/>
              </w:rPr>
              <w:t>5</w:t>
            </w:r>
            <w:r>
              <w:rPr>
                <w:noProof/>
                <w:webHidden/>
              </w:rPr>
              <w:fldChar w:fldCharType="end"/>
            </w:r>
          </w:hyperlink>
        </w:p>
        <w:p w14:paraId="4B88E8DB" w14:textId="43EDE0E4" w:rsidR="00891D99" w:rsidRDefault="00891D99">
          <w:pPr>
            <w:pStyle w:val="TOC1"/>
            <w:tabs>
              <w:tab w:val="right" w:leader="dot" w:pos="9016"/>
            </w:tabs>
            <w:rPr>
              <w:rFonts w:asciiTheme="minorHAnsi" w:hAnsiTheme="minorHAnsi"/>
              <w:noProof/>
              <w:lang w:val="en-US" w:eastAsia="en-US"/>
            </w:rPr>
          </w:pPr>
          <w:hyperlink w:anchor="_Toc235792275" w:history="1">
            <w:r w:rsidRPr="00F958FE">
              <w:rPr>
                <w:rStyle w:val="Hyperlink"/>
                <w:noProof/>
              </w:rPr>
              <w:t>Task 2: Strategic Growth and Competitive Positioning</w:t>
            </w:r>
            <w:r>
              <w:rPr>
                <w:noProof/>
                <w:webHidden/>
              </w:rPr>
              <w:tab/>
            </w:r>
            <w:r>
              <w:rPr>
                <w:noProof/>
                <w:webHidden/>
              </w:rPr>
              <w:fldChar w:fldCharType="begin"/>
            </w:r>
            <w:r>
              <w:rPr>
                <w:noProof/>
                <w:webHidden/>
              </w:rPr>
              <w:instrText xml:space="preserve"> PAGEREF _Toc235792275 \h </w:instrText>
            </w:r>
            <w:r>
              <w:rPr>
                <w:noProof/>
                <w:webHidden/>
              </w:rPr>
            </w:r>
            <w:r>
              <w:rPr>
                <w:noProof/>
                <w:webHidden/>
              </w:rPr>
              <w:fldChar w:fldCharType="separate"/>
            </w:r>
            <w:r>
              <w:rPr>
                <w:noProof/>
                <w:webHidden/>
              </w:rPr>
              <w:t>5</w:t>
            </w:r>
            <w:r>
              <w:rPr>
                <w:noProof/>
                <w:webHidden/>
              </w:rPr>
              <w:fldChar w:fldCharType="end"/>
            </w:r>
          </w:hyperlink>
        </w:p>
        <w:p w14:paraId="5E59F7E4" w14:textId="09230F5E" w:rsidR="00891D99" w:rsidRDefault="00891D99">
          <w:pPr>
            <w:pStyle w:val="TOC2"/>
            <w:tabs>
              <w:tab w:val="right" w:leader="dot" w:pos="9016"/>
            </w:tabs>
            <w:rPr>
              <w:rFonts w:asciiTheme="minorHAnsi" w:hAnsiTheme="minorHAnsi"/>
              <w:noProof/>
              <w:lang w:val="en-US" w:eastAsia="en-US"/>
            </w:rPr>
          </w:pPr>
          <w:hyperlink w:anchor="_Toc235792276" w:history="1">
            <w:r w:rsidRPr="00F958FE">
              <w:rPr>
                <w:rStyle w:val="Hyperlink"/>
                <w:noProof/>
              </w:rPr>
              <w:t>2.1 Critical Evaluation of Ansoff Alternatives</w:t>
            </w:r>
            <w:r>
              <w:rPr>
                <w:noProof/>
                <w:webHidden/>
              </w:rPr>
              <w:tab/>
            </w:r>
            <w:r>
              <w:rPr>
                <w:noProof/>
                <w:webHidden/>
              </w:rPr>
              <w:fldChar w:fldCharType="begin"/>
            </w:r>
            <w:r>
              <w:rPr>
                <w:noProof/>
                <w:webHidden/>
              </w:rPr>
              <w:instrText xml:space="preserve"> PAGEREF _Toc235792276 \h </w:instrText>
            </w:r>
            <w:r>
              <w:rPr>
                <w:noProof/>
                <w:webHidden/>
              </w:rPr>
            </w:r>
            <w:r>
              <w:rPr>
                <w:noProof/>
                <w:webHidden/>
              </w:rPr>
              <w:fldChar w:fldCharType="separate"/>
            </w:r>
            <w:r>
              <w:rPr>
                <w:noProof/>
                <w:webHidden/>
              </w:rPr>
              <w:t>5</w:t>
            </w:r>
            <w:r>
              <w:rPr>
                <w:noProof/>
                <w:webHidden/>
              </w:rPr>
              <w:fldChar w:fldCharType="end"/>
            </w:r>
          </w:hyperlink>
        </w:p>
        <w:p w14:paraId="3C87D9F8" w14:textId="2CF39BF0" w:rsidR="00891D99" w:rsidRDefault="00891D99">
          <w:pPr>
            <w:pStyle w:val="TOC2"/>
            <w:tabs>
              <w:tab w:val="right" w:leader="dot" w:pos="9016"/>
            </w:tabs>
            <w:rPr>
              <w:rFonts w:asciiTheme="minorHAnsi" w:hAnsiTheme="minorHAnsi"/>
              <w:noProof/>
              <w:lang w:val="en-US" w:eastAsia="en-US"/>
            </w:rPr>
          </w:pPr>
          <w:hyperlink w:anchor="_Toc235792277" w:history="1">
            <w:r w:rsidRPr="00F958FE">
              <w:rPr>
                <w:rStyle w:val="Hyperlink"/>
                <w:noProof/>
              </w:rPr>
              <w:t>2.2 Recommended Product-Development Strategy</w:t>
            </w:r>
            <w:r>
              <w:rPr>
                <w:noProof/>
                <w:webHidden/>
              </w:rPr>
              <w:tab/>
            </w:r>
            <w:r>
              <w:rPr>
                <w:noProof/>
                <w:webHidden/>
              </w:rPr>
              <w:fldChar w:fldCharType="begin"/>
            </w:r>
            <w:r>
              <w:rPr>
                <w:noProof/>
                <w:webHidden/>
              </w:rPr>
              <w:instrText xml:space="preserve"> PAGEREF _Toc235792277 \h </w:instrText>
            </w:r>
            <w:r>
              <w:rPr>
                <w:noProof/>
                <w:webHidden/>
              </w:rPr>
            </w:r>
            <w:r>
              <w:rPr>
                <w:noProof/>
                <w:webHidden/>
              </w:rPr>
              <w:fldChar w:fldCharType="separate"/>
            </w:r>
            <w:r>
              <w:rPr>
                <w:noProof/>
                <w:webHidden/>
              </w:rPr>
              <w:t>6</w:t>
            </w:r>
            <w:r>
              <w:rPr>
                <w:noProof/>
                <w:webHidden/>
              </w:rPr>
              <w:fldChar w:fldCharType="end"/>
            </w:r>
          </w:hyperlink>
        </w:p>
        <w:p w14:paraId="42C1C766" w14:textId="0136643E" w:rsidR="00891D99" w:rsidRDefault="00891D99">
          <w:pPr>
            <w:pStyle w:val="TOC2"/>
            <w:tabs>
              <w:tab w:val="right" w:leader="dot" w:pos="9016"/>
            </w:tabs>
            <w:rPr>
              <w:rFonts w:asciiTheme="minorHAnsi" w:hAnsiTheme="minorHAnsi"/>
              <w:noProof/>
              <w:lang w:val="en-US" w:eastAsia="en-US"/>
            </w:rPr>
          </w:pPr>
          <w:hyperlink w:anchor="_Toc235792278" w:history="1">
            <w:r w:rsidRPr="00F958FE">
              <w:rPr>
                <w:rStyle w:val="Hyperlink"/>
                <w:noProof/>
              </w:rPr>
              <w:t>2.3 Competitive Positioning and Marketing Contribution</w:t>
            </w:r>
            <w:r>
              <w:rPr>
                <w:noProof/>
                <w:webHidden/>
              </w:rPr>
              <w:tab/>
            </w:r>
            <w:r>
              <w:rPr>
                <w:noProof/>
                <w:webHidden/>
              </w:rPr>
              <w:fldChar w:fldCharType="begin"/>
            </w:r>
            <w:r>
              <w:rPr>
                <w:noProof/>
                <w:webHidden/>
              </w:rPr>
              <w:instrText xml:space="preserve"> PAGEREF _Toc235792278 \h </w:instrText>
            </w:r>
            <w:r>
              <w:rPr>
                <w:noProof/>
                <w:webHidden/>
              </w:rPr>
            </w:r>
            <w:r>
              <w:rPr>
                <w:noProof/>
                <w:webHidden/>
              </w:rPr>
              <w:fldChar w:fldCharType="separate"/>
            </w:r>
            <w:r>
              <w:rPr>
                <w:noProof/>
                <w:webHidden/>
              </w:rPr>
              <w:t>7</w:t>
            </w:r>
            <w:r>
              <w:rPr>
                <w:noProof/>
                <w:webHidden/>
              </w:rPr>
              <w:fldChar w:fldCharType="end"/>
            </w:r>
          </w:hyperlink>
        </w:p>
        <w:p w14:paraId="1F0B78C3" w14:textId="6ACE381F" w:rsidR="00891D99" w:rsidRDefault="00891D99">
          <w:pPr>
            <w:pStyle w:val="TOC2"/>
            <w:tabs>
              <w:tab w:val="right" w:leader="dot" w:pos="9016"/>
            </w:tabs>
            <w:rPr>
              <w:rFonts w:asciiTheme="minorHAnsi" w:hAnsiTheme="minorHAnsi"/>
              <w:noProof/>
              <w:lang w:val="en-US" w:eastAsia="en-US"/>
            </w:rPr>
          </w:pPr>
          <w:hyperlink w:anchor="_Toc235792279" w:history="1">
            <w:r w:rsidRPr="00F958FE">
              <w:rPr>
                <w:rStyle w:val="Hyperlink"/>
                <w:noProof/>
              </w:rPr>
              <w:t>2.4 Implementation, Risk and Performance Control</w:t>
            </w:r>
            <w:r>
              <w:rPr>
                <w:noProof/>
                <w:webHidden/>
              </w:rPr>
              <w:tab/>
            </w:r>
            <w:r>
              <w:rPr>
                <w:noProof/>
                <w:webHidden/>
              </w:rPr>
              <w:fldChar w:fldCharType="begin"/>
            </w:r>
            <w:r>
              <w:rPr>
                <w:noProof/>
                <w:webHidden/>
              </w:rPr>
              <w:instrText xml:space="preserve"> PAGEREF _Toc235792279 \h </w:instrText>
            </w:r>
            <w:r>
              <w:rPr>
                <w:noProof/>
                <w:webHidden/>
              </w:rPr>
            </w:r>
            <w:r>
              <w:rPr>
                <w:noProof/>
                <w:webHidden/>
              </w:rPr>
              <w:fldChar w:fldCharType="separate"/>
            </w:r>
            <w:r>
              <w:rPr>
                <w:noProof/>
                <w:webHidden/>
              </w:rPr>
              <w:t>8</w:t>
            </w:r>
            <w:r>
              <w:rPr>
                <w:noProof/>
                <w:webHidden/>
              </w:rPr>
              <w:fldChar w:fldCharType="end"/>
            </w:r>
          </w:hyperlink>
        </w:p>
        <w:p w14:paraId="1624891D" w14:textId="71D32540" w:rsidR="00891D99" w:rsidRDefault="00891D99">
          <w:pPr>
            <w:pStyle w:val="TOC2"/>
            <w:tabs>
              <w:tab w:val="right" w:leader="dot" w:pos="9016"/>
            </w:tabs>
            <w:rPr>
              <w:rFonts w:asciiTheme="minorHAnsi" w:hAnsiTheme="minorHAnsi"/>
              <w:noProof/>
              <w:lang w:val="en-US" w:eastAsia="en-US"/>
            </w:rPr>
          </w:pPr>
          <w:hyperlink w:anchor="_Toc235792280" w:history="1">
            <w:r w:rsidRPr="00F958FE">
              <w:rPr>
                <w:rStyle w:val="Hyperlink"/>
                <w:noProof/>
              </w:rPr>
              <w:t>2.5 Strategic Judgement</w:t>
            </w:r>
            <w:r>
              <w:rPr>
                <w:noProof/>
                <w:webHidden/>
              </w:rPr>
              <w:tab/>
            </w:r>
            <w:r>
              <w:rPr>
                <w:noProof/>
                <w:webHidden/>
              </w:rPr>
              <w:fldChar w:fldCharType="begin"/>
            </w:r>
            <w:r>
              <w:rPr>
                <w:noProof/>
                <w:webHidden/>
              </w:rPr>
              <w:instrText xml:space="preserve"> PAGEREF _Toc235792280 \h </w:instrText>
            </w:r>
            <w:r>
              <w:rPr>
                <w:noProof/>
                <w:webHidden/>
              </w:rPr>
            </w:r>
            <w:r>
              <w:rPr>
                <w:noProof/>
                <w:webHidden/>
              </w:rPr>
              <w:fldChar w:fldCharType="separate"/>
            </w:r>
            <w:r>
              <w:rPr>
                <w:noProof/>
                <w:webHidden/>
              </w:rPr>
              <w:t>8</w:t>
            </w:r>
            <w:r>
              <w:rPr>
                <w:noProof/>
                <w:webHidden/>
              </w:rPr>
              <w:fldChar w:fldCharType="end"/>
            </w:r>
          </w:hyperlink>
        </w:p>
        <w:p w14:paraId="12ACE0D3" w14:textId="269A158D" w:rsidR="00891D99" w:rsidRDefault="00891D99">
          <w:pPr>
            <w:pStyle w:val="TOC1"/>
            <w:tabs>
              <w:tab w:val="right" w:leader="dot" w:pos="9016"/>
            </w:tabs>
            <w:rPr>
              <w:rFonts w:asciiTheme="minorHAnsi" w:hAnsiTheme="minorHAnsi"/>
              <w:noProof/>
              <w:lang w:val="en-US" w:eastAsia="en-US"/>
            </w:rPr>
          </w:pPr>
          <w:hyperlink w:anchor="_Toc235792281" w:history="1">
            <w:r w:rsidRPr="00F958FE">
              <w:rPr>
                <w:rStyle w:val="Hyperlink"/>
                <w:noProof/>
              </w:rPr>
              <w:t>Task 3: Critical Reflection on AI Usage</w:t>
            </w:r>
            <w:r>
              <w:rPr>
                <w:noProof/>
                <w:webHidden/>
              </w:rPr>
              <w:tab/>
            </w:r>
            <w:r>
              <w:rPr>
                <w:noProof/>
                <w:webHidden/>
              </w:rPr>
              <w:fldChar w:fldCharType="begin"/>
            </w:r>
            <w:r>
              <w:rPr>
                <w:noProof/>
                <w:webHidden/>
              </w:rPr>
              <w:instrText xml:space="preserve"> PAGEREF _Toc235792281 \h </w:instrText>
            </w:r>
            <w:r>
              <w:rPr>
                <w:noProof/>
                <w:webHidden/>
              </w:rPr>
            </w:r>
            <w:r>
              <w:rPr>
                <w:noProof/>
                <w:webHidden/>
              </w:rPr>
              <w:fldChar w:fldCharType="separate"/>
            </w:r>
            <w:r>
              <w:rPr>
                <w:noProof/>
                <w:webHidden/>
              </w:rPr>
              <w:t>9</w:t>
            </w:r>
            <w:r>
              <w:rPr>
                <w:noProof/>
                <w:webHidden/>
              </w:rPr>
              <w:fldChar w:fldCharType="end"/>
            </w:r>
          </w:hyperlink>
        </w:p>
        <w:p w14:paraId="0D39B67A" w14:textId="397EAD84" w:rsidR="00891D99" w:rsidRDefault="00891D99">
          <w:pPr>
            <w:pStyle w:val="TOC2"/>
            <w:tabs>
              <w:tab w:val="right" w:leader="dot" w:pos="9016"/>
            </w:tabs>
            <w:rPr>
              <w:rFonts w:asciiTheme="minorHAnsi" w:hAnsiTheme="minorHAnsi"/>
              <w:noProof/>
              <w:lang w:val="en-US" w:eastAsia="en-US"/>
            </w:rPr>
          </w:pPr>
          <w:hyperlink w:anchor="_Toc235792282" w:history="1">
            <w:r w:rsidRPr="00F958FE">
              <w:rPr>
                <w:rStyle w:val="Hyperlink"/>
                <w:noProof/>
              </w:rPr>
              <w:t>3.1 Tool Disclosure</w:t>
            </w:r>
            <w:r>
              <w:rPr>
                <w:noProof/>
                <w:webHidden/>
              </w:rPr>
              <w:tab/>
            </w:r>
            <w:r>
              <w:rPr>
                <w:noProof/>
                <w:webHidden/>
              </w:rPr>
              <w:fldChar w:fldCharType="begin"/>
            </w:r>
            <w:r>
              <w:rPr>
                <w:noProof/>
                <w:webHidden/>
              </w:rPr>
              <w:instrText xml:space="preserve"> PAGEREF _Toc235792282 \h </w:instrText>
            </w:r>
            <w:r>
              <w:rPr>
                <w:noProof/>
                <w:webHidden/>
              </w:rPr>
            </w:r>
            <w:r>
              <w:rPr>
                <w:noProof/>
                <w:webHidden/>
              </w:rPr>
              <w:fldChar w:fldCharType="separate"/>
            </w:r>
            <w:r>
              <w:rPr>
                <w:noProof/>
                <w:webHidden/>
              </w:rPr>
              <w:t>9</w:t>
            </w:r>
            <w:r>
              <w:rPr>
                <w:noProof/>
                <w:webHidden/>
              </w:rPr>
              <w:fldChar w:fldCharType="end"/>
            </w:r>
          </w:hyperlink>
        </w:p>
        <w:p w14:paraId="7A1A2628" w14:textId="0A880467" w:rsidR="00891D99" w:rsidRDefault="00891D99">
          <w:pPr>
            <w:pStyle w:val="TOC2"/>
            <w:tabs>
              <w:tab w:val="right" w:leader="dot" w:pos="9016"/>
            </w:tabs>
            <w:rPr>
              <w:rFonts w:asciiTheme="minorHAnsi" w:hAnsiTheme="minorHAnsi"/>
              <w:noProof/>
              <w:lang w:val="en-US" w:eastAsia="en-US"/>
            </w:rPr>
          </w:pPr>
          <w:hyperlink w:anchor="_Toc235792283" w:history="1">
            <w:r w:rsidRPr="00F958FE">
              <w:rPr>
                <w:rStyle w:val="Hyperlink"/>
                <w:noProof/>
              </w:rPr>
              <w:t>3.2 Critical Evaluation and Verification</w:t>
            </w:r>
            <w:r>
              <w:rPr>
                <w:noProof/>
                <w:webHidden/>
              </w:rPr>
              <w:tab/>
            </w:r>
            <w:r>
              <w:rPr>
                <w:noProof/>
                <w:webHidden/>
              </w:rPr>
              <w:fldChar w:fldCharType="begin"/>
            </w:r>
            <w:r>
              <w:rPr>
                <w:noProof/>
                <w:webHidden/>
              </w:rPr>
              <w:instrText xml:space="preserve"> PAGEREF _Toc235792283 \h </w:instrText>
            </w:r>
            <w:r>
              <w:rPr>
                <w:noProof/>
                <w:webHidden/>
              </w:rPr>
            </w:r>
            <w:r>
              <w:rPr>
                <w:noProof/>
                <w:webHidden/>
              </w:rPr>
              <w:fldChar w:fldCharType="separate"/>
            </w:r>
            <w:r>
              <w:rPr>
                <w:noProof/>
                <w:webHidden/>
              </w:rPr>
              <w:t>9</w:t>
            </w:r>
            <w:r>
              <w:rPr>
                <w:noProof/>
                <w:webHidden/>
              </w:rPr>
              <w:fldChar w:fldCharType="end"/>
            </w:r>
          </w:hyperlink>
        </w:p>
        <w:p w14:paraId="5836C371" w14:textId="4F29AA3B" w:rsidR="00891D99" w:rsidRDefault="00891D99">
          <w:pPr>
            <w:pStyle w:val="TOC2"/>
            <w:tabs>
              <w:tab w:val="right" w:leader="dot" w:pos="9016"/>
            </w:tabs>
            <w:rPr>
              <w:rFonts w:asciiTheme="minorHAnsi" w:hAnsiTheme="minorHAnsi"/>
              <w:noProof/>
              <w:lang w:val="en-US" w:eastAsia="en-US"/>
            </w:rPr>
          </w:pPr>
          <w:hyperlink w:anchor="_Toc235792284" w:history="1">
            <w:r w:rsidRPr="00F958FE">
              <w:rPr>
                <w:rStyle w:val="Hyperlink"/>
                <w:noProof/>
              </w:rPr>
              <w:t>3.3 Contribution Analysis</w:t>
            </w:r>
            <w:r>
              <w:rPr>
                <w:noProof/>
                <w:webHidden/>
              </w:rPr>
              <w:tab/>
            </w:r>
            <w:r>
              <w:rPr>
                <w:noProof/>
                <w:webHidden/>
              </w:rPr>
              <w:fldChar w:fldCharType="begin"/>
            </w:r>
            <w:r>
              <w:rPr>
                <w:noProof/>
                <w:webHidden/>
              </w:rPr>
              <w:instrText xml:space="preserve"> PAGEREF _Toc235792284 \h </w:instrText>
            </w:r>
            <w:r>
              <w:rPr>
                <w:noProof/>
                <w:webHidden/>
              </w:rPr>
            </w:r>
            <w:r>
              <w:rPr>
                <w:noProof/>
                <w:webHidden/>
              </w:rPr>
              <w:fldChar w:fldCharType="separate"/>
            </w:r>
            <w:r>
              <w:rPr>
                <w:noProof/>
                <w:webHidden/>
              </w:rPr>
              <w:t>9</w:t>
            </w:r>
            <w:r>
              <w:rPr>
                <w:noProof/>
                <w:webHidden/>
              </w:rPr>
              <w:fldChar w:fldCharType="end"/>
            </w:r>
          </w:hyperlink>
        </w:p>
        <w:p w14:paraId="47F4AA14" w14:textId="6B8DE98E" w:rsidR="00891D99" w:rsidRDefault="00891D99">
          <w:pPr>
            <w:pStyle w:val="TOC2"/>
            <w:tabs>
              <w:tab w:val="right" w:leader="dot" w:pos="9016"/>
            </w:tabs>
            <w:rPr>
              <w:rFonts w:asciiTheme="minorHAnsi" w:hAnsiTheme="minorHAnsi"/>
              <w:noProof/>
              <w:lang w:val="en-US" w:eastAsia="en-US"/>
            </w:rPr>
          </w:pPr>
          <w:hyperlink w:anchor="_Toc235792285" w:history="1">
            <w:r w:rsidRPr="00F958FE">
              <w:rPr>
                <w:rStyle w:val="Hyperlink"/>
                <w:noProof/>
              </w:rPr>
              <w:t>3.4 Ethical and Professional Reflection</w:t>
            </w:r>
            <w:r>
              <w:rPr>
                <w:noProof/>
                <w:webHidden/>
              </w:rPr>
              <w:tab/>
            </w:r>
            <w:r>
              <w:rPr>
                <w:noProof/>
                <w:webHidden/>
              </w:rPr>
              <w:fldChar w:fldCharType="begin"/>
            </w:r>
            <w:r>
              <w:rPr>
                <w:noProof/>
                <w:webHidden/>
              </w:rPr>
              <w:instrText xml:space="preserve"> PAGEREF _Toc235792285 \h </w:instrText>
            </w:r>
            <w:r>
              <w:rPr>
                <w:noProof/>
                <w:webHidden/>
              </w:rPr>
            </w:r>
            <w:r>
              <w:rPr>
                <w:noProof/>
                <w:webHidden/>
              </w:rPr>
              <w:fldChar w:fldCharType="separate"/>
            </w:r>
            <w:r>
              <w:rPr>
                <w:noProof/>
                <w:webHidden/>
              </w:rPr>
              <w:t>10</w:t>
            </w:r>
            <w:r>
              <w:rPr>
                <w:noProof/>
                <w:webHidden/>
              </w:rPr>
              <w:fldChar w:fldCharType="end"/>
            </w:r>
          </w:hyperlink>
        </w:p>
        <w:p w14:paraId="102DADEA" w14:textId="191E8FCA" w:rsidR="00891D99" w:rsidRDefault="00891D99">
          <w:pPr>
            <w:pStyle w:val="TOC1"/>
            <w:tabs>
              <w:tab w:val="right" w:leader="dot" w:pos="9016"/>
            </w:tabs>
            <w:rPr>
              <w:rFonts w:asciiTheme="minorHAnsi" w:hAnsiTheme="minorHAnsi"/>
              <w:noProof/>
              <w:lang w:val="en-US" w:eastAsia="en-US"/>
            </w:rPr>
          </w:pPr>
          <w:hyperlink w:anchor="_Toc235792286" w:history="1">
            <w:r w:rsidRPr="00F958FE">
              <w:rPr>
                <w:rStyle w:val="Hyperlink"/>
                <w:noProof/>
              </w:rPr>
              <w:t>Conclusion</w:t>
            </w:r>
            <w:r>
              <w:rPr>
                <w:noProof/>
                <w:webHidden/>
              </w:rPr>
              <w:tab/>
            </w:r>
            <w:r>
              <w:rPr>
                <w:noProof/>
                <w:webHidden/>
              </w:rPr>
              <w:fldChar w:fldCharType="begin"/>
            </w:r>
            <w:r>
              <w:rPr>
                <w:noProof/>
                <w:webHidden/>
              </w:rPr>
              <w:instrText xml:space="preserve"> PAGEREF _Toc235792286 \h </w:instrText>
            </w:r>
            <w:r>
              <w:rPr>
                <w:noProof/>
                <w:webHidden/>
              </w:rPr>
            </w:r>
            <w:r>
              <w:rPr>
                <w:noProof/>
                <w:webHidden/>
              </w:rPr>
              <w:fldChar w:fldCharType="separate"/>
            </w:r>
            <w:r>
              <w:rPr>
                <w:noProof/>
                <w:webHidden/>
              </w:rPr>
              <w:t>10</w:t>
            </w:r>
            <w:r>
              <w:rPr>
                <w:noProof/>
                <w:webHidden/>
              </w:rPr>
              <w:fldChar w:fldCharType="end"/>
            </w:r>
          </w:hyperlink>
        </w:p>
        <w:p w14:paraId="4375AC05" w14:textId="54B24284" w:rsidR="00891D99" w:rsidRDefault="00891D99">
          <w:pPr>
            <w:pStyle w:val="TOC1"/>
            <w:tabs>
              <w:tab w:val="right" w:leader="dot" w:pos="9016"/>
            </w:tabs>
            <w:rPr>
              <w:rFonts w:asciiTheme="minorHAnsi" w:hAnsiTheme="minorHAnsi"/>
              <w:noProof/>
              <w:lang w:val="en-US" w:eastAsia="en-US"/>
            </w:rPr>
          </w:pPr>
          <w:hyperlink w:anchor="_Toc235792287" w:history="1">
            <w:r w:rsidRPr="00F958FE">
              <w:rPr>
                <w:rStyle w:val="Hyperlink"/>
                <w:noProof/>
              </w:rPr>
              <w:t>References:</w:t>
            </w:r>
            <w:r>
              <w:rPr>
                <w:noProof/>
                <w:webHidden/>
              </w:rPr>
              <w:tab/>
            </w:r>
            <w:r>
              <w:rPr>
                <w:noProof/>
                <w:webHidden/>
              </w:rPr>
              <w:fldChar w:fldCharType="begin"/>
            </w:r>
            <w:r>
              <w:rPr>
                <w:noProof/>
                <w:webHidden/>
              </w:rPr>
              <w:instrText xml:space="preserve"> PAGEREF _Toc235792287 \h </w:instrText>
            </w:r>
            <w:r>
              <w:rPr>
                <w:noProof/>
                <w:webHidden/>
              </w:rPr>
            </w:r>
            <w:r>
              <w:rPr>
                <w:noProof/>
                <w:webHidden/>
              </w:rPr>
              <w:fldChar w:fldCharType="separate"/>
            </w:r>
            <w:r>
              <w:rPr>
                <w:noProof/>
                <w:webHidden/>
              </w:rPr>
              <w:t>11</w:t>
            </w:r>
            <w:r>
              <w:rPr>
                <w:noProof/>
                <w:webHidden/>
              </w:rPr>
              <w:fldChar w:fldCharType="end"/>
            </w:r>
          </w:hyperlink>
        </w:p>
        <w:p w14:paraId="4FFA5826" w14:textId="145516A2" w:rsidR="00072ABC" w:rsidRDefault="00072ABC">
          <w:r>
            <w:rPr>
              <w:b/>
              <w:bCs/>
              <w:noProof/>
            </w:rPr>
            <w:fldChar w:fldCharType="end"/>
          </w:r>
        </w:p>
      </w:sdtContent>
    </w:sdt>
    <w:p w14:paraId="5DCC0329" w14:textId="77777777" w:rsidR="00E05FF9" w:rsidRPr="00072ABC" w:rsidRDefault="00E05FF9" w:rsidP="00072ABC">
      <w:pPr>
        <w:pStyle w:val="Title"/>
        <w:spacing w:line="360" w:lineRule="auto"/>
        <w:jc w:val="center"/>
        <w:rPr>
          <w:rFonts w:ascii="Arial" w:hAnsi="Arial" w:cs="Arial"/>
        </w:rPr>
      </w:pPr>
    </w:p>
    <w:p w14:paraId="7123D688" w14:textId="77777777" w:rsidR="00072ABC" w:rsidRDefault="00072ABC" w:rsidP="00072ABC">
      <w:pPr>
        <w:spacing w:line="360" w:lineRule="auto"/>
        <w:sectPr w:rsidR="00072ABC">
          <w:footerReference w:type="default" r:id="rId10"/>
          <w:pgSz w:w="11906" w:h="16838"/>
          <w:pgMar w:top="1440" w:right="1440" w:bottom="1440" w:left="1440" w:header="708" w:footer="708" w:gutter="0"/>
          <w:cols w:space="708"/>
          <w:docGrid w:linePitch="360"/>
        </w:sectPr>
      </w:pPr>
    </w:p>
    <w:p w14:paraId="047B364A" w14:textId="77777777" w:rsidR="00787048" w:rsidRDefault="00787048" w:rsidP="00072ABC">
      <w:pPr>
        <w:pStyle w:val="Heading1"/>
      </w:pPr>
      <w:bookmarkStart w:id="0" w:name="_Toc235792269"/>
      <w:r w:rsidRPr="00787048">
        <w:lastRenderedPageBreak/>
        <w:t>Introduction</w:t>
      </w:r>
      <w:bookmarkEnd w:id="0"/>
      <w:r w:rsidRPr="00787048">
        <w:t xml:space="preserve"> </w:t>
      </w:r>
    </w:p>
    <w:p w14:paraId="62DE6C4C" w14:textId="4DA66B9D" w:rsidR="00787048" w:rsidRDefault="00787048" w:rsidP="00A8563C">
      <w:pPr>
        <w:spacing w:line="360" w:lineRule="auto"/>
        <w:jc w:val="both"/>
      </w:pPr>
      <w:r w:rsidRPr="00787048">
        <w:t>The report critically reflects on Tata Steel's decarbonisation strategy, which involves conducting a marketing environment analysis, strategically evaluating growth and reflecting with the support of AI. It delves into the impact of natural environmental challenges and government policies on green-steel opportunities, examines the product development using Ansoff's matrix and the potential of responsible use of AI for evidence-based strategic decision-making.</w:t>
      </w:r>
    </w:p>
    <w:p w14:paraId="7B7BD7CD" w14:textId="2F7627B7" w:rsidR="006D7CF4" w:rsidRPr="00072ABC" w:rsidRDefault="006D7CF4" w:rsidP="00072ABC">
      <w:pPr>
        <w:pStyle w:val="Heading1"/>
        <w:rPr>
          <w:rFonts w:cs="Arial"/>
          <w:b/>
          <w:bCs/>
        </w:rPr>
      </w:pPr>
      <w:bookmarkStart w:id="1" w:name="_Toc235792270"/>
      <w:r w:rsidRPr="00072ABC">
        <w:t>Task 1: Marketing Environment Analysis</w:t>
      </w:r>
      <w:bookmarkEnd w:id="1"/>
    </w:p>
    <w:p w14:paraId="5912D001" w14:textId="77777777" w:rsidR="006D7CF4" w:rsidRPr="00072ABC" w:rsidRDefault="006D7CF4" w:rsidP="00072ABC">
      <w:pPr>
        <w:pStyle w:val="Heading2"/>
        <w:spacing w:line="360" w:lineRule="auto"/>
      </w:pPr>
      <w:bookmarkStart w:id="2" w:name="_Toc235792271"/>
      <w:r w:rsidRPr="00072ABC">
        <w:t>1.1 Company and Analytical Context</w:t>
      </w:r>
      <w:bookmarkEnd w:id="2"/>
    </w:p>
    <w:p w14:paraId="41C28C02" w14:textId="5F74F314" w:rsidR="006D7CF4" w:rsidRPr="00072ABC" w:rsidRDefault="006D7CF4" w:rsidP="00072ABC">
      <w:pPr>
        <w:spacing w:line="360" w:lineRule="auto"/>
        <w:jc w:val="both"/>
        <w:rPr>
          <w:rFonts w:cs="Arial"/>
        </w:rPr>
      </w:pPr>
      <w:r w:rsidRPr="00072ABC">
        <w:rPr>
          <w:rFonts w:cs="Arial"/>
        </w:rPr>
        <w:t>Tata Steel is an Indian multinational steel group which functions worldwide</w:t>
      </w:r>
      <w:r w:rsidR="00072ABC">
        <w:rPr>
          <w:rFonts w:cs="Arial"/>
        </w:rPr>
        <w:t>,</w:t>
      </w:r>
      <w:r w:rsidRPr="00072ABC">
        <w:rPr>
          <w:rFonts w:cs="Arial"/>
        </w:rPr>
        <w:t xml:space="preserve"> primarily in India, </w:t>
      </w:r>
      <w:r w:rsidR="00072ABC">
        <w:rPr>
          <w:rFonts w:cs="Arial"/>
        </w:rPr>
        <w:t xml:space="preserve">the </w:t>
      </w:r>
      <w:r w:rsidRPr="00072ABC">
        <w:rPr>
          <w:rFonts w:cs="Arial"/>
        </w:rPr>
        <w:t>United Kingdom and the Netherlands. The lower</w:t>
      </w:r>
      <w:r w:rsidR="00072ABC">
        <w:rPr>
          <w:rFonts w:cs="Arial"/>
        </w:rPr>
        <w:t>-</w:t>
      </w:r>
      <w:r w:rsidRPr="00072ABC">
        <w:rPr>
          <w:rFonts w:cs="Arial"/>
        </w:rPr>
        <w:t>carbon transition is needed as the blast-furnace method needs coke that emits substantial amounts. Tata has proclaimed that it has set a goal of achieving a net</w:t>
      </w:r>
      <w:r w:rsidR="00072ABC">
        <w:rPr>
          <w:rFonts w:cs="Arial"/>
        </w:rPr>
        <w:t>-</w:t>
      </w:r>
      <w:r w:rsidRPr="00072ABC">
        <w:rPr>
          <w:rFonts w:cs="Arial"/>
        </w:rPr>
        <w:t>zero footprint by 2045, but in FY2024/25 its emissions intensity was 2.22 tonnes of CO2 per tonne of crude steel</w:t>
      </w:r>
      <w:r w:rsidR="00072ABC">
        <w:rPr>
          <w:rFonts w:cs="Arial"/>
        </w:rPr>
        <w:t>,</w:t>
      </w:r>
      <w:r w:rsidRPr="00072ABC">
        <w:rPr>
          <w:rFonts w:cs="Arial"/>
        </w:rPr>
        <w:t xml:space="preserve"> while FY2020/21 had an emissions intensity of 2.19 tonnes of CO2 per tonne of crude steel</w:t>
      </w:r>
      <w:r w:rsidR="00765070" w:rsidRPr="00072ABC">
        <w:rPr>
          <w:rFonts w:cs="Arial"/>
        </w:rPr>
        <w:t xml:space="preserve"> </w:t>
      </w:r>
      <w:r w:rsidR="00765070" w:rsidRPr="00072ABC">
        <w:rPr>
          <w:rFonts w:cs="Arial"/>
        </w:rPr>
        <w:fldChar w:fldCharType="begin" w:fldLock="1"/>
      </w:r>
      <w:r w:rsidR="00765070" w:rsidRPr="00072ABC">
        <w:rPr>
          <w:rFonts w:cs="Arial"/>
        </w:rPr>
        <w:instrText>ADDIN CSL_CITATION {"citationItems":[{"id":"ITEM-1","itemData":{"URL":"https://eurometal.net/tata-steel-adopts-differing-european-indian-decarbonisation-strategy/","author":[{"dropping-particle":"","family":"SUCURI","given":"","non-dropping-particle":"","parse-names":false,"suffix":""}],"id":"ITEM-1","issued":{"date-parts":[["2026"]]},"title":"Access Denied - Sucuri Website Firewall","type":"webpage"},"uris":["http://www.mendeley.com/documents/?uuid=63c76147-2ad0-4ee0-9741-9660d0fdfaf2"]}],"mendeley":{"formattedCitation":"(SUCURI, 2026)","plainTextFormattedCitation":"(SUCURI, 2026)","previouslyFormattedCitation":"(SUCURI, 2026)"},"properties":{"noteIndex":0},"schema":"https://github.com/citation-style-language/schema/raw/master/csl-citation.json"}</w:instrText>
      </w:r>
      <w:r w:rsidR="00765070" w:rsidRPr="00072ABC">
        <w:rPr>
          <w:rFonts w:cs="Arial"/>
        </w:rPr>
        <w:fldChar w:fldCharType="separate"/>
      </w:r>
      <w:r w:rsidR="00765070" w:rsidRPr="00072ABC">
        <w:rPr>
          <w:rFonts w:cs="Arial"/>
          <w:noProof/>
        </w:rPr>
        <w:t>(SUCURI, 2026)</w:t>
      </w:r>
      <w:r w:rsidR="00765070" w:rsidRPr="00072ABC">
        <w:rPr>
          <w:rFonts w:cs="Arial"/>
        </w:rPr>
        <w:fldChar w:fldCharType="end"/>
      </w:r>
      <w:r w:rsidRPr="00072ABC">
        <w:rPr>
          <w:rFonts w:cs="Arial"/>
        </w:rPr>
        <w:t xml:space="preserve">. This is in opposition to its environmental objectives. Based on the expansion of </w:t>
      </w:r>
      <w:r w:rsidR="00072ABC">
        <w:rPr>
          <w:rFonts w:cs="Arial"/>
        </w:rPr>
        <w:t xml:space="preserve">the </w:t>
      </w:r>
      <w:r w:rsidRPr="00072ABC">
        <w:rPr>
          <w:rFonts w:cs="Arial"/>
        </w:rPr>
        <w:t>Indian grid, which will predominantly be on the coal side, India may have 40-50 MT of capacity on the grid by mid 2020s, according to Carbon Tracker (2025)</w:t>
      </w:r>
      <w:r w:rsidR="00765070" w:rsidRPr="00072ABC">
        <w:rPr>
          <w:rFonts w:cs="Arial"/>
        </w:rPr>
        <w:t xml:space="preserve"> </w:t>
      </w:r>
      <w:r w:rsidR="00072ABC">
        <w:rPr>
          <w:rFonts w:cs="Arial"/>
        </w:rPr>
        <w:t xml:space="preserve">and </w:t>
      </w:r>
      <w:r w:rsidR="00765070" w:rsidRPr="00072ABC">
        <w:rPr>
          <w:rFonts w:cs="Arial"/>
        </w:rPr>
        <w:fldChar w:fldCharType="begin" w:fldLock="1"/>
      </w:r>
      <w:r w:rsidR="00072ABC">
        <w:rPr>
          <w:rFonts w:cs="Arial"/>
        </w:rPr>
        <w:instrText>ADDIN CSL_CITATION {"citationItems":[{"id":"ITEM-1","itemData":{"URL":"https://energyandcleanair.org/publication/india-power-sector-review-2025/","author":[{"dropping-particle":"","family":"CREA","given":"","non-dropping-particle":"","parse-names":false,"suffix":""}],"id":"ITEM-1","issued":{"date-parts":[["2026"]]},"title":"India power sector review 2025: Record clean energy deployment drives historic decline in coal generation","type":"webpage"},"uris":["http://www.mendeley.com/documents/?uuid=e7589292-b5ad-4c96-ad42-6b003bdd7da4"]}],"mendeley":{"formattedCitation":"(CREA, 2026)","manualFormatting":"CREA (2026)","plainTextFormattedCitation":"(CREA, 2026)","previouslyFormattedCitation":"(CREA, 2026)"},"properties":{"noteIndex":0},"schema":"https://github.com/citation-style-language/schema/raw/master/csl-citation.json"}</w:instrText>
      </w:r>
      <w:r w:rsidR="00765070" w:rsidRPr="00072ABC">
        <w:rPr>
          <w:rFonts w:cs="Arial"/>
        </w:rPr>
        <w:fldChar w:fldCharType="separate"/>
      </w:r>
      <w:r w:rsidR="00765070" w:rsidRPr="00072ABC">
        <w:rPr>
          <w:rFonts w:cs="Arial"/>
          <w:noProof/>
        </w:rPr>
        <w:t>CREA (2026)</w:t>
      </w:r>
      <w:r w:rsidR="00765070" w:rsidRPr="00072ABC">
        <w:rPr>
          <w:rFonts w:cs="Arial"/>
        </w:rPr>
        <w:fldChar w:fldCharType="end"/>
      </w:r>
      <w:r w:rsidRPr="00072ABC">
        <w:rPr>
          <w:rFonts w:cs="Arial"/>
        </w:rPr>
        <w:t>.</w:t>
      </w:r>
    </w:p>
    <w:p w14:paraId="03931CF2" w14:textId="0DC32986" w:rsidR="00641F81" w:rsidRPr="00072ABC" w:rsidRDefault="00641F81" w:rsidP="00072ABC">
      <w:pPr>
        <w:spacing w:line="360" w:lineRule="auto"/>
        <w:jc w:val="both"/>
        <w:rPr>
          <w:rFonts w:cs="Arial"/>
        </w:rPr>
      </w:pPr>
      <w:r w:rsidRPr="00072ABC">
        <w:rPr>
          <w:rFonts w:cs="Arial"/>
          <w:noProof/>
        </w:rPr>
        <w:lastRenderedPageBreak/>
        <w:drawing>
          <wp:inline distT="0" distB="0" distL="0" distR="0" wp14:anchorId="32020816" wp14:editId="59B84EDB">
            <wp:extent cx="5731510" cy="3754120"/>
            <wp:effectExtent l="0" t="0" r="2540" b="0"/>
            <wp:docPr id="2084048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754120"/>
                    </a:xfrm>
                    <a:prstGeom prst="rect">
                      <a:avLst/>
                    </a:prstGeom>
                    <a:noFill/>
                    <a:ln>
                      <a:noFill/>
                    </a:ln>
                  </pic:spPr>
                </pic:pic>
              </a:graphicData>
            </a:graphic>
          </wp:inline>
        </w:drawing>
      </w:r>
    </w:p>
    <w:p w14:paraId="78B96834" w14:textId="71547805" w:rsidR="00641F81" w:rsidRPr="00072ABC" w:rsidRDefault="00641F81" w:rsidP="00072ABC">
      <w:pPr>
        <w:spacing w:line="360" w:lineRule="auto"/>
        <w:jc w:val="both"/>
        <w:rPr>
          <w:rFonts w:cs="Arial"/>
        </w:rPr>
      </w:pPr>
      <w:r w:rsidRPr="00072ABC">
        <w:rPr>
          <w:rFonts w:cs="Arial"/>
          <w:b/>
          <w:bCs/>
        </w:rPr>
        <w:t>Source</w:t>
      </w:r>
      <w:r w:rsidRPr="00072ABC">
        <w:rPr>
          <w:rFonts w:cs="Arial"/>
        </w:rPr>
        <w:t>:</w:t>
      </w:r>
      <w:r w:rsidR="00765070" w:rsidRPr="00072ABC">
        <w:rPr>
          <w:rFonts w:cs="Arial"/>
        </w:rPr>
        <w:t xml:space="preserve"> </w:t>
      </w:r>
      <w:r w:rsidR="00765070" w:rsidRPr="00072ABC">
        <w:rPr>
          <w:rFonts w:cs="Arial"/>
        </w:rPr>
        <w:fldChar w:fldCharType="begin" w:fldLock="1"/>
      </w:r>
      <w:r w:rsidR="00765070" w:rsidRPr="00072ABC">
        <w:rPr>
          <w:rFonts w:cs="Arial"/>
        </w:rPr>
        <w:instrText>ADDIN CSL_CITATION {"citationItems":[{"id":"ITEM-1","itemData":{"URL":"https://www.reuters.com/world/india/indias-tata-steel-beats-quarterly-profit-estimates-lower-expenses-2025-05-12/","author":[{"dropping-particle":"","family":"Reuters","given":"","non-dropping-particle":"","parse-names":false,"suffix":""}],"id":"ITEM-1","issued":{"date-parts":[["2025"]]},"title":"India's Tata Steel beats quarterly profit estimates on lower expenses","type":"webpage"},"uris":["http://www.mendeley.com/documents/?uuid=3ae017e4-f954-4db0-a5ed-284fb6b83c33"]}],"mendeley":{"formattedCitation":"(Reuters, 2025)","plainTextFormattedCitation":"(Reuters, 2025)","previouslyFormattedCitation":"(Reuters, 2025)"},"properties":{"noteIndex":0},"schema":"https://github.com/citation-style-language/schema/raw/master/csl-citation.json"}</w:instrText>
      </w:r>
      <w:r w:rsidR="00765070" w:rsidRPr="00072ABC">
        <w:rPr>
          <w:rFonts w:cs="Arial"/>
        </w:rPr>
        <w:fldChar w:fldCharType="separate"/>
      </w:r>
      <w:r w:rsidR="00765070" w:rsidRPr="00072ABC">
        <w:rPr>
          <w:rFonts w:cs="Arial"/>
          <w:noProof/>
        </w:rPr>
        <w:t>(Reuters, 2025)</w:t>
      </w:r>
      <w:r w:rsidR="00765070" w:rsidRPr="00072ABC">
        <w:rPr>
          <w:rFonts w:cs="Arial"/>
        </w:rPr>
        <w:fldChar w:fldCharType="end"/>
      </w:r>
    </w:p>
    <w:p w14:paraId="5F81F3CE" w14:textId="77777777" w:rsidR="006D7CF4" w:rsidRPr="00072ABC" w:rsidRDefault="006D7CF4" w:rsidP="00072ABC">
      <w:pPr>
        <w:pStyle w:val="Heading2"/>
        <w:spacing w:line="360" w:lineRule="auto"/>
      </w:pPr>
      <w:bookmarkStart w:id="3" w:name="_Toc235792272"/>
      <w:r w:rsidRPr="00072ABC">
        <w:t>1.2 Natural Environment Actor</w:t>
      </w:r>
      <w:bookmarkEnd w:id="3"/>
    </w:p>
    <w:p w14:paraId="14AF050E" w14:textId="162F46D8" w:rsidR="006D7CF4" w:rsidRPr="00072ABC" w:rsidRDefault="006D7CF4" w:rsidP="00072ABC">
      <w:pPr>
        <w:spacing w:line="360" w:lineRule="auto"/>
        <w:jc w:val="both"/>
        <w:rPr>
          <w:rFonts w:cs="Arial"/>
        </w:rPr>
      </w:pPr>
      <w:r w:rsidRPr="00072ABC">
        <w:rPr>
          <w:rFonts w:cs="Arial"/>
        </w:rPr>
        <w:t>Tata is affected by the natural world</w:t>
      </w:r>
      <w:r w:rsidR="00566C22" w:rsidRPr="00072ABC">
        <w:rPr>
          <w:rFonts w:cs="Arial"/>
        </w:rPr>
        <w:t xml:space="preserve"> by </w:t>
      </w:r>
      <w:r w:rsidRPr="00072ABC">
        <w:rPr>
          <w:rFonts w:cs="Arial"/>
        </w:rPr>
        <w:t>climate change, resource scarcity, pollution, circularity and the new definitions of value by customers. Kotler et al. (2024) claim that environmental forces are constraints and sources of innovation</w:t>
      </w:r>
      <w:r w:rsidR="00765070" w:rsidRPr="00072ABC">
        <w:rPr>
          <w:rFonts w:cs="Arial"/>
        </w:rPr>
        <w:t xml:space="preserve"> </w:t>
      </w:r>
      <w:r w:rsidR="00765070" w:rsidRPr="00072ABC">
        <w:rPr>
          <w:rFonts w:cs="Arial"/>
        </w:rPr>
        <w:fldChar w:fldCharType="begin" w:fldLock="1"/>
      </w:r>
      <w:r w:rsidR="00765070" w:rsidRPr="00072ABC">
        <w:rPr>
          <w:rFonts w:cs="Arial"/>
        </w:rPr>
        <w:instrText>ADDIN CSL_CITATION {"citationItems":[{"id":"ITEM-1","itemData":{"ISSN":"2706-9184","abstract":"Sustainability in Product Life Cycle Management (PLCM) has emerged as a crucial factor in enhancing environmental stewardship and driving long-term business success. This review examines best practices and innovations in sustainable PLCM, focusing on strategies that integrate sustainability from product conception through to disposal. Key areas of exploration include sustainable design principles, such as eco-design and life cycle assessment (LCA), which aim to minimize environmental impact during product development. The review also highlights innovative approaches to material sourcing, emphasizing the shift towards renewable and recycled materials to reduce the carbon footprint and resource dependency. Moreover, the study delves into sustainable manufacturing practices, including energy-efficient production processes, waste reduction techniques, and the use of renewable energy sources. Another critical aspect discussed is the role of circular economy models in extending product life spans through repair, reuse, and recycling initiatives. These models not only contribute to resource conservation but also open new avenues for value creation in the post-consumer phase of the product life cycle. The review underscores the importance of supply chain transparency and ethical sourcing, which ensure that sustainability is upheld across all stages of the product life cycle. The challenges associated with implementing sustainable PLCM, such as balancing cost with environmental benefits and navigating complex regulatory environments, are also addressed. In conclusion, the review identifies key success factors, including stakeholder engagement, technological innovation, and a strong commitment to sustainability at the organizational level. These elements are essential for companies seeking to lead in sustainability while maintaining competitive advantage in an increasingly eco-conscious market. Keywords: Sustainability, Product Life Cycle Management, Best Practices, Innovations, Eco-design, Circular Economy, Sustainable Manufacturing, Supply Chain Transparency, Life Cycle Assessment, Environmental Stewardship.","author":[{"dropping-particle":"","family":"Oluwatosin Yetunde Abdul-Azeez","given":"","non-dropping-particle":"","parse-names":false,"suffix":""},{"dropping-particle":"","family":"Uloma Stella Nwabekee","given":"","non-dropping-particle":"","parse-names":false,"suffix":""},{"dropping-particle":"","family":"Edith Ebele Agu","given":"","non-dropping-particle":"","parse-names":false,"suffix":""},{"dropping-particle":"","family":"Tochukwu Ignatius Ijomah","given":"","non-dropping-particle":"","parse-names":false,"suffix":""}],"container-title":"International Journal of Applied Research in Social Sciences","id":"ITEM-1","issue":"9","issued":{"date-parts":[["2024","9","5"]]},"page":"2018-2043","title":"Sustainability in product life cycle management: A review of best practices and innovations","type":"article-journal","volume":"6"},"uris":["http://www.mendeley.com/documents/?uuid=2ddf7ce1-3da0-473b-8a33-09b3ddc17e3a"]}],"mendeley":{"formattedCitation":"(Oluwatosin Yetunde Abdul-Azeez &lt;i&gt;et al.&lt;/i&gt;, 2024)","plainTextFormattedCitation":"(Oluwatosin Yetunde Abdul-Azeez et al., 2024)","previouslyFormattedCitation":"(Oluwatosin Yetunde Abdul-Azeez &lt;i&gt;et al.&lt;/i&gt;, 2024)"},"properties":{"noteIndex":0},"schema":"https://github.com/citation-style-language/schema/raw/master/csl-citation.json"}</w:instrText>
      </w:r>
      <w:r w:rsidR="00765070" w:rsidRPr="00072ABC">
        <w:rPr>
          <w:rFonts w:cs="Arial"/>
        </w:rPr>
        <w:fldChar w:fldCharType="separate"/>
      </w:r>
      <w:r w:rsidR="00765070" w:rsidRPr="00072ABC">
        <w:rPr>
          <w:rFonts w:cs="Arial"/>
          <w:noProof/>
        </w:rPr>
        <w:t xml:space="preserve">(Oluwatosin Yetunde Abdul-Azeez </w:t>
      </w:r>
      <w:r w:rsidR="00765070" w:rsidRPr="00072ABC">
        <w:rPr>
          <w:rFonts w:cs="Arial"/>
          <w:i/>
          <w:noProof/>
        </w:rPr>
        <w:t>et al.</w:t>
      </w:r>
      <w:r w:rsidR="00765070" w:rsidRPr="00072ABC">
        <w:rPr>
          <w:rFonts w:cs="Arial"/>
          <w:noProof/>
        </w:rPr>
        <w:t>, 2024)</w:t>
      </w:r>
      <w:r w:rsidR="00765070" w:rsidRPr="00072ABC">
        <w:rPr>
          <w:rFonts w:cs="Arial"/>
        </w:rPr>
        <w:fldChar w:fldCharType="end"/>
      </w:r>
      <w:r w:rsidRPr="00072ABC">
        <w:rPr>
          <w:rFonts w:cs="Arial"/>
        </w:rPr>
        <w:t>. The bottom line is that for Tata</w:t>
      </w:r>
      <w:r w:rsidR="00072ABC">
        <w:rPr>
          <w:rFonts w:cs="Arial"/>
        </w:rPr>
        <w:t>,</w:t>
      </w:r>
      <w:r w:rsidRPr="00072ABC">
        <w:rPr>
          <w:rFonts w:cs="Arial"/>
        </w:rPr>
        <w:t xml:space="preserve"> climate change is not just a reputational issue; it's a threat to their coal assets because they generate carbon costs and </w:t>
      </w:r>
      <w:r w:rsidR="00072ABC">
        <w:rPr>
          <w:rFonts w:cs="Arial"/>
        </w:rPr>
        <w:t>are</w:t>
      </w:r>
      <w:r w:rsidRPr="00072ABC">
        <w:rPr>
          <w:rFonts w:cs="Arial"/>
        </w:rPr>
        <w:t xml:space="preserve"> an issue that will become irrelevant and unattractive to automotive and construction customers seeking credible Scope 3 reductions. Strategically</w:t>
      </w:r>
      <w:r w:rsidR="00072ABC">
        <w:rPr>
          <w:rFonts w:cs="Arial"/>
        </w:rPr>
        <w:t>,</w:t>
      </w:r>
      <w:r w:rsidRPr="00072ABC">
        <w:rPr>
          <w:rFonts w:cs="Arial"/>
        </w:rPr>
        <w:t xml:space="preserve"> this is significant as it is becoming a more critical factor for Tata's selection of suppliers, access to investment and strengthening brand legitimacy and long-term resilience of their customer relationships in international markets and regions. In 2024, production of steel was around 1,886 million tonnes, producing around 4.1 billion tonnes of CO2-equivalent, which accounted for 7–8% of anthropogenic greenhouse-gas emissions</w:t>
      </w:r>
      <w:r w:rsidR="00765070" w:rsidRPr="00072ABC">
        <w:rPr>
          <w:rFonts w:cs="Arial"/>
        </w:rPr>
        <w:t xml:space="preserve"> </w:t>
      </w:r>
      <w:r w:rsidR="00765070" w:rsidRPr="00072ABC">
        <w:rPr>
          <w:rFonts w:cs="Arial"/>
        </w:rPr>
        <w:fldChar w:fldCharType="begin" w:fldLock="1"/>
      </w:r>
      <w:r w:rsidR="007F3E3C" w:rsidRPr="00072ABC">
        <w:rPr>
          <w:rFonts w:cs="Arial"/>
        </w:rPr>
        <w:instrText>ADDIN CSL_CITATION {"citationItems":[{"id":"ITEM-1","itemData":{"URL":"https://www.bbc.co.uk/news/articles/c79ezrvd9neo","author":[{"dropping-particle":"","family":"BBC","given":"","non-dropping-particle":"","parse-names":false,"suffix":""}],"id":"ITEM-1","issued":{"date-parts":[["2025"]]},"title":"Climate experts criticise handling of Tata changes","type":"webpage"},"uris":["http://www.mendeley.com/documents/?uuid=358c6d18-e4ad-4aff-bee8-500efda1dcaf"]}],"mendeley":{"formattedCitation":"(BBC, 2025)","plainTextFormattedCitation":"(BBC, 2025)","previouslyFormattedCitation":"(BBC, 2025)"},"properties":{"noteIndex":0},"schema":"https://github.com/citation-style-language/schema/raw/master/csl-citation.json"}</w:instrText>
      </w:r>
      <w:r w:rsidR="00765070" w:rsidRPr="00072ABC">
        <w:rPr>
          <w:rFonts w:cs="Arial"/>
        </w:rPr>
        <w:fldChar w:fldCharType="separate"/>
      </w:r>
      <w:r w:rsidR="00765070" w:rsidRPr="00072ABC">
        <w:rPr>
          <w:rFonts w:cs="Arial"/>
          <w:noProof/>
        </w:rPr>
        <w:t>(BBC, 2025)</w:t>
      </w:r>
      <w:r w:rsidR="00765070" w:rsidRPr="00072ABC">
        <w:rPr>
          <w:rFonts w:cs="Arial"/>
        </w:rPr>
        <w:fldChar w:fldCharType="end"/>
      </w:r>
      <w:r w:rsidRPr="00072ABC">
        <w:rPr>
          <w:rFonts w:cs="Arial"/>
        </w:rPr>
        <w:t xml:space="preserve">. The intensity is slightly more than the sectoral average of 2.18 tonnes. This is only an illustrative example of the lack of differentiation that can only be obtained by using an independent set of baselines for the products. What is very important is that the marketing communicates the performance of the product/service </w:t>
      </w:r>
      <w:r w:rsidRPr="00072ABC">
        <w:rPr>
          <w:rFonts w:cs="Arial"/>
        </w:rPr>
        <w:lastRenderedPageBreak/>
        <w:t>- not as sustainability stories. The largest, immediate opportunity for Tata is the electric-arc-furnace production based on scrap. The capacity of Ludhiana EAF was less than 0.3 tonne</w:t>
      </w:r>
      <w:r w:rsidR="00072ABC">
        <w:rPr>
          <w:rFonts w:cs="Arial"/>
        </w:rPr>
        <w:t>s</w:t>
      </w:r>
      <w:r w:rsidRPr="00072ABC">
        <w:rPr>
          <w:rFonts w:cs="Arial"/>
        </w:rPr>
        <w:t xml:space="preserve"> of steel</w:t>
      </w:r>
      <w:r w:rsidR="00072ABC">
        <w:rPr>
          <w:rFonts w:cs="Arial"/>
        </w:rPr>
        <w:t>,</w:t>
      </w:r>
      <w:r w:rsidRPr="00072ABC">
        <w:rPr>
          <w:rFonts w:cs="Arial"/>
        </w:rPr>
        <w:t xml:space="preserve"> with </w:t>
      </w:r>
      <w:r w:rsidR="00072ABC">
        <w:rPr>
          <w:rFonts w:cs="Arial"/>
        </w:rPr>
        <w:t xml:space="preserve">an </w:t>
      </w:r>
      <w:r w:rsidRPr="00072ABC">
        <w:rPr>
          <w:rFonts w:cs="Arial"/>
        </w:rPr>
        <w:t xml:space="preserve">emission level of CO2 </w:t>
      </w:r>
      <w:r w:rsidR="00072ABC">
        <w:rPr>
          <w:rFonts w:cs="Arial"/>
        </w:rPr>
        <w:t>of</w:t>
      </w:r>
      <w:r w:rsidRPr="00072ABC">
        <w:rPr>
          <w:rFonts w:cs="Arial"/>
        </w:rPr>
        <w:t xml:space="preserve"> less than 750 kg/tonne of steel</w:t>
      </w:r>
      <w:r w:rsidR="007F3E3C" w:rsidRPr="00072ABC">
        <w:rPr>
          <w:rFonts w:cs="Arial"/>
        </w:rPr>
        <w:t xml:space="preserve"> </w:t>
      </w:r>
      <w:r w:rsidR="007F3E3C" w:rsidRPr="00072ABC">
        <w:rPr>
          <w:rFonts w:cs="Arial"/>
        </w:rPr>
        <w:fldChar w:fldCharType="begin" w:fldLock="1"/>
      </w:r>
      <w:r w:rsidR="007F3E3C" w:rsidRPr="00072ABC">
        <w:rPr>
          <w:rFonts w:cs="Arial"/>
        </w:rPr>
        <w:instrText>ADDIN CSL_CITATION {"citationItems":[{"id":"ITEM-1","itemData":{"abstract":"Predicting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approach.","author":[{"dropping-particle":"","family":"Bolton","given":"","non-dropping-particle":"","parse-names":false,"suffix":""}],"container-title":"RTU Sustainability Report 2025","id":"ITEM-1","issued":{"date-parts":[["2025"]]},"title":"SUSTAINABILITY REPORT 2025","type":"article-journal"},"uris":["http://www.mendeley.com/documents/?uuid=9b4ce35d-2fe6-4b25-bad7-d6c08d4d988f"]}],"mendeley":{"formattedCitation":"(Bolton, 2025)","plainTextFormattedCitation":"(Bolton, 2025)","previouslyFormattedCitation":"(Bolton, 2025)"},"properties":{"noteIndex":0},"schema":"https://github.com/citation-style-language/schema/raw/master/csl-citation.json"}</w:instrText>
      </w:r>
      <w:r w:rsidR="007F3E3C" w:rsidRPr="00072ABC">
        <w:rPr>
          <w:rFonts w:cs="Arial"/>
        </w:rPr>
        <w:fldChar w:fldCharType="separate"/>
      </w:r>
      <w:r w:rsidR="007F3E3C" w:rsidRPr="00072ABC">
        <w:rPr>
          <w:rFonts w:cs="Arial"/>
          <w:noProof/>
        </w:rPr>
        <w:t>(Bolton, 2025)</w:t>
      </w:r>
      <w:r w:rsidR="007F3E3C" w:rsidRPr="00072ABC">
        <w:rPr>
          <w:rFonts w:cs="Arial"/>
        </w:rPr>
        <w:fldChar w:fldCharType="end"/>
      </w:r>
      <w:r w:rsidRPr="00072ABC">
        <w:rPr>
          <w:rFonts w:cs="Arial"/>
        </w:rPr>
        <w:t>. The expected emissions at the proposed £1.25bn Port Talbot EAF are expected to be approximately 90% less than the emissions that it will replace – five million tonnes per year. The EAFs are reducing the consumption of coke and increas</w:t>
      </w:r>
      <w:r w:rsidR="00072ABC">
        <w:rPr>
          <w:rFonts w:cs="Arial"/>
        </w:rPr>
        <w:t>ing</w:t>
      </w:r>
      <w:r w:rsidRPr="00072ABC">
        <w:rPr>
          <w:rFonts w:cs="Arial"/>
        </w:rPr>
        <w:t xml:space="preserve"> circularity with the reuse of scrap. If all the near</w:t>
      </w:r>
      <w:r w:rsidR="00072ABC">
        <w:rPr>
          <w:rFonts w:cs="Arial"/>
        </w:rPr>
        <w:t>-</w:t>
      </w:r>
      <w:r w:rsidRPr="00072ABC">
        <w:rPr>
          <w:rFonts w:cs="Arial"/>
        </w:rPr>
        <w:t>zero carbon technologies are considered, only scrap-EAF can be recogni</w:t>
      </w:r>
      <w:r w:rsidR="00072ABC">
        <w:rPr>
          <w:rFonts w:cs="Arial"/>
        </w:rPr>
        <w:t>s</w:t>
      </w:r>
      <w:r w:rsidRPr="00072ABC">
        <w:rPr>
          <w:rFonts w:cs="Arial"/>
        </w:rPr>
        <w:t>ed as a low</w:t>
      </w:r>
      <w:r w:rsidR="00072ABC">
        <w:rPr>
          <w:rFonts w:cs="Arial"/>
        </w:rPr>
        <w:t>-cost near-</w:t>
      </w:r>
      <w:r w:rsidRPr="00072ABC">
        <w:rPr>
          <w:rFonts w:cs="Arial"/>
        </w:rPr>
        <w:t>zero carbon technology when the electricity is low carbon, which is highlighted by Wu et al. (2025)</w:t>
      </w:r>
      <w:r w:rsidR="007F3E3C" w:rsidRPr="00072ABC">
        <w:rPr>
          <w:rFonts w:cs="Arial"/>
        </w:rPr>
        <w:t xml:space="preserve"> , </w:t>
      </w:r>
      <w:r w:rsidR="007F3E3C" w:rsidRPr="00072ABC">
        <w:rPr>
          <w:rFonts w:cs="Arial"/>
        </w:rPr>
        <w:fldChar w:fldCharType="begin" w:fldLock="1"/>
      </w:r>
      <w:r w:rsidR="007F3E3C" w:rsidRPr="00072ABC">
        <w:rPr>
          <w:rFonts w:cs="Arial"/>
        </w:rPr>
        <w:instrText>ADDIN CSL_CITATION {"citationItems":[{"id":"ITEM-1","itemData":{"URL":"https://www.steel-technology.com/articles/moving-towards-the-low-carbon-steelmaking","author":[{"dropping-particle":"","family":"Steel-Technology","given":"","non-dropping-particle":"","parse-names":false,"suffix":""}],"id":"ITEM-1","issued":{"date-parts":[["2026"]]},"title":"Electric Arc Furnaces and Scrap Steel: Moving towards the Low-Carbon Steelmaking.","type":"webpage"},"uris":["http://www.mendeley.com/documents/?uuid=e724f3b2-1762-4c54-a60d-8622e13e6f9d"]}],"mendeley":{"formattedCitation":"(Steel-Technology, 2026)","plainTextFormattedCitation":"(Steel-Technology, 2026)","previouslyFormattedCitation":"(Steel-Technology, 2026)"},"properties":{"noteIndex":0},"schema":"https://github.com/citation-style-language/schema/raw/master/csl-citation.json"}</w:instrText>
      </w:r>
      <w:r w:rsidR="007F3E3C" w:rsidRPr="00072ABC">
        <w:rPr>
          <w:rFonts w:cs="Arial"/>
        </w:rPr>
        <w:fldChar w:fldCharType="separate"/>
      </w:r>
      <w:r w:rsidR="007F3E3C" w:rsidRPr="00072ABC">
        <w:rPr>
          <w:rFonts w:cs="Arial"/>
          <w:noProof/>
        </w:rPr>
        <w:t>(Steel-Technology, 2026)</w:t>
      </w:r>
      <w:r w:rsidR="007F3E3C" w:rsidRPr="00072ABC">
        <w:rPr>
          <w:rFonts w:cs="Arial"/>
        </w:rPr>
        <w:fldChar w:fldCharType="end"/>
      </w:r>
      <w:r w:rsidRPr="00072ABC">
        <w:rPr>
          <w:rFonts w:cs="Arial"/>
        </w:rPr>
        <w:t>.</w:t>
      </w:r>
      <w:r w:rsidR="00566C22" w:rsidRPr="00072ABC">
        <w:rPr>
          <w:rFonts w:cs="Arial"/>
        </w:rPr>
        <w:t xml:space="preserve"> </w:t>
      </w:r>
      <w:r w:rsidRPr="00072ABC">
        <w:rPr>
          <w:rFonts w:cs="Arial"/>
        </w:rPr>
        <w:t>The carbon intensity of the electricity, transport, alloy inputs and quality are important to performance. The presence of copper will prevent scrap from being used in automotive applications. With just energy and cost in mind, Devlin et al. (2023) demonstrate that the higher the percentage of scrap, the lower the energy and cost, but Johnson et al. (2025) illustrate, particularly in terms of quantity and quality, that this is not a viable option to replace all primary steel with scrap</w:t>
      </w:r>
      <w:r w:rsidR="007F3E3C" w:rsidRPr="00072ABC">
        <w:rPr>
          <w:rFonts w:cs="Arial"/>
        </w:rPr>
        <w:t xml:space="preserve"> </w:t>
      </w:r>
      <w:r w:rsidR="007F3E3C" w:rsidRPr="00072ABC">
        <w:rPr>
          <w:rFonts w:cs="Arial"/>
        </w:rPr>
        <w:fldChar w:fldCharType="begin" w:fldLock="1"/>
      </w:r>
      <w:r w:rsidR="007F3E3C" w:rsidRPr="00072ABC">
        <w:rPr>
          <w:rFonts w:cs="Arial"/>
        </w:rPr>
        <w:instrText>ADDIN CSL_CITATION {"citationItems":[{"id":"ITEM-1","itemData":{"author":[{"dropping-particle":"","family":"Wang","given":"Tong","non-dropping-particle":"","parse-names":false,"suffix":""},{"dropping-particle":"","family":"Berrill","given":"Peter","non-dropping-particle":"","parse-names":false,"suffix":""},{"dropping-particle":"","family":"Zimmerman","given":"Julie B.","non-dropping-particle":"","parse-names":false,"suffix":""},{"dropping-particle":"","family":"Hertwich","given":"Edgar G.","non-dropping-particle":"","parse-names":false,"suffix":""}],"container-title":"Environmental Science &amp; Technology","id":"ITEM-1","issue":"8","issued":{"date-parts":[["2021","4","20"]]},"page":"5485-5495","title":"Copper Recycling Flow Model for the United States Economy: Impact of Scrap Quality on Potential Energy Benefit","type":"article-journal","volume":"55"},"uris":["http://www.mendeley.com/documents/?uuid=d086f237-d4e5-4d8a-9e74-f715cec93f59"]}],"mendeley":{"formattedCitation":"(Wang &lt;i&gt;et al.&lt;/i&gt;, 2021)","plainTextFormattedCitation":"(Wang et al., 2021)","previouslyFormattedCitation":"(Wang &lt;i&gt;et al.&lt;/i&gt;, 2021)"},"properties":{"noteIndex":0},"schema":"https://github.com/citation-style-language/schema/raw/master/csl-citation.json"}</w:instrText>
      </w:r>
      <w:r w:rsidR="007F3E3C" w:rsidRPr="00072ABC">
        <w:rPr>
          <w:rFonts w:cs="Arial"/>
        </w:rPr>
        <w:fldChar w:fldCharType="separate"/>
      </w:r>
      <w:r w:rsidR="007F3E3C" w:rsidRPr="00072ABC">
        <w:rPr>
          <w:rFonts w:cs="Arial"/>
          <w:noProof/>
        </w:rPr>
        <w:t xml:space="preserve">(Wang </w:t>
      </w:r>
      <w:r w:rsidR="007F3E3C" w:rsidRPr="00072ABC">
        <w:rPr>
          <w:rFonts w:cs="Arial"/>
          <w:i/>
          <w:noProof/>
        </w:rPr>
        <w:t>et al.</w:t>
      </w:r>
      <w:r w:rsidR="007F3E3C" w:rsidRPr="00072ABC">
        <w:rPr>
          <w:rFonts w:cs="Arial"/>
          <w:noProof/>
        </w:rPr>
        <w:t>, 2021)</w:t>
      </w:r>
      <w:r w:rsidR="007F3E3C" w:rsidRPr="00072ABC">
        <w:rPr>
          <w:rFonts w:cs="Arial"/>
        </w:rPr>
        <w:fldChar w:fldCharType="end"/>
      </w:r>
      <w:r w:rsidRPr="00072ABC">
        <w:rPr>
          <w:rFonts w:cs="Arial"/>
        </w:rPr>
        <w:t>. Then to hydrogen direct reduced iron (DRI) for high</w:t>
      </w:r>
      <w:r w:rsidR="00072ABC">
        <w:rPr>
          <w:rFonts w:cs="Arial"/>
        </w:rPr>
        <w:t>-</w:t>
      </w:r>
      <w:r w:rsidRPr="00072ABC">
        <w:rPr>
          <w:rFonts w:cs="Arial"/>
        </w:rPr>
        <w:t>quality primary steel, high-grade sorting and closed</w:t>
      </w:r>
      <w:r w:rsidR="00072ABC">
        <w:rPr>
          <w:rFonts w:cs="Arial"/>
        </w:rPr>
        <w:t>-</w:t>
      </w:r>
      <w:r w:rsidRPr="00072ABC">
        <w:rPr>
          <w:rFonts w:cs="Arial"/>
        </w:rPr>
        <w:t>loop collection, and finally, on to renewable fuel EAFs for Tata. This is a rejection of the notion that there is some new technological fix to the problem of the environment. This is not all the pressure carbon. The land use for iron-ore and coal mining affects land, biodiversity and water, a</w:t>
      </w:r>
      <w:r w:rsidR="00072ABC">
        <w:rPr>
          <w:rFonts w:cs="Arial"/>
        </w:rPr>
        <w:t>nd</w:t>
      </w:r>
      <w:r w:rsidRPr="00072ABC">
        <w:rPr>
          <w:rFonts w:cs="Arial"/>
        </w:rPr>
        <w:t xml:space="preserve"> the production of steel has an impact on particulates, sulphur oxides, slag and wastewater. Increased focus on life-cycle impacts</w:t>
      </w:r>
      <w:r w:rsidR="00072ABC">
        <w:rPr>
          <w:rFonts w:cs="Arial"/>
        </w:rPr>
        <w:t>,</w:t>
      </w:r>
      <w:r w:rsidRPr="00072ABC">
        <w:rPr>
          <w:rFonts w:cs="Arial"/>
        </w:rPr>
        <w:t xml:space="preserve"> as there is growing interest from buyers </w:t>
      </w:r>
      <w:r w:rsidR="00072ABC">
        <w:rPr>
          <w:rFonts w:cs="Arial"/>
        </w:rPr>
        <w:t>i</w:t>
      </w:r>
      <w:r w:rsidRPr="00072ABC">
        <w:rPr>
          <w:rFonts w:cs="Arial"/>
        </w:rPr>
        <w:t>n the negative impacts. Tata's environmental product declarations (EPDs) for slabs, cold-rolled steel (CRS) and galvanised steel make life more transparent. But statements are not a decrease in impacts</w:t>
      </w:r>
      <w:r w:rsidR="007F3E3C" w:rsidRPr="00072ABC">
        <w:rPr>
          <w:rFonts w:cs="Arial"/>
        </w:rPr>
        <w:t xml:space="preserve"> </w:t>
      </w:r>
      <w:r w:rsidR="007F3E3C" w:rsidRPr="00072ABC">
        <w:rPr>
          <w:rFonts w:cs="Arial"/>
        </w:rPr>
        <w:fldChar w:fldCharType="begin" w:fldLock="1"/>
      </w:r>
      <w:r w:rsidR="007332CE" w:rsidRPr="00072ABC">
        <w:rPr>
          <w:rFonts w:cs="Arial"/>
        </w:rPr>
        <w:instrText>ADDIN CSL_CITATION {"citationItems":[{"id":"ITEM-1","itemData":{"ISSN":"2071-1050","abstract":"The current investigation aimed to assess the impact of land use changes on groundwater quality because of the extensive mining activities in the coal mining province of the Mahan River catchment area, which is located in the Surguja district of Chhattisgarh, India. The water quality index (WQI), Collin’s ratio, stable isotope ratios of water molecules (δ18O and δD), and various physicochemical parameters were measured to determine the suitability of water for domestic purposes. Water samples collected from dug wells, tube wells, river water, and mine water were analyzed, and the results revealed that 28% of the samples were classified as excellent and 44%were classified as good during the pre-monsoon period. In the post-monsoon period, 50% of the samples were categorized as good, while 35% were classified as poor, whereas in mining areas, 54% of samples were found to be unsuitable during the pre-monsoon period, and this increased to 77% in the post-monsoon period. Stable isotope analysis was also conducted: samples were plotted to the right of the Local Meteoric Water Line (LMWL) in the isotope bivariate plot, and the observed slopes for all samples were smaller than that of the LMWL. The enrichment of the δ18O ratio and negative d-excess values at certain locations suggest the occurrence of non-equilibrium processes and mixing mechanisms.","author":[{"dropping-particle":"","family":"Kausher","given":"Rukaiya","non-dropping-particle":"","parse-names":false,"suffix":""},{"dropping-particle":"","family":"Singh","given":"Rambabu","non-dropping-particle":"","parse-names":false,"suffix":""},{"dropping-particle":"","family":"Sinha","given":"Anand Kumar","non-dropping-particle":"","parse-names":false,"suffix":""},{"dropping-particle":"","family":"Sethy","given":"Satya Narayan","non-dropping-particle":"","parse-names":false,"suffix":""},{"dropping-particle":"","family":"Kumar","given":"Sudhir","non-dropping-particle":"","parse-names":false,"suffix":""},{"dropping-particle":"","family":"Pandey","given":"Shatrudhan","non-dropping-particle":"","parse-names":false,"suffix":""},{"dropping-particle":"","family":"Ragab","given":"Adham E.","non-dropping-particle":"","parse-names":false,"suffix":""},{"dropping-particle":"","family":"Mohamed","given":"Ahmed","non-dropping-particle":"","parse-names":false,"suffix":""}],"container-title":"Sustainability","id":"ITEM-1","issue":"14","issued":{"date-parts":[["2023","7","14"]]},"page":"11041","title":"Assessing Impacts of Mining-Induced Land Use Changes on Groundwater and Surface Water Quality Using Isotopic and Hydrogeochemical Signatures","type":"article-journal","volume":"15"},"uris":["http://www.mendeley.com/documents/?uuid=f04a6eb6-6be6-4b86-9a81-70f820e64ced"]}],"mendeley":{"formattedCitation":"(Kausher &lt;i&gt;et al.&lt;/i&gt;, 2023)","plainTextFormattedCitation":"(Kausher et al., 2023)","previouslyFormattedCitation":"(Kausher &lt;i&gt;et al.&lt;/i&gt;, 2023)"},"properties":{"noteIndex":0},"schema":"https://github.com/citation-style-language/schema/raw/master/csl-citation.json"}</w:instrText>
      </w:r>
      <w:r w:rsidR="007F3E3C" w:rsidRPr="00072ABC">
        <w:rPr>
          <w:rFonts w:cs="Arial"/>
        </w:rPr>
        <w:fldChar w:fldCharType="separate"/>
      </w:r>
      <w:r w:rsidR="007F3E3C" w:rsidRPr="00072ABC">
        <w:rPr>
          <w:rFonts w:cs="Arial"/>
          <w:noProof/>
        </w:rPr>
        <w:t xml:space="preserve">(Kausher </w:t>
      </w:r>
      <w:r w:rsidR="007F3E3C" w:rsidRPr="00072ABC">
        <w:rPr>
          <w:rFonts w:cs="Arial"/>
          <w:i/>
          <w:noProof/>
        </w:rPr>
        <w:t>et al.</w:t>
      </w:r>
      <w:r w:rsidR="007F3E3C" w:rsidRPr="00072ABC">
        <w:rPr>
          <w:rFonts w:cs="Arial"/>
          <w:noProof/>
        </w:rPr>
        <w:t>, 2023)</w:t>
      </w:r>
      <w:r w:rsidR="007F3E3C" w:rsidRPr="00072ABC">
        <w:rPr>
          <w:rFonts w:cs="Arial"/>
        </w:rPr>
        <w:fldChar w:fldCharType="end"/>
      </w:r>
      <w:r w:rsidRPr="00072ABC">
        <w:rPr>
          <w:rFonts w:cs="Arial"/>
        </w:rPr>
        <w:t>. Absorbing change, rather than making absolute cuts, and marketing can be ways to greenwash. A business opportunity has some factors that contribute to it. Lower Carbon steel assists automotive and construction customers to reduce their embedded emissions, satisfy procurement needs and plan for future regulations. But just 10% or less of the materials surveyed customers reported taking premiums of approximately 10%. The segments that Tata will be looking for to extract value from customers based on their carbon exposure and prove total value will cover lower compliance risk, tender eligibility, traceability and Scope 3 evidence</w:t>
      </w:r>
      <w:r w:rsidR="007332CE" w:rsidRPr="00072ABC">
        <w:rPr>
          <w:rFonts w:cs="Arial"/>
        </w:rPr>
        <w:t xml:space="preserve"> </w:t>
      </w:r>
      <w:r w:rsidR="007332CE" w:rsidRPr="00072ABC">
        <w:rPr>
          <w:rFonts w:cs="Arial"/>
        </w:rPr>
        <w:fldChar w:fldCharType="begin" w:fldLock="1"/>
      </w:r>
      <w:r w:rsidR="007332CE" w:rsidRPr="00072ABC">
        <w:rPr>
          <w:rFonts w:cs="Arial"/>
        </w:rPr>
        <w:instrText>ADDIN CSL_CITATION {"citationItems":[{"id":"ITEM-1","itemData":{"author":[{"dropping-particle":"","family":"Aflaki","given":"Lucian","non-dropping-particle":"","parse-names":false,"suffix":""},{"dropping-particle":"","family":"Nordberg","given":"Hannes","non-dropping-particle":"","parse-names":false,"suffix":""}],"id":"ITEM-1","issue":"May","issued":{"date-parts":[["2026"]]},"title":"The Green Steel Market : Evaluating the OEM Business Case and the Role of Decarbonisation Targets as Strategic Drivers in the Automotive Sector","type":"article-journal"},"uris":["http://www.mendeley.com/documents/?uuid=04f3d3ff-d806-45d2-8551-9b5dd13e1262"]}],"mendeley":{"formattedCitation":"(Aflaki and Nordberg, 2026)","plainTextFormattedCitation":"(Aflaki and Nordberg, 2026)","previouslyFormattedCitation":"(Aflaki and Nordberg, 2026)"},"properties":{"noteIndex":0},"schema":"https://github.com/citation-style-language/schema/raw/master/csl-citation.json"}</w:instrText>
      </w:r>
      <w:r w:rsidR="007332CE" w:rsidRPr="00072ABC">
        <w:rPr>
          <w:rFonts w:cs="Arial"/>
        </w:rPr>
        <w:fldChar w:fldCharType="separate"/>
      </w:r>
      <w:r w:rsidR="007332CE" w:rsidRPr="00072ABC">
        <w:rPr>
          <w:rFonts w:cs="Arial"/>
          <w:noProof/>
        </w:rPr>
        <w:t>(Aflaki and Nordberg, 2026)</w:t>
      </w:r>
      <w:r w:rsidR="007332CE" w:rsidRPr="00072ABC">
        <w:rPr>
          <w:rFonts w:cs="Arial"/>
        </w:rPr>
        <w:fldChar w:fldCharType="end"/>
      </w:r>
      <w:r w:rsidRPr="00072ABC">
        <w:rPr>
          <w:rFonts w:cs="Arial"/>
        </w:rPr>
        <w:t xml:space="preserve">. </w:t>
      </w:r>
    </w:p>
    <w:p w14:paraId="4FE29852" w14:textId="2139837A" w:rsidR="005623EF" w:rsidRPr="00072ABC" w:rsidRDefault="005623EF" w:rsidP="00072ABC">
      <w:pPr>
        <w:spacing w:line="360" w:lineRule="auto"/>
        <w:jc w:val="both"/>
        <w:rPr>
          <w:rFonts w:cs="Arial"/>
        </w:rPr>
      </w:pPr>
      <w:r w:rsidRPr="00072ABC">
        <w:rPr>
          <w:rFonts w:cs="Arial"/>
        </w:rPr>
        <w:lastRenderedPageBreak/>
        <w:t>Figure 1: Greenhouse Gas Emissions by Economic Sector</w:t>
      </w:r>
    </w:p>
    <w:p w14:paraId="324D3F98" w14:textId="30468D39" w:rsidR="005623EF" w:rsidRPr="00072ABC" w:rsidRDefault="005623EF" w:rsidP="00072ABC">
      <w:pPr>
        <w:spacing w:line="360" w:lineRule="auto"/>
        <w:jc w:val="both"/>
        <w:rPr>
          <w:rFonts w:cs="Arial"/>
        </w:rPr>
      </w:pPr>
      <w:r w:rsidRPr="00072ABC">
        <w:rPr>
          <w:rFonts w:cs="Arial"/>
          <w:noProof/>
        </w:rPr>
        <w:drawing>
          <wp:inline distT="0" distB="0" distL="0" distR="0" wp14:anchorId="7D765357" wp14:editId="2E37DDD9">
            <wp:extent cx="4935855" cy="3674745"/>
            <wp:effectExtent l="0" t="0" r="0" b="1905"/>
            <wp:docPr id="12546501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5855" cy="3674745"/>
                    </a:xfrm>
                    <a:prstGeom prst="rect">
                      <a:avLst/>
                    </a:prstGeom>
                    <a:noFill/>
                    <a:ln>
                      <a:noFill/>
                    </a:ln>
                  </pic:spPr>
                </pic:pic>
              </a:graphicData>
            </a:graphic>
          </wp:inline>
        </w:drawing>
      </w:r>
    </w:p>
    <w:p w14:paraId="4D542B84" w14:textId="4264B63D" w:rsidR="005623EF" w:rsidRPr="00072ABC" w:rsidRDefault="005623EF" w:rsidP="00072ABC">
      <w:pPr>
        <w:spacing w:line="360" w:lineRule="auto"/>
        <w:jc w:val="both"/>
        <w:rPr>
          <w:rFonts w:cs="Arial"/>
        </w:rPr>
      </w:pPr>
      <w:r w:rsidRPr="00072ABC">
        <w:rPr>
          <w:rFonts w:cs="Arial"/>
          <w:b/>
          <w:bCs/>
        </w:rPr>
        <w:t>Source</w:t>
      </w:r>
      <w:r w:rsidRPr="00072ABC">
        <w:rPr>
          <w:rFonts w:cs="Arial"/>
        </w:rPr>
        <w:t xml:space="preserve">: </w:t>
      </w:r>
      <w:r w:rsidR="007332CE" w:rsidRPr="00072ABC">
        <w:rPr>
          <w:rFonts w:cs="Arial"/>
        </w:rPr>
        <w:fldChar w:fldCharType="begin" w:fldLock="1"/>
      </w:r>
      <w:r w:rsidR="007332CE" w:rsidRPr="00072ABC">
        <w:rPr>
          <w:rFonts w:cs="Arial"/>
        </w:rPr>
        <w:instrText>ADDIN CSL_CITATION {"citationItems":[{"id":"ITEM-1","itemData":{"ISSN":"2071-1050","abstract":"The purpose of this qualitative single case study was to explore how a single company with a high fossil fuel use adapted to the triple bottom line approach encompassing social, environmental, and economic sustainability. Sensemaking was used to examine employee perspectives and provide context to business activities. This in-depth examination used publicly available documents, site observations, and 14 semi-structured interviews with three executives, three directors, four managers, three hourly employees, and one truck driver. The findings reveal that the history of Integrated Transportation Services (ITS) Logistics contributed to leadership actions that were paramount to the efforts toward economic sustainability and growth, along with current practices related to the long-established organizational culture. Additionally, the company’s organizational culture, along with the established core values at ITS Logistics, was found to be critical in the integration of environmental sustainability. A discussion of these findings and related implications for practice are noted in accordance with the related literature.","author":[{"dropping-particle":"","family":"Lufrano-Jardine","given":"Stallar","non-dropping-particle":"","parse-names":false,"suffix":""},{"dropping-particle":"","family":"Sanchez","given":"Jafeth E.","non-dropping-particle":"","parse-names":false,"suffix":""}],"container-title":"Sustainability","id":"ITEM-1","issue":"18","issued":{"date-parts":[["2025","9","18"]]},"page":"8392","title":"Environmental Sustainability as a Core Value in a Company with a High Carbon Footprint","type":"article-journal","volume":"17"},"uris":["http://www.mendeley.com/documents/?uuid=c847709e-03aa-4ca9-a405-b5bdbb03a75f"]}],"mendeley":{"formattedCitation":"(Lufrano-Jardine and Sanchez, 2025)","plainTextFormattedCitation":"(Lufrano-Jardine and Sanchez, 2025)","previouslyFormattedCitation":"(Lufrano-Jardine and Sanchez, 2025)"},"properties":{"noteIndex":0},"schema":"https://github.com/citation-style-language/schema/raw/master/csl-citation.json"}</w:instrText>
      </w:r>
      <w:r w:rsidR="007332CE" w:rsidRPr="00072ABC">
        <w:rPr>
          <w:rFonts w:cs="Arial"/>
        </w:rPr>
        <w:fldChar w:fldCharType="separate"/>
      </w:r>
      <w:r w:rsidR="007332CE" w:rsidRPr="00072ABC">
        <w:rPr>
          <w:rFonts w:cs="Arial"/>
          <w:noProof/>
        </w:rPr>
        <w:t>(Lufrano-Jardine and Sanchez, 2025)</w:t>
      </w:r>
      <w:r w:rsidR="007332CE" w:rsidRPr="00072ABC">
        <w:rPr>
          <w:rFonts w:cs="Arial"/>
        </w:rPr>
        <w:fldChar w:fldCharType="end"/>
      </w:r>
    </w:p>
    <w:p w14:paraId="271BB0AC" w14:textId="77777777" w:rsidR="00D55A48" w:rsidRPr="00072ABC" w:rsidRDefault="00D55A48" w:rsidP="00072ABC">
      <w:pPr>
        <w:spacing w:line="360" w:lineRule="auto"/>
        <w:jc w:val="both"/>
        <w:rPr>
          <w:rFonts w:cs="Arial"/>
        </w:rPr>
      </w:pPr>
    </w:p>
    <w:p w14:paraId="669E1FA1" w14:textId="4FE4B98C" w:rsidR="006D7CF4" w:rsidRPr="00072ABC" w:rsidRDefault="006D7CF4" w:rsidP="00072ABC">
      <w:pPr>
        <w:pStyle w:val="Heading2"/>
      </w:pPr>
      <w:bookmarkStart w:id="4" w:name="_Toc235792273"/>
      <w:r w:rsidRPr="00072ABC">
        <w:t>1.3 Government and Regulatory Actor</w:t>
      </w:r>
      <w:bookmarkEnd w:id="4"/>
    </w:p>
    <w:p w14:paraId="655FC92B" w14:textId="7D98EF4C" w:rsidR="006D7CF4" w:rsidRPr="00072ABC" w:rsidRDefault="006D7CF4" w:rsidP="00072ABC">
      <w:pPr>
        <w:spacing w:line="360" w:lineRule="auto"/>
        <w:jc w:val="both"/>
        <w:rPr>
          <w:rFonts w:cs="Arial"/>
        </w:rPr>
      </w:pPr>
      <w:r w:rsidRPr="00072ABC">
        <w:rPr>
          <w:rFonts w:cs="Arial"/>
        </w:rPr>
        <w:t>Government can influence green-steel economics through subsidies, carbon pricing, standards, and procurement and is decisive. Public risk sharing (as provided for in the UK government's support for the EAF in Port Talbot, which has been funded to the tune of £1.25bn) can facilitate commercially unwanted but highly desirable decarbonisation. An intervention keeps the domestic capacity and about 5,000 jobs</w:t>
      </w:r>
      <w:r w:rsidR="00072ABC">
        <w:rPr>
          <w:rFonts w:cs="Arial"/>
        </w:rPr>
        <w:t>,</w:t>
      </w:r>
      <w:r w:rsidRPr="00072ABC">
        <w:rPr>
          <w:rFonts w:cs="Arial"/>
        </w:rPr>
        <w:t xml:space="preserve"> but if the blast furnace is closed, there are redundancies and disruptions to the </w:t>
      </w:r>
      <w:r w:rsidR="00566C22" w:rsidRPr="00072ABC">
        <w:rPr>
          <w:rFonts w:cs="Arial"/>
        </w:rPr>
        <w:t>region</w:t>
      </w:r>
      <w:r w:rsidR="007332CE" w:rsidRPr="00072ABC">
        <w:rPr>
          <w:rFonts w:cs="Arial"/>
        </w:rPr>
        <w:t xml:space="preserve"> </w:t>
      </w:r>
      <w:r w:rsidR="007332CE" w:rsidRPr="00072ABC">
        <w:rPr>
          <w:rFonts w:cs="Arial"/>
        </w:rPr>
        <w:fldChar w:fldCharType="begin" w:fldLock="1"/>
      </w:r>
      <w:r w:rsidR="007332CE" w:rsidRPr="00072ABC">
        <w:rPr>
          <w:rFonts w:cs="Arial"/>
        </w:rPr>
        <w:instrText>ADDIN CSL_CITATION {"citationItems":[{"id":"ITEM-1","itemData":{"author":[{"dropping-particle":"","family":"Climatecatalyst","given":"","non-dropping-particle":"","parse-names":false,"suffix":""}],"id":"ITEM-1","issued":{"date-parts":[["2026"]]},"title":"Catalysing Demand for Green Steel through Public Procurement in India","type":"article-journal"},"uris":["http://www.mendeley.com/documents/?uuid=34696737-1415-4c39-ad30-b97bcec2b689"]}],"mendeley":{"formattedCitation":"(Climatecatalyst, 2026)","plainTextFormattedCitation":"(Climatecatalyst, 2026)","previouslyFormattedCitation":"(Climatecatalyst, 2026)"},"properties":{"noteIndex":0},"schema":"https://github.com/citation-style-language/schema/raw/master/csl-citation.json"}</w:instrText>
      </w:r>
      <w:r w:rsidR="007332CE" w:rsidRPr="00072ABC">
        <w:rPr>
          <w:rFonts w:cs="Arial"/>
        </w:rPr>
        <w:fldChar w:fldCharType="separate"/>
      </w:r>
      <w:r w:rsidR="007332CE" w:rsidRPr="00072ABC">
        <w:rPr>
          <w:rFonts w:cs="Arial"/>
          <w:noProof/>
        </w:rPr>
        <w:t>(Climatecatalyst, 2026)</w:t>
      </w:r>
      <w:r w:rsidR="007332CE" w:rsidRPr="00072ABC">
        <w:rPr>
          <w:rFonts w:cs="Arial"/>
        </w:rPr>
        <w:fldChar w:fldCharType="end"/>
      </w:r>
      <w:r w:rsidR="00566C22" w:rsidRPr="00072ABC">
        <w:rPr>
          <w:rFonts w:cs="Arial"/>
        </w:rPr>
        <w:t>. The</w:t>
      </w:r>
      <w:r w:rsidRPr="00072ABC">
        <w:rPr>
          <w:rFonts w:cs="Arial"/>
        </w:rPr>
        <w:t xml:space="preserve"> Regulation also provides for the use of verified emissions data as market access. EU Carbon Border Adjustment Mechanism (CBAM) will </w:t>
      </w:r>
      <w:r w:rsidR="00BA6556" w:rsidRPr="00072ABC">
        <w:rPr>
          <w:rFonts w:cs="Arial"/>
        </w:rPr>
        <w:t>enter</w:t>
      </w:r>
      <w:r w:rsidRPr="00072ABC">
        <w:rPr>
          <w:rFonts w:cs="Arial"/>
        </w:rPr>
        <w:t xml:space="preserve"> its definitive phase on 1 January 2026 and will require importers of goods subject to the CBAM to report embedded emissions and to purchase carbon certificates</w:t>
      </w:r>
      <w:r w:rsidR="007332CE" w:rsidRPr="00072ABC">
        <w:rPr>
          <w:rFonts w:cs="Arial"/>
        </w:rPr>
        <w:t xml:space="preserve"> </w:t>
      </w:r>
      <w:r w:rsidR="007332CE" w:rsidRPr="00072ABC">
        <w:rPr>
          <w:rFonts w:cs="Arial"/>
        </w:rPr>
        <w:fldChar w:fldCharType="begin" w:fldLock="1"/>
      </w:r>
      <w:r w:rsidR="007332CE" w:rsidRPr="00072ABC">
        <w:rPr>
          <w:rFonts w:cs="Arial"/>
        </w:rPr>
        <w:instrText>ADDIN CSL_CITATION {"citationItems":[{"id":"ITEM-1","itemData":{"URL":"https://oneclicklca.com/en/resources/articles/cbam-a-guide-to-carbon-border-adjustment-mechanism","author":[{"dropping-particle":"","family":"Zacharia","given":"Melina","non-dropping-particle":"","parse-names":false,"suffix":""}],"id":"ITEM-1","issued":{"date-parts":[["2026"]]},"title":"CBAM: A guide to Carbon Border Adjustment Mechanism","type":"webpage"},"uris":["http://www.mendeley.com/documents/?uuid=ecfdd12c-22c7-4d62-8da6-2df78a3524a1"]}],"mendeley":{"formattedCitation":"(Zacharia, 2026)","plainTextFormattedCitation":"(Zacharia, 2026)","previouslyFormattedCitation":"(Zacharia, 2026)"},"properties":{"noteIndex":0},"schema":"https://github.com/citation-style-language/schema/raw/master/csl-citation.json"}</w:instrText>
      </w:r>
      <w:r w:rsidR="007332CE" w:rsidRPr="00072ABC">
        <w:rPr>
          <w:rFonts w:cs="Arial"/>
        </w:rPr>
        <w:fldChar w:fldCharType="separate"/>
      </w:r>
      <w:r w:rsidR="007332CE" w:rsidRPr="00072ABC">
        <w:rPr>
          <w:rFonts w:cs="Arial"/>
          <w:noProof/>
        </w:rPr>
        <w:t>(Zacharia, 2026)</w:t>
      </w:r>
      <w:r w:rsidR="007332CE" w:rsidRPr="00072ABC">
        <w:rPr>
          <w:rFonts w:cs="Arial"/>
        </w:rPr>
        <w:fldChar w:fldCharType="end"/>
      </w:r>
      <w:r w:rsidRPr="00072ABC">
        <w:rPr>
          <w:rFonts w:cs="Arial"/>
        </w:rPr>
        <w:t>. CBAM will offer incentive</w:t>
      </w:r>
      <w:r w:rsidR="00072ABC">
        <w:rPr>
          <w:rFonts w:cs="Arial"/>
        </w:rPr>
        <w:t>s</w:t>
      </w:r>
      <w:r w:rsidRPr="00072ABC">
        <w:rPr>
          <w:rFonts w:cs="Arial"/>
        </w:rPr>
        <w:t xml:space="preserve"> for cost reduction of imports containing more carbon and incentivise Tata's lower carbon product to become competitive. </w:t>
      </w:r>
    </w:p>
    <w:p w14:paraId="26B55D0D" w14:textId="77777777" w:rsidR="006D7CF4" w:rsidRPr="00072ABC" w:rsidRDefault="006D7CF4" w:rsidP="00072ABC">
      <w:pPr>
        <w:pStyle w:val="Heading2"/>
      </w:pPr>
      <w:bookmarkStart w:id="5" w:name="_Toc235792274"/>
      <w:r w:rsidRPr="00072ABC">
        <w:lastRenderedPageBreak/>
        <w:t>1.4 Critical Synthesis</w:t>
      </w:r>
      <w:bookmarkEnd w:id="5"/>
    </w:p>
    <w:p w14:paraId="33DFDC27" w14:textId="65FED560" w:rsidR="006D7CF4" w:rsidRPr="00072ABC" w:rsidRDefault="00034BC5" w:rsidP="00072ABC">
      <w:pPr>
        <w:spacing w:line="360" w:lineRule="auto"/>
        <w:jc w:val="both"/>
        <w:rPr>
          <w:rFonts w:cs="Arial"/>
        </w:rPr>
      </w:pPr>
      <w:r w:rsidRPr="00072ABC">
        <w:rPr>
          <w:rFonts w:cs="Arial"/>
        </w:rPr>
        <w:br/>
        <w:t>Subsidies, carbon costs and disclosure requirements reflect the physical and market imperative to decarbonise, which is driven by the natural environment, and are then imposed by government. Their relationship is also an established alternative to low-carbon steel, which has some drawbacks, such as electricity, quality of steel scrap, capital, employment and customers' willingness to pay. Hence</w:t>
      </w:r>
      <w:r w:rsidR="00072ABC">
        <w:rPr>
          <w:rFonts w:cs="Arial"/>
        </w:rPr>
        <w:t>,</w:t>
      </w:r>
      <w:r w:rsidRPr="00072ABC">
        <w:rPr>
          <w:rFonts w:cs="Arial"/>
        </w:rPr>
        <w:t xml:space="preserve"> Tata should be looking to shift towards specific products as more negative carbon products and even to be mentioning the absolute emissions of the portfolios, which is backed by independent certification. This was an evidence-based approach which would be complementary to the marketing transformation and provide a basis for defensible Ansoff product development</w:t>
      </w:r>
      <w:r w:rsidR="006D7CF4" w:rsidRPr="00072ABC">
        <w:rPr>
          <w:rFonts w:cs="Arial"/>
        </w:rPr>
        <w:t>.</w:t>
      </w:r>
    </w:p>
    <w:p w14:paraId="2E0D934B" w14:textId="77777777" w:rsidR="006D7CF4" w:rsidRPr="00072ABC" w:rsidRDefault="006D7CF4" w:rsidP="00072ABC">
      <w:pPr>
        <w:pStyle w:val="Heading1"/>
      </w:pPr>
      <w:bookmarkStart w:id="6" w:name="_Toc235792275"/>
      <w:r w:rsidRPr="00072ABC">
        <w:t>Task 2: Strategic Growth and Competitive Positioning</w:t>
      </w:r>
      <w:bookmarkEnd w:id="6"/>
    </w:p>
    <w:p w14:paraId="1FE41928" w14:textId="77777777" w:rsidR="00034BC5" w:rsidRPr="00072ABC" w:rsidRDefault="00034BC5" w:rsidP="00072ABC">
      <w:pPr>
        <w:pStyle w:val="Heading2"/>
      </w:pPr>
      <w:bookmarkStart w:id="7" w:name="_Toc235792276"/>
      <w:r w:rsidRPr="00072ABC">
        <w:t>2.1 Critical Evaluation of Ansoff Alternatives</w:t>
      </w:r>
      <w:bookmarkEnd w:id="7"/>
    </w:p>
    <w:p w14:paraId="0CA5D53F" w14:textId="7C4CC1FA" w:rsidR="00034BC5" w:rsidRPr="00072ABC" w:rsidRDefault="00034BC5" w:rsidP="00072ABC">
      <w:pPr>
        <w:spacing w:line="360" w:lineRule="auto"/>
        <w:jc w:val="both"/>
        <w:rPr>
          <w:rFonts w:cs="Arial"/>
        </w:rPr>
      </w:pPr>
      <w:r w:rsidRPr="00072ABC">
        <w:rPr>
          <w:rFonts w:cs="Arial"/>
        </w:rPr>
        <w:t>Ansoff's (1957) matrix categorises products and markets into four quadrants – market penetration, market development, product development and diversification – to help determine if the product or market is existing or new</w:t>
      </w:r>
      <w:r w:rsidR="007332CE" w:rsidRPr="00072ABC">
        <w:rPr>
          <w:rFonts w:cs="Arial"/>
        </w:rPr>
        <w:t xml:space="preserve"> </w:t>
      </w:r>
      <w:r w:rsidR="007332CE" w:rsidRPr="00072ABC">
        <w:rPr>
          <w:rFonts w:cs="Arial"/>
        </w:rPr>
        <w:fldChar w:fldCharType="begin" w:fldLock="1"/>
      </w:r>
      <w:r w:rsidR="007332CE" w:rsidRPr="00072ABC">
        <w:rPr>
          <w:rFonts w:cs="Arial"/>
        </w:rPr>
        <w:instrText>ADDIN CSL_CITATION {"citationItems":[{"id":"ITEM-1","itemData":{"URL":"https://www.researchgate.net/publication/382141729_The_Importance_of_the_Ansoff_Matrix_for_the_Study_of_the_Information_Services_Market","author":[{"dropping-particle":"","family":"Oliveira","given":"Ana Ferreira","non-dropping-particle":"","parse-names":false,"suffix":""},{"dropping-particle":"","family":"Marques","given":"Maria Beatriz","non-dropping-particle":"","parse-names":false,"suffix":""}],"id":"ITEM-1","issued":{"date-parts":[["2024"]]},"title":"The Importance of the Ansoff Matrix for the Study of the Information Services Market","type":"webpage"},"uris":["http://www.mendeley.com/documents/?uuid=70f75763-a404-4f40-b121-ed5a05f22bb6"]}],"mendeley":{"formattedCitation":"(Oliveira and Marques, 2024)","plainTextFormattedCitation":"(Oliveira and Marques, 2024)","previouslyFormattedCitation":"(Oliveira and Marques, 2024)"},"properties":{"noteIndex":0},"schema":"https://github.com/citation-style-language/schema/raw/master/csl-citation.json"}</w:instrText>
      </w:r>
      <w:r w:rsidR="007332CE" w:rsidRPr="00072ABC">
        <w:rPr>
          <w:rFonts w:cs="Arial"/>
        </w:rPr>
        <w:fldChar w:fldCharType="separate"/>
      </w:r>
      <w:r w:rsidR="007332CE" w:rsidRPr="00072ABC">
        <w:rPr>
          <w:rFonts w:cs="Arial"/>
          <w:noProof/>
        </w:rPr>
        <w:t>(Oliveira and Marques, 2024)</w:t>
      </w:r>
      <w:r w:rsidR="007332CE" w:rsidRPr="00072ABC">
        <w:rPr>
          <w:rFonts w:cs="Arial"/>
        </w:rPr>
        <w:fldChar w:fldCharType="end"/>
      </w:r>
      <w:r w:rsidRPr="00072ABC">
        <w:rPr>
          <w:rFonts w:cs="Arial"/>
        </w:rPr>
        <w:t xml:space="preserve">. Certainly, penetration would further stimulate conventional steel sales but would also add to the environmental/regulatory demands on Task 1. While </w:t>
      </w:r>
      <w:r w:rsidR="00072ABC">
        <w:rPr>
          <w:rFonts w:cs="Arial"/>
        </w:rPr>
        <w:t xml:space="preserve">the </w:t>
      </w:r>
      <w:r w:rsidRPr="00072ABC">
        <w:rPr>
          <w:rFonts w:cs="Arial"/>
        </w:rPr>
        <w:t xml:space="preserve">current level of grades can be transferred to new export markets once the EU Carbon Border Adjustment Mechanism (CBAM) comes into effect, it can help to reduce emissions-intensive exports. </w:t>
      </w:r>
    </w:p>
    <w:p w14:paraId="3415ED2E" w14:textId="77777777" w:rsidR="00714D82" w:rsidRDefault="00034BC5" w:rsidP="00072ABC">
      <w:pPr>
        <w:spacing w:line="360" w:lineRule="auto"/>
        <w:jc w:val="both"/>
        <w:rPr>
          <w:rFonts w:cs="Arial"/>
        </w:rPr>
      </w:pPr>
      <w:r w:rsidRPr="00072ABC">
        <w:rPr>
          <w:rFonts w:cs="Arial"/>
        </w:rPr>
        <w:t>The top risk mitigation: Tata should make sure there is independent testing of low</w:t>
      </w:r>
      <w:r w:rsidR="00072ABC">
        <w:rPr>
          <w:rFonts w:cs="Arial"/>
        </w:rPr>
        <w:t>-</w:t>
      </w:r>
      <w:r w:rsidRPr="00072ABC">
        <w:rPr>
          <w:rFonts w:cs="Arial"/>
        </w:rPr>
        <w:t>carbon grades for current customers from automotive, construction, engineering and packaging. The move reflects the current partnerships and technical expertise, as well as distribution channels, and will address the Scope 3, regulatory and procurement challenges of customers</w:t>
      </w:r>
      <w:r w:rsidR="007332CE" w:rsidRPr="00072ABC">
        <w:rPr>
          <w:rFonts w:cs="Arial"/>
        </w:rPr>
        <w:t xml:space="preserve"> </w:t>
      </w:r>
      <w:r w:rsidR="007332CE" w:rsidRPr="00072ABC">
        <w:rPr>
          <w:rFonts w:cs="Arial"/>
        </w:rPr>
        <w:fldChar w:fldCharType="begin" w:fldLock="1"/>
      </w:r>
      <w:r w:rsidR="008F1B75" w:rsidRPr="00072ABC">
        <w:rPr>
          <w:rFonts w:cs="Arial"/>
        </w:rPr>
        <w:instrText>ADDIN CSL_CITATION {"citationItems":[{"id":"ITEM-1","itemData":{"ISSN":"2225-1154","abstract":"Corporate climate transition is one of the greatest challenges and opportunities of the 21st century, shaping the future of business sustainability and aligning economic growth with global environmental goals. This article aims to identify the main barriers, opportunities, and best practices associated with the implementation of corporate climate transition plans. Based on a review of studies from leading databases—Scopus, Web of Science, ScienceDirect, and Google Scholar—the research categorizes barriers into economic, financial, political, regulatory, cultural, organizational, and technological dimensions. Opportunities are grouped into areas like sustainable finance, technological innovation, and resilience building. Best practices are organized into clusters, notably governance, energy efficiency, social equity, and just transition frameworks. In addition to advancing academic understanding, this study offers practical implications for key stakeholders. Financial institutions can use these findings to develop climate-aligned financial products tailored to corporate realities. Policymakers can improve regulatory frameworks to foster sustainable business practices and remove legislative barriers. Companies are empowered to refine their climate strategies, address operational constraints, and explore new sustainability-driven opportunities. By integrating scientific insights with real-world applicability, this review contributes to a more holistic understanding of corporate climate transition, bridging academic research with actionable pathways for businesses, financial actors, and public decision-makers.","author":[{"dropping-particle":"","family":"Kouloukoui","given":"Daniel","non-dropping-particle":"","parse-names":false,"suffix":""},{"dropping-particle":"","family":"Marcellis-Warin","given":"Nathalie","non-dropping-particle":"de","parse-names":false,"suffix":""},{"dropping-particle":"","family":"Warin","given":"Thierry","non-dropping-particle":"","parse-names":false,"suffix":""}],"container-title":"Climate","id":"ITEM-1","issue":"5","issued":{"date-parts":[["2025","4","29"]]},"page":"88","title":"Barriers, Opportunities, and Best Practices for Corporate Climate Transition Plans: A Literature Review","type":"article-journal","volume":"13"},"uris":["http://www.mendeley.com/documents/?uuid=6690974c-4e80-482d-ac57-286b09e70eaa"]}],"mendeley":{"formattedCitation":"(Kouloukoui, de Marcellis-Warin and Warin, 2025)","plainTextFormattedCitation":"(Kouloukoui, de Marcellis-Warin and Warin, 2025)","previouslyFormattedCitation":"(Kouloukoui, de Marcellis-Warin and Warin, 2025)"},"properties":{"noteIndex":0},"schema":"https://github.com/citation-style-language/schema/raw/master/csl-citation.json"}</w:instrText>
      </w:r>
      <w:r w:rsidR="007332CE" w:rsidRPr="00072ABC">
        <w:rPr>
          <w:rFonts w:cs="Arial"/>
        </w:rPr>
        <w:fldChar w:fldCharType="separate"/>
      </w:r>
      <w:r w:rsidR="007332CE" w:rsidRPr="00072ABC">
        <w:rPr>
          <w:rFonts w:cs="Arial"/>
          <w:noProof/>
        </w:rPr>
        <w:t>(Kouloukoui, de Marcellis-Warin and Warin, 2025)</w:t>
      </w:r>
      <w:r w:rsidR="007332CE" w:rsidRPr="00072ABC">
        <w:rPr>
          <w:rFonts w:cs="Arial"/>
        </w:rPr>
        <w:fldChar w:fldCharType="end"/>
      </w:r>
      <w:r w:rsidRPr="00072ABC">
        <w:rPr>
          <w:rFonts w:cs="Arial"/>
        </w:rPr>
        <w:t>.</w:t>
      </w:r>
    </w:p>
    <w:p w14:paraId="453F6A16" w14:textId="77777777" w:rsidR="00714D82" w:rsidRDefault="00714D82" w:rsidP="00072ABC">
      <w:pPr>
        <w:spacing w:line="360" w:lineRule="auto"/>
        <w:jc w:val="both"/>
        <w:rPr>
          <w:rFonts w:cs="Arial"/>
        </w:rPr>
      </w:pPr>
    </w:p>
    <w:p w14:paraId="1DEA4D27" w14:textId="77777777" w:rsidR="00714D82" w:rsidRDefault="00714D82" w:rsidP="00072ABC">
      <w:pPr>
        <w:spacing w:line="360" w:lineRule="auto"/>
        <w:jc w:val="both"/>
        <w:rPr>
          <w:rFonts w:cs="Arial"/>
        </w:rPr>
      </w:pPr>
    </w:p>
    <w:p w14:paraId="200814F0" w14:textId="77777777" w:rsidR="00714D82" w:rsidRDefault="00714D82" w:rsidP="00072ABC">
      <w:pPr>
        <w:spacing w:line="360" w:lineRule="auto"/>
        <w:jc w:val="both"/>
        <w:rPr>
          <w:rFonts w:cs="Arial"/>
        </w:rPr>
      </w:pPr>
    </w:p>
    <w:p w14:paraId="662CC5C7" w14:textId="409E9D5F" w:rsidR="00411C50" w:rsidRPr="00072ABC" w:rsidRDefault="00411C50" w:rsidP="00072ABC">
      <w:pPr>
        <w:spacing w:line="360" w:lineRule="auto"/>
        <w:jc w:val="both"/>
        <w:rPr>
          <w:rFonts w:cs="Arial"/>
        </w:rPr>
      </w:pPr>
      <w:r w:rsidRPr="00072ABC">
        <w:rPr>
          <w:rFonts w:cs="Arial"/>
        </w:rPr>
        <w:lastRenderedPageBreak/>
        <w:t>Figure 2: Ansoff Matrix—Strategic Growth Alternatives</w:t>
      </w:r>
    </w:p>
    <w:p w14:paraId="02CFEC16" w14:textId="1B87AA42" w:rsidR="00DD1327" w:rsidRPr="00072ABC" w:rsidRDefault="00DD1327" w:rsidP="00072ABC">
      <w:pPr>
        <w:spacing w:line="360" w:lineRule="auto"/>
        <w:jc w:val="both"/>
        <w:rPr>
          <w:rFonts w:cs="Arial"/>
        </w:rPr>
      </w:pPr>
      <w:r w:rsidRPr="00072ABC">
        <w:rPr>
          <w:rFonts w:cs="Arial"/>
          <w:noProof/>
        </w:rPr>
        <w:drawing>
          <wp:inline distT="0" distB="0" distL="0" distR="0" wp14:anchorId="03B00485" wp14:editId="0A2CE8CE">
            <wp:extent cx="5731510" cy="4975860"/>
            <wp:effectExtent l="0" t="0" r="2540" b="0"/>
            <wp:docPr id="1128625008" name="Picture 3" descr="Igor Ansoff's Product-Market Growth Matri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gor Ansoff's Product-Market Growth Matrix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975860"/>
                    </a:xfrm>
                    <a:prstGeom prst="rect">
                      <a:avLst/>
                    </a:prstGeom>
                    <a:noFill/>
                    <a:ln>
                      <a:noFill/>
                    </a:ln>
                  </pic:spPr>
                </pic:pic>
              </a:graphicData>
            </a:graphic>
          </wp:inline>
        </w:drawing>
      </w:r>
    </w:p>
    <w:p w14:paraId="3161BB5C" w14:textId="28A5425C" w:rsidR="00DD1327" w:rsidRPr="00072ABC" w:rsidRDefault="00DD1327" w:rsidP="00072ABC">
      <w:pPr>
        <w:spacing w:line="360" w:lineRule="auto"/>
        <w:jc w:val="both"/>
        <w:rPr>
          <w:rFonts w:cs="Arial"/>
        </w:rPr>
      </w:pPr>
      <w:r w:rsidRPr="00072ABC">
        <w:rPr>
          <w:rFonts w:cs="Arial"/>
          <w:b/>
          <w:bCs/>
        </w:rPr>
        <w:t>Source</w:t>
      </w:r>
      <w:r w:rsidRPr="00072ABC">
        <w:rPr>
          <w:rFonts w:cs="Arial"/>
        </w:rPr>
        <w:t>:</w:t>
      </w:r>
      <w:r w:rsidR="00411C50" w:rsidRPr="00072ABC">
        <w:rPr>
          <w:rFonts w:cs="Arial"/>
        </w:rPr>
        <w:t xml:space="preserve"> </w:t>
      </w:r>
      <w:r w:rsidR="008F1B75" w:rsidRPr="00072ABC">
        <w:rPr>
          <w:rFonts w:cs="Arial"/>
        </w:rPr>
        <w:fldChar w:fldCharType="begin" w:fldLock="1"/>
      </w:r>
      <w:r w:rsidR="008F1B75" w:rsidRPr="00072ABC">
        <w:rPr>
          <w:rFonts w:cs="Arial"/>
        </w:rPr>
        <w:instrText>ADDIN CSL_CITATION {"citationItems":[{"id":"ITEM-1","itemData":{"author":[{"dropping-particle":"","family":"Finney","given":"Alec","non-dropping-particle":"","parse-names":false,"suffix":""},{"dropping-particle":"","family":"Joseph","given":"Martin","non-dropping-particle":"","parse-names":false,"suffix":""}],"id":"ITEM-1","issued":{"date-parts":[["2009"]]},"title":"The Forecasting Mantra: A Holistic Approach to Forecasting and Planning","type":"article-journal"},"uris":["http://www.mendeley.com/documents/?uuid=fd4e36c6-a780-4026-bdd3-65daebb5bc1b"]}],"mendeley":{"formattedCitation":"(Finney and Joseph, 2009)","plainTextFormattedCitation":"(Finney and Joseph, 2009)","previouslyFormattedCitation":"(Finney and Joseph, 2009)"},"properties":{"noteIndex":0},"schema":"https://github.com/citation-style-language/schema/raw/master/csl-citation.json"}</w:instrText>
      </w:r>
      <w:r w:rsidR="008F1B75" w:rsidRPr="00072ABC">
        <w:rPr>
          <w:rFonts w:cs="Arial"/>
        </w:rPr>
        <w:fldChar w:fldCharType="separate"/>
      </w:r>
      <w:r w:rsidR="008F1B75" w:rsidRPr="00072ABC">
        <w:rPr>
          <w:rFonts w:cs="Arial"/>
          <w:noProof/>
        </w:rPr>
        <w:t>(Finney and Joseph, 2009)</w:t>
      </w:r>
      <w:r w:rsidR="008F1B75" w:rsidRPr="00072ABC">
        <w:rPr>
          <w:rFonts w:cs="Arial"/>
        </w:rPr>
        <w:fldChar w:fldCharType="end"/>
      </w:r>
    </w:p>
    <w:p w14:paraId="04AADEAD" w14:textId="77777777" w:rsidR="00034BC5" w:rsidRPr="00072ABC" w:rsidRDefault="00034BC5" w:rsidP="00072ABC">
      <w:pPr>
        <w:pStyle w:val="Heading2"/>
      </w:pPr>
      <w:bookmarkStart w:id="8" w:name="_Toc235792277"/>
      <w:r w:rsidRPr="00072ABC">
        <w:t>2.2 Recommended Product-Development Strategy</w:t>
      </w:r>
      <w:bookmarkEnd w:id="8"/>
    </w:p>
    <w:p w14:paraId="6F25B4C9" w14:textId="609BAEC9" w:rsidR="00034BC5" w:rsidRPr="00072ABC" w:rsidRDefault="00034BC5" w:rsidP="00072ABC">
      <w:pPr>
        <w:spacing w:line="360" w:lineRule="auto"/>
        <w:jc w:val="both"/>
        <w:rPr>
          <w:rFonts w:cs="Arial"/>
        </w:rPr>
      </w:pPr>
      <w:r w:rsidRPr="00072ABC">
        <w:rPr>
          <w:rFonts w:cs="Arial"/>
        </w:rPr>
        <w:t>A collection of green labels should be developed instead of one ‘Tata Verified Low-Carbon Steel</w:t>
      </w:r>
      <w:r w:rsidR="00072ABC">
        <w:rPr>
          <w:rFonts w:cs="Arial"/>
        </w:rPr>
        <w:t xml:space="preserve"> '</w:t>
      </w:r>
      <w:r w:rsidRPr="00072ABC">
        <w:rPr>
          <w:rFonts w:cs="Arial"/>
        </w:rPr>
        <w:t>. Cradle-to-gate emissions, production route, recycled content, renewable-electricity share and baseline are all things that should be included in an assured environmental product declaration. There are three grades of circular scrap-EAF steel: transition grades</w:t>
      </w:r>
      <w:r w:rsidR="00072ABC">
        <w:rPr>
          <w:rFonts w:cs="Arial"/>
        </w:rPr>
        <w:t>,</w:t>
      </w:r>
      <w:r w:rsidRPr="00072ABC">
        <w:rPr>
          <w:rFonts w:cs="Arial"/>
        </w:rPr>
        <w:t xml:space="preserve"> which are less but contain known amounts of scrap; and future near-zero primary steel, achieved </w:t>
      </w:r>
      <w:r w:rsidR="00566C22" w:rsidRPr="00072ABC">
        <w:rPr>
          <w:rFonts w:cs="Arial"/>
        </w:rPr>
        <w:t>using</w:t>
      </w:r>
      <w:r w:rsidRPr="00072ABC">
        <w:rPr>
          <w:rFonts w:cs="Arial"/>
        </w:rPr>
        <w:t xml:space="preserve"> renewable hydrogen-DRI-EAF</w:t>
      </w:r>
      <w:r w:rsidR="008F1B75" w:rsidRPr="00072ABC">
        <w:rPr>
          <w:rFonts w:cs="Arial"/>
        </w:rPr>
        <w:t xml:space="preserve"> </w:t>
      </w:r>
      <w:r w:rsidR="008F1B75" w:rsidRPr="00072ABC">
        <w:rPr>
          <w:rFonts w:cs="Arial"/>
        </w:rPr>
        <w:fldChar w:fldCharType="begin" w:fldLock="1"/>
      </w:r>
      <w:r w:rsidR="008F1B75" w:rsidRPr="00072ABC">
        <w:rPr>
          <w:rFonts w:cs="Arial"/>
        </w:rPr>
        <w:instrText>ADDIN CSL_CITATION {"citationItems":[{"id":"ITEM-1","itemData":{"ISSN":"2071-1050","abstract":"SDGs are playing an increasing role in defining sustainability paths for energy-intensive sectors. In particular, the steel sector is promoting several parallel initiatives as a key player sector in the European process industry. This work describes the major focal trends related to the sustainability of steel and presents the principal EU approaches and initiatives linked with the ESTEP action area. The core sustainability issues related to SDGs in the EU steel sector are presented with a particular focus on the quantification approaches. Then, the paper presents different areas for SDG implementation by single organizations in the EU context. Such areas provide an operational path for managing and implementing SDGs. In particular, the key areas include: (1) roadmapping initiatives with a focus on specific sustainability targets; (2) eco-labelling trends with reference to usage per label typology; (3) reporting initiatives by single organizations with a focus on specific SDGs; and (4) representative EU steel R&amp;D projects related to selected sustainability targets. The discussion part focuses on a critical review of all presented areas to summarise the main paths in adopting SDGs targeted at the EU steel sector level. As the final outcome, prime emerging barriers are suggested as well as critical issues in implementing SDG-based sustainability targets.","author":[{"dropping-particle":"","family":"Andreotti","given":"Michele","non-dropping-particle":"","parse-names":false,"suffix":""},{"dropping-particle":"","family":"Brondi","given":"Carlo","non-dropping-particle":"","parse-names":false,"suffix":""},{"dropping-particle":"","family":"Micillo","given":"Davide","non-dropping-particle":"","parse-names":false,"suffix":""},{"dropping-particle":"","family":"Zevenhoven","given":"Ron","non-dropping-particle":"","parse-names":false,"suffix":""},{"dropping-particle":"","family":"Rieger","given":"Johannes","non-dropping-particle":"","parse-names":false,"suffix":""},{"dropping-particle":"","family":"Jo","given":"Ayoung","non-dropping-particle":"","parse-names":false,"suffix":""},{"dropping-particle":"","family":"Hettinger","given":"Anne-Laure","non-dropping-particle":"","parse-names":false,"suffix":""},{"dropping-particle":"","family":"Bollen","given":"Jan","non-dropping-particle":"","parse-names":false,"suffix":""},{"dropping-particle":"","family":"Malfa","given":"Enrico","non-dropping-particle":"","parse-names":false,"suffix":""},{"dropping-particle":"","family":"Trevisan","given":"Claudio","non-dropping-particle":"","parse-names":false,"suffix":""},{"dropping-particle":"","family":"Peters","given":"Klaus","non-dropping-particle":"","parse-names":false,"suffix":""},{"dropping-particle":"","family":"Snaet","given":"Delphine","non-dropping-particle":"","parse-names":false,"suffix":""},{"dropping-particle":"","family":"Ballarino","given":"Andrea","non-dropping-particle":"","parse-names":false,"suffix":""}],"container-title":"Sustainability","id":"ITEM-1","issue":"9","issued":{"date-parts":[["2023","5","4"]]},"page":"7521","title":"SDGs in the EU Steel Sector: A Critical Review of Sustainability Initiatives and Approaches","type":"article-journal","volume":"15"},"uris":["http://www.mendeley.com/documents/?uuid=f74c18e8-6159-4d28-b4c8-0d63dc7d95d2"]}],"mendeley":{"formattedCitation":"(Andreotti &lt;i&gt;et al.&lt;/i&gt;, 2023)","plainTextFormattedCitation":"(Andreotti et al., 2023)","previouslyFormattedCitation":"(Andreotti &lt;i&gt;et al.&lt;/i&gt;, 2023)"},"properties":{"noteIndex":0},"schema":"https://github.com/citation-style-language/schema/raw/master/csl-citation.json"}</w:instrText>
      </w:r>
      <w:r w:rsidR="008F1B75" w:rsidRPr="00072ABC">
        <w:rPr>
          <w:rFonts w:cs="Arial"/>
        </w:rPr>
        <w:fldChar w:fldCharType="separate"/>
      </w:r>
      <w:r w:rsidR="008F1B75" w:rsidRPr="00072ABC">
        <w:rPr>
          <w:rFonts w:cs="Arial"/>
          <w:noProof/>
        </w:rPr>
        <w:t xml:space="preserve">(Andreotti </w:t>
      </w:r>
      <w:r w:rsidR="008F1B75" w:rsidRPr="00072ABC">
        <w:rPr>
          <w:rFonts w:cs="Arial"/>
          <w:i/>
          <w:noProof/>
        </w:rPr>
        <w:t>et al.</w:t>
      </w:r>
      <w:r w:rsidR="008F1B75" w:rsidRPr="00072ABC">
        <w:rPr>
          <w:rFonts w:cs="Arial"/>
          <w:noProof/>
        </w:rPr>
        <w:t>, 2023)</w:t>
      </w:r>
      <w:r w:rsidR="008F1B75" w:rsidRPr="00072ABC">
        <w:rPr>
          <w:rFonts w:cs="Arial"/>
        </w:rPr>
        <w:fldChar w:fldCharType="end"/>
      </w:r>
      <w:r w:rsidRPr="00072ABC">
        <w:rPr>
          <w:rFonts w:cs="Arial"/>
        </w:rPr>
        <w:t xml:space="preserve">. The products in a transition are not regarded as near zero in a tiering system and can have various requirements for product quality. Existing customers in target countries requiring </w:t>
      </w:r>
      <w:r w:rsidR="00072ABC">
        <w:rPr>
          <w:rFonts w:cs="Arial"/>
        </w:rPr>
        <w:t>carbon reporting</w:t>
      </w:r>
      <w:r w:rsidRPr="00072ABC">
        <w:rPr>
          <w:rFonts w:cs="Arial"/>
        </w:rPr>
        <w:t xml:space="preserve">, those customers who require to purchase carbon and those who have customers in their supply chain in target </w:t>
      </w:r>
      <w:r w:rsidRPr="00072ABC">
        <w:rPr>
          <w:rFonts w:cs="Arial"/>
        </w:rPr>
        <w:lastRenderedPageBreak/>
        <w:t xml:space="preserve">countries should be targeted first. Automotive companies can achieve </w:t>
      </w:r>
      <w:r w:rsidR="00072ABC">
        <w:rPr>
          <w:rFonts w:cs="Arial"/>
        </w:rPr>
        <w:t xml:space="preserve">a </w:t>
      </w:r>
      <w:r w:rsidRPr="00072ABC">
        <w:rPr>
          <w:rFonts w:cs="Arial"/>
        </w:rPr>
        <w:t>verified decrease in vehicle embedded emissions</w:t>
      </w:r>
      <w:r w:rsidR="00072ABC">
        <w:rPr>
          <w:rFonts w:cs="Arial"/>
        </w:rPr>
        <w:t>,</w:t>
      </w:r>
      <w:r w:rsidRPr="00072ABC">
        <w:rPr>
          <w:rFonts w:cs="Arial"/>
        </w:rPr>
        <w:t xml:space="preserve"> and construction companies can benefit in their tender performance. It is necessary for marketing to realise the carbon exposure and willingness to contract and then translate the reductions to the value per application</w:t>
      </w:r>
      <w:r w:rsidR="008F1B75" w:rsidRPr="00072ABC">
        <w:rPr>
          <w:rFonts w:cs="Arial"/>
        </w:rPr>
        <w:t xml:space="preserve"> </w:t>
      </w:r>
      <w:r w:rsidR="008F1B75" w:rsidRPr="00072ABC">
        <w:rPr>
          <w:rFonts w:cs="Arial"/>
        </w:rPr>
        <w:fldChar w:fldCharType="begin" w:fldLock="1"/>
      </w:r>
      <w:r w:rsidR="008F1B75" w:rsidRPr="00072ABC">
        <w:rPr>
          <w:rFonts w:cs="Arial"/>
        </w:rPr>
        <w:instrText>ADDIN CSL_CITATION {"citationItems":[{"id":"ITEM-1","itemData":{"URL":"https://www.mdpi.com/2071-1050/17/11/4956","author":[{"dropping-particle":"","family":"Xue","given":"Feng","non-dropping-particle":"","parse-names":false,"suffix":""},{"dropping-particle":"","family":"Liao","given":"Zishan","non-dropping-particle":"","parse-names":false,"suffix":""},{"dropping-particle":"","family":"Qian","given":"Qian","non-dropping-particle":"","parse-names":false,"suffix":""},{"dropping-particle":"","family":"Jiao","given":"Zhenggang","non-dropping-particle":"","parse-names":false,"suffix":""}],"id":"ITEM-1","issued":{"date-parts":[["2025"]]},"title":"Impact of Carbon Transfer and Low Carbon Preferences on Firm Decision Making Under Two Power Structures","type":"webpage"},"uris":["http://www.mendeley.com/documents/?uuid=9d8873a1-c185-4127-9726-dc57f92e0367"]}],"mendeley":{"formattedCitation":"(Xue &lt;i&gt;et al.&lt;/i&gt;, 2025)","plainTextFormattedCitation":"(Xue et al., 2025)","previouslyFormattedCitation":"(Xue &lt;i&gt;et al.&lt;/i&gt;, 2025)"},"properties":{"noteIndex":0},"schema":"https://github.com/citation-style-language/schema/raw/master/csl-citation.json"}</w:instrText>
      </w:r>
      <w:r w:rsidR="008F1B75" w:rsidRPr="00072ABC">
        <w:rPr>
          <w:rFonts w:cs="Arial"/>
        </w:rPr>
        <w:fldChar w:fldCharType="separate"/>
      </w:r>
      <w:r w:rsidR="008F1B75" w:rsidRPr="00072ABC">
        <w:rPr>
          <w:rFonts w:cs="Arial"/>
          <w:noProof/>
        </w:rPr>
        <w:t xml:space="preserve">(Xue </w:t>
      </w:r>
      <w:r w:rsidR="008F1B75" w:rsidRPr="00072ABC">
        <w:rPr>
          <w:rFonts w:cs="Arial"/>
          <w:i/>
          <w:noProof/>
        </w:rPr>
        <w:t>et al.</w:t>
      </w:r>
      <w:r w:rsidR="008F1B75" w:rsidRPr="00072ABC">
        <w:rPr>
          <w:rFonts w:cs="Arial"/>
          <w:noProof/>
        </w:rPr>
        <w:t>, 2025)</w:t>
      </w:r>
      <w:r w:rsidR="008F1B75" w:rsidRPr="00072ABC">
        <w:rPr>
          <w:rFonts w:cs="Arial"/>
        </w:rPr>
        <w:fldChar w:fldCharType="end"/>
      </w:r>
      <w:r w:rsidRPr="00072ABC">
        <w:rPr>
          <w:rFonts w:cs="Arial"/>
        </w:rPr>
        <w:t xml:space="preserve">. The benefits of pre-investment offtake agreements are that </w:t>
      </w:r>
      <w:r w:rsidR="00072ABC">
        <w:rPr>
          <w:rFonts w:cs="Arial"/>
        </w:rPr>
        <w:t>they</w:t>
      </w:r>
      <w:r w:rsidRPr="00072ABC">
        <w:rPr>
          <w:rFonts w:cs="Arial"/>
        </w:rPr>
        <w:t xml:space="preserve"> would eliminate uncertainty of demand, co-development (strength, formability, recyclability) and then scaling up. </w:t>
      </w:r>
      <w:r w:rsidR="00072ABC">
        <w:rPr>
          <w:rFonts w:cs="Arial"/>
        </w:rPr>
        <w:t>P</w:t>
      </w:r>
      <w:r w:rsidRPr="00072ABC">
        <w:rPr>
          <w:rFonts w:cs="Arial"/>
        </w:rPr>
        <w:t>roduction is made in Port Talbot and Ludhiana</w:t>
      </w:r>
      <w:r w:rsidR="00072ABC">
        <w:rPr>
          <w:rFonts w:cs="Arial"/>
        </w:rPr>
        <w:t>,</w:t>
      </w:r>
      <w:r w:rsidRPr="00072ABC">
        <w:rPr>
          <w:rFonts w:cs="Arial"/>
        </w:rPr>
        <w:t xml:space="preserve"> but product development is not confined to just 'relabelling showcase output'. Agreements should encourage the closed</w:t>
      </w:r>
      <w:r w:rsidR="00072ABC">
        <w:rPr>
          <w:rFonts w:cs="Arial"/>
        </w:rPr>
        <w:t>-</w:t>
      </w:r>
      <w:r w:rsidRPr="00072ABC">
        <w:rPr>
          <w:rFonts w:cs="Arial"/>
        </w:rPr>
        <w:t>loop recycling of customer offcuts and end-of-life (EoL) steel</w:t>
      </w:r>
      <w:r w:rsidR="008F1B75" w:rsidRPr="00072ABC">
        <w:rPr>
          <w:rFonts w:cs="Arial"/>
        </w:rPr>
        <w:t xml:space="preserve"> </w:t>
      </w:r>
      <w:r w:rsidR="008F1B75" w:rsidRPr="00072ABC">
        <w:rPr>
          <w:rFonts w:cs="Arial"/>
        </w:rPr>
        <w:fldChar w:fldCharType="begin" w:fldLock="1"/>
      </w:r>
      <w:r w:rsidR="008F1B75" w:rsidRPr="00072ABC">
        <w:rPr>
          <w:rFonts w:cs="Arial"/>
        </w:rPr>
        <w:instrText>ADDIN CSL_CITATION {"citationItems":[{"id":"ITEM-1","itemData":{"abstract":"The current study focuses on vertical supply chain integration, with a special emphasis on the competitive environment of green investment markets and green investments. The current study investigates the relationship between the final product’s green service level and integration and non-integration methods within two separate supply chain models, namely the Nash competition and Stackelberg game models. To attain its goals, the study utilises an inverse derivation technique and comparative analysis. The current study investigates the best integration approach depending on the level of environmental investment in the supply chain’s final product. The findings revealed that the inter-chain rivalry in green investment and the sensitivity coefficient associated with green investment impacted the integration decisions of competing chains in the Nash competition. Furthermore, when the coefficient of the sensitivity to green investment was greater than 0.375, the choice to integrate logistics service supply chains in a horizontal Nash competition was independent of the amount of service competition intensity. In such cases, taking a different strategy than the rival chain might potentially increase the grade of eco-friendly services provided by one’s own chain.","author":[{"dropping-particle":"","family":"Zhang","given":"Xiaomeng","non-dropping-particle":"","parse-names":false,"suffix":""},{"dropping-particle":"","family":"Zhang","given":"Jianjun","non-dropping-particle":"","parse-names":false,"suffix":""},{"dropping-particle":"","family":"Yue","given":"Xiongping","non-dropping-particle":"","parse-names":false,"suffix":""},{"dropping-particle":"","family":"Qian","given":"Wenjun","non-dropping-particle":"","parse-names":false,"suffix":""}],"container-title":"Sustainability","id":"ITEM-1","issue":"13","issued":{"date-parts":[["2023","6","30"]]},"page":"10386","title":"The Impact of Green Technology Investment Levels on Competitive Supply Chain Integration Decisions","type":"article-journal","volume":"15"},"uris":["http://www.mendeley.com/documents/?uuid=1f51556b-c86b-4397-b237-321d7d3958ed"]}],"mendeley":{"formattedCitation":"(Zhang &lt;i&gt;et al.&lt;/i&gt;, 2023)","plainTextFormattedCitation":"(Zhang et al., 2023)","previouslyFormattedCitation":"(Zhang &lt;i&gt;et al.&lt;/i&gt;, 2023)"},"properties":{"noteIndex":0},"schema":"https://github.com/citation-style-language/schema/raw/master/csl-citation.json"}</w:instrText>
      </w:r>
      <w:r w:rsidR="008F1B75" w:rsidRPr="00072ABC">
        <w:rPr>
          <w:rFonts w:cs="Arial"/>
        </w:rPr>
        <w:fldChar w:fldCharType="separate"/>
      </w:r>
      <w:r w:rsidR="008F1B75" w:rsidRPr="00072ABC">
        <w:rPr>
          <w:rFonts w:cs="Arial"/>
          <w:noProof/>
        </w:rPr>
        <w:t xml:space="preserve">(Zhang </w:t>
      </w:r>
      <w:r w:rsidR="008F1B75" w:rsidRPr="00072ABC">
        <w:rPr>
          <w:rFonts w:cs="Arial"/>
          <w:i/>
          <w:noProof/>
        </w:rPr>
        <w:t>et al.</w:t>
      </w:r>
      <w:r w:rsidR="008F1B75" w:rsidRPr="00072ABC">
        <w:rPr>
          <w:rFonts w:cs="Arial"/>
          <w:noProof/>
        </w:rPr>
        <w:t>, 2023)</w:t>
      </w:r>
      <w:r w:rsidR="008F1B75" w:rsidRPr="00072ABC">
        <w:rPr>
          <w:rFonts w:cs="Arial"/>
        </w:rPr>
        <w:fldChar w:fldCharType="end"/>
      </w:r>
      <w:r w:rsidRPr="00072ABC">
        <w:rPr>
          <w:rFonts w:cs="Arial"/>
        </w:rPr>
        <w:t xml:space="preserve">. Sensors would enhance the sorting process, help to limit contamination and ensure that the feedstock is safe. The digital product passports could link to batch data to enable the carbon data to be available for the buyers' Scope 3 reporting. What would happen if a commodity was transformed into a solution with a service and had physical circularity and information </w:t>
      </w:r>
      <w:r w:rsidR="00A81B32" w:rsidRPr="00072ABC">
        <w:rPr>
          <w:rFonts w:cs="Arial"/>
        </w:rPr>
        <w:t>transparency</w:t>
      </w:r>
      <w:r w:rsidR="00072ABC">
        <w:rPr>
          <w:rFonts w:cs="Arial"/>
        </w:rPr>
        <w:t>,</w:t>
      </w:r>
      <w:r w:rsidR="00A81B32" w:rsidRPr="00072ABC">
        <w:rPr>
          <w:rFonts w:cs="Arial"/>
        </w:rPr>
        <w:t xml:space="preserve"> but</w:t>
      </w:r>
      <w:r w:rsidRPr="00072ABC">
        <w:rPr>
          <w:rFonts w:cs="Arial"/>
        </w:rPr>
        <w:t xml:space="preserve"> there are lots of varieties of scrap and not all of these are able to cover </w:t>
      </w:r>
      <w:r w:rsidR="00A81B32" w:rsidRPr="00072ABC">
        <w:rPr>
          <w:rFonts w:cs="Arial"/>
        </w:rPr>
        <w:t>all</w:t>
      </w:r>
      <w:r w:rsidRPr="00072ABC">
        <w:rPr>
          <w:rFonts w:cs="Arial"/>
        </w:rPr>
        <w:t xml:space="preserve"> the needs for metallurgy</w:t>
      </w:r>
      <w:r w:rsidR="00072ABC">
        <w:rPr>
          <w:rFonts w:cs="Arial"/>
        </w:rPr>
        <w:t>?</w:t>
      </w:r>
      <w:r w:rsidRPr="00072ABC">
        <w:rPr>
          <w:rFonts w:cs="Arial"/>
        </w:rPr>
        <w:t xml:space="preserve"> Tata needs to monitor primary production innovations related to low carbon, for instance, hydrogen DRI</w:t>
      </w:r>
      <w:r w:rsidR="008F1B75" w:rsidRPr="00072ABC">
        <w:rPr>
          <w:rFonts w:cs="Arial"/>
        </w:rPr>
        <w:t xml:space="preserve"> </w:t>
      </w:r>
      <w:r w:rsidR="008F1B75" w:rsidRPr="00072ABC">
        <w:rPr>
          <w:rFonts w:cs="Arial"/>
        </w:rPr>
        <w:fldChar w:fldCharType="begin" w:fldLock="1"/>
      </w:r>
      <w:r w:rsidR="00FB3EFA" w:rsidRPr="00072ABC">
        <w:rPr>
          <w:rFonts w:cs="Arial"/>
        </w:rPr>
        <w:instrText>ADDIN CSL_CITATION {"citationItems":[{"id":"ITEM-1","itemData":{"abstract":"Integrating circular economy (CE) principles into mining practices offers a promising path toward reducing environmental harm while promoting sustainable resource management. This shift boosts the industry’s efficiency and profitability and aligns it with global sustainability goals. This paper delves into strategies for closing material loops, such as waste valorization, resource recovery from mine tailings, and water reuse in mining processes. Additionally, this study highlights innovative technologies and their potential to transform traditional linear practices into sustainable, circular systems. This paper emphasizes the importance of strong collaboration among industry stakeholders and policymakers, including mining companies, researchers, and local communities, for the implementation of CE principles. This paper also discusses the role of emerging digital tools, automation, and artificial intelligence in advancing circular practices and improving operational efficiency. By exploring the economic, environmental, and social benefits of the CE, this paper demonstrates how these practices can contribute to sustainable mining. It addresses key challenges, including technological, economic, and regulatory hurdles, and offers recommendations for overcoming them to pave the way for a more sustainable and resilient mining industry.","author":[{"dropping-particle":"","family":"Antony Jose","given":"Subin","non-dropping-particle":"","parse-names":false,"suffix":""},{"dropping-particle":"","family":"Calhoun","given":"Joy","non-dropping-particle":"","parse-names":false,"suffix":""},{"dropping-particle":"","family":"Renteria","given":"Otoniel B.","non-dropping-particle":"","parse-names":false,"suffix":""},{"dropping-particle":"","family":"Mercado","given":"Pedro","non-dropping-particle":"","parse-names":false,"suffix":""},{"dropping-particle":"","family":"Nakajima","given":"Shinichiro","non-dropping-particle":"","parse-names":false,"suffix":""},{"dropping-particle":"","family":"Hope","given":"Colton N.","non-dropping-particle":"","parse-names":false,"suffix":""},{"dropping-particle":"","family":"Sotelo","given":"Mario","non-dropping-particle":"","parse-names":false,"suffix":""},{"dropping-particle":"","family":"Menezes","given":"Pradeep L.","non-dropping-particle":"","parse-names":false,"suffix":""}],"container-title":"Sustainability","id":"ITEM-1","issue":"24","issued":{"date-parts":[["2024","12","16"]]},"page":"11016","title":"Promoting a Circular Economy in Mining Practices","type":"article-journal","volume":"16"},"uris":["http://www.mendeley.com/documents/?uuid=68e6398c-b81f-43bb-8402-ad3d05ecbd9a"]}],"mendeley":{"formattedCitation":"(Antony Jose &lt;i&gt;et al.&lt;/i&gt;, 2024)","plainTextFormattedCitation":"(Antony Jose et al., 2024)","previouslyFormattedCitation":"(Antony Jose &lt;i&gt;et al.&lt;/i&gt;, 2024)"},"properties":{"noteIndex":0},"schema":"https://github.com/citation-style-language/schema/raw/master/csl-citation.json"}</w:instrText>
      </w:r>
      <w:r w:rsidR="008F1B75" w:rsidRPr="00072ABC">
        <w:rPr>
          <w:rFonts w:cs="Arial"/>
        </w:rPr>
        <w:fldChar w:fldCharType="separate"/>
      </w:r>
      <w:r w:rsidR="008F1B75" w:rsidRPr="00072ABC">
        <w:rPr>
          <w:rFonts w:cs="Arial"/>
          <w:noProof/>
        </w:rPr>
        <w:t xml:space="preserve">(Antony Jose </w:t>
      </w:r>
      <w:r w:rsidR="008F1B75" w:rsidRPr="00072ABC">
        <w:rPr>
          <w:rFonts w:cs="Arial"/>
          <w:i/>
          <w:noProof/>
        </w:rPr>
        <w:t>et al.</w:t>
      </w:r>
      <w:r w:rsidR="008F1B75" w:rsidRPr="00072ABC">
        <w:rPr>
          <w:rFonts w:cs="Arial"/>
          <w:noProof/>
        </w:rPr>
        <w:t>, 2024)</w:t>
      </w:r>
      <w:r w:rsidR="008F1B75" w:rsidRPr="00072ABC">
        <w:rPr>
          <w:rFonts w:cs="Arial"/>
        </w:rPr>
        <w:fldChar w:fldCharType="end"/>
      </w:r>
      <w:r w:rsidRPr="00072ABC">
        <w:rPr>
          <w:rFonts w:cs="Arial"/>
        </w:rPr>
        <w:t>. As the European climate policy is tightening up, the possibility of low</w:t>
      </w:r>
      <w:r w:rsidR="00072ABC">
        <w:rPr>
          <w:rFonts w:cs="Arial"/>
        </w:rPr>
        <w:t>-</w:t>
      </w:r>
      <w:r w:rsidRPr="00072ABC">
        <w:rPr>
          <w:rFonts w:cs="Arial"/>
        </w:rPr>
        <w:t xml:space="preserve">emission primary steel can be achieved, but the viability depends on the price of renewable electricity, hydrogen quality, quality of the ore, etc. Good pilots, based on cost/demand thresholds, </w:t>
      </w:r>
      <w:r w:rsidR="00072ABC">
        <w:rPr>
          <w:rFonts w:cs="Arial"/>
        </w:rPr>
        <w:t xml:space="preserve">are </w:t>
      </w:r>
      <w:r w:rsidRPr="00072ABC">
        <w:rPr>
          <w:rFonts w:cs="Arial"/>
        </w:rPr>
        <w:t>better than big irreversible bets.</w:t>
      </w:r>
    </w:p>
    <w:p w14:paraId="149575F6" w14:textId="77777777" w:rsidR="00034BC5" w:rsidRPr="00072ABC" w:rsidRDefault="00034BC5" w:rsidP="00072ABC">
      <w:pPr>
        <w:pStyle w:val="Heading2"/>
      </w:pPr>
      <w:bookmarkStart w:id="9" w:name="_Toc235792278"/>
      <w:r w:rsidRPr="00072ABC">
        <w:t>2.3 Competitive Positioning and Marketing Contribution</w:t>
      </w:r>
      <w:bookmarkEnd w:id="9"/>
    </w:p>
    <w:p w14:paraId="63341753" w14:textId="29F783E1" w:rsidR="00034BC5" w:rsidRPr="00072ABC" w:rsidRDefault="00BA6556" w:rsidP="00072ABC">
      <w:pPr>
        <w:spacing w:line="360" w:lineRule="auto"/>
        <w:jc w:val="both"/>
        <w:rPr>
          <w:rFonts w:cs="Arial"/>
        </w:rPr>
      </w:pPr>
      <w:r w:rsidRPr="00072ABC">
        <w:rPr>
          <w:rFonts w:cs="Arial"/>
        </w:rPr>
        <w:t>According to Porter (1985)</w:t>
      </w:r>
      <w:r w:rsidR="00072ABC">
        <w:rPr>
          <w:rFonts w:cs="Arial"/>
        </w:rPr>
        <w:t>,</w:t>
      </w:r>
      <w:r w:rsidRPr="00072ABC">
        <w:rPr>
          <w:rFonts w:cs="Arial"/>
        </w:rPr>
        <w:t xml:space="preserve"> superiority should be based on a sustaining cost or a differentiation basis. In the early stages</w:t>
      </w:r>
      <w:r w:rsidR="00072ABC">
        <w:rPr>
          <w:rFonts w:cs="Arial"/>
        </w:rPr>
        <w:t>,</w:t>
      </w:r>
      <w:r w:rsidRPr="00072ABC">
        <w:rPr>
          <w:rFonts w:cs="Arial"/>
        </w:rPr>
        <w:t xml:space="preserve"> it's not feasible to be a cost leader when these activities bring costs to the EAF construction, renewable power, certification and hydrogen projects. There is no doubt that customers must be differentiated with a more focused approach where emission verifications reduce the tender value or compliance risk</w:t>
      </w:r>
      <w:r w:rsidR="00FB3EFA" w:rsidRPr="00072ABC">
        <w:rPr>
          <w:rFonts w:cs="Arial"/>
        </w:rPr>
        <w:t xml:space="preserve"> </w:t>
      </w:r>
      <w:r w:rsidR="00FB3EFA" w:rsidRPr="00072ABC">
        <w:rPr>
          <w:rFonts w:cs="Arial"/>
        </w:rPr>
        <w:fldChar w:fldCharType="begin" w:fldLock="1"/>
      </w:r>
      <w:r w:rsidR="00FB3EFA" w:rsidRPr="00072ABC">
        <w:rPr>
          <w:rFonts w:cs="Arial"/>
        </w:rPr>
        <w:instrText>ADDIN CSL_CITATION {"citationItems":[{"id":"ITEM-1","itemData":{"abstract":"Integrating circular economy (CE) principles into mining practices offers a promising path toward reducing environmental harm while promoting sustainable resource management. This shift boosts the industry’s efficiency and profitability and aligns it with global sustainability goals. This paper delves into strategies for closing material loops, such as waste valorization, resource recovery from mine tailings, and water reuse in mining processes. Additionally, this study highlights innovative technologies and their potential to transform traditional linear practices into sustainable, circular systems. This paper emphasizes the importance of strong collaboration among industry stakeholders and policymakers, including mining companies, researchers, and local communities, for the implementation of CE principles. This paper also discusses the role of emerging digital tools, automation, and artificial intelligence in advancing circular practices and improving operational efficiency. By exploring the economic, environmental, and social benefits of the CE, this paper demonstrates how these practices can contribute to sustainable mining. It addresses key challenges, including technological, economic, and regulatory hurdles, and offers recommendations for overcoming them to pave the way for a more sustainable and resilient mining industry.","author":[{"dropping-particle":"","family":"Antony Jose","given":"Subin","non-dropping-particle":"","parse-names":false,"suffix":""},{"dropping-particle":"","family":"Calhoun","given":"Joy","non-dropping-particle":"","parse-names":false,"suffix":""},{"dropping-particle":"","family":"Renteria","given":"Otoniel B.","non-dropping-particle":"","parse-names":false,"suffix":""},{"dropping-particle":"","family":"Mercado","given":"Pedro","non-dropping-particle":"","parse-names":false,"suffix":""},{"dropping-particle":"","family":"Nakajima","given":"Shinichiro","non-dropping-particle":"","parse-names":false,"suffix":""},{"dropping-particle":"","family":"Hope","given":"Colton N.","non-dropping-particle":"","parse-names":false,"suffix":""},{"dropping-particle":"","family":"Sotelo","given":"Mario","non-dropping-particle":"","parse-names":false,"suffix":""},{"dropping-particle":"","family":"Menezes","given":"Pradeep L.","non-dropping-particle":"","parse-names":false,"suffix":""}],"container-title":"Sustainability","id":"ITEM-1","issue":"24","issued":{"date-parts":[["2024","12","16"]]},"page":"11016","title":"Promoting a Circular Economy in Mining Practices","type":"article-journal","volume":"16"},"uris":["http://www.mendeley.com/documents/?uuid=68e6398c-b81f-43bb-8402-ad3d05ecbd9a"]}],"mendeley":{"formattedCitation":"(Antony Jose &lt;i&gt;et al.&lt;/i&gt;, 2024)","plainTextFormattedCitation":"(Antony Jose et al., 2024)","previouslyFormattedCitation":"(Antony Jose &lt;i&gt;et al.&lt;/i&gt;, 2024)"},"properties":{"noteIndex":0},"schema":"https://github.com/citation-style-language/schema/raw/master/csl-citation.json"}</w:instrText>
      </w:r>
      <w:r w:rsidR="00FB3EFA" w:rsidRPr="00072ABC">
        <w:rPr>
          <w:rFonts w:cs="Arial"/>
        </w:rPr>
        <w:fldChar w:fldCharType="separate"/>
      </w:r>
      <w:r w:rsidR="00FB3EFA" w:rsidRPr="00072ABC">
        <w:rPr>
          <w:rFonts w:cs="Arial"/>
          <w:noProof/>
        </w:rPr>
        <w:t xml:space="preserve">(Antony Jose </w:t>
      </w:r>
      <w:r w:rsidR="00FB3EFA" w:rsidRPr="00072ABC">
        <w:rPr>
          <w:rFonts w:cs="Arial"/>
          <w:i/>
          <w:noProof/>
        </w:rPr>
        <w:t>et al.</w:t>
      </w:r>
      <w:r w:rsidR="00FB3EFA" w:rsidRPr="00072ABC">
        <w:rPr>
          <w:rFonts w:cs="Arial"/>
          <w:noProof/>
        </w:rPr>
        <w:t>, 2024)</w:t>
      </w:r>
      <w:r w:rsidR="00FB3EFA" w:rsidRPr="00072ABC">
        <w:rPr>
          <w:rFonts w:cs="Arial"/>
        </w:rPr>
        <w:fldChar w:fldCharType="end"/>
      </w:r>
      <w:r w:rsidRPr="00072ABC">
        <w:rPr>
          <w:rFonts w:cs="Arial"/>
        </w:rPr>
        <w:t>. Differentiation is not by image of the environment; it's by measurable performance. Product</w:t>
      </w:r>
      <w:r w:rsidR="00072ABC">
        <w:rPr>
          <w:rFonts w:cs="Arial"/>
        </w:rPr>
        <w:t>-</w:t>
      </w:r>
      <w:r w:rsidRPr="00072ABC">
        <w:rPr>
          <w:rFonts w:cs="Arial"/>
        </w:rPr>
        <w:t>level traceability, closed</w:t>
      </w:r>
      <w:r w:rsidR="00072ABC">
        <w:rPr>
          <w:rFonts w:cs="Arial"/>
        </w:rPr>
        <w:t>-</w:t>
      </w:r>
      <w:r w:rsidRPr="00072ABC">
        <w:rPr>
          <w:rFonts w:cs="Arial"/>
        </w:rPr>
        <w:t xml:space="preserve">loop partnerships for the use of scrap, co-development of lower carbon and application-specific quality, and geographic learning transfer – adapting learning to local energy systems are the four capabilities that guarantee defensibility. Securing datasets, contractual </w:t>
      </w:r>
      <w:r w:rsidR="00072ABC">
        <w:rPr>
          <w:rFonts w:cs="Arial"/>
        </w:rPr>
        <w:t xml:space="preserve">agreements, </w:t>
      </w:r>
      <w:r w:rsidRPr="00072ABC">
        <w:rPr>
          <w:rFonts w:cs="Arial"/>
        </w:rPr>
        <w:t>and creating a customer</w:t>
      </w:r>
      <w:r w:rsidR="00072ABC">
        <w:rPr>
          <w:rFonts w:cs="Arial"/>
        </w:rPr>
        <w:t>-</w:t>
      </w:r>
      <w:r w:rsidRPr="00072ABC">
        <w:rPr>
          <w:rFonts w:cs="Arial"/>
        </w:rPr>
        <w:t xml:space="preserve">specific grade is harder and costs more than competitors to </w:t>
      </w:r>
      <w:r w:rsidRPr="00072ABC">
        <w:rPr>
          <w:rFonts w:cs="Arial"/>
        </w:rPr>
        <w:lastRenderedPageBreak/>
        <w:t>duplicate for EAF or green brand. Marketing is more than simply promotion. It should conduct research on WTP, limit regulatory exposure, co-develop value proposition, ensure coordination of requirements with operation, procurement &amp; research</w:t>
      </w:r>
      <w:r w:rsidR="00FB3EFA" w:rsidRPr="00072ABC">
        <w:rPr>
          <w:rFonts w:cs="Arial"/>
        </w:rPr>
        <w:t xml:space="preserve"> </w:t>
      </w:r>
      <w:r w:rsidR="00FB3EFA" w:rsidRPr="00072ABC">
        <w:rPr>
          <w:rFonts w:cs="Arial"/>
        </w:rPr>
        <w:fldChar w:fldCharType="begin" w:fldLock="1"/>
      </w:r>
      <w:r w:rsidR="00FB3EFA" w:rsidRPr="00072ABC">
        <w:rPr>
          <w:rFonts w:cs="Arial"/>
        </w:rPr>
        <w:instrText>ADDIN CSL_CITATION {"citationItems":[{"id":"ITEM-1","itemData":{"ISSN":"1363-254X","author":[{"dropping-particle":"","family":"Guerreiro","given":"João","non-dropping-particle":"","parse-names":false,"suffix":""},{"dropping-particle":"","family":"Loureiro","given":"Sandra Maria Correia","non-dropping-particle":"","parse-names":false,"suffix":""},{"dropping-particle":"","family":"Nascimento","given":"Jorge","non-dropping-particle":"","parse-names":false,"suffix":""},{"dropping-particle":"","family":"Duarte","given":"Miguel","non-dropping-particle":"","parse-names":false,"suffix":""}],"container-title":"Journal of Communication Management","id":"ITEM-1","issue":"1","issued":{"date-parts":[["2023","3","16"]]},"page":"35-63","title":"How to earn a premium price: the effect of green marketing and brand coolness","type":"article-journal","volume":"27"},"uris":["http://www.mendeley.com/documents/?uuid=5b6c5f91-8883-42a0-9c34-845e779fc883"]}],"mendeley":{"formattedCitation":"(Guerreiro &lt;i&gt;et al.&lt;/i&gt;, 2023)","plainTextFormattedCitation":"(Guerreiro et al., 2023)","previouslyFormattedCitation":"(Guerreiro &lt;i&gt;et al.&lt;/i&gt;, 2023)"},"properties":{"noteIndex":0},"schema":"https://github.com/citation-style-language/schema/raw/master/csl-citation.json"}</w:instrText>
      </w:r>
      <w:r w:rsidR="00FB3EFA" w:rsidRPr="00072ABC">
        <w:rPr>
          <w:rFonts w:cs="Arial"/>
        </w:rPr>
        <w:fldChar w:fldCharType="separate"/>
      </w:r>
      <w:r w:rsidR="00FB3EFA" w:rsidRPr="00072ABC">
        <w:rPr>
          <w:rFonts w:cs="Arial"/>
          <w:noProof/>
        </w:rPr>
        <w:t xml:space="preserve">(Guerreiro </w:t>
      </w:r>
      <w:r w:rsidR="00FB3EFA" w:rsidRPr="00072ABC">
        <w:rPr>
          <w:rFonts w:cs="Arial"/>
          <w:i/>
          <w:noProof/>
        </w:rPr>
        <w:t>et al.</w:t>
      </w:r>
      <w:r w:rsidR="00FB3EFA" w:rsidRPr="00072ABC">
        <w:rPr>
          <w:rFonts w:cs="Arial"/>
          <w:noProof/>
        </w:rPr>
        <w:t>, 2023)</w:t>
      </w:r>
      <w:r w:rsidR="00FB3EFA" w:rsidRPr="00072ABC">
        <w:rPr>
          <w:rFonts w:cs="Arial"/>
        </w:rPr>
        <w:fldChar w:fldCharType="end"/>
      </w:r>
      <w:r w:rsidRPr="00072ABC">
        <w:rPr>
          <w:rFonts w:cs="Arial"/>
        </w:rPr>
        <w:t xml:space="preserve">. There may be a moderate premium available through multi-year contracts and may be tied to any of these costs of electricity, scrap and carbon. </w:t>
      </w:r>
    </w:p>
    <w:p w14:paraId="606FB912" w14:textId="77777777" w:rsidR="00034BC5" w:rsidRPr="00072ABC" w:rsidRDefault="00034BC5" w:rsidP="00072ABC">
      <w:pPr>
        <w:pStyle w:val="Heading2"/>
      </w:pPr>
      <w:bookmarkStart w:id="10" w:name="_Toc235792279"/>
      <w:r w:rsidRPr="00072ABC">
        <w:t>2.4 Implementation, Risk and Performance Control</w:t>
      </w:r>
      <w:bookmarkEnd w:id="10"/>
    </w:p>
    <w:p w14:paraId="4A7FDAE7" w14:textId="7D56513A" w:rsidR="00034BC5" w:rsidRPr="00072ABC" w:rsidRDefault="00BA6556" w:rsidP="00072ABC">
      <w:pPr>
        <w:spacing w:line="360" w:lineRule="auto"/>
        <w:jc w:val="both"/>
        <w:rPr>
          <w:rFonts w:cs="Arial"/>
        </w:rPr>
      </w:pPr>
      <w:r w:rsidRPr="00072ABC">
        <w:rPr>
          <w:rFonts w:cs="Arial"/>
        </w:rPr>
        <w:t>Staging a change is a good idea. In 2026-2027, Tata needs to pay attention to product footprints, renewable</w:t>
      </w:r>
      <w:r w:rsidR="00072ABC">
        <w:rPr>
          <w:rFonts w:cs="Arial"/>
        </w:rPr>
        <w:t xml:space="preserve"> </w:t>
      </w:r>
      <w:r w:rsidRPr="00072ABC">
        <w:rPr>
          <w:rFonts w:cs="Arial"/>
        </w:rPr>
        <w:t>power and scrap deals and test customer offtakes. Investment thresholds should be met with technical performance and contracted demand, and the economics of energy should be met before taking primary grade based on hydrogen. The biggest danger is lack of credibility. The idea of encouraging use of EAF products and building Indian capacity with coal might sound paradoxical</w:t>
      </w:r>
      <w:r w:rsidR="00FB3EFA" w:rsidRPr="00072ABC">
        <w:rPr>
          <w:rFonts w:cs="Arial"/>
        </w:rPr>
        <w:t xml:space="preserve"> </w:t>
      </w:r>
      <w:r w:rsidR="00FB3EFA" w:rsidRPr="00072ABC">
        <w:rPr>
          <w:rFonts w:cs="Arial"/>
        </w:rPr>
        <w:fldChar w:fldCharType="begin" w:fldLock="1"/>
      </w:r>
      <w:r w:rsidR="00FB3EFA" w:rsidRPr="00072ABC">
        <w:rPr>
          <w:rFonts w:cs="Arial"/>
        </w:rPr>
        <w:instrText>ADDIN CSL_CITATION {"citationItems":[{"id":"ITEM-1","itemData":{"author":[{"dropping-particle":"","family":"Growth","given":"Sustainable","non-dropping-particle":"","parse-names":false,"suffix":""}],"id":"ITEM-1","issue":"June","issued":{"date-parts":[["2026"]]},"title":"Anchored in the Tata Group ’ s legacy of responsible and","type":"article-journal"},"uris":["http://www.mendeley.com/documents/?uuid=2643f0a1-26cb-4735-b8fa-7b00f27f5d72"]}],"mendeley":{"formattedCitation":"(Growth, 2026)","plainTextFormattedCitation":"(Growth, 2026)","previouslyFormattedCitation":"(Growth, 2026)"},"properties":{"noteIndex":0},"schema":"https://github.com/citation-style-language/schema/raw/master/csl-citation.json"}</w:instrText>
      </w:r>
      <w:r w:rsidR="00FB3EFA" w:rsidRPr="00072ABC">
        <w:rPr>
          <w:rFonts w:cs="Arial"/>
        </w:rPr>
        <w:fldChar w:fldCharType="separate"/>
      </w:r>
      <w:r w:rsidR="00FB3EFA" w:rsidRPr="00072ABC">
        <w:rPr>
          <w:rFonts w:cs="Arial"/>
          <w:noProof/>
        </w:rPr>
        <w:t>(Growth, 2026)</w:t>
      </w:r>
      <w:r w:rsidR="00FB3EFA" w:rsidRPr="00072ABC">
        <w:rPr>
          <w:rFonts w:cs="Arial"/>
        </w:rPr>
        <w:fldChar w:fldCharType="end"/>
      </w:r>
      <w:r w:rsidRPr="00072ABC">
        <w:rPr>
          <w:rFonts w:cs="Arial"/>
        </w:rPr>
        <w:t>. Carbon Tracker (2025) will help plan geograph</w:t>
      </w:r>
      <w:r w:rsidR="00072ABC">
        <w:rPr>
          <w:rFonts w:cs="Arial"/>
        </w:rPr>
        <w:t>y-</w:t>
      </w:r>
      <w:r w:rsidRPr="00072ABC">
        <w:rPr>
          <w:rFonts w:cs="Arial"/>
        </w:rPr>
        <w:t>specific reduction pathways and disclosure of absolute emissions; while the efficiency may reduce absolute emissions, growth can lead to an increase in absolute emissions. These should be scrap</w:t>
      </w:r>
      <w:r w:rsidR="00072ABC">
        <w:rPr>
          <w:rFonts w:cs="Arial"/>
        </w:rPr>
        <w:t>ped</w:t>
      </w:r>
      <w:r w:rsidRPr="00072ABC">
        <w:rPr>
          <w:rFonts w:cs="Arial"/>
        </w:rPr>
        <w:t xml:space="preserve"> and collected, sorted and low carbon direct reduced iron. Volumes of this type are required due to weak willingness to pay, and due to high volatility of electricity prices, there is a need for renewable power-purchase agreements</w:t>
      </w:r>
      <w:r w:rsidR="00FB3EFA" w:rsidRPr="00072ABC">
        <w:rPr>
          <w:rFonts w:cs="Arial"/>
        </w:rPr>
        <w:t xml:space="preserve"> </w:t>
      </w:r>
      <w:r w:rsidR="00FB3EFA" w:rsidRPr="00072ABC">
        <w:rPr>
          <w:rFonts w:cs="Arial"/>
        </w:rPr>
        <w:fldChar w:fldCharType="begin" w:fldLock="1"/>
      </w:r>
      <w:r w:rsidR="00FB3EFA" w:rsidRPr="00072ABC">
        <w:rPr>
          <w:rFonts w:cs="Arial"/>
        </w:rPr>
        <w:instrText>ADDIN CSL_CITATION {"citationItems":[{"id":"ITEM-1","itemData":{"URL":"https://www.iea.org/data-and-statistics/data-product/iea-energy-and-carbon-tracker-2025","author":[{"dropping-particle":"","family":"IEA","given":"","non-dropping-particle":"","parse-names":false,"suffix":""}],"id":"ITEM-1","issued":{"date-parts":[["2025"]]},"title":"IEA Energy and Carbon Tracker 2025","type":"webpage"},"uris":["http://www.mendeley.com/documents/?uuid=a6205812-28bd-43be-8cbe-6ec05492983e"]}],"mendeley":{"formattedCitation":"(IEA, 2025)","plainTextFormattedCitation":"(IEA, 2025)","previouslyFormattedCitation":"(IEA, 2025)"},"properties":{"noteIndex":0},"schema":"https://github.com/citation-style-language/schema/raw/master/csl-citation.json"}</w:instrText>
      </w:r>
      <w:r w:rsidR="00FB3EFA" w:rsidRPr="00072ABC">
        <w:rPr>
          <w:rFonts w:cs="Arial"/>
        </w:rPr>
        <w:fldChar w:fldCharType="separate"/>
      </w:r>
      <w:r w:rsidR="00FB3EFA" w:rsidRPr="00072ABC">
        <w:rPr>
          <w:rFonts w:cs="Arial"/>
          <w:noProof/>
        </w:rPr>
        <w:t>(IEA, 2025)</w:t>
      </w:r>
      <w:r w:rsidR="00FB3EFA" w:rsidRPr="00072ABC">
        <w:rPr>
          <w:rFonts w:cs="Arial"/>
        </w:rPr>
        <w:fldChar w:fldCharType="end"/>
      </w:r>
      <w:r w:rsidRPr="00072ABC">
        <w:rPr>
          <w:rFonts w:cs="Arial"/>
        </w:rPr>
        <w:t>. Control measures could involve environmental measures, commercial measures and social measures, such as product and absolute emissions, proportion of renewable electricity and recycled inputs, guaranteed lower carbon volume and revenue, offtake and keeping the lower carbon inputs, closed-loop input volumes and reskilling of workers and their results</w:t>
      </w:r>
      <w:r w:rsidR="00FB3EFA" w:rsidRPr="00072ABC">
        <w:rPr>
          <w:rFonts w:cs="Arial"/>
        </w:rPr>
        <w:t xml:space="preserve"> </w:t>
      </w:r>
      <w:r w:rsidR="00FB3EFA" w:rsidRPr="00072ABC">
        <w:rPr>
          <w:rFonts w:cs="Arial"/>
        </w:rPr>
        <w:fldChar w:fldCharType="begin" w:fldLock="1"/>
      </w:r>
      <w:r w:rsidR="00615EBC" w:rsidRPr="00072ABC">
        <w:rPr>
          <w:rFonts w:cs="Arial"/>
        </w:rPr>
        <w:instrText>ADDIN CSL_CITATION {"citationItems":[{"id":"ITEM-1","itemData":{"ISSN":"2071-1050","abstract":"The global environment has recently been facing sustainability threats owing to industrial and economic expansions. Accordingly, this study empirically examines the impact of carbon emissions and the directional causality between carbon emissions and environmental quality, financial development, and economic growth. We used data from 65 economies from 2010 to 2021, applying fully modified ordinary least squares (FMOLS) and dynamic ordinary least squares (DOLS) approaches. Generally, the findings from the analysis revealed that the estimated coefficients of carbon emissions were negative and significant across the model, except for greenhouse gas emissions, which produced an insignificant result in developed economies. This result proves that an increase in carbon emissions and other forms of pollution are detrimental to environmental quality, economic growth, and financial development. Further results revealed that fossil fuels are positively and significantly related to the economic growth and financial development of selected countries. Empirical outcomes indicate that ineffective control of environmental pollution and carbon emissions is a major challenge to the economic growth trajectories of the selected countries, especially in emerging economies. The results from directional relationships revealed that bi-directional causality exists between CO2 and GDP; between total greenhouse gas emissions and economic growth, with no directional relationship of CO2 emissions to financial development and vice versa; and economic growth to CO2 emissions from gaseous fuel consumption and vice versa. Generally, this outcome indicates that improved environmental quality control can accelerate economic growth and financial development worldwide. This study provides insights to governments, policymakers, international organizations, researchers, and many other stakeholders. This study suggests that stricter fiscal and monetary policies, laws, and regulations, such as environmental taxes and carbon emission taxes, with strong implementation strategies, especially in emerging economies, are strongly recommended worldwide. Further recommendations suggest the development of technologically innovative policies that can counter all the impacts of devastating human activities on the environment, and these are encouraged. A greater consumption of renewable energy and the use of other innovative machines that are environmentally friendly and can help control various forms of…","author":[{"dropping-particle":"","family":"Ajeigbe","given":"Kola Benson","non-dropping-particle":"","parse-names":false,"suffix":""},{"dropping-particle":"","family":"Ganda","given":"Fortune","non-dropping-particle":"","parse-names":false,"suffix":""}],"container-title":"Sustainability","id":"ITEM-1","issue":"20","issued":{"date-parts":[["2024","10","10"]]},"page":"8748","title":"The Impact of Pollution and Carbon Emission Control on Financial Development, Environmental Quality, and Economic Growth: A Global Analysis","type":"article-journal","volume":"16"},"uris":["http://www.mendeley.com/documents/?uuid=5b080d1b-5f43-4c20-9269-a9b55fa8f5cd"]}],"mendeley":{"formattedCitation":"(Ajeigbe and Ganda, 2024)","plainTextFormattedCitation":"(Ajeigbe and Ganda, 2024)","previouslyFormattedCitation":"(Ajeigbe and Ganda, 2024)"},"properties":{"noteIndex":0},"schema":"https://github.com/citation-style-language/schema/raw/master/csl-citation.json"}</w:instrText>
      </w:r>
      <w:r w:rsidR="00FB3EFA" w:rsidRPr="00072ABC">
        <w:rPr>
          <w:rFonts w:cs="Arial"/>
        </w:rPr>
        <w:fldChar w:fldCharType="separate"/>
      </w:r>
      <w:r w:rsidR="00FB3EFA" w:rsidRPr="00072ABC">
        <w:rPr>
          <w:rFonts w:cs="Arial"/>
          <w:noProof/>
        </w:rPr>
        <w:t>(Ajeigbe and Ganda, 2024)</w:t>
      </w:r>
      <w:r w:rsidR="00FB3EFA" w:rsidRPr="00072ABC">
        <w:rPr>
          <w:rFonts w:cs="Arial"/>
        </w:rPr>
        <w:fldChar w:fldCharType="end"/>
      </w:r>
      <w:r w:rsidRPr="00072ABC">
        <w:rPr>
          <w:rFonts w:cs="Arial"/>
        </w:rPr>
        <w:t xml:space="preserve">. Without these linkages to absolute decarbonisation, </w:t>
      </w:r>
      <w:r w:rsidR="00072ABC">
        <w:rPr>
          <w:rFonts w:cs="Arial"/>
        </w:rPr>
        <w:t>management incentives would otherwise</w:t>
      </w:r>
      <w:r w:rsidRPr="00072ABC">
        <w:rPr>
          <w:rFonts w:cs="Arial"/>
        </w:rPr>
        <w:t xml:space="preserve"> be based on reducing costs and increasing growth, at the expense of the credibility </w:t>
      </w:r>
      <w:r w:rsidR="00072ABC">
        <w:rPr>
          <w:rFonts w:cs="Arial"/>
        </w:rPr>
        <w:t>of</w:t>
      </w:r>
      <w:r w:rsidRPr="00072ABC">
        <w:rPr>
          <w:rFonts w:cs="Arial"/>
        </w:rPr>
        <w:t xml:space="preserve"> the transition</w:t>
      </w:r>
      <w:r w:rsidR="00034BC5" w:rsidRPr="00072ABC">
        <w:rPr>
          <w:rFonts w:cs="Arial"/>
        </w:rPr>
        <w:t>.</w:t>
      </w:r>
    </w:p>
    <w:p w14:paraId="25FDAAF5" w14:textId="77777777" w:rsidR="00034BC5" w:rsidRPr="00072ABC" w:rsidRDefault="00034BC5" w:rsidP="00072ABC">
      <w:pPr>
        <w:pStyle w:val="Heading2"/>
      </w:pPr>
      <w:bookmarkStart w:id="11" w:name="_Toc235792280"/>
      <w:r w:rsidRPr="00072ABC">
        <w:t>2.5 Strategic Judgement</w:t>
      </w:r>
      <w:bookmarkEnd w:id="11"/>
    </w:p>
    <w:p w14:paraId="0F944715" w14:textId="67116053" w:rsidR="00034BC5" w:rsidRPr="00072ABC" w:rsidRDefault="00BA6556" w:rsidP="00072ABC">
      <w:pPr>
        <w:spacing w:line="360" w:lineRule="auto"/>
        <w:jc w:val="both"/>
        <w:rPr>
          <w:rFonts w:cs="Arial"/>
        </w:rPr>
      </w:pPr>
      <w:r w:rsidRPr="00072ABC">
        <w:rPr>
          <w:rFonts w:cs="Arial"/>
        </w:rPr>
        <w:t>The product development offers a better risk–return ratio with the value to the environment and Tata's existing customers and capabilities. If there is demonstrated reduction</w:t>
      </w:r>
      <w:r w:rsidR="00072ABC">
        <w:rPr>
          <w:rFonts w:cs="Arial"/>
        </w:rPr>
        <w:t xml:space="preserve"> in</w:t>
      </w:r>
      <w:r w:rsidRPr="00072ABC">
        <w:rPr>
          <w:rFonts w:cs="Arial"/>
        </w:rPr>
        <w:t xml:space="preserve"> circular feedstock</w:t>
      </w:r>
      <w:r w:rsidR="00072ABC">
        <w:rPr>
          <w:rFonts w:cs="Arial"/>
        </w:rPr>
        <w:t>,</w:t>
      </w:r>
      <w:r w:rsidRPr="00072ABC">
        <w:rPr>
          <w:rFonts w:cs="Arial"/>
        </w:rPr>
        <w:t xml:space="preserve"> quality and integration with customers, then sustainable</w:t>
      </w:r>
      <w:r w:rsidR="00072ABC">
        <w:rPr>
          <w:rFonts w:cs="Arial"/>
        </w:rPr>
        <w:t>-</w:t>
      </w:r>
      <w:r w:rsidRPr="00072ABC">
        <w:rPr>
          <w:rFonts w:cs="Arial"/>
        </w:rPr>
        <w:t>focused differentiation is possible. Investments need to be based on evidence of assurance and demand that shows commercial long-term growth that is environmentally adding; evidence is what must be sold, not aspirations</w:t>
      </w:r>
      <w:r w:rsidR="00034BC5" w:rsidRPr="00072ABC">
        <w:rPr>
          <w:rFonts w:cs="Arial"/>
        </w:rPr>
        <w:t>.</w:t>
      </w:r>
    </w:p>
    <w:p w14:paraId="635C95B1" w14:textId="77777777" w:rsidR="00BA6556" w:rsidRPr="00072ABC" w:rsidRDefault="00BA6556" w:rsidP="00072ABC">
      <w:pPr>
        <w:spacing w:line="360" w:lineRule="auto"/>
        <w:jc w:val="both"/>
        <w:rPr>
          <w:rFonts w:cs="Arial"/>
        </w:rPr>
      </w:pPr>
    </w:p>
    <w:p w14:paraId="4388137D" w14:textId="77777777" w:rsidR="00BA6556" w:rsidRPr="00072ABC" w:rsidRDefault="00BA6556" w:rsidP="00072ABC">
      <w:pPr>
        <w:pStyle w:val="Heading1"/>
      </w:pPr>
      <w:bookmarkStart w:id="12" w:name="_Toc235792281"/>
      <w:r w:rsidRPr="00072ABC">
        <w:t>Task 3: Critical Reflection on AI Usage</w:t>
      </w:r>
      <w:bookmarkEnd w:id="12"/>
    </w:p>
    <w:p w14:paraId="56606997" w14:textId="77777777" w:rsidR="00BA6556" w:rsidRPr="00072ABC" w:rsidRDefault="00BA6556" w:rsidP="00072ABC">
      <w:pPr>
        <w:pStyle w:val="Heading2"/>
      </w:pPr>
      <w:bookmarkStart w:id="13" w:name="_Toc235792282"/>
      <w:r w:rsidRPr="00072ABC">
        <w:t>3.1 Tool Disclosure</w:t>
      </w:r>
      <w:bookmarkEnd w:id="13"/>
    </w:p>
    <w:p w14:paraId="4BBFB520" w14:textId="71D72AB2" w:rsidR="00BA6556" w:rsidRPr="00072ABC" w:rsidRDefault="00BA6556" w:rsidP="00072ABC">
      <w:pPr>
        <w:spacing w:line="360" w:lineRule="auto"/>
        <w:jc w:val="both"/>
        <w:rPr>
          <w:rFonts w:cs="Arial"/>
        </w:rPr>
      </w:pPr>
      <w:r w:rsidRPr="00072ABC">
        <w:rPr>
          <w:rFonts w:cs="Arial"/>
        </w:rPr>
        <w:t xml:space="preserve">This was then translated into OpenAI's ChatGPT, checked with other companies, headings/evidence location, put together with other evidence, and an initial draft of the brief was formed. It introduced the idea of </w:t>
      </w:r>
      <w:r w:rsidR="00072ABC">
        <w:rPr>
          <w:rFonts w:cs="Arial"/>
        </w:rPr>
        <w:t xml:space="preserve">the </w:t>
      </w:r>
      <w:r w:rsidRPr="00072ABC">
        <w:rPr>
          <w:rFonts w:cs="Arial"/>
        </w:rPr>
        <w:t>natural environment and its segmentation, made it clear that the Government should be involved in the Ansoff product development and focused differentiation. That's why it wasn't only proofreading, but research assistant, organiser and language builder. This involvement will be rewarded with the appropriate AI-use</w:t>
      </w:r>
      <w:r w:rsidR="00615EBC" w:rsidRPr="00072ABC">
        <w:rPr>
          <w:rFonts w:cs="Arial"/>
        </w:rPr>
        <w:t xml:space="preserve"> </w:t>
      </w:r>
      <w:r w:rsidR="00615EBC" w:rsidRPr="00072ABC">
        <w:rPr>
          <w:rFonts w:cs="Arial"/>
        </w:rPr>
        <w:fldChar w:fldCharType="begin" w:fldLock="1"/>
      </w:r>
      <w:r w:rsidR="00615EBC" w:rsidRPr="00072ABC">
        <w:rPr>
          <w:rFonts w:cs="Arial"/>
        </w:rPr>
        <w:instrText>ADDIN CSL_CITATION {"citationItems":[{"id":"ITEM-1","itemData":{"ISSN":"2790-7511","abstract":"The ChatGPT, a powerful conversational tool trained by OpenAI is considered to be a revolutionary model in the field of artificial intelligence and natural language processing. It has received a lot of attention because of its potential to automate a variety of tasks and possibly have an impact on sectors like translation, customer service, and content creation. It uses GPT-3 (Generative Pre-training Transformer 3) language model to process user queries. GPT-3 has been trained on a very large dataset, which includes a wide range of texts from the internet and other sources. This has given it a broad knowledge base and has allowed it to generate responses to a wide range of prompts that are coherent and human-like. GPT-3 is one of the largest and most powerful language models to date, and it has the ability to perform a wide range of natural language processing tasks. After its release, ChatGPT has become a trending tool for the public to experiment and explore what it is capable of. In this article, we want to clarify what ChatGPT is. How does it work? What makes it different from other chatbots or search engines like Google? What are the major challenges and future prospects for it?","author":[{"dropping-particle":"","family":"Haque","given":"Md. Asraful","non-dropping-particle":"","parse-names":false,"suffix":""}],"container-title":"EAI Endorsed Transactions on AI and Robotics","id":"ITEM-1","issue":"1","issued":{"date-parts":[["2023","3","29"]]},"page":"e15","title":"A Brief Analysis of “ChatGPT” – A Revolutionary Tool Designed by OpenAI","type":"article-journal","volume":"1"},"uris":["http://www.mendeley.com/documents/?uuid=7939b78e-1b3b-41d3-a4be-7509787101a7"]}],"mendeley":{"formattedCitation":"(Haque, 2023)","plainTextFormattedCitation":"(Haque, 2023)","previouslyFormattedCitation":"(Haque, 2023)"},"properties":{"noteIndex":0},"schema":"https://github.com/citation-style-language/schema/raw/master/csl-citation.json"}</w:instrText>
      </w:r>
      <w:r w:rsidR="00615EBC" w:rsidRPr="00072ABC">
        <w:rPr>
          <w:rFonts w:cs="Arial"/>
        </w:rPr>
        <w:fldChar w:fldCharType="separate"/>
      </w:r>
      <w:r w:rsidR="00615EBC" w:rsidRPr="00072ABC">
        <w:rPr>
          <w:rFonts w:cs="Arial"/>
          <w:noProof/>
        </w:rPr>
        <w:t>(Haque, 2023)</w:t>
      </w:r>
      <w:r w:rsidR="00615EBC" w:rsidRPr="00072ABC">
        <w:rPr>
          <w:rFonts w:cs="Arial"/>
        </w:rPr>
        <w:fldChar w:fldCharType="end"/>
      </w:r>
      <w:r w:rsidRPr="00072ABC">
        <w:rPr>
          <w:rFonts w:cs="Arial"/>
        </w:rPr>
        <w:t>. I have yet to have any claims, citations or judgments dismissed.</w:t>
      </w:r>
    </w:p>
    <w:p w14:paraId="14945C5A" w14:textId="77777777" w:rsidR="00BA6556" w:rsidRPr="00072ABC" w:rsidRDefault="00BA6556" w:rsidP="00072ABC">
      <w:pPr>
        <w:pStyle w:val="Heading2"/>
      </w:pPr>
      <w:bookmarkStart w:id="14" w:name="_Toc235792283"/>
      <w:r w:rsidRPr="00072ABC">
        <w:t>3.2 Critical Evaluation and Verification</w:t>
      </w:r>
      <w:bookmarkEnd w:id="14"/>
    </w:p>
    <w:p w14:paraId="2CA60412" w14:textId="30EF3FC3" w:rsidR="00BA6556" w:rsidRPr="00072ABC" w:rsidRDefault="00BA6556" w:rsidP="00072ABC">
      <w:pPr>
        <w:spacing w:line="360" w:lineRule="auto"/>
        <w:jc w:val="both"/>
        <w:rPr>
          <w:rFonts w:cs="Arial"/>
        </w:rPr>
      </w:pPr>
      <w:r w:rsidRPr="00072ABC">
        <w:rPr>
          <w:rFonts w:cs="Arial"/>
        </w:rPr>
        <w:t>The word ‘provisional' is the one that I hadn't heard in my speech o</w:t>
      </w:r>
      <w:r w:rsidR="00072ABC">
        <w:rPr>
          <w:rFonts w:cs="Arial"/>
        </w:rPr>
        <w:t>n</w:t>
      </w:r>
      <w:r w:rsidRPr="00072ABC">
        <w:rPr>
          <w:rFonts w:cs="Arial"/>
        </w:rPr>
        <w:t xml:space="preserve"> AI content before</w:t>
      </w:r>
      <w:r w:rsidR="00072ABC">
        <w:rPr>
          <w:rFonts w:cs="Arial"/>
        </w:rPr>
        <w:t>,</w:t>
      </w:r>
      <w:r w:rsidRPr="00072ABC">
        <w:rPr>
          <w:rFonts w:cs="Arial"/>
        </w:rPr>
        <w:t xml:space="preserve"> and ‘fluency' does not equal ‘accuracy'. Claims that had a time sensitivity were linked to the primary sources: emissions intensity from Tata (FY2024/25 reporting); funding from European Commission guidance (CBAM); funding from UK Government material (Port Talbot). Quality of electric-arc furnace and scrap were compared to peer-reviewed studies</w:t>
      </w:r>
      <w:r w:rsidR="00072ABC">
        <w:rPr>
          <w:rFonts w:cs="Arial"/>
        </w:rPr>
        <w:t>,</w:t>
      </w:r>
      <w:r w:rsidRPr="00072ABC">
        <w:rPr>
          <w:rFonts w:cs="Arial"/>
        </w:rPr>
        <w:t xml:space="preserve"> as were the claims for hydrogen direct reduction</w:t>
      </w:r>
      <w:r w:rsidR="00615EBC" w:rsidRPr="00072ABC">
        <w:rPr>
          <w:rFonts w:cs="Arial"/>
        </w:rPr>
        <w:t xml:space="preserve"> </w:t>
      </w:r>
      <w:r w:rsidR="00615EBC" w:rsidRPr="00072ABC">
        <w:rPr>
          <w:rFonts w:cs="Arial"/>
        </w:rPr>
        <w:fldChar w:fldCharType="begin" w:fldLock="1"/>
      </w:r>
      <w:r w:rsidR="00615EBC" w:rsidRPr="00072ABC">
        <w:rPr>
          <w:rFonts w:cs="Arial"/>
        </w:rPr>
        <w:instrText>ADDIN CSL_CITATION {"citationItems":[{"id":"ITEM-1","itemData":{"URL":"https://evenly.care/wp-content/uploads/2026/05/Evenly-WhitePaper-Trust-or-Fluency.pdf","author":[{"dropping-particle":"","family":"Evenly","given":"","non-dropping-particle":"","parse-names":false,"suffix":""}],"id":"ITEM-1","issued":{"date-parts":[["2026"]]},"title":"What Voice AI Needs: Trust or Fluency?","type":"webpage"},"uris":["http://www.mendeley.com/documents/?uuid=7f9f7ac0-c8bd-468e-bba0-068f1375cc35"]}],"mendeley":{"formattedCitation":"(Evenly, 2026)","plainTextFormattedCitation":"(Evenly, 2026)","previouslyFormattedCitation":"(Evenly, 2026)"},"properties":{"noteIndex":0},"schema":"https://github.com/citation-style-language/schema/raw/master/csl-citation.json"}</w:instrText>
      </w:r>
      <w:r w:rsidR="00615EBC" w:rsidRPr="00072ABC">
        <w:rPr>
          <w:rFonts w:cs="Arial"/>
        </w:rPr>
        <w:fldChar w:fldCharType="separate"/>
      </w:r>
      <w:r w:rsidR="00615EBC" w:rsidRPr="00072ABC">
        <w:rPr>
          <w:rFonts w:cs="Arial"/>
          <w:noProof/>
        </w:rPr>
        <w:t>(Evenly, 2026)</w:t>
      </w:r>
      <w:r w:rsidR="00615EBC" w:rsidRPr="00072ABC">
        <w:rPr>
          <w:rFonts w:cs="Arial"/>
        </w:rPr>
        <w:fldChar w:fldCharType="end"/>
      </w:r>
      <w:r w:rsidRPr="00072ABC">
        <w:rPr>
          <w:rFonts w:cs="Arial"/>
        </w:rPr>
        <w:t xml:space="preserve">. Analysis was also performed independently, and </w:t>
      </w:r>
      <w:r w:rsidR="00072ABC">
        <w:rPr>
          <w:rFonts w:cs="Arial"/>
        </w:rPr>
        <w:t>cross-</w:t>
      </w:r>
      <w:r w:rsidRPr="00072ABC">
        <w:rPr>
          <w:rFonts w:cs="Arial"/>
        </w:rPr>
        <w:t>checking was used</w:t>
      </w:r>
      <w:r w:rsidR="00072ABC">
        <w:rPr>
          <w:rFonts w:cs="Arial"/>
        </w:rPr>
        <w:t>,</w:t>
      </w:r>
      <w:r w:rsidRPr="00072ABC">
        <w:rPr>
          <w:rFonts w:cs="Arial"/>
        </w:rPr>
        <w:t xml:space="preserve"> as the companies tend to over-emphasi</w:t>
      </w:r>
      <w:r w:rsidR="00072ABC">
        <w:rPr>
          <w:rFonts w:cs="Arial"/>
        </w:rPr>
        <w:t>s</w:t>
      </w:r>
      <w:r w:rsidRPr="00072ABC">
        <w:rPr>
          <w:rFonts w:cs="Arial"/>
        </w:rPr>
        <w:t>e improvement. Their statements were not only conceivable, but they reali</w:t>
      </w:r>
      <w:r w:rsidR="00072ABC">
        <w:rPr>
          <w:rFonts w:cs="Arial"/>
        </w:rPr>
        <w:t>s</w:t>
      </w:r>
      <w:r w:rsidRPr="00072ABC">
        <w:rPr>
          <w:rFonts w:cs="Arial"/>
        </w:rPr>
        <w:t>ed that they had the conceptual risk. When ChatGPT believed that it was everything was “green” (electricity carbon intensity, contamination of scrap, transport)</w:t>
      </w:r>
      <w:r w:rsidR="00072ABC">
        <w:rPr>
          <w:rFonts w:cs="Arial"/>
        </w:rPr>
        <w:t>,</w:t>
      </w:r>
      <w:r w:rsidRPr="00072ABC">
        <w:rPr>
          <w:rFonts w:cs="Arial"/>
        </w:rPr>
        <w:t xml:space="preserve"> I had to put it right</w:t>
      </w:r>
      <w:r w:rsidR="00615EBC" w:rsidRPr="00072ABC">
        <w:rPr>
          <w:rFonts w:cs="Arial"/>
        </w:rPr>
        <w:t xml:space="preserve"> </w:t>
      </w:r>
      <w:r w:rsidR="00615EBC" w:rsidRPr="00072ABC">
        <w:rPr>
          <w:rFonts w:cs="Arial"/>
        </w:rPr>
        <w:fldChar w:fldCharType="begin" w:fldLock="1"/>
      </w:r>
      <w:r w:rsidR="00615EBC" w:rsidRPr="00072ABC">
        <w:rPr>
          <w:rFonts w:cs="Arial"/>
        </w:rPr>
        <w:instrText>ADDIN CSL_CITATION {"citationItems":[{"id":"ITEM-1","itemData":{"ISSN":"0718-1876","abstract":"E-commerce indicators are very complex and have a wide range of levels of complexity and applications. The digital economies that we are oriented towards also have complex features in terms of consumers and businesses. The research objectives are focused on determining the impact of e-commerce on the digital economy within countries with different stages of economic development, digitalization techniques, and e-commerce usage. This study evaluates how AI-based clustering reveals patterns in the e-commerce indicators influencing the digital economy. The research methods used are focused on AI techniques in order to evaluate and assess the usage of e-commerce in the digital economy. In this sense, the methods used in this research are clustering techniques in order to determine the stage of implementation of the digital economy. The research implications have a worldwide impact and soundness in establishing the evolution of the e-economy in different types of countries with different stages and levels of digitalization and different e-commerce development paths. The empirical results show there are significant differences between countries due to cultural, economic, social, and judicial differences. The conclusions of this study highlight that using AI techniques can be a solution for enhancing future digital economy development and labor market consolidation, especially by strengthening e-commerce indicator usage and application.","author":[{"dropping-particle":"","family":"Dumiter","given":"Florin Cornel","non-dropping-particle":"","parse-names":false,"suffix":""},{"dropping-particle":"","family":"Schebesch","given":"Klaus Bruno","non-dropping-particle":"","parse-names":false,"suffix":""}],"container-title":"Journal of Theoretical and Applied Electronic Commerce Research","id":"ITEM-1","issue":"3","issued":{"date-parts":[["2025","8","27"]]},"page":"219","title":"Using Artificial Intelligence to Determine the Impact of E-Commerce on the Digital Economy","type":"article-journal","volume":"20"},"uris":["http://www.mendeley.com/documents/?uuid=b9ce3ee1-b579-4bd1-b3ff-eb990d7df478"]}],"mendeley":{"formattedCitation":"(Dumiter and Schebesch, 2025)","plainTextFormattedCitation":"(Dumiter and Schebesch, 2025)","previouslyFormattedCitation":"(Dumiter and Schebesch, 2025)"},"properties":{"noteIndex":0},"schema":"https://github.com/citation-style-language/schema/raw/master/csl-citation.json"}</w:instrText>
      </w:r>
      <w:r w:rsidR="00615EBC" w:rsidRPr="00072ABC">
        <w:rPr>
          <w:rFonts w:cs="Arial"/>
        </w:rPr>
        <w:fldChar w:fldCharType="separate"/>
      </w:r>
      <w:r w:rsidR="00615EBC" w:rsidRPr="00072ABC">
        <w:rPr>
          <w:rFonts w:cs="Arial"/>
          <w:noProof/>
        </w:rPr>
        <w:t>(Dumiter and Schebesch, 2025)</w:t>
      </w:r>
      <w:r w:rsidR="00615EBC" w:rsidRPr="00072ABC">
        <w:rPr>
          <w:rFonts w:cs="Arial"/>
        </w:rPr>
        <w:fldChar w:fldCharType="end"/>
      </w:r>
      <w:r w:rsidRPr="00072ABC">
        <w:rPr>
          <w:rFonts w:cs="Arial"/>
        </w:rPr>
        <w:t xml:space="preserve">. It also showcased how much Tata has done to move towards his dream of creating a zero-emission company. </w:t>
      </w:r>
    </w:p>
    <w:p w14:paraId="77F6E88C" w14:textId="77777777" w:rsidR="00BA6556" w:rsidRPr="00072ABC" w:rsidRDefault="00BA6556" w:rsidP="00072ABC">
      <w:pPr>
        <w:pStyle w:val="Heading2"/>
      </w:pPr>
      <w:bookmarkStart w:id="15" w:name="_Toc235792284"/>
      <w:r w:rsidRPr="00072ABC">
        <w:t>3.3 Contribution Analysis</w:t>
      </w:r>
      <w:bookmarkEnd w:id="15"/>
    </w:p>
    <w:p w14:paraId="56444409" w14:textId="101073E4" w:rsidR="00BA6556" w:rsidRPr="00072ABC" w:rsidRDefault="00BA6556" w:rsidP="00072ABC">
      <w:pPr>
        <w:spacing w:line="360" w:lineRule="auto"/>
        <w:jc w:val="both"/>
        <w:rPr>
          <w:rFonts w:cs="Arial"/>
        </w:rPr>
      </w:pPr>
      <w:r w:rsidRPr="00072ABC">
        <w:rPr>
          <w:rFonts w:cs="Arial"/>
        </w:rPr>
        <w:br/>
        <w:t xml:space="preserve">Initial composition and verbiage, source leads and potential strategies were assisted with the use of AI. My role was to now "read all the evidence" and decide what is important, challenge and question all the conflicts and then, based on the evidence assembled, </w:t>
      </w:r>
      <w:r w:rsidR="00072ABC">
        <w:rPr>
          <w:rFonts w:cs="Arial"/>
        </w:rPr>
        <w:t>t</w:t>
      </w:r>
      <w:r w:rsidRPr="00072ABC">
        <w:rPr>
          <w:rFonts w:cs="Arial"/>
        </w:rPr>
        <w:t xml:space="preserve">he key argument is </w:t>
      </w:r>
      <w:r w:rsidR="00072ABC">
        <w:rPr>
          <w:rFonts w:cs="Arial"/>
        </w:rPr>
        <w:t>that i</w:t>
      </w:r>
      <w:r w:rsidRPr="00072ABC">
        <w:rPr>
          <w:rFonts w:cs="Arial"/>
        </w:rPr>
        <w:t xml:space="preserve">nvestment in AI for Europe to be a leader is </w:t>
      </w:r>
      <w:r w:rsidRPr="00072ABC">
        <w:rPr>
          <w:rFonts w:cs="Arial"/>
        </w:rPr>
        <w:lastRenderedPageBreak/>
        <w:t>required (AI assisted to synthesise). Well supported ideas for focus, generalisations and marketing which are finished. This is not relevant - think linguistic editing is about the ownership of ideas and I don't think that I should be interpreting something that I haven't verified.</w:t>
      </w:r>
    </w:p>
    <w:p w14:paraId="13F2ECCE" w14:textId="77777777" w:rsidR="00BA6556" w:rsidRPr="00072ABC" w:rsidRDefault="00BA6556" w:rsidP="00072ABC">
      <w:pPr>
        <w:pStyle w:val="Heading2"/>
      </w:pPr>
      <w:bookmarkStart w:id="16" w:name="_Toc235792285"/>
      <w:r w:rsidRPr="00072ABC">
        <w:t>3.4 Ethical and Professional Reflection</w:t>
      </w:r>
      <w:bookmarkEnd w:id="16"/>
    </w:p>
    <w:p w14:paraId="0AF71D8D" w14:textId="349677AD" w:rsidR="00BA6556" w:rsidRDefault="00BA6556" w:rsidP="00072ABC">
      <w:pPr>
        <w:spacing w:line="360" w:lineRule="auto"/>
        <w:jc w:val="both"/>
        <w:rPr>
          <w:rFonts w:cs="Arial"/>
        </w:rPr>
      </w:pPr>
      <w:r w:rsidRPr="00072ABC">
        <w:rPr>
          <w:rFonts w:cs="Arial"/>
        </w:rPr>
        <w:t>AI can accelerate the process of environmental scanning but can also provide spurious references, biases and make some projections without hesitation. They lack the important information to develop in marketing</w:t>
      </w:r>
      <w:r w:rsidR="00072ABC">
        <w:rPr>
          <w:rFonts w:cs="Arial"/>
        </w:rPr>
        <w:t>,</w:t>
      </w:r>
      <w:r w:rsidRPr="00072ABC">
        <w:rPr>
          <w:rFonts w:cs="Arial"/>
        </w:rPr>
        <w:t xml:space="preserve"> which can </w:t>
      </w:r>
      <w:r w:rsidR="00072ABC">
        <w:rPr>
          <w:rFonts w:cs="Arial"/>
        </w:rPr>
        <w:t>hav</w:t>
      </w:r>
      <w:r w:rsidRPr="00072ABC">
        <w:rPr>
          <w:rFonts w:cs="Arial"/>
        </w:rPr>
        <w:t>e a negative impact o</w:t>
      </w:r>
      <w:r w:rsidR="00072ABC">
        <w:rPr>
          <w:rFonts w:cs="Arial"/>
        </w:rPr>
        <w:t>n</w:t>
      </w:r>
      <w:r w:rsidRPr="00072ABC">
        <w:rPr>
          <w:rFonts w:cs="Arial"/>
        </w:rPr>
        <w:t xml:space="preserve"> the stakeholders and/or trust of the organisation (greenwashing process). Also, if sensitive or protected customer and/or business data is uploaded</w:t>
      </w:r>
      <w:r w:rsidR="00072ABC">
        <w:rPr>
          <w:rFonts w:cs="Arial"/>
        </w:rPr>
        <w:t>,</w:t>
      </w:r>
      <w:r w:rsidRPr="00072ABC">
        <w:rPr>
          <w:rFonts w:cs="Arial"/>
        </w:rPr>
        <w:t xml:space="preserve"> then it would be a privacy and governance issue. The aspects of responsible use are Disclosure, Source verification, Data minimisation, independent assurance and Accountable human judgement. The best part is that the AI can assist in research and drafting but </w:t>
      </w:r>
      <w:r w:rsidR="00072ABC">
        <w:rPr>
          <w:rFonts w:cs="Arial"/>
        </w:rPr>
        <w:t>is</w:t>
      </w:r>
      <w:r w:rsidRPr="00072ABC">
        <w:rPr>
          <w:rFonts w:cs="Arial"/>
        </w:rPr>
        <w:t>n't claiming "to be an authority</w:t>
      </w:r>
      <w:r w:rsidR="00615EBC" w:rsidRPr="00072ABC">
        <w:rPr>
          <w:rFonts w:cs="Arial"/>
        </w:rPr>
        <w:fldChar w:fldCharType="begin" w:fldLock="1"/>
      </w:r>
      <w:r w:rsidR="00615EBC" w:rsidRPr="00072ABC">
        <w:rPr>
          <w:rFonts w:cs="Arial"/>
        </w:rPr>
        <w:instrText>ADDIN CSL_CITATION {"citationItems":[{"id":"ITEM-1","itemData":{"author":[{"dropping-particle":"","family":"Costa","given":"Alessandra","non-dropping-particle":"","parse-names":false,"suffix":""},{"dropping-particle":"","family":"Crupi","given":"Antonio","non-dropping-particle":"","parse-names":false,"suffix":""},{"dropping-particle":"","family":"Cesaroni","given":"Fabrizio","non-dropping-particle":"","parse-names":false,"suffix":""}],"id":"ITEM-1","issued":{"date-parts":[["2025"]]},"title":"Exploring the role of artificial intelligence in addressing sustainable development. A semantic analysis of AI patents","type":"article-journal"},"uris":["http://www.mendeley.com/documents/?uuid=94ccd821-611c-4697-ad85-8a790a67887c"]}],"mendeley":{"formattedCitation":"(Costa, Crupi and Cesaroni, 2025)","plainTextFormattedCitation":"(Costa, Crupi and Cesaroni, 2025)","previouslyFormattedCitation":"(Costa, Crupi and Cesaroni, 2025)"},"properties":{"noteIndex":0},"schema":"https://github.com/citation-style-language/schema/raw/master/csl-citation.json"}</w:instrText>
      </w:r>
      <w:r w:rsidR="00615EBC" w:rsidRPr="00072ABC">
        <w:rPr>
          <w:rFonts w:cs="Arial"/>
        </w:rPr>
        <w:fldChar w:fldCharType="separate"/>
      </w:r>
      <w:r w:rsidR="00615EBC" w:rsidRPr="00072ABC">
        <w:rPr>
          <w:rFonts w:cs="Arial"/>
          <w:noProof/>
        </w:rPr>
        <w:t>(Costa, Crupi and Cesaroni, 2025)</w:t>
      </w:r>
      <w:r w:rsidR="00615EBC" w:rsidRPr="00072ABC">
        <w:rPr>
          <w:rFonts w:cs="Arial"/>
        </w:rPr>
        <w:fldChar w:fldCharType="end"/>
      </w:r>
      <w:r w:rsidRPr="00072ABC">
        <w:rPr>
          <w:rFonts w:cs="Arial"/>
        </w:rPr>
        <w:t>. That proficiency allows me to have the efficiency needed to fulfil my professional duties with respect to third parties in the evaluation of evidence, in expressing uncertainty, and in maintaining an accurate, appropriate and professionally defensible environmental claim.</w:t>
      </w:r>
    </w:p>
    <w:p w14:paraId="3DAD21BF" w14:textId="77777777" w:rsidR="00787048" w:rsidRDefault="00787048" w:rsidP="00072ABC">
      <w:pPr>
        <w:spacing w:line="360" w:lineRule="auto"/>
        <w:jc w:val="both"/>
        <w:rPr>
          <w:rFonts w:cs="Arial"/>
        </w:rPr>
      </w:pPr>
    </w:p>
    <w:p w14:paraId="2CD801DE" w14:textId="77777777" w:rsidR="00787048" w:rsidRDefault="00787048" w:rsidP="00891D99">
      <w:pPr>
        <w:pStyle w:val="Heading1"/>
      </w:pPr>
      <w:bookmarkStart w:id="17" w:name="_Toc235792286"/>
      <w:r w:rsidRPr="00787048">
        <w:t>Conclusion</w:t>
      </w:r>
      <w:bookmarkEnd w:id="17"/>
      <w:r w:rsidRPr="00787048">
        <w:t xml:space="preserve"> </w:t>
      </w:r>
    </w:p>
    <w:p w14:paraId="5B2F3E48" w14:textId="36DFF44C" w:rsidR="00615EBC" w:rsidRPr="00072ABC" w:rsidRDefault="00787048" w:rsidP="00072ABC">
      <w:pPr>
        <w:spacing w:line="360" w:lineRule="auto"/>
        <w:rPr>
          <w:rFonts w:cs="Arial"/>
        </w:rPr>
      </w:pPr>
      <w:r w:rsidRPr="00787048">
        <w:rPr>
          <w:rFonts w:cs="Arial"/>
        </w:rPr>
        <w:t>Tata Steel must take a sustainable path, make sustainability an imperative, but must also do more in the way of differentiation and responsibly deal with customers if it is to move towards a verified low carbon footprint. Product development is a strategic pathway to be followed and is a balancing of sustainability, regulation and market. AI can help streamline and improve research, but it is essential that it still be conducted by humans to ensure accuracy and ethical considerations.</w:t>
      </w:r>
      <w:r w:rsidR="00615EBC" w:rsidRPr="00072ABC">
        <w:rPr>
          <w:rFonts w:cs="Arial"/>
        </w:rPr>
        <w:br w:type="page"/>
      </w:r>
    </w:p>
    <w:p w14:paraId="58C10EAD" w14:textId="77F72003" w:rsidR="00BA6556" w:rsidRPr="00072ABC" w:rsidRDefault="00615EBC" w:rsidP="00072ABC">
      <w:pPr>
        <w:pStyle w:val="Heading1"/>
      </w:pPr>
      <w:bookmarkStart w:id="18" w:name="_Toc235792287"/>
      <w:r w:rsidRPr="00072ABC">
        <w:lastRenderedPageBreak/>
        <w:t>References:</w:t>
      </w:r>
      <w:bookmarkEnd w:id="18"/>
    </w:p>
    <w:p w14:paraId="4F0E0F77" w14:textId="34581815"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rPr>
        <w:fldChar w:fldCharType="begin" w:fldLock="1"/>
      </w:r>
      <w:r w:rsidRPr="00072ABC">
        <w:rPr>
          <w:rFonts w:cs="Arial"/>
        </w:rPr>
        <w:instrText xml:space="preserve">ADDIN Mendeley Bibliography CSL_BIBLIOGRAPHY </w:instrText>
      </w:r>
      <w:r w:rsidRPr="00072ABC">
        <w:rPr>
          <w:rFonts w:cs="Arial"/>
        </w:rPr>
        <w:fldChar w:fldCharType="separate"/>
      </w:r>
      <w:r w:rsidRPr="00072ABC">
        <w:rPr>
          <w:rFonts w:cs="Arial"/>
          <w:noProof/>
          <w:kern w:val="0"/>
        </w:rPr>
        <w:t xml:space="preserve">Aflaki, L. and Nordberg, H. (2026) “The Green Steel Market : Evaluating the OEM Business Case and the Role of Decarbonisation Targets as Strategic Drivers in the Automotive Sector,” (May). Available at: </w:t>
      </w:r>
      <w:hyperlink r:id="rId14" w:history="1">
        <w:r w:rsidRPr="00072ABC">
          <w:rPr>
            <w:rStyle w:val="Hyperlink"/>
            <w:rFonts w:cs="Arial"/>
            <w:noProof/>
            <w:kern w:val="0"/>
          </w:rPr>
          <w:t>https://lup.lub.lu.se/luur/download?func=downloadFile&amp;recordOId=9228595&amp;fileOId=9228966</w:t>
        </w:r>
      </w:hyperlink>
      <w:r w:rsidRPr="00072ABC">
        <w:rPr>
          <w:rFonts w:cs="Arial"/>
          <w:noProof/>
          <w:kern w:val="0"/>
        </w:rPr>
        <w:t>.</w:t>
      </w:r>
    </w:p>
    <w:p w14:paraId="69743ACB" w14:textId="1A9FB00D"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Ajeigbe, K.B. and Ganda, F. (2024) “The Impact of Pollution and Carbon Emission Control on Financial Development, Environmental Quality, and Economic Growth: A Global Analysis,” </w:t>
      </w:r>
      <w:r w:rsidRPr="00072ABC">
        <w:rPr>
          <w:rFonts w:cs="Arial"/>
          <w:i/>
          <w:iCs/>
          <w:noProof/>
          <w:kern w:val="0"/>
        </w:rPr>
        <w:t>Sustainability</w:t>
      </w:r>
      <w:r w:rsidRPr="00072ABC">
        <w:rPr>
          <w:rFonts w:cs="Arial"/>
          <w:noProof/>
          <w:kern w:val="0"/>
        </w:rPr>
        <w:t xml:space="preserve">, 16(20), p. 8748. Available at: </w:t>
      </w:r>
      <w:hyperlink r:id="rId15" w:history="1">
        <w:r w:rsidRPr="00072ABC">
          <w:rPr>
            <w:rStyle w:val="Hyperlink"/>
            <w:rFonts w:cs="Arial"/>
            <w:noProof/>
            <w:kern w:val="0"/>
          </w:rPr>
          <w:t>https://www.mdpi.com/2071-1050/16/20/8748</w:t>
        </w:r>
      </w:hyperlink>
      <w:r w:rsidRPr="00072ABC">
        <w:rPr>
          <w:rFonts w:cs="Arial"/>
          <w:noProof/>
          <w:kern w:val="0"/>
        </w:rPr>
        <w:t>.</w:t>
      </w:r>
    </w:p>
    <w:p w14:paraId="2B007389" w14:textId="2229700F"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Andreotti, M. </w:t>
      </w:r>
      <w:r w:rsidRPr="00072ABC">
        <w:rPr>
          <w:rFonts w:cs="Arial"/>
          <w:i/>
          <w:iCs/>
          <w:noProof/>
          <w:kern w:val="0"/>
        </w:rPr>
        <w:t>et al.</w:t>
      </w:r>
      <w:r w:rsidRPr="00072ABC">
        <w:rPr>
          <w:rFonts w:cs="Arial"/>
          <w:noProof/>
          <w:kern w:val="0"/>
        </w:rPr>
        <w:t xml:space="preserve"> (2023) “SDGs in the EU Steel Sector: A Critical Review of Sustainability Initiatives and Approaches,” </w:t>
      </w:r>
      <w:r w:rsidRPr="00072ABC">
        <w:rPr>
          <w:rFonts w:cs="Arial"/>
          <w:i/>
          <w:iCs/>
          <w:noProof/>
          <w:kern w:val="0"/>
        </w:rPr>
        <w:t>Sustainability</w:t>
      </w:r>
      <w:r w:rsidRPr="00072ABC">
        <w:rPr>
          <w:rFonts w:cs="Arial"/>
          <w:noProof/>
          <w:kern w:val="0"/>
        </w:rPr>
        <w:t xml:space="preserve">, 15(9), p. 7521. Available at: </w:t>
      </w:r>
      <w:hyperlink r:id="rId16" w:history="1">
        <w:r w:rsidRPr="00072ABC">
          <w:rPr>
            <w:rStyle w:val="Hyperlink"/>
            <w:rFonts w:cs="Arial"/>
            <w:noProof/>
            <w:kern w:val="0"/>
          </w:rPr>
          <w:t>https://www.researchgate.net/publication/370568967_SDGs_in_the_EU_Steel_Sector_A_Critical_Review_of_Sustainability_Initiatives_and_Approaches</w:t>
        </w:r>
      </w:hyperlink>
      <w:r w:rsidRPr="00072ABC">
        <w:rPr>
          <w:rFonts w:cs="Arial"/>
          <w:noProof/>
          <w:kern w:val="0"/>
        </w:rPr>
        <w:t>.</w:t>
      </w:r>
    </w:p>
    <w:p w14:paraId="4B5D16ED" w14:textId="4C6203F8"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Antony Jose, S. </w:t>
      </w:r>
      <w:r w:rsidRPr="00072ABC">
        <w:rPr>
          <w:rFonts w:cs="Arial"/>
          <w:i/>
          <w:iCs/>
          <w:noProof/>
          <w:kern w:val="0"/>
        </w:rPr>
        <w:t>et al.</w:t>
      </w:r>
      <w:r w:rsidRPr="00072ABC">
        <w:rPr>
          <w:rFonts w:cs="Arial"/>
          <w:noProof/>
          <w:kern w:val="0"/>
        </w:rPr>
        <w:t xml:space="preserve"> (2024) “Promoting a Circular Economy in Mining Practices,” </w:t>
      </w:r>
      <w:r w:rsidRPr="00072ABC">
        <w:rPr>
          <w:rFonts w:cs="Arial"/>
          <w:i/>
          <w:iCs/>
          <w:noProof/>
          <w:kern w:val="0"/>
        </w:rPr>
        <w:t>Sustainability</w:t>
      </w:r>
      <w:r w:rsidRPr="00072ABC">
        <w:rPr>
          <w:rFonts w:cs="Arial"/>
          <w:noProof/>
          <w:kern w:val="0"/>
        </w:rPr>
        <w:t xml:space="preserve">, 16(24), p. 11016. Available at: </w:t>
      </w:r>
      <w:hyperlink r:id="rId17" w:history="1">
        <w:r w:rsidRPr="00072ABC">
          <w:rPr>
            <w:rStyle w:val="Hyperlink"/>
            <w:rFonts w:cs="Arial"/>
            <w:noProof/>
            <w:kern w:val="0"/>
          </w:rPr>
          <w:t>https://www.davidpublisher.com/Public/uploads/Contribute/5563f0411247b.pdf</w:t>
        </w:r>
      </w:hyperlink>
      <w:r w:rsidRPr="00072ABC">
        <w:rPr>
          <w:rFonts w:cs="Arial"/>
          <w:noProof/>
          <w:kern w:val="0"/>
        </w:rPr>
        <w:t>.</w:t>
      </w:r>
    </w:p>
    <w:p w14:paraId="4D4558DD" w14:textId="43251DD1"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BBC (2025) </w:t>
      </w:r>
      <w:r w:rsidRPr="00072ABC">
        <w:rPr>
          <w:rFonts w:cs="Arial"/>
          <w:i/>
          <w:iCs/>
          <w:noProof/>
          <w:kern w:val="0"/>
        </w:rPr>
        <w:t>Climate experts criticise handling of Tata changes</w:t>
      </w:r>
      <w:r w:rsidRPr="00072ABC">
        <w:rPr>
          <w:rFonts w:cs="Arial"/>
          <w:noProof/>
          <w:kern w:val="0"/>
        </w:rPr>
        <w:t xml:space="preserve">. Available at: </w:t>
      </w:r>
      <w:hyperlink r:id="rId18" w:history="1">
        <w:r w:rsidRPr="00072ABC">
          <w:rPr>
            <w:rStyle w:val="Hyperlink"/>
            <w:rFonts w:cs="Arial"/>
            <w:noProof/>
            <w:kern w:val="0"/>
          </w:rPr>
          <w:t>https://www.bbc.co.uk/news/articles/c79ezrvd9neo</w:t>
        </w:r>
      </w:hyperlink>
      <w:r w:rsidRPr="00072ABC">
        <w:rPr>
          <w:rFonts w:cs="Arial"/>
          <w:noProof/>
          <w:kern w:val="0"/>
        </w:rPr>
        <w:t>.</w:t>
      </w:r>
    </w:p>
    <w:p w14:paraId="786EFD29" w14:textId="4903837E"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Bolton (2025) “SUSTAINABILITY REPORT 2025,” </w:t>
      </w:r>
      <w:r w:rsidRPr="00072ABC">
        <w:rPr>
          <w:rFonts w:cs="Arial"/>
          <w:i/>
          <w:iCs/>
          <w:noProof/>
          <w:kern w:val="0"/>
        </w:rPr>
        <w:t>RTU Sustainability Report 2025</w:t>
      </w:r>
      <w:r w:rsidRPr="00072ABC">
        <w:rPr>
          <w:rFonts w:cs="Arial"/>
          <w:noProof/>
          <w:kern w:val="0"/>
        </w:rPr>
        <w:t xml:space="preserve"> [Preprint]. Available at: </w:t>
      </w:r>
      <w:hyperlink r:id="rId19" w:history="1">
        <w:r w:rsidRPr="00072ABC">
          <w:rPr>
            <w:rStyle w:val="Hyperlink"/>
            <w:rFonts w:cs="Arial"/>
            <w:noProof/>
            <w:kern w:val="0"/>
          </w:rPr>
          <w:t>https://www.bolton.com/sites/default/files/2026-04/bolton-sustainability-report-2025.pdf</w:t>
        </w:r>
      </w:hyperlink>
      <w:r w:rsidRPr="00072ABC">
        <w:rPr>
          <w:rFonts w:cs="Arial"/>
          <w:noProof/>
          <w:kern w:val="0"/>
        </w:rPr>
        <w:t>.</w:t>
      </w:r>
    </w:p>
    <w:p w14:paraId="54F2F6CB" w14:textId="35798186"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Climatecatalyst (2026) “Catalysing Demand for Green Steel through Public Procurement in India.” Available at: </w:t>
      </w:r>
      <w:hyperlink r:id="rId20" w:history="1">
        <w:r w:rsidRPr="00072ABC">
          <w:rPr>
            <w:rStyle w:val="Hyperlink"/>
            <w:rFonts w:cs="Arial"/>
            <w:noProof/>
            <w:kern w:val="0"/>
          </w:rPr>
          <w:t>https://climatecatalyst.org/wp-content/uploads/2026/02/Catalysing-Demand-for-Green-Steel-through-Public-Procurement-in-India-Report.pdf</w:t>
        </w:r>
      </w:hyperlink>
      <w:r w:rsidRPr="00072ABC">
        <w:rPr>
          <w:rFonts w:cs="Arial"/>
          <w:noProof/>
          <w:kern w:val="0"/>
        </w:rPr>
        <w:t>.</w:t>
      </w:r>
    </w:p>
    <w:p w14:paraId="07F2AEFA" w14:textId="280F1C75"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Costa, A., Crupi, A. and Cesaroni, F. (2025) “Exploring the role of artificial intelligence in addressing sustainable development. A semantic analysis of AI patents.” Available at: </w:t>
      </w:r>
      <w:hyperlink r:id="rId21" w:history="1">
        <w:r w:rsidRPr="00072ABC">
          <w:rPr>
            <w:rStyle w:val="Hyperlink"/>
            <w:rFonts w:cs="Arial"/>
            <w:noProof/>
            <w:kern w:val="0"/>
          </w:rPr>
          <w:t>https://www.sciencedirect.com/science/article/pii/S0166497225001671</w:t>
        </w:r>
      </w:hyperlink>
      <w:r w:rsidRPr="00072ABC">
        <w:rPr>
          <w:rFonts w:cs="Arial"/>
          <w:noProof/>
          <w:kern w:val="0"/>
        </w:rPr>
        <w:t>.</w:t>
      </w:r>
    </w:p>
    <w:p w14:paraId="042F6F83" w14:textId="56539854"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lastRenderedPageBreak/>
        <w:t xml:space="preserve">CREA (2026) </w:t>
      </w:r>
      <w:r w:rsidRPr="00072ABC">
        <w:rPr>
          <w:rFonts w:cs="Arial"/>
          <w:i/>
          <w:iCs/>
          <w:noProof/>
          <w:kern w:val="0"/>
        </w:rPr>
        <w:t>India power sector review 2025: Record clean energy deployment drives historic decline in coal generation</w:t>
      </w:r>
      <w:r w:rsidRPr="00072ABC">
        <w:rPr>
          <w:rFonts w:cs="Arial"/>
          <w:noProof/>
          <w:kern w:val="0"/>
        </w:rPr>
        <w:t xml:space="preserve">. Available at: </w:t>
      </w:r>
      <w:hyperlink r:id="rId22" w:history="1">
        <w:r w:rsidRPr="00072ABC">
          <w:rPr>
            <w:rStyle w:val="Hyperlink"/>
            <w:rFonts w:cs="Arial"/>
            <w:noProof/>
            <w:kern w:val="0"/>
          </w:rPr>
          <w:t>https://energyandcleanair.org/publication/india-power-sector-review-2025/</w:t>
        </w:r>
      </w:hyperlink>
      <w:r w:rsidRPr="00072ABC">
        <w:rPr>
          <w:rFonts w:cs="Arial"/>
          <w:noProof/>
          <w:kern w:val="0"/>
        </w:rPr>
        <w:t>.</w:t>
      </w:r>
    </w:p>
    <w:p w14:paraId="2AD59B08" w14:textId="682F99DB"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Dumiter, F.C. and Schebesch, K.B. (2025) “Using Artificial Intelligence to Determine the Impact of E-Commerce on the Digital Economy,” </w:t>
      </w:r>
      <w:r w:rsidRPr="00072ABC">
        <w:rPr>
          <w:rFonts w:cs="Arial"/>
          <w:i/>
          <w:iCs/>
          <w:noProof/>
          <w:kern w:val="0"/>
        </w:rPr>
        <w:t>Journal of Theoretical and Applied Electronic Commerce Research</w:t>
      </w:r>
      <w:r w:rsidRPr="00072ABC">
        <w:rPr>
          <w:rFonts w:cs="Arial"/>
          <w:noProof/>
          <w:kern w:val="0"/>
        </w:rPr>
        <w:t xml:space="preserve">, 20(3), p. 219. Available at: </w:t>
      </w:r>
      <w:hyperlink r:id="rId23" w:history="1">
        <w:r w:rsidRPr="00072ABC">
          <w:rPr>
            <w:rStyle w:val="Hyperlink"/>
            <w:rFonts w:cs="Arial"/>
            <w:noProof/>
            <w:kern w:val="0"/>
          </w:rPr>
          <w:t>https://www.mdpi.com/0718-1876/20/3/219</w:t>
        </w:r>
      </w:hyperlink>
      <w:r w:rsidRPr="00072ABC">
        <w:rPr>
          <w:rFonts w:cs="Arial"/>
          <w:noProof/>
          <w:kern w:val="0"/>
        </w:rPr>
        <w:t>.</w:t>
      </w:r>
    </w:p>
    <w:p w14:paraId="5FA93C59" w14:textId="7A018620"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Evenly (2026) </w:t>
      </w:r>
      <w:r w:rsidRPr="00072ABC">
        <w:rPr>
          <w:rFonts w:cs="Arial"/>
          <w:i/>
          <w:iCs/>
          <w:noProof/>
          <w:kern w:val="0"/>
        </w:rPr>
        <w:t>What Voice AI Needs: Trust or Fluency?</w:t>
      </w:r>
      <w:r w:rsidRPr="00072ABC">
        <w:rPr>
          <w:rFonts w:cs="Arial"/>
          <w:noProof/>
          <w:kern w:val="0"/>
        </w:rPr>
        <w:t xml:space="preserve"> Available at: </w:t>
      </w:r>
      <w:hyperlink r:id="rId24" w:history="1">
        <w:r w:rsidRPr="00072ABC">
          <w:rPr>
            <w:rStyle w:val="Hyperlink"/>
            <w:rFonts w:cs="Arial"/>
            <w:noProof/>
            <w:kern w:val="0"/>
          </w:rPr>
          <w:t>https://evenly.care/wp-content/uploads/2026/05/Evenly-WhitePaper-Trust-or-Fluency.pdf</w:t>
        </w:r>
      </w:hyperlink>
      <w:r w:rsidRPr="00072ABC">
        <w:rPr>
          <w:rFonts w:cs="Arial"/>
          <w:noProof/>
          <w:kern w:val="0"/>
        </w:rPr>
        <w:t>.</w:t>
      </w:r>
    </w:p>
    <w:p w14:paraId="7A7D163E" w14:textId="4CEF9A01"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Finney, A. and Joseph, M. (2009) “The Forecasting Mantra: A Holistic Approach to Forecasting and Planning.” Available at: </w:t>
      </w:r>
      <w:hyperlink r:id="rId25" w:history="1">
        <w:r w:rsidRPr="00072ABC">
          <w:rPr>
            <w:rStyle w:val="Hyperlink"/>
            <w:rFonts w:cs="Arial"/>
            <w:noProof/>
            <w:kern w:val="0"/>
          </w:rPr>
          <w:t>https://www.researchgate.net/publication/23961314_The_Forecasting_Mantra_A_Holistic_Approach_to_Forecasting_and_Planning</w:t>
        </w:r>
      </w:hyperlink>
      <w:r w:rsidRPr="00072ABC">
        <w:rPr>
          <w:rFonts w:cs="Arial"/>
          <w:noProof/>
          <w:kern w:val="0"/>
        </w:rPr>
        <w:t>.</w:t>
      </w:r>
    </w:p>
    <w:p w14:paraId="2BCB48A7" w14:textId="76D52DCB"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Growth, S. (2026) “Anchored in the Tata Group ’ s legacy of responsible and,” (June). Available at: </w:t>
      </w:r>
      <w:hyperlink r:id="rId26" w:history="1">
        <w:r w:rsidRPr="00072ABC">
          <w:rPr>
            <w:rStyle w:val="Hyperlink"/>
            <w:rFonts w:cs="Arial"/>
            <w:noProof/>
            <w:kern w:val="0"/>
          </w:rPr>
          <w:t>https://tataprojects.com/web/sites/default/files/ESG_Charter_26-05-2026.pdf</w:t>
        </w:r>
      </w:hyperlink>
      <w:r w:rsidRPr="00072ABC">
        <w:rPr>
          <w:rFonts w:cs="Arial"/>
          <w:noProof/>
          <w:kern w:val="0"/>
        </w:rPr>
        <w:t>.</w:t>
      </w:r>
    </w:p>
    <w:p w14:paraId="30AEF986" w14:textId="5F884C6F"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Guerreiro, J. </w:t>
      </w:r>
      <w:r w:rsidRPr="00072ABC">
        <w:rPr>
          <w:rFonts w:cs="Arial"/>
          <w:i/>
          <w:iCs/>
          <w:noProof/>
          <w:kern w:val="0"/>
        </w:rPr>
        <w:t>et al.</w:t>
      </w:r>
      <w:r w:rsidRPr="00072ABC">
        <w:rPr>
          <w:rFonts w:cs="Arial"/>
          <w:noProof/>
          <w:kern w:val="0"/>
        </w:rPr>
        <w:t xml:space="preserve"> (2023) “How to earn a premium price: the effect of green marketing and brand coolness,” </w:t>
      </w:r>
      <w:r w:rsidRPr="00072ABC">
        <w:rPr>
          <w:rFonts w:cs="Arial"/>
          <w:i/>
          <w:iCs/>
          <w:noProof/>
          <w:kern w:val="0"/>
        </w:rPr>
        <w:t>Journal of Communication Management</w:t>
      </w:r>
      <w:r w:rsidRPr="00072ABC">
        <w:rPr>
          <w:rFonts w:cs="Arial"/>
          <w:noProof/>
          <w:kern w:val="0"/>
        </w:rPr>
        <w:t xml:space="preserve">, 27(1), pp. 35–63. Available at: </w:t>
      </w:r>
      <w:hyperlink r:id="rId27" w:history="1">
        <w:r w:rsidRPr="00072ABC">
          <w:rPr>
            <w:rStyle w:val="Hyperlink"/>
            <w:rFonts w:cs="Arial"/>
            <w:noProof/>
            <w:kern w:val="0"/>
          </w:rPr>
          <w:t>https://www.researchgate.net/publication/366849261_How_to_earn_a_premium_price_the_effect_of_green_marketing_and_brand_coolness</w:t>
        </w:r>
      </w:hyperlink>
      <w:r w:rsidRPr="00072ABC">
        <w:rPr>
          <w:rFonts w:cs="Arial"/>
          <w:noProof/>
          <w:kern w:val="0"/>
        </w:rPr>
        <w:t>.</w:t>
      </w:r>
    </w:p>
    <w:p w14:paraId="43A74EC4" w14:textId="3B722BE3"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Haque, M.A. (2023) “A Brief Analysis of ‘ChatGPT’ – A Revolutionary Tool Designed by OpenAI,” </w:t>
      </w:r>
      <w:r w:rsidRPr="00072ABC">
        <w:rPr>
          <w:rFonts w:cs="Arial"/>
          <w:i/>
          <w:iCs/>
          <w:noProof/>
          <w:kern w:val="0"/>
        </w:rPr>
        <w:t>EAI Endorsed Transactions on AI and Robotics</w:t>
      </w:r>
      <w:r w:rsidRPr="00072ABC">
        <w:rPr>
          <w:rFonts w:cs="Arial"/>
          <w:noProof/>
          <w:kern w:val="0"/>
        </w:rPr>
        <w:t xml:space="preserve">, 1(1), p. e15. Available at: </w:t>
      </w:r>
      <w:hyperlink r:id="rId28" w:history="1">
        <w:r w:rsidRPr="00072ABC">
          <w:rPr>
            <w:rStyle w:val="Hyperlink"/>
            <w:rFonts w:cs="Arial"/>
            <w:noProof/>
            <w:kern w:val="0"/>
          </w:rPr>
          <w:t>https://www.researchgate.net/publication/369620426_A_Brief_Analysis_of_ChatGPT_-_A_Revolutionary_Tool_Designed_by_OpenAI</w:t>
        </w:r>
      </w:hyperlink>
      <w:r w:rsidRPr="00072ABC">
        <w:rPr>
          <w:rFonts w:cs="Arial"/>
          <w:noProof/>
          <w:kern w:val="0"/>
        </w:rPr>
        <w:t>.</w:t>
      </w:r>
    </w:p>
    <w:p w14:paraId="04857AD1" w14:textId="45F11942"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IEA (2025) </w:t>
      </w:r>
      <w:r w:rsidRPr="00072ABC">
        <w:rPr>
          <w:rFonts w:cs="Arial"/>
          <w:i/>
          <w:iCs/>
          <w:noProof/>
          <w:kern w:val="0"/>
        </w:rPr>
        <w:t>IEA Energy and Carbon Tracker 2025</w:t>
      </w:r>
      <w:r w:rsidRPr="00072ABC">
        <w:rPr>
          <w:rFonts w:cs="Arial"/>
          <w:noProof/>
          <w:kern w:val="0"/>
        </w:rPr>
        <w:t>. Available at:</w:t>
      </w:r>
      <w:hyperlink r:id="rId29" w:history="1">
        <w:r w:rsidRPr="00072ABC">
          <w:rPr>
            <w:rStyle w:val="Hyperlink"/>
            <w:rFonts w:cs="Arial"/>
            <w:noProof/>
            <w:kern w:val="0"/>
          </w:rPr>
          <w:t xml:space="preserve"> https://www.iea.org/data-and-statistics/data-product/iea-energy-and-carbon-tracker-2025</w:t>
        </w:r>
      </w:hyperlink>
      <w:r w:rsidRPr="00072ABC">
        <w:rPr>
          <w:rFonts w:cs="Arial"/>
          <w:noProof/>
          <w:kern w:val="0"/>
        </w:rPr>
        <w:t>.</w:t>
      </w:r>
    </w:p>
    <w:p w14:paraId="0FC54D97" w14:textId="12F5CB3B"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lastRenderedPageBreak/>
        <w:t xml:space="preserve">Kausher, R. </w:t>
      </w:r>
      <w:r w:rsidRPr="00072ABC">
        <w:rPr>
          <w:rFonts w:cs="Arial"/>
          <w:i/>
          <w:iCs/>
          <w:noProof/>
          <w:kern w:val="0"/>
        </w:rPr>
        <w:t>et al.</w:t>
      </w:r>
      <w:r w:rsidRPr="00072ABC">
        <w:rPr>
          <w:rFonts w:cs="Arial"/>
          <w:noProof/>
          <w:kern w:val="0"/>
        </w:rPr>
        <w:t xml:space="preserve"> (2023) “Assessing Impacts of Mining-Induced Land Use Changes on Groundwater and Surface Water Quality Using Isotopic and Hydrogeochemical Signatures,” </w:t>
      </w:r>
      <w:r w:rsidRPr="00072ABC">
        <w:rPr>
          <w:rFonts w:cs="Arial"/>
          <w:i/>
          <w:iCs/>
          <w:noProof/>
          <w:kern w:val="0"/>
        </w:rPr>
        <w:t>Sustainability</w:t>
      </w:r>
      <w:r w:rsidRPr="00072ABC">
        <w:rPr>
          <w:rFonts w:cs="Arial"/>
          <w:noProof/>
          <w:kern w:val="0"/>
        </w:rPr>
        <w:t xml:space="preserve">, 15(14), p. 11041. Available at: </w:t>
      </w:r>
      <w:hyperlink r:id="rId30" w:history="1">
        <w:r w:rsidRPr="00072ABC">
          <w:rPr>
            <w:rStyle w:val="Hyperlink"/>
            <w:rFonts w:cs="Arial"/>
            <w:noProof/>
            <w:kern w:val="0"/>
          </w:rPr>
          <w:t>https://www.mdpi.com/2071-1050/15/14/11041</w:t>
        </w:r>
      </w:hyperlink>
      <w:r w:rsidRPr="00072ABC">
        <w:rPr>
          <w:rFonts w:cs="Arial"/>
          <w:noProof/>
          <w:kern w:val="0"/>
        </w:rPr>
        <w:t>.</w:t>
      </w:r>
    </w:p>
    <w:p w14:paraId="1F3E4D09" w14:textId="0283499C"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Kouloukoui, D., de Marcellis-Warin, N. and Warin, T. (2025) “Barriers, Opportunities, and Best Practices for Corporate Climate Transition Plans: A Literature Review,” </w:t>
      </w:r>
      <w:r w:rsidRPr="00072ABC">
        <w:rPr>
          <w:rFonts w:cs="Arial"/>
          <w:i/>
          <w:iCs/>
          <w:noProof/>
          <w:kern w:val="0"/>
        </w:rPr>
        <w:t>Climate</w:t>
      </w:r>
      <w:r w:rsidRPr="00072ABC">
        <w:rPr>
          <w:rFonts w:cs="Arial"/>
          <w:noProof/>
          <w:kern w:val="0"/>
        </w:rPr>
        <w:t xml:space="preserve">, 13(5), p. 88. Available at: </w:t>
      </w:r>
      <w:hyperlink r:id="rId31" w:history="1">
        <w:r w:rsidRPr="00072ABC">
          <w:rPr>
            <w:rStyle w:val="Hyperlink"/>
            <w:rFonts w:cs="Arial"/>
            <w:noProof/>
            <w:kern w:val="0"/>
          </w:rPr>
          <w:t>https://www.mdpi.com/2225-1154/13/5/88</w:t>
        </w:r>
      </w:hyperlink>
      <w:r w:rsidRPr="00072ABC">
        <w:rPr>
          <w:rFonts w:cs="Arial"/>
          <w:noProof/>
          <w:kern w:val="0"/>
        </w:rPr>
        <w:t>.</w:t>
      </w:r>
    </w:p>
    <w:p w14:paraId="341E0812" w14:textId="5D94BD9E"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Lufrano-Jardine, S. and Sanchez, J.E. (2025) “Environmental Sustainability as a Core Value in a Company with a High Carbon Footprint,” </w:t>
      </w:r>
      <w:r w:rsidRPr="00072ABC">
        <w:rPr>
          <w:rFonts w:cs="Arial"/>
          <w:i/>
          <w:iCs/>
          <w:noProof/>
          <w:kern w:val="0"/>
        </w:rPr>
        <w:t>Sustainability</w:t>
      </w:r>
      <w:r w:rsidRPr="00072ABC">
        <w:rPr>
          <w:rFonts w:cs="Arial"/>
          <w:noProof/>
          <w:kern w:val="0"/>
        </w:rPr>
        <w:t>, 17(18), p. 8392. Available at:</w:t>
      </w:r>
      <w:hyperlink r:id="rId32" w:history="1">
        <w:r w:rsidRPr="00072ABC">
          <w:rPr>
            <w:rStyle w:val="Hyperlink"/>
            <w:rFonts w:cs="Arial"/>
            <w:noProof/>
            <w:kern w:val="0"/>
          </w:rPr>
          <w:t xml:space="preserve"> https://www.mdpi.com/2071-1050/17/18/8392</w:t>
        </w:r>
      </w:hyperlink>
      <w:r w:rsidRPr="00072ABC">
        <w:rPr>
          <w:rFonts w:cs="Arial"/>
          <w:noProof/>
          <w:kern w:val="0"/>
        </w:rPr>
        <w:t>.</w:t>
      </w:r>
    </w:p>
    <w:p w14:paraId="7F285E0C" w14:textId="5B8CAEAA"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Oliveira, A.F. and Marques, M.B. (2024) </w:t>
      </w:r>
      <w:r w:rsidRPr="00072ABC">
        <w:rPr>
          <w:rFonts w:cs="Arial"/>
          <w:i/>
          <w:iCs/>
          <w:noProof/>
          <w:kern w:val="0"/>
        </w:rPr>
        <w:t>The Importance of the Ansoff Matrix for the Study of the Information Services Market</w:t>
      </w:r>
      <w:r w:rsidRPr="00072ABC">
        <w:rPr>
          <w:rFonts w:cs="Arial"/>
          <w:noProof/>
          <w:kern w:val="0"/>
        </w:rPr>
        <w:t xml:space="preserve">. Available at: </w:t>
      </w:r>
      <w:hyperlink r:id="rId33" w:history="1">
        <w:r w:rsidRPr="00072ABC">
          <w:rPr>
            <w:rStyle w:val="Hyperlink"/>
            <w:rFonts w:cs="Arial"/>
            <w:noProof/>
            <w:kern w:val="0"/>
          </w:rPr>
          <w:t>https://www.researchgate.net/publication/382141729_The_Importance_of_the_Ansoff_Matrix_for_the_Study_of_the_Information_Services_Market</w:t>
        </w:r>
      </w:hyperlink>
      <w:r w:rsidRPr="00072ABC">
        <w:rPr>
          <w:rFonts w:cs="Arial"/>
          <w:noProof/>
          <w:kern w:val="0"/>
        </w:rPr>
        <w:t>.</w:t>
      </w:r>
    </w:p>
    <w:p w14:paraId="4AACE573" w14:textId="12A77922"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Oluwatosin Yetunde Abdul-Azeez </w:t>
      </w:r>
      <w:r w:rsidRPr="00072ABC">
        <w:rPr>
          <w:rFonts w:cs="Arial"/>
          <w:i/>
          <w:iCs/>
          <w:noProof/>
          <w:kern w:val="0"/>
        </w:rPr>
        <w:t>et al.</w:t>
      </w:r>
      <w:r w:rsidRPr="00072ABC">
        <w:rPr>
          <w:rFonts w:cs="Arial"/>
          <w:noProof/>
          <w:kern w:val="0"/>
        </w:rPr>
        <w:t xml:space="preserve"> (2024) “Sustainability in product life cycle management: A review of best practices and innovations,” </w:t>
      </w:r>
      <w:r w:rsidRPr="00072ABC">
        <w:rPr>
          <w:rFonts w:cs="Arial"/>
          <w:i/>
          <w:iCs/>
          <w:noProof/>
          <w:kern w:val="0"/>
        </w:rPr>
        <w:t>International Journal of Applied Research in Social Sciences</w:t>
      </w:r>
      <w:r w:rsidRPr="00072ABC">
        <w:rPr>
          <w:rFonts w:cs="Arial"/>
          <w:noProof/>
          <w:kern w:val="0"/>
        </w:rPr>
        <w:t xml:space="preserve">, 6(9), pp. 2018–2043. Available at: </w:t>
      </w:r>
      <w:hyperlink r:id="rId34" w:history="1">
        <w:r w:rsidRPr="00072ABC">
          <w:rPr>
            <w:rStyle w:val="Hyperlink"/>
            <w:rFonts w:cs="Arial"/>
            <w:noProof/>
            <w:kern w:val="0"/>
          </w:rPr>
          <w:t>https://www.researchgate.net/publication/383848031_Sustainability_in_product_life_cycle_management_A_review_of_best_practices_and_innovations</w:t>
        </w:r>
      </w:hyperlink>
      <w:r w:rsidRPr="00072ABC">
        <w:rPr>
          <w:rFonts w:cs="Arial"/>
          <w:noProof/>
          <w:kern w:val="0"/>
        </w:rPr>
        <w:t>.</w:t>
      </w:r>
    </w:p>
    <w:p w14:paraId="65EB469D" w14:textId="6FAED69E"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Reuters (2025) </w:t>
      </w:r>
      <w:r w:rsidRPr="00072ABC">
        <w:rPr>
          <w:rFonts w:cs="Arial"/>
          <w:i/>
          <w:iCs/>
          <w:noProof/>
          <w:kern w:val="0"/>
        </w:rPr>
        <w:t>India’s Tata Steel beats quarterly profit estimates on lower expenses</w:t>
      </w:r>
      <w:r w:rsidRPr="00072ABC">
        <w:rPr>
          <w:rFonts w:cs="Arial"/>
          <w:noProof/>
          <w:kern w:val="0"/>
        </w:rPr>
        <w:t>. Available at:</w:t>
      </w:r>
      <w:hyperlink r:id="rId35" w:history="1">
        <w:r w:rsidRPr="00072ABC">
          <w:rPr>
            <w:rStyle w:val="Hyperlink"/>
            <w:rFonts w:cs="Arial"/>
            <w:noProof/>
            <w:kern w:val="0"/>
          </w:rPr>
          <w:t xml:space="preserve"> https://www.reuters.com/world/india/indias-tata-steel-beats-quarterly-profit-estimates-lower-expenses-2025-05-12/</w:t>
        </w:r>
      </w:hyperlink>
      <w:r w:rsidRPr="00072ABC">
        <w:rPr>
          <w:rFonts w:cs="Arial"/>
          <w:noProof/>
          <w:kern w:val="0"/>
        </w:rPr>
        <w:t>.</w:t>
      </w:r>
    </w:p>
    <w:p w14:paraId="0E00ED13" w14:textId="7B079D08"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Steel-Technology (2026) </w:t>
      </w:r>
      <w:r w:rsidRPr="00072ABC">
        <w:rPr>
          <w:rFonts w:cs="Arial"/>
          <w:i/>
          <w:iCs/>
          <w:noProof/>
          <w:kern w:val="0"/>
        </w:rPr>
        <w:t>Electric Arc Furnaces and Scrap Steel: Moving towards the Low-Carbon Steelmaking.</w:t>
      </w:r>
      <w:r w:rsidRPr="00072ABC">
        <w:rPr>
          <w:rFonts w:cs="Arial"/>
          <w:noProof/>
          <w:kern w:val="0"/>
        </w:rPr>
        <w:t xml:space="preserve"> Available at: </w:t>
      </w:r>
      <w:hyperlink r:id="rId36" w:history="1">
        <w:r w:rsidRPr="00072ABC">
          <w:rPr>
            <w:rStyle w:val="Hyperlink"/>
            <w:rFonts w:cs="Arial"/>
            <w:noProof/>
            <w:kern w:val="0"/>
          </w:rPr>
          <w:t>https://www.steel-technology.com/articles/moving-towards-the-low-carbon-steelmaking</w:t>
        </w:r>
      </w:hyperlink>
      <w:r w:rsidRPr="00072ABC">
        <w:rPr>
          <w:rFonts w:cs="Arial"/>
          <w:noProof/>
          <w:kern w:val="0"/>
        </w:rPr>
        <w:t>.</w:t>
      </w:r>
    </w:p>
    <w:p w14:paraId="5493A4ED" w14:textId="7062C26B"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SUCURI (2026) </w:t>
      </w:r>
      <w:r w:rsidRPr="00072ABC">
        <w:rPr>
          <w:rFonts w:cs="Arial"/>
          <w:i/>
          <w:iCs/>
          <w:noProof/>
          <w:kern w:val="0"/>
        </w:rPr>
        <w:t>Access Denied - Sucuri Website Firewall</w:t>
      </w:r>
      <w:r w:rsidRPr="00072ABC">
        <w:rPr>
          <w:rFonts w:cs="Arial"/>
          <w:noProof/>
          <w:kern w:val="0"/>
        </w:rPr>
        <w:t xml:space="preserve">. Available at: </w:t>
      </w:r>
      <w:hyperlink r:id="rId37" w:history="1">
        <w:r w:rsidRPr="00072ABC">
          <w:rPr>
            <w:rStyle w:val="Hyperlink"/>
            <w:rFonts w:cs="Arial"/>
            <w:noProof/>
            <w:kern w:val="0"/>
          </w:rPr>
          <w:t>https://eurometal.net/tata-steel-adopts-differing-european-indian-decarbonisation-strategy/</w:t>
        </w:r>
      </w:hyperlink>
      <w:r w:rsidRPr="00072ABC">
        <w:rPr>
          <w:rFonts w:cs="Arial"/>
          <w:noProof/>
          <w:kern w:val="0"/>
        </w:rPr>
        <w:t>.</w:t>
      </w:r>
    </w:p>
    <w:p w14:paraId="3F2B0CB0" w14:textId="693F9963"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Wang, T. </w:t>
      </w:r>
      <w:r w:rsidRPr="00072ABC">
        <w:rPr>
          <w:rFonts w:cs="Arial"/>
          <w:i/>
          <w:iCs/>
          <w:noProof/>
          <w:kern w:val="0"/>
        </w:rPr>
        <w:t>et al.</w:t>
      </w:r>
      <w:r w:rsidRPr="00072ABC">
        <w:rPr>
          <w:rFonts w:cs="Arial"/>
          <w:noProof/>
          <w:kern w:val="0"/>
        </w:rPr>
        <w:t xml:space="preserve"> (2021) “Copper Recycling Flow Model for the United States Economy: Impact of Scrap Quality on Potential Energy Benefit,” </w:t>
      </w:r>
      <w:r w:rsidRPr="00072ABC">
        <w:rPr>
          <w:rFonts w:cs="Arial"/>
          <w:i/>
          <w:iCs/>
          <w:noProof/>
          <w:kern w:val="0"/>
        </w:rPr>
        <w:t xml:space="preserve">Environmental </w:t>
      </w:r>
      <w:r w:rsidRPr="00072ABC">
        <w:rPr>
          <w:rFonts w:cs="Arial"/>
          <w:i/>
          <w:iCs/>
          <w:noProof/>
          <w:kern w:val="0"/>
        </w:rPr>
        <w:lastRenderedPageBreak/>
        <w:t>Science &amp; Technology</w:t>
      </w:r>
      <w:r w:rsidRPr="00072ABC">
        <w:rPr>
          <w:rFonts w:cs="Arial"/>
          <w:noProof/>
          <w:kern w:val="0"/>
        </w:rPr>
        <w:t xml:space="preserve">, 55(8), pp. 5485–5495. Available at: </w:t>
      </w:r>
      <w:hyperlink r:id="rId38" w:history="1">
        <w:r w:rsidRPr="00072ABC">
          <w:rPr>
            <w:rStyle w:val="Hyperlink"/>
            <w:rFonts w:cs="Arial"/>
            <w:noProof/>
            <w:kern w:val="0"/>
          </w:rPr>
          <w:t>https://pmc.ncbi.nlm.nih.gov/articles/PMC8154355/</w:t>
        </w:r>
      </w:hyperlink>
      <w:r w:rsidRPr="00072ABC">
        <w:rPr>
          <w:rFonts w:cs="Arial"/>
          <w:noProof/>
          <w:kern w:val="0"/>
        </w:rPr>
        <w:t>.</w:t>
      </w:r>
    </w:p>
    <w:p w14:paraId="719287B0" w14:textId="59152925"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Xue, F. </w:t>
      </w:r>
      <w:r w:rsidRPr="00072ABC">
        <w:rPr>
          <w:rFonts w:cs="Arial"/>
          <w:i/>
          <w:iCs/>
          <w:noProof/>
          <w:kern w:val="0"/>
        </w:rPr>
        <w:t>et al.</w:t>
      </w:r>
      <w:r w:rsidRPr="00072ABC">
        <w:rPr>
          <w:rFonts w:cs="Arial"/>
          <w:noProof/>
          <w:kern w:val="0"/>
        </w:rPr>
        <w:t xml:space="preserve"> (2025) </w:t>
      </w:r>
      <w:r w:rsidRPr="00072ABC">
        <w:rPr>
          <w:rFonts w:cs="Arial"/>
          <w:i/>
          <w:iCs/>
          <w:noProof/>
          <w:kern w:val="0"/>
        </w:rPr>
        <w:t>Impact of Carbon Transfer and Low Carbon Preferences on Firm Decision Making Under Two Power Structures</w:t>
      </w:r>
      <w:r w:rsidRPr="00072ABC">
        <w:rPr>
          <w:rFonts w:cs="Arial"/>
          <w:noProof/>
          <w:kern w:val="0"/>
        </w:rPr>
        <w:t xml:space="preserve">. Available at: </w:t>
      </w:r>
      <w:hyperlink r:id="rId39" w:history="1">
        <w:r w:rsidRPr="00072ABC">
          <w:rPr>
            <w:rStyle w:val="Hyperlink"/>
            <w:rFonts w:cs="Arial"/>
            <w:noProof/>
            <w:kern w:val="0"/>
          </w:rPr>
          <w:t>https://www.mdpi.com/2071-1050/17/11/4956</w:t>
        </w:r>
      </w:hyperlink>
      <w:r w:rsidRPr="00072ABC">
        <w:rPr>
          <w:rFonts w:cs="Arial"/>
          <w:noProof/>
          <w:kern w:val="0"/>
        </w:rPr>
        <w:t>.</w:t>
      </w:r>
    </w:p>
    <w:p w14:paraId="1D6C5D48" w14:textId="2D320D50" w:rsidR="00615EBC" w:rsidRPr="00072ABC" w:rsidRDefault="00615EBC" w:rsidP="00072ABC">
      <w:pPr>
        <w:widowControl w:val="0"/>
        <w:autoSpaceDE w:val="0"/>
        <w:autoSpaceDN w:val="0"/>
        <w:adjustRightInd w:val="0"/>
        <w:spacing w:line="360" w:lineRule="auto"/>
        <w:rPr>
          <w:rFonts w:cs="Arial"/>
          <w:noProof/>
          <w:kern w:val="0"/>
        </w:rPr>
      </w:pPr>
      <w:r w:rsidRPr="00072ABC">
        <w:rPr>
          <w:rFonts w:cs="Arial"/>
          <w:noProof/>
          <w:kern w:val="0"/>
        </w:rPr>
        <w:t xml:space="preserve">Zacharia, M. (2026) </w:t>
      </w:r>
      <w:r w:rsidRPr="00072ABC">
        <w:rPr>
          <w:rFonts w:cs="Arial"/>
          <w:i/>
          <w:iCs/>
          <w:noProof/>
          <w:kern w:val="0"/>
        </w:rPr>
        <w:t>CBAM: A guide to Carbon Border Adjustment Mechanism</w:t>
      </w:r>
      <w:r w:rsidRPr="00072ABC">
        <w:rPr>
          <w:rFonts w:cs="Arial"/>
          <w:noProof/>
          <w:kern w:val="0"/>
        </w:rPr>
        <w:t>. Available at:</w:t>
      </w:r>
      <w:hyperlink r:id="rId40" w:history="1">
        <w:r w:rsidR="00E849FC" w:rsidRPr="00072ABC">
          <w:rPr>
            <w:rStyle w:val="Hyperlink"/>
            <w:rFonts w:cs="Arial"/>
            <w:noProof/>
            <w:kern w:val="0"/>
          </w:rPr>
          <w:t>%20https:/oneclicklca.com/en/resources/articles/cbam-a-guide-to-carbon-border-adjustment-mechanism</w:t>
        </w:r>
      </w:hyperlink>
      <w:r w:rsidRPr="00072ABC">
        <w:rPr>
          <w:rFonts w:cs="Arial"/>
          <w:noProof/>
          <w:kern w:val="0"/>
        </w:rPr>
        <w:t>.</w:t>
      </w:r>
    </w:p>
    <w:p w14:paraId="61434DD3" w14:textId="5C36B4AD" w:rsidR="00615EBC" w:rsidRPr="00072ABC" w:rsidRDefault="00615EBC" w:rsidP="00072ABC">
      <w:pPr>
        <w:widowControl w:val="0"/>
        <w:autoSpaceDE w:val="0"/>
        <w:autoSpaceDN w:val="0"/>
        <w:adjustRightInd w:val="0"/>
        <w:spacing w:line="360" w:lineRule="auto"/>
        <w:rPr>
          <w:rFonts w:cs="Arial"/>
          <w:noProof/>
        </w:rPr>
      </w:pPr>
      <w:r w:rsidRPr="00072ABC">
        <w:rPr>
          <w:rFonts w:cs="Arial"/>
          <w:noProof/>
          <w:kern w:val="0"/>
        </w:rPr>
        <w:t xml:space="preserve">Zhang, X. </w:t>
      </w:r>
      <w:r w:rsidRPr="00072ABC">
        <w:rPr>
          <w:rFonts w:cs="Arial"/>
          <w:i/>
          <w:iCs/>
          <w:noProof/>
          <w:kern w:val="0"/>
        </w:rPr>
        <w:t>et al.</w:t>
      </w:r>
      <w:r w:rsidRPr="00072ABC">
        <w:rPr>
          <w:rFonts w:cs="Arial"/>
          <w:noProof/>
          <w:kern w:val="0"/>
        </w:rPr>
        <w:t xml:space="preserve"> (2023) “The Impact of Green Technology Investment Levels on Competitive Supply Chain Integration Decisions,” </w:t>
      </w:r>
      <w:r w:rsidRPr="00072ABC">
        <w:rPr>
          <w:rFonts w:cs="Arial"/>
          <w:i/>
          <w:iCs/>
          <w:noProof/>
          <w:kern w:val="0"/>
        </w:rPr>
        <w:t>Sustainability</w:t>
      </w:r>
      <w:r w:rsidRPr="00072ABC">
        <w:rPr>
          <w:rFonts w:cs="Arial"/>
          <w:noProof/>
          <w:kern w:val="0"/>
        </w:rPr>
        <w:t xml:space="preserve">, 15(13), p. 10386. Available at: </w:t>
      </w:r>
      <w:hyperlink r:id="rId41" w:history="1">
        <w:r w:rsidRPr="00072ABC">
          <w:rPr>
            <w:rStyle w:val="Hyperlink"/>
            <w:rFonts w:cs="Arial"/>
            <w:noProof/>
            <w:kern w:val="0"/>
          </w:rPr>
          <w:t>https://www.mdpi.com/2071-1050/15/13/10386</w:t>
        </w:r>
      </w:hyperlink>
      <w:r w:rsidRPr="00072ABC">
        <w:rPr>
          <w:rFonts w:cs="Arial"/>
          <w:noProof/>
          <w:kern w:val="0"/>
        </w:rPr>
        <w:t>.</w:t>
      </w:r>
    </w:p>
    <w:p w14:paraId="704AC649" w14:textId="57D0404E" w:rsidR="00615EBC" w:rsidRPr="00072ABC" w:rsidRDefault="00615EBC" w:rsidP="00072ABC">
      <w:pPr>
        <w:spacing w:line="360" w:lineRule="auto"/>
        <w:jc w:val="both"/>
        <w:rPr>
          <w:rFonts w:cs="Arial"/>
        </w:rPr>
      </w:pPr>
      <w:r w:rsidRPr="00072ABC">
        <w:rPr>
          <w:rFonts w:cs="Arial"/>
        </w:rPr>
        <w:fldChar w:fldCharType="end"/>
      </w:r>
    </w:p>
    <w:p w14:paraId="461CDEAB" w14:textId="4677AE72" w:rsidR="00034BC5" w:rsidRPr="00072ABC" w:rsidRDefault="00034BC5" w:rsidP="00072ABC">
      <w:pPr>
        <w:spacing w:line="360" w:lineRule="auto"/>
        <w:jc w:val="both"/>
        <w:rPr>
          <w:rFonts w:cs="Arial"/>
          <w:b/>
          <w:bCs/>
        </w:rPr>
      </w:pPr>
    </w:p>
    <w:p w14:paraId="6B3644F0" w14:textId="77777777" w:rsidR="006D7CF4" w:rsidRPr="00072ABC" w:rsidRDefault="006D7CF4" w:rsidP="00072ABC">
      <w:pPr>
        <w:spacing w:line="360" w:lineRule="auto"/>
        <w:jc w:val="both"/>
        <w:rPr>
          <w:rFonts w:cs="Arial"/>
        </w:rPr>
      </w:pPr>
    </w:p>
    <w:sectPr w:rsidR="006D7CF4" w:rsidRPr="00072ABC" w:rsidSect="00072ABC">
      <w:footerReference w:type="default" r:id="rId4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FACB5" w14:textId="77777777" w:rsidR="00700C2A" w:rsidRDefault="00700C2A" w:rsidP="00566C22">
      <w:pPr>
        <w:spacing w:after="0" w:line="240" w:lineRule="auto"/>
      </w:pPr>
      <w:r>
        <w:separator/>
      </w:r>
    </w:p>
  </w:endnote>
  <w:endnote w:type="continuationSeparator" w:id="0">
    <w:p w14:paraId="41B88CF5" w14:textId="77777777" w:rsidR="00700C2A" w:rsidRDefault="00700C2A" w:rsidP="00566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38D19" w14:textId="35B4306A" w:rsidR="00072ABC" w:rsidRDefault="00072ABC">
    <w:pPr>
      <w:pStyle w:val="Footer"/>
      <w:pBdr>
        <w:top w:val="single" w:sz="4" w:space="1" w:color="D9D9D9" w:themeColor="background1" w:themeShade="D9"/>
      </w:pBdr>
      <w:rPr>
        <w:b/>
        <w:bCs/>
      </w:rPr>
    </w:pPr>
  </w:p>
  <w:p w14:paraId="0C11175E" w14:textId="77777777" w:rsidR="00072ABC" w:rsidRDefault="00072A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177063"/>
      <w:docPartObj>
        <w:docPartGallery w:val="Page Numbers (Bottom of Page)"/>
        <w:docPartUnique/>
      </w:docPartObj>
    </w:sdtPr>
    <w:sdtEndPr>
      <w:rPr>
        <w:color w:val="7F7F7F" w:themeColor="background1" w:themeShade="7F"/>
        <w:spacing w:val="60"/>
      </w:rPr>
    </w:sdtEndPr>
    <w:sdtContent>
      <w:p w14:paraId="418B049D" w14:textId="77777777" w:rsidR="00072ABC" w:rsidRDefault="00072AB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D3CC8D0" w14:textId="77777777" w:rsidR="00072ABC" w:rsidRDefault="00072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1776B" w14:textId="77777777" w:rsidR="00700C2A" w:rsidRDefault="00700C2A" w:rsidP="00566C22">
      <w:pPr>
        <w:spacing w:after="0" w:line="240" w:lineRule="auto"/>
      </w:pPr>
      <w:r>
        <w:separator/>
      </w:r>
    </w:p>
  </w:footnote>
  <w:footnote w:type="continuationSeparator" w:id="0">
    <w:p w14:paraId="5062C2FD" w14:textId="77777777" w:rsidR="00700C2A" w:rsidRDefault="00700C2A" w:rsidP="00566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400118"/>
    <w:multiLevelType w:val="multilevel"/>
    <w:tmpl w:val="2C787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5C3ED8"/>
    <w:multiLevelType w:val="multilevel"/>
    <w:tmpl w:val="6338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749776">
    <w:abstractNumId w:val="0"/>
  </w:num>
  <w:num w:numId="2" w16cid:durableId="562761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SwMDMzMjQzMTCxNDdT0lEKTi0uzszPAykwrwUAGqQ7NSwAAAA="/>
  </w:docVars>
  <w:rsids>
    <w:rsidRoot w:val="006D7CF4"/>
    <w:rsid w:val="00034BC5"/>
    <w:rsid w:val="00072ABC"/>
    <w:rsid w:val="00107B26"/>
    <w:rsid w:val="00132113"/>
    <w:rsid w:val="00183DD8"/>
    <w:rsid w:val="0023035C"/>
    <w:rsid w:val="00367125"/>
    <w:rsid w:val="00383961"/>
    <w:rsid w:val="00410727"/>
    <w:rsid w:val="00411C50"/>
    <w:rsid w:val="004301F0"/>
    <w:rsid w:val="004752A9"/>
    <w:rsid w:val="005066F4"/>
    <w:rsid w:val="005420EF"/>
    <w:rsid w:val="005623EF"/>
    <w:rsid w:val="00566C22"/>
    <w:rsid w:val="005A639B"/>
    <w:rsid w:val="00604C6C"/>
    <w:rsid w:val="00615EBC"/>
    <w:rsid w:val="00641F81"/>
    <w:rsid w:val="006D7CF4"/>
    <w:rsid w:val="006E1E8B"/>
    <w:rsid w:val="00700C2A"/>
    <w:rsid w:val="00714D82"/>
    <w:rsid w:val="007332CE"/>
    <w:rsid w:val="00765070"/>
    <w:rsid w:val="00787048"/>
    <w:rsid w:val="007F3679"/>
    <w:rsid w:val="007F3E3C"/>
    <w:rsid w:val="00891D99"/>
    <w:rsid w:val="008F166C"/>
    <w:rsid w:val="008F1B75"/>
    <w:rsid w:val="009241EA"/>
    <w:rsid w:val="00926D05"/>
    <w:rsid w:val="00A804A3"/>
    <w:rsid w:val="00A81B32"/>
    <w:rsid w:val="00A8563C"/>
    <w:rsid w:val="00AC2A6C"/>
    <w:rsid w:val="00B143E3"/>
    <w:rsid w:val="00B30CC0"/>
    <w:rsid w:val="00BA6556"/>
    <w:rsid w:val="00C10B01"/>
    <w:rsid w:val="00C62B96"/>
    <w:rsid w:val="00CD37A6"/>
    <w:rsid w:val="00D05200"/>
    <w:rsid w:val="00D55A48"/>
    <w:rsid w:val="00DA3C2D"/>
    <w:rsid w:val="00DD1327"/>
    <w:rsid w:val="00DD4EB4"/>
    <w:rsid w:val="00E05FF9"/>
    <w:rsid w:val="00E676F3"/>
    <w:rsid w:val="00E849FC"/>
    <w:rsid w:val="00FB3E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B0478"/>
  <w15:chartTrackingRefBased/>
  <w15:docId w15:val="{96E85248-4C54-4C3E-A498-58ADBF9F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63C"/>
    <w:rPr>
      <w:rFonts w:ascii="Arial" w:hAnsi="Arial"/>
    </w:rPr>
  </w:style>
  <w:style w:type="paragraph" w:styleId="Heading1">
    <w:name w:val="heading 1"/>
    <w:basedOn w:val="Normal"/>
    <w:next w:val="Normal"/>
    <w:link w:val="Heading1Char"/>
    <w:uiPriority w:val="9"/>
    <w:qFormat/>
    <w:rsid w:val="00072ABC"/>
    <w:pPr>
      <w:keepNext/>
      <w:keepLines/>
      <w:spacing w:before="360" w:after="80"/>
      <w:outlineLvl w:val="0"/>
    </w:pPr>
    <w:rPr>
      <w:rFonts w:eastAsiaTheme="majorEastAsia" w:cstheme="majorBidi"/>
      <w:color w:val="000000" w:themeColor="text1"/>
      <w:sz w:val="32"/>
      <w:szCs w:val="40"/>
    </w:rPr>
  </w:style>
  <w:style w:type="paragraph" w:styleId="Heading2">
    <w:name w:val="heading 2"/>
    <w:basedOn w:val="Normal"/>
    <w:next w:val="Normal"/>
    <w:link w:val="Heading2Char"/>
    <w:uiPriority w:val="9"/>
    <w:unhideWhenUsed/>
    <w:qFormat/>
    <w:rsid w:val="00072ABC"/>
    <w:pPr>
      <w:keepNext/>
      <w:keepLines/>
      <w:spacing w:before="160" w:after="80"/>
      <w:outlineLvl w:val="1"/>
    </w:pPr>
    <w:rPr>
      <w:rFonts w:eastAsiaTheme="majorEastAsia" w:cstheme="majorBidi"/>
      <w:color w:val="000000" w:themeColor="text1"/>
      <w:sz w:val="28"/>
      <w:szCs w:val="32"/>
    </w:rPr>
  </w:style>
  <w:style w:type="paragraph" w:styleId="Heading3">
    <w:name w:val="heading 3"/>
    <w:basedOn w:val="Normal"/>
    <w:next w:val="Normal"/>
    <w:link w:val="Heading3Char"/>
    <w:uiPriority w:val="9"/>
    <w:semiHidden/>
    <w:unhideWhenUsed/>
    <w:qFormat/>
    <w:rsid w:val="006D7C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C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7C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7C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C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C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C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ABC"/>
    <w:rPr>
      <w:rFonts w:ascii="Arial" w:eastAsiaTheme="majorEastAsia" w:hAnsi="Arial" w:cstheme="majorBidi"/>
      <w:color w:val="000000" w:themeColor="text1"/>
      <w:sz w:val="32"/>
      <w:szCs w:val="40"/>
    </w:rPr>
  </w:style>
  <w:style w:type="character" w:customStyle="1" w:styleId="Heading2Char">
    <w:name w:val="Heading 2 Char"/>
    <w:basedOn w:val="DefaultParagraphFont"/>
    <w:link w:val="Heading2"/>
    <w:uiPriority w:val="9"/>
    <w:rsid w:val="00072ABC"/>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semiHidden/>
    <w:rsid w:val="006D7C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C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7C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7C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C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C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CF4"/>
    <w:rPr>
      <w:rFonts w:eastAsiaTheme="majorEastAsia" w:cstheme="majorBidi"/>
      <w:color w:val="272727" w:themeColor="text1" w:themeTint="D8"/>
    </w:rPr>
  </w:style>
  <w:style w:type="paragraph" w:styleId="Title">
    <w:name w:val="Title"/>
    <w:basedOn w:val="Normal"/>
    <w:next w:val="Normal"/>
    <w:link w:val="TitleChar"/>
    <w:uiPriority w:val="10"/>
    <w:qFormat/>
    <w:rsid w:val="006D7C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C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C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C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CF4"/>
    <w:pPr>
      <w:spacing w:before="160"/>
      <w:jc w:val="center"/>
    </w:pPr>
    <w:rPr>
      <w:i/>
      <w:iCs/>
      <w:color w:val="404040" w:themeColor="text1" w:themeTint="BF"/>
    </w:rPr>
  </w:style>
  <w:style w:type="character" w:customStyle="1" w:styleId="QuoteChar">
    <w:name w:val="Quote Char"/>
    <w:basedOn w:val="DefaultParagraphFont"/>
    <w:link w:val="Quote"/>
    <w:uiPriority w:val="29"/>
    <w:rsid w:val="006D7CF4"/>
    <w:rPr>
      <w:i/>
      <w:iCs/>
      <w:color w:val="404040" w:themeColor="text1" w:themeTint="BF"/>
    </w:rPr>
  </w:style>
  <w:style w:type="paragraph" w:styleId="ListParagraph">
    <w:name w:val="List Paragraph"/>
    <w:basedOn w:val="Normal"/>
    <w:uiPriority w:val="34"/>
    <w:qFormat/>
    <w:rsid w:val="006D7CF4"/>
    <w:pPr>
      <w:ind w:left="720"/>
      <w:contextualSpacing/>
    </w:pPr>
  </w:style>
  <w:style w:type="character" w:styleId="IntenseEmphasis">
    <w:name w:val="Intense Emphasis"/>
    <w:basedOn w:val="DefaultParagraphFont"/>
    <w:uiPriority w:val="21"/>
    <w:qFormat/>
    <w:rsid w:val="006D7CF4"/>
    <w:rPr>
      <w:i/>
      <w:iCs/>
      <w:color w:val="0F4761" w:themeColor="accent1" w:themeShade="BF"/>
    </w:rPr>
  </w:style>
  <w:style w:type="paragraph" w:styleId="IntenseQuote">
    <w:name w:val="Intense Quote"/>
    <w:basedOn w:val="Normal"/>
    <w:next w:val="Normal"/>
    <w:link w:val="IntenseQuoteChar"/>
    <w:uiPriority w:val="30"/>
    <w:qFormat/>
    <w:rsid w:val="006D7C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CF4"/>
    <w:rPr>
      <w:i/>
      <w:iCs/>
      <w:color w:val="0F4761" w:themeColor="accent1" w:themeShade="BF"/>
    </w:rPr>
  </w:style>
  <w:style w:type="character" w:styleId="IntenseReference">
    <w:name w:val="Intense Reference"/>
    <w:basedOn w:val="DefaultParagraphFont"/>
    <w:uiPriority w:val="32"/>
    <w:qFormat/>
    <w:rsid w:val="006D7CF4"/>
    <w:rPr>
      <w:b/>
      <w:bCs/>
      <w:smallCaps/>
      <w:color w:val="0F4761" w:themeColor="accent1" w:themeShade="BF"/>
      <w:spacing w:val="5"/>
    </w:rPr>
  </w:style>
  <w:style w:type="paragraph" w:styleId="FootnoteText">
    <w:name w:val="footnote text"/>
    <w:basedOn w:val="Normal"/>
    <w:link w:val="FootnoteTextChar"/>
    <w:uiPriority w:val="99"/>
    <w:semiHidden/>
    <w:unhideWhenUsed/>
    <w:rsid w:val="00566C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6C22"/>
    <w:rPr>
      <w:sz w:val="20"/>
      <w:szCs w:val="20"/>
    </w:rPr>
  </w:style>
  <w:style w:type="character" w:styleId="FootnoteReference">
    <w:name w:val="footnote reference"/>
    <w:basedOn w:val="DefaultParagraphFont"/>
    <w:uiPriority w:val="99"/>
    <w:semiHidden/>
    <w:unhideWhenUsed/>
    <w:rsid w:val="00566C22"/>
    <w:rPr>
      <w:vertAlign w:val="superscript"/>
    </w:rPr>
  </w:style>
  <w:style w:type="character" w:styleId="Hyperlink">
    <w:name w:val="Hyperlink"/>
    <w:basedOn w:val="DefaultParagraphFont"/>
    <w:uiPriority w:val="99"/>
    <w:unhideWhenUsed/>
    <w:rsid w:val="00765070"/>
    <w:rPr>
      <w:color w:val="467886" w:themeColor="hyperlink"/>
      <w:u w:val="single"/>
    </w:rPr>
  </w:style>
  <w:style w:type="character" w:styleId="UnresolvedMention">
    <w:name w:val="Unresolved Mention"/>
    <w:basedOn w:val="DefaultParagraphFont"/>
    <w:uiPriority w:val="99"/>
    <w:semiHidden/>
    <w:unhideWhenUsed/>
    <w:rsid w:val="00765070"/>
    <w:rPr>
      <w:color w:val="605E5C"/>
      <w:shd w:val="clear" w:color="auto" w:fill="E1DFDD"/>
    </w:rPr>
  </w:style>
  <w:style w:type="character" w:styleId="FollowedHyperlink">
    <w:name w:val="FollowedHyperlink"/>
    <w:basedOn w:val="DefaultParagraphFont"/>
    <w:uiPriority w:val="99"/>
    <w:semiHidden/>
    <w:unhideWhenUsed/>
    <w:rsid w:val="00765070"/>
    <w:rPr>
      <w:color w:val="96607D" w:themeColor="followedHyperlink"/>
      <w:u w:val="single"/>
    </w:rPr>
  </w:style>
  <w:style w:type="paragraph" w:styleId="TOCHeading">
    <w:name w:val="TOC Heading"/>
    <w:basedOn w:val="Heading1"/>
    <w:next w:val="Normal"/>
    <w:uiPriority w:val="39"/>
    <w:unhideWhenUsed/>
    <w:qFormat/>
    <w:rsid w:val="00072ABC"/>
    <w:pPr>
      <w:spacing w:before="240" w:after="0" w:line="259" w:lineRule="auto"/>
      <w:outlineLvl w:val="9"/>
    </w:pPr>
    <w:rPr>
      <w:rFonts w:asciiTheme="majorHAnsi" w:hAnsiTheme="majorHAnsi"/>
      <w:color w:val="0F4761" w:themeColor="accent1" w:themeShade="BF"/>
      <w:kern w:val="0"/>
      <w:szCs w:val="32"/>
      <w:lang w:val="en-US" w:eastAsia="en-US"/>
      <w14:ligatures w14:val="none"/>
    </w:rPr>
  </w:style>
  <w:style w:type="paragraph" w:styleId="TOC1">
    <w:name w:val="toc 1"/>
    <w:basedOn w:val="Normal"/>
    <w:next w:val="Normal"/>
    <w:autoRedefine/>
    <w:uiPriority w:val="39"/>
    <w:unhideWhenUsed/>
    <w:rsid w:val="00072ABC"/>
    <w:pPr>
      <w:spacing w:after="100"/>
    </w:pPr>
  </w:style>
  <w:style w:type="paragraph" w:styleId="TOC2">
    <w:name w:val="toc 2"/>
    <w:basedOn w:val="Normal"/>
    <w:next w:val="Normal"/>
    <w:autoRedefine/>
    <w:uiPriority w:val="39"/>
    <w:unhideWhenUsed/>
    <w:rsid w:val="00072ABC"/>
    <w:pPr>
      <w:spacing w:after="100"/>
      <w:ind w:left="240"/>
    </w:pPr>
  </w:style>
  <w:style w:type="paragraph" w:styleId="Header">
    <w:name w:val="header"/>
    <w:basedOn w:val="Normal"/>
    <w:link w:val="HeaderChar"/>
    <w:uiPriority w:val="99"/>
    <w:unhideWhenUsed/>
    <w:rsid w:val="00072A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ABC"/>
  </w:style>
  <w:style w:type="paragraph" w:styleId="Footer">
    <w:name w:val="footer"/>
    <w:basedOn w:val="Normal"/>
    <w:link w:val="FooterChar"/>
    <w:uiPriority w:val="99"/>
    <w:unhideWhenUsed/>
    <w:rsid w:val="00072A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ABC"/>
  </w:style>
  <w:style w:type="paragraph" w:customStyle="1" w:styleId="TableParagraph">
    <w:name w:val="Table Paragraph"/>
    <w:basedOn w:val="Normal"/>
    <w:uiPriority w:val="1"/>
    <w:qFormat/>
    <w:rsid w:val="00072ABC"/>
    <w:pPr>
      <w:widowControl w:val="0"/>
      <w:autoSpaceDE w:val="0"/>
      <w:autoSpaceDN w:val="0"/>
      <w:spacing w:after="0" w:line="240" w:lineRule="auto"/>
      <w:ind w:left="107"/>
    </w:pPr>
    <w:rPr>
      <w:rFonts w:ascii="Arial MT" w:eastAsia="Arial MT" w:hAnsi="Arial MT" w:cs="Arial MT"/>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bbc.co.uk/news/articles/c79ezrvd9neo" TargetMode="External"/><Relationship Id="rId26" Type="http://schemas.openxmlformats.org/officeDocument/2006/relationships/hyperlink" Target="https://tataprojects.com/web/sites/default/files/ESG_Charter_26-05-2026.pdf" TargetMode="External"/><Relationship Id="rId39" Type="http://schemas.openxmlformats.org/officeDocument/2006/relationships/hyperlink" Target="https://www.mdpi.com/2071-1050/17/11/4956" TargetMode="External"/><Relationship Id="rId3" Type="http://schemas.openxmlformats.org/officeDocument/2006/relationships/styles" Target="styles.xml"/><Relationship Id="rId21" Type="http://schemas.openxmlformats.org/officeDocument/2006/relationships/hyperlink" Target="https://www.sciencedirect.com/science/article/pii/S0166497225001671" TargetMode="External"/><Relationship Id="rId34" Type="http://schemas.openxmlformats.org/officeDocument/2006/relationships/hyperlink" Target="https://www.researchgate.net/publication/383848031_Sustainability_in_product_life_cycle_management_A_review_of_best_practices_and_innovations"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davidpublisher.com/Public/uploads/Contribute/5563f0411247b.pdf" TargetMode="External"/><Relationship Id="rId25" Type="http://schemas.openxmlformats.org/officeDocument/2006/relationships/hyperlink" Target="https://www.researchgate.net/publication/23961314_The_Forecasting_Mantra_A_Holistic_Approach_to_Forecasting_and_Planning" TargetMode="External"/><Relationship Id="rId33" Type="http://schemas.openxmlformats.org/officeDocument/2006/relationships/hyperlink" Target="https://www.researchgate.net/publication/382141729_The_Importance_of_the_Ansoff_Matrix_for_the_Study_of_the_Information_Services_Market" TargetMode="External"/><Relationship Id="rId38" Type="http://schemas.openxmlformats.org/officeDocument/2006/relationships/hyperlink" Target="https://pmc.ncbi.nlm.nih.gov/articles/PMC8154355/" TargetMode="External"/><Relationship Id="rId2" Type="http://schemas.openxmlformats.org/officeDocument/2006/relationships/numbering" Target="numbering.xml"/><Relationship Id="rId16" Type="http://schemas.openxmlformats.org/officeDocument/2006/relationships/hyperlink" Target="https://www.researchgate.net/publication/370568967_SDGs_in_the_EU_Steel_Sector_A_Critical_Review_of_Sustainability_Initiatives_and_Approaches" TargetMode="External"/><Relationship Id="rId20" Type="http://schemas.openxmlformats.org/officeDocument/2006/relationships/hyperlink" Target="https://climatecatalyst.org/wp-content/uploads/2026/02/Catalysing-Demand-for-Green-Steel-through-Public-Procurement-in-India-Report.pdf" TargetMode="External"/><Relationship Id="rId29" Type="http://schemas.openxmlformats.org/officeDocument/2006/relationships/hyperlink" Target="%20https:/www.iea.org/data-and-statistics/data-product/iea-energy-and-carbon-tracker-2025" TargetMode="External"/><Relationship Id="rId41" Type="http://schemas.openxmlformats.org/officeDocument/2006/relationships/hyperlink" Target="https://www.mdpi.com/2071-1050/15/13/103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evenly.care/wp-content/uploads/2026/05/Evenly-WhitePaper-Trust-or-Fluency.pdf" TargetMode="External"/><Relationship Id="rId32" Type="http://schemas.openxmlformats.org/officeDocument/2006/relationships/hyperlink" Target="%20https:/www.mdpi.com/2071-1050/17/18/8392" TargetMode="External"/><Relationship Id="rId37" Type="http://schemas.openxmlformats.org/officeDocument/2006/relationships/hyperlink" Target="https://eurometal.net/tata-steel-adopts-differing-european-indian-decarbonisation-strategy/" TargetMode="External"/><Relationship Id="rId40" Type="http://schemas.openxmlformats.org/officeDocument/2006/relationships/hyperlink" Target="%20https:/oneclicklca.com/en/resources/articles/cbam-a-guide-to-carbon-border-adjustment-mechanism" TargetMode="External"/><Relationship Id="rId5" Type="http://schemas.openxmlformats.org/officeDocument/2006/relationships/webSettings" Target="webSettings.xml"/><Relationship Id="rId15" Type="http://schemas.openxmlformats.org/officeDocument/2006/relationships/hyperlink" Target="https://www.mdpi.com/2071-1050/16/20/8748" TargetMode="External"/><Relationship Id="rId23" Type="http://schemas.openxmlformats.org/officeDocument/2006/relationships/hyperlink" Target="https://www.mdpi.com/0718-1876/20/3/219" TargetMode="External"/><Relationship Id="rId28" Type="http://schemas.openxmlformats.org/officeDocument/2006/relationships/hyperlink" Target="https://www.researchgate.net/publication/369620426_A_Brief_Analysis_of_ChatGPT_-_A_Revolutionary_Tool_Designed_by_OpenAI" TargetMode="External"/><Relationship Id="rId36" Type="http://schemas.openxmlformats.org/officeDocument/2006/relationships/hyperlink" Target="https://www.steel-technology.com/articles/moving-towards-the-low-carbon-steelmaking" TargetMode="External"/><Relationship Id="rId10" Type="http://schemas.openxmlformats.org/officeDocument/2006/relationships/footer" Target="footer1.xml"/><Relationship Id="rId19" Type="http://schemas.openxmlformats.org/officeDocument/2006/relationships/hyperlink" Target="https://www.bolton.com/sites/default/files/2026-04/bolton-sustainability-report-2025.pdf" TargetMode="External"/><Relationship Id="rId31" Type="http://schemas.openxmlformats.org/officeDocument/2006/relationships/hyperlink" Target="https://www.mdpi.com/2225-1154/13/5/88"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254%32%35%30%34@%73tud%65n%74%2euw%74sd.%61c%2e%75k" TargetMode="External"/><Relationship Id="rId14" Type="http://schemas.openxmlformats.org/officeDocument/2006/relationships/hyperlink" Target="https://lup.lub.lu.se/luur/download?func=downloadFile&amp;recordOId=9228595&amp;fileOId=9228966" TargetMode="External"/><Relationship Id="rId22" Type="http://schemas.openxmlformats.org/officeDocument/2006/relationships/hyperlink" Target="https://energyandcleanair.org/publication/india-power-sector-review-2025/" TargetMode="External"/><Relationship Id="rId27" Type="http://schemas.openxmlformats.org/officeDocument/2006/relationships/hyperlink" Target="https://www.researchgate.net/publication/366849261_How_to_earn_a_premium_price_the_effect_of_green_marketing_and_brand_coolness" TargetMode="External"/><Relationship Id="rId30" Type="http://schemas.openxmlformats.org/officeDocument/2006/relationships/hyperlink" Target="https://www.mdpi.com/2071-1050/15/14/11041" TargetMode="External"/><Relationship Id="rId35" Type="http://schemas.openxmlformats.org/officeDocument/2006/relationships/hyperlink" Target="%20https:/www.reuters.com/world/india/indias-tata-steel-beats-quarterly-profit-estimates-lower-expenses-2025-05-12/"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AEF33-9207-44E3-9CA6-624C193EB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11903</Words>
  <Characters>67848</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Lenovo</cp:lastModifiedBy>
  <cp:revision>2</cp:revision>
  <dcterms:created xsi:type="dcterms:W3CDTF">2026-07-23T07:39:00Z</dcterms:created>
  <dcterms:modified xsi:type="dcterms:W3CDTF">2026-07-24T09:32:00Z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5cf7a308-ea84-4381-97a0-d5aa7fe5e47f</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6th/7th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18th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 (in-text citations)</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b4b1ef0a-370d-3f94-891b-42a85d8fe91d</vt:lpwstr>
  </property>
  <property fmtid="{D5CDD505-2E9C-101B-9397-08002B2CF9AE}" pid="25" name="Mendeley Citation Style_1">
    <vt:lpwstr>http://www.zotero.org/styles/harvard-cite-them-right</vt:lpwstr>
  </property>
</Properties>
</file>