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ED7AF" w14:textId="77777777" w:rsidR="00832B29" w:rsidRPr="00A2744B" w:rsidRDefault="00832B29" w:rsidP="00A2744B">
      <w:pPr>
        <w:spacing w:line="360" w:lineRule="auto"/>
        <w:jc w:val="center"/>
        <w:rPr>
          <w:rFonts w:ascii="Palatino Linotype" w:hAnsi="Palatino Linotype" w:cs="Arial"/>
          <w:b/>
          <w:bCs/>
        </w:rPr>
      </w:pPr>
    </w:p>
    <w:p w14:paraId="01B50129" w14:textId="77777777" w:rsidR="00832B29" w:rsidRPr="00A2744B" w:rsidRDefault="00832B29" w:rsidP="00A2744B">
      <w:pPr>
        <w:spacing w:line="360" w:lineRule="auto"/>
        <w:jc w:val="center"/>
        <w:rPr>
          <w:rFonts w:ascii="Palatino Linotype" w:hAnsi="Palatino Linotype" w:cs="Arial"/>
          <w:b/>
          <w:bCs/>
          <w:sz w:val="64"/>
          <w:szCs w:val="64"/>
        </w:rPr>
      </w:pPr>
      <w:r w:rsidRPr="00A2744B">
        <w:rPr>
          <w:rFonts w:ascii="Palatino Linotype" w:hAnsi="Palatino Linotype" w:cs="Arial"/>
          <w:b/>
          <w:bCs/>
          <w:sz w:val="64"/>
          <w:szCs w:val="64"/>
        </w:rPr>
        <w:t>BSc Health and Social Care</w:t>
      </w:r>
    </w:p>
    <w:p w14:paraId="17FA384C" w14:textId="77777777" w:rsidR="00832B29" w:rsidRPr="00A2744B" w:rsidRDefault="00832B29" w:rsidP="00A2744B">
      <w:pPr>
        <w:spacing w:line="360" w:lineRule="auto"/>
        <w:jc w:val="center"/>
        <w:rPr>
          <w:rFonts w:ascii="Palatino Linotype" w:hAnsi="Palatino Linotype" w:cs="Arial"/>
          <w:b/>
          <w:bCs/>
          <w:sz w:val="32"/>
          <w:szCs w:val="32"/>
        </w:rPr>
      </w:pPr>
    </w:p>
    <w:p w14:paraId="754E6A24" w14:textId="4D1DBE64" w:rsidR="00832B29" w:rsidRPr="00A2744B" w:rsidRDefault="009714B3" w:rsidP="00A2744B">
      <w:pPr>
        <w:spacing w:line="360" w:lineRule="auto"/>
        <w:jc w:val="center"/>
        <w:rPr>
          <w:rFonts w:ascii="Palatino Linotype" w:hAnsi="Palatino Linotype" w:cs="Arial"/>
          <w:b/>
          <w:bCs/>
          <w:sz w:val="36"/>
          <w:szCs w:val="36"/>
        </w:rPr>
      </w:pPr>
      <w:r>
        <w:rPr>
          <w:rFonts w:ascii="Palatino Linotype" w:hAnsi="Palatino Linotype" w:cs="Arial"/>
          <w:b/>
          <w:bCs/>
          <w:sz w:val="36"/>
          <w:szCs w:val="36"/>
        </w:rPr>
        <w:t xml:space="preserve">Module: </w:t>
      </w:r>
      <w:r w:rsidR="00832B29" w:rsidRPr="00A2744B">
        <w:rPr>
          <w:rFonts w:ascii="Palatino Linotype" w:hAnsi="Palatino Linotype" w:cs="Arial"/>
          <w:b/>
          <w:bCs/>
          <w:sz w:val="36"/>
          <w:szCs w:val="36"/>
        </w:rPr>
        <w:t>Introduction to Independent Research Skills</w:t>
      </w:r>
    </w:p>
    <w:p w14:paraId="5C4AD033" w14:textId="090F8DAD" w:rsidR="00832B29" w:rsidRPr="00A2744B" w:rsidRDefault="009714B3" w:rsidP="00A2744B">
      <w:pPr>
        <w:spacing w:line="360" w:lineRule="auto"/>
        <w:jc w:val="center"/>
        <w:rPr>
          <w:rFonts w:ascii="Palatino Linotype" w:hAnsi="Palatino Linotype" w:cs="Arial"/>
          <w:b/>
          <w:bCs/>
          <w:sz w:val="36"/>
          <w:szCs w:val="36"/>
        </w:rPr>
      </w:pPr>
      <w:r>
        <w:rPr>
          <w:rFonts w:ascii="Palatino Linotype" w:hAnsi="Palatino Linotype" w:cs="Arial"/>
          <w:b/>
          <w:bCs/>
          <w:sz w:val="36"/>
          <w:szCs w:val="36"/>
        </w:rPr>
        <w:t xml:space="preserve">Moodle Code: </w:t>
      </w:r>
      <w:r w:rsidR="00832B29" w:rsidRPr="00A2744B">
        <w:rPr>
          <w:rFonts w:ascii="Palatino Linotype" w:hAnsi="Palatino Linotype" w:cs="Arial"/>
          <w:b/>
          <w:bCs/>
          <w:sz w:val="36"/>
          <w:szCs w:val="36"/>
        </w:rPr>
        <w:t>BMHP5019</w:t>
      </w:r>
    </w:p>
    <w:p w14:paraId="3D222EBC" w14:textId="77777777" w:rsidR="00832B29" w:rsidRPr="00A2744B" w:rsidRDefault="00832B29" w:rsidP="00A2744B">
      <w:pPr>
        <w:spacing w:line="360" w:lineRule="auto"/>
        <w:jc w:val="center"/>
        <w:rPr>
          <w:rFonts w:ascii="Palatino Linotype" w:hAnsi="Palatino Linotype" w:cs="Arial"/>
          <w:b/>
          <w:bCs/>
          <w:sz w:val="32"/>
          <w:szCs w:val="32"/>
        </w:rPr>
      </w:pPr>
    </w:p>
    <w:p w14:paraId="6367C5F3" w14:textId="04392557" w:rsidR="00832B29" w:rsidRDefault="009714B3" w:rsidP="00A2744B">
      <w:pPr>
        <w:spacing w:line="360" w:lineRule="auto"/>
        <w:jc w:val="center"/>
        <w:rPr>
          <w:rFonts w:ascii="Palatino Linotype" w:hAnsi="Palatino Linotype" w:cs="Arial"/>
          <w:b/>
          <w:bCs/>
          <w:sz w:val="32"/>
          <w:szCs w:val="32"/>
        </w:rPr>
      </w:pPr>
      <w:r w:rsidRPr="009714B3">
        <w:rPr>
          <w:rFonts w:ascii="Palatino Linotype" w:hAnsi="Palatino Linotype" w:cs="Arial"/>
          <w:b/>
          <w:bCs/>
          <w:sz w:val="32"/>
          <w:szCs w:val="32"/>
        </w:rPr>
        <w:t xml:space="preserve">Assignment Title: </w:t>
      </w:r>
      <w:r w:rsidR="00832B29" w:rsidRPr="009714B3">
        <w:rPr>
          <w:rFonts w:ascii="Palatino Linotype" w:hAnsi="Palatino Linotype" w:cs="Arial"/>
          <w:b/>
          <w:bCs/>
          <w:sz w:val="32"/>
          <w:szCs w:val="32"/>
        </w:rPr>
        <w:t>Component 2:</w:t>
      </w:r>
      <w:r w:rsidRPr="009714B3">
        <w:rPr>
          <w:rFonts w:ascii="Palatino Linotype" w:hAnsi="Palatino Linotype" w:cs="Arial"/>
          <w:b/>
          <w:bCs/>
          <w:sz w:val="32"/>
          <w:szCs w:val="32"/>
        </w:rPr>
        <w:t xml:space="preserve"> Written Assignment (Research Report)</w:t>
      </w:r>
    </w:p>
    <w:p w14:paraId="413D6790" w14:textId="77777777" w:rsidR="009714B3" w:rsidRPr="00A2744B" w:rsidRDefault="009714B3" w:rsidP="009714B3">
      <w:pPr>
        <w:spacing w:line="360" w:lineRule="auto"/>
        <w:jc w:val="center"/>
        <w:rPr>
          <w:rFonts w:ascii="Palatino Linotype" w:hAnsi="Palatino Linotype" w:cs="Arial"/>
          <w:b/>
          <w:bCs/>
          <w:sz w:val="30"/>
          <w:szCs w:val="30"/>
        </w:rPr>
      </w:pPr>
      <w:r w:rsidRPr="00A2744B">
        <w:rPr>
          <w:rFonts w:ascii="Palatino Linotype" w:hAnsi="Palatino Linotype" w:cs="Arial"/>
          <w:b/>
          <w:bCs/>
          <w:sz w:val="30"/>
          <w:szCs w:val="30"/>
        </w:rPr>
        <w:t>Student Name:</w:t>
      </w:r>
      <w:r>
        <w:rPr>
          <w:rFonts w:ascii="Palatino Linotype" w:hAnsi="Palatino Linotype" w:cs="Arial"/>
          <w:b/>
          <w:bCs/>
          <w:sz w:val="30"/>
          <w:szCs w:val="30"/>
        </w:rPr>
        <w:t xml:space="preserve"> Sharon Akhigbe</w:t>
      </w:r>
    </w:p>
    <w:p w14:paraId="6BBAC631" w14:textId="77777777" w:rsidR="009714B3" w:rsidRDefault="009714B3" w:rsidP="009714B3">
      <w:pPr>
        <w:spacing w:line="360" w:lineRule="auto"/>
        <w:jc w:val="center"/>
        <w:rPr>
          <w:rFonts w:ascii="Palatino Linotype" w:hAnsi="Palatino Linotype" w:cs="Arial"/>
          <w:b/>
          <w:bCs/>
          <w:sz w:val="30"/>
          <w:szCs w:val="30"/>
        </w:rPr>
      </w:pPr>
      <w:r w:rsidRPr="00A2744B">
        <w:rPr>
          <w:rFonts w:ascii="Palatino Linotype" w:hAnsi="Palatino Linotype" w:cs="Arial"/>
          <w:b/>
          <w:bCs/>
          <w:sz w:val="30"/>
          <w:szCs w:val="30"/>
        </w:rPr>
        <w:t>Student Number:</w:t>
      </w:r>
      <w:r>
        <w:rPr>
          <w:rFonts w:ascii="Palatino Linotype" w:hAnsi="Palatino Linotype" w:cs="Arial"/>
          <w:b/>
          <w:bCs/>
          <w:sz w:val="30"/>
          <w:szCs w:val="30"/>
        </w:rPr>
        <w:t xml:space="preserve"> 2334467</w:t>
      </w:r>
    </w:p>
    <w:p w14:paraId="77523F8E" w14:textId="77777777" w:rsidR="009714B3" w:rsidRPr="00A2744B" w:rsidRDefault="009714B3" w:rsidP="009714B3">
      <w:pPr>
        <w:spacing w:line="360" w:lineRule="auto"/>
        <w:jc w:val="center"/>
        <w:rPr>
          <w:rFonts w:ascii="Palatino Linotype" w:hAnsi="Palatino Linotype" w:cs="Arial"/>
          <w:b/>
          <w:bCs/>
          <w:sz w:val="30"/>
          <w:szCs w:val="30"/>
        </w:rPr>
      </w:pPr>
      <w:r>
        <w:rPr>
          <w:rFonts w:ascii="Palatino Linotype" w:hAnsi="Palatino Linotype" w:cs="Arial"/>
          <w:b/>
          <w:bCs/>
          <w:sz w:val="30"/>
          <w:szCs w:val="30"/>
        </w:rPr>
        <w:t>Lecturer</w:t>
      </w:r>
      <w:r w:rsidRPr="00A2744B">
        <w:rPr>
          <w:rFonts w:ascii="Palatino Linotype" w:hAnsi="Palatino Linotype" w:cs="Arial"/>
          <w:b/>
          <w:bCs/>
          <w:sz w:val="30"/>
          <w:szCs w:val="30"/>
        </w:rPr>
        <w:t>:</w:t>
      </w:r>
      <w:r>
        <w:rPr>
          <w:rFonts w:ascii="Palatino Linotype" w:hAnsi="Palatino Linotype" w:cs="Arial"/>
          <w:b/>
          <w:bCs/>
          <w:sz w:val="30"/>
          <w:szCs w:val="30"/>
        </w:rPr>
        <w:t xml:space="preserve"> </w:t>
      </w:r>
      <w:r w:rsidRPr="00DE2ED3">
        <w:rPr>
          <w:rFonts w:ascii="Palatino Linotype" w:hAnsi="Palatino Linotype" w:cs="Arial"/>
          <w:b/>
          <w:bCs/>
          <w:sz w:val="30"/>
          <w:szCs w:val="30"/>
        </w:rPr>
        <w:t>Philip Jones</w:t>
      </w:r>
    </w:p>
    <w:p w14:paraId="39D1D0A0" w14:textId="77777777" w:rsidR="009714B3" w:rsidRPr="009714B3" w:rsidRDefault="009714B3" w:rsidP="00A2744B">
      <w:pPr>
        <w:spacing w:line="360" w:lineRule="auto"/>
        <w:jc w:val="center"/>
        <w:rPr>
          <w:rFonts w:ascii="Palatino Linotype" w:hAnsi="Palatino Linotype" w:cs="Arial"/>
          <w:b/>
          <w:bCs/>
          <w:sz w:val="32"/>
          <w:szCs w:val="32"/>
        </w:rPr>
      </w:pPr>
    </w:p>
    <w:p w14:paraId="06300711" w14:textId="77777777" w:rsidR="00A2744B" w:rsidRPr="00A2744B" w:rsidRDefault="00A2744B" w:rsidP="00A2744B">
      <w:pPr>
        <w:spacing w:line="360" w:lineRule="auto"/>
        <w:jc w:val="center"/>
        <w:rPr>
          <w:rFonts w:ascii="Palatino Linotype" w:hAnsi="Palatino Linotype" w:cs="Arial"/>
          <w:b/>
          <w:bCs/>
          <w:sz w:val="36"/>
          <w:szCs w:val="36"/>
        </w:rPr>
      </w:pPr>
      <w:r w:rsidRPr="00A2744B">
        <w:rPr>
          <w:rFonts w:ascii="Palatino Linotype" w:hAnsi="Palatino Linotype" w:cs="Arial"/>
          <w:b/>
          <w:bCs/>
          <w:sz w:val="36"/>
          <w:szCs w:val="36"/>
        </w:rPr>
        <w:t>A Scoping Review of Barriers to Accessing Mental Health Services in the United Kingdom</w:t>
      </w:r>
    </w:p>
    <w:p w14:paraId="37154AD9" w14:textId="77777777" w:rsidR="00832B29" w:rsidRPr="00A2744B" w:rsidRDefault="00832B29" w:rsidP="00A2744B">
      <w:pPr>
        <w:spacing w:line="360" w:lineRule="auto"/>
        <w:jc w:val="center"/>
        <w:rPr>
          <w:rFonts w:ascii="Palatino Linotype" w:hAnsi="Palatino Linotype" w:cs="Arial"/>
          <w:b/>
          <w:bCs/>
          <w:sz w:val="28"/>
          <w:szCs w:val="28"/>
        </w:rPr>
      </w:pPr>
    </w:p>
    <w:p w14:paraId="46E531AF" w14:textId="77777777" w:rsidR="00832B29" w:rsidRPr="00A2744B" w:rsidRDefault="00832B29" w:rsidP="00A2744B">
      <w:pPr>
        <w:spacing w:line="360" w:lineRule="auto"/>
        <w:jc w:val="center"/>
        <w:rPr>
          <w:rFonts w:ascii="Palatino Linotype" w:hAnsi="Palatino Linotype" w:cs="Arial"/>
          <w:b/>
          <w:bCs/>
          <w:sz w:val="32"/>
          <w:szCs w:val="32"/>
        </w:rPr>
      </w:pPr>
    </w:p>
    <w:p w14:paraId="1A7A2E46" w14:textId="77777777" w:rsidR="00C67EBC" w:rsidRDefault="00C67EBC" w:rsidP="001C3C46">
      <w:pPr>
        <w:pStyle w:val="Heading1"/>
      </w:pPr>
    </w:p>
    <w:p w14:paraId="184192C4" w14:textId="0CC91D6A" w:rsidR="006218A1" w:rsidRPr="001C3C46" w:rsidRDefault="006218A1" w:rsidP="001C3C46">
      <w:pPr>
        <w:pStyle w:val="Heading1"/>
      </w:pPr>
      <w:r w:rsidRPr="001C3C46">
        <w:lastRenderedPageBreak/>
        <w:t>Introduction</w:t>
      </w:r>
    </w:p>
    <w:p w14:paraId="26A81929" w14:textId="553070EB" w:rsidR="006218A1" w:rsidRPr="001C3C46" w:rsidRDefault="006218A1" w:rsidP="001C3C46">
      <w:pPr>
        <w:spacing w:line="360" w:lineRule="auto"/>
        <w:jc w:val="both"/>
        <w:rPr>
          <w:rFonts w:ascii="Arial" w:hAnsi="Arial" w:cs="Arial"/>
        </w:rPr>
      </w:pPr>
      <w:r w:rsidRPr="001C3C46">
        <w:rPr>
          <w:rFonts w:ascii="Arial" w:hAnsi="Arial" w:cs="Arial"/>
        </w:rPr>
        <w:t>Mental health conditions are the most common health problems in the UK, affecting people of all ages and backgrounds</w:t>
      </w:r>
      <w:r w:rsidRPr="001C3C46">
        <w:rPr>
          <w:rFonts w:ascii="MS Gothic" w:eastAsia="MS Gothic" w:hAnsi="MS Gothic" w:cs="MS Gothic" w:hint="eastAsia"/>
        </w:rPr>
        <w:t>․</w:t>
      </w:r>
      <w:r w:rsidRPr="001C3C46">
        <w:rPr>
          <w:rFonts w:ascii="Arial" w:hAnsi="Arial" w:cs="Arial"/>
        </w:rPr>
        <w:t xml:space="preserve"> Mental health problems include depression, anxiety disorders and severe mental illnesses</w:t>
      </w:r>
      <w:r w:rsidRPr="001C3C46">
        <w:rPr>
          <w:rFonts w:ascii="MS Gothic" w:eastAsia="MS Gothic" w:hAnsi="MS Gothic" w:cs="MS Gothic" w:hint="eastAsia"/>
        </w:rPr>
        <w:t>․</w:t>
      </w:r>
      <w:r w:rsidRPr="001C3C46">
        <w:rPr>
          <w:rFonts w:ascii="Arial" w:hAnsi="Arial" w:cs="Arial"/>
        </w:rPr>
        <w:t xml:space="preserve"> These conditions can have an important negative impact on quality of life and social functioning (Mental Health Foundation, 2022; World Health </w:t>
      </w:r>
      <w:r w:rsidR="00DB01F7">
        <w:rPr>
          <w:rFonts w:ascii="Arial" w:hAnsi="Arial" w:cs="Arial"/>
        </w:rPr>
        <w:t>Organisation</w:t>
      </w:r>
      <w:r w:rsidRPr="001C3C46">
        <w:rPr>
          <w:rFonts w:ascii="Arial" w:hAnsi="Arial" w:cs="Arial"/>
        </w:rPr>
        <w:t>, 2023). Accessible and appropriate mental health services are vital in ‌ensuring early intervention in, recovery from and prevention of mental health crisis</w:t>
      </w:r>
      <w:r w:rsidRPr="001C3C46">
        <w:rPr>
          <w:rFonts w:ascii="MS Gothic" w:eastAsia="MS Gothic" w:hAnsi="MS Gothic" w:cs="MS Gothic" w:hint="eastAsia"/>
        </w:rPr>
        <w:t>․</w:t>
      </w:r>
      <w:r w:rsidRPr="001C3C46">
        <w:rPr>
          <w:rFonts w:ascii="Arial" w:hAnsi="Arial" w:cs="Arial"/>
        </w:rPr>
        <w:t xml:space="preserve"> Despite national policy to improve mental health service provision, many people do not access the mental health services appropriate to their needs (Care Quality Commission, 2020; NHS England, 2022).</w:t>
      </w:r>
    </w:p>
    <w:p w14:paraId="19D9F6F7" w14:textId="61545665" w:rsidR="006218A1" w:rsidRPr="001C3C46" w:rsidRDefault="006218A1" w:rsidP="001C3C46">
      <w:pPr>
        <w:spacing w:line="360" w:lineRule="auto"/>
        <w:jc w:val="both"/>
        <w:rPr>
          <w:rFonts w:ascii="Arial" w:hAnsi="Arial" w:cs="Arial"/>
        </w:rPr>
      </w:pPr>
      <w:r w:rsidRPr="001C3C46">
        <w:rPr>
          <w:rFonts w:ascii="Arial" w:hAnsi="Arial" w:cs="Arial"/>
        </w:rPr>
        <w:t>Access to mental healthcare is the ability of people to obtain interventions and/or treatments in a timely manner</w:t>
      </w:r>
      <w:r w:rsidRPr="001C3C46">
        <w:rPr>
          <w:rFonts w:ascii="MS Gothic" w:eastAsia="MS Gothic" w:hAnsi="MS Gothic" w:cs="MS Gothic" w:hint="eastAsia"/>
        </w:rPr>
        <w:t>․</w:t>
      </w:r>
      <w:r w:rsidRPr="001C3C46">
        <w:rPr>
          <w:rFonts w:ascii="Arial" w:hAnsi="Arial" w:cs="Arial"/>
        </w:rPr>
        <w:t xml:space="preserve"> It is often defined not only in relation to availability but also affordability, acceptability and ease of referral (Gulliver, Griffiths and Christensen, 2010; Woodhead et al</w:t>
      </w:r>
      <w:r w:rsidRPr="001C3C46">
        <w:rPr>
          <w:rFonts w:ascii="MS Gothic" w:eastAsia="MS Gothic" w:hAnsi="MS Gothic" w:cs="MS Gothic" w:hint="eastAsia"/>
        </w:rPr>
        <w:t>․</w:t>
      </w:r>
      <w:r w:rsidRPr="001C3C46">
        <w:rPr>
          <w:rFonts w:ascii="Arial" w:hAnsi="Arial" w:cs="Arial"/>
        </w:rPr>
        <w:t>, 2023). Access barriers may be structural, social and/or organisational, with long waiting times, limited availability, and complex referral pathways identified as the main barriers to accessing care (Care Quality ‌Commission, 2020; Siebert et al</w:t>
      </w:r>
      <w:r w:rsidRPr="001C3C46">
        <w:rPr>
          <w:rFonts w:ascii="MS Gothic" w:eastAsia="MS Gothic" w:hAnsi="MS Gothic" w:cs="MS Gothic" w:hint="eastAsia"/>
        </w:rPr>
        <w:t>․</w:t>
      </w:r>
      <w:r w:rsidRPr="001C3C46">
        <w:rPr>
          <w:rFonts w:ascii="Arial" w:hAnsi="Arial" w:cs="Arial"/>
        </w:rPr>
        <w:t>, 2023). Such barriers lead to delayed treatment and worsening of mental health conditions</w:t>
      </w:r>
      <w:r w:rsidRPr="001C3C46">
        <w:rPr>
          <w:rFonts w:ascii="MS Gothic" w:eastAsia="MS Gothic" w:hAnsi="MS Gothic" w:cs="MS Gothic" w:hint="eastAsia"/>
        </w:rPr>
        <w:t>․</w:t>
      </w:r>
    </w:p>
    <w:p w14:paraId="1E450179" w14:textId="1651AA0E" w:rsidR="006218A1" w:rsidRPr="001C3C46" w:rsidRDefault="006218A1" w:rsidP="001C3C46">
      <w:pPr>
        <w:spacing w:line="360" w:lineRule="auto"/>
        <w:jc w:val="both"/>
        <w:rPr>
          <w:rFonts w:ascii="Arial" w:hAnsi="Arial" w:cs="Arial"/>
        </w:rPr>
      </w:pPr>
      <w:r w:rsidRPr="001C3C46">
        <w:rPr>
          <w:rFonts w:ascii="Arial" w:hAnsi="Arial" w:cs="Arial"/>
        </w:rPr>
        <w:t>Social and cultural factors also determine access to mental health services</w:t>
      </w:r>
      <w:r w:rsidRPr="001C3C46">
        <w:rPr>
          <w:rFonts w:ascii="MS Gothic" w:eastAsia="MS Gothic" w:hAnsi="MS Gothic" w:cs="MS Gothic" w:hint="eastAsia"/>
        </w:rPr>
        <w:t>․</w:t>
      </w:r>
      <w:r w:rsidRPr="001C3C46">
        <w:rPr>
          <w:rFonts w:ascii="Arial" w:hAnsi="Arial" w:cs="Arial"/>
        </w:rPr>
        <w:t xml:space="preserve"> Stigma of mental illness is one of the biggest barriers to accessing mental health services (Gulliver, Griffiths and Christensen, 2010; Wang et al</w:t>
      </w:r>
      <w:r w:rsidRPr="001C3C46">
        <w:rPr>
          <w:rFonts w:ascii="MS Gothic" w:eastAsia="MS Gothic" w:hAnsi="MS Gothic" w:cs="MS Gothic" w:hint="eastAsia"/>
        </w:rPr>
        <w:t>․</w:t>
      </w:r>
      <w:r w:rsidRPr="001C3C46">
        <w:rPr>
          <w:rFonts w:ascii="Arial" w:hAnsi="Arial" w:cs="Arial"/>
        </w:rPr>
        <w:t>, 2024). Other factors may inhibit people from seeking help</w:t>
      </w:r>
      <w:r w:rsidR="00E05241">
        <w:rPr>
          <w:rFonts w:ascii="Arial" w:hAnsi="Arial" w:cs="Arial"/>
        </w:rPr>
        <w:t>,</w:t>
      </w:r>
      <w:r w:rsidRPr="001C3C46">
        <w:rPr>
          <w:rFonts w:ascii="Arial" w:hAnsi="Arial" w:cs="Arial"/>
        </w:rPr>
        <w:t xml:space="preserve"> such as fear of being discriminated against or being labelled as ‌mentally ill</w:t>
      </w:r>
      <w:r w:rsidRPr="001C3C46">
        <w:rPr>
          <w:rFonts w:ascii="MS Gothic" w:eastAsia="MS Gothic" w:hAnsi="MS Gothic" w:cs="MS Gothic" w:hint="eastAsia"/>
        </w:rPr>
        <w:t>․</w:t>
      </w:r>
      <w:r w:rsidRPr="001C3C46">
        <w:rPr>
          <w:rFonts w:ascii="Arial" w:hAnsi="Arial" w:cs="Arial"/>
        </w:rPr>
        <w:t xml:space="preserve"> Disparities in access to mental health services still exist based on ethnicity, socioeconomic status and geographical location (Kapadia et al</w:t>
      </w:r>
      <w:r w:rsidRPr="001C3C46">
        <w:rPr>
          <w:rFonts w:ascii="MS Gothic" w:eastAsia="MS Gothic" w:hAnsi="MS Gothic" w:cs="MS Gothic" w:hint="eastAsia"/>
        </w:rPr>
        <w:t>․</w:t>
      </w:r>
      <w:r w:rsidRPr="001C3C46">
        <w:rPr>
          <w:rFonts w:ascii="Arial" w:hAnsi="Arial" w:cs="Arial"/>
        </w:rPr>
        <w:t>, 2022; Woodhead et al</w:t>
      </w:r>
      <w:r w:rsidRPr="001C3C46">
        <w:rPr>
          <w:rFonts w:ascii="MS Gothic" w:eastAsia="MS Gothic" w:hAnsi="MS Gothic" w:cs="MS Gothic" w:hint="eastAsia"/>
        </w:rPr>
        <w:t>․</w:t>
      </w:r>
      <w:r w:rsidRPr="001C3C46">
        <w:rPr>
          <w:rFonts w:ascii="Arial" w:hAnsi="Arial" w:cs="Arial"/>
        </w:rPr>
        <w:t>, 2023).</w:t>
      </w:r>
      <w:r w:rsidR="001C3C46">
        <w:rPr>
          <w:rFonts w:ascii="Arial" w:hAnsi="Arial" w:cs="Arial"/>
        </w:rPr>
        <w:t xml:space="preserve"> </w:t>
      </w:r>
      <w:r w:rsidRPr="001C3C46">
        <w:rPr>
          <w:rFonts w:ascii="Arial" w:hAnsi="Arial" w:cs="Arial"/>
        </w:rPr>
        <w:t>A scoping review is, ‌therefore, an appropriate methodology to map the literature and identify relevant themes from existing studies (Arksey and O'Malley, 2005).</w:t>
      </w:r>
    </w:p>
    <w:p w14:paraId="58563069" w14:textId="77777777" w:rsidR="006218A1" w:rsidRPr="001C3C46" w:rsidRDefault="006218A1" w:rsidP="001C3C46">
      <w:pPr>
        <w:spacing w:line="360" w:lineRule="auto"/>
        <w:jc w:val="both"/>
        <w:rPr>
          <w:rFonts w:ascii="Arial" w:hAnsi="Arial" w:cs="Arial"/>
        </w:rPr>
      </w:pPr>
      <w:r w:rsidRPr="001C3C46">
        <w:rPr>
          <w:rFonts w:ascii="Arial" w:hAnsi="Arial" w:cs="Arial"/>
        </w:rPr>
        <w:t>The review question guiding this study was:</w:t>
      </w:r>
    </w:p>
    <w:p w14:paraId="7D8C017C" w14:textId="77777777" w:rsidR="006218A1" w:rsidRPr="001C3C46" w:rsidRDefault="006218A1" w:rsidP="001C3C46">
      <w:pPr>
        <w:spacing w:line="360" w:lineRule="auto"/>
        <w:jc w:val="both"/>
        <w:rPr>
          <w:rFonts w:ascii="Arial" w:hAnsi="Arial" w:cs="Arial"/>
        </w:rPr>
      </w:pPr>
      <w:r w:rsidRPr="001C3C46">
        <w:rPr>
          <w:rFonts w:ascii="Arial" w:hAnsi="Arial" w:cs="Arial"/>
        </w:rPr>
        <w:t>In the UK, peer-reviewed literature has identified barriers to accessing mental health services</w:t>
      </w:r>
      <w:r w:rsidRPr="001C3C46">
        <w:rPr>
          <w:rFonts w:ascii="MS Gothic" w:eastAsia="MS Gothic" w:hAnsi="MS Gothic" w:cs="MS Gothic" w:hint="eastAsia"/>
        </w:rPr>
        <w:t>․</w:t>
      </w:r>
    </w:p>
    <w:p w14:paraId="7F21EDFA" w14:textId="77777777" w:rsidR="006218A1" w:rsidRPr="001C3C46" w:rsidRDefault="006218A1" w:rsidP="001C3C46">
      <w:pPr>
        <w:spacing w:line="360" w:lineRule="auto"/>
        <w:jc w:val="both"/>
        <w:rPr>
          <w:rFonts w:ascii="Arial" w:hAnsi="Arial" w:cs="Arial"/>
        </w:rPr>
      </w:pPr>
      <w:r w:rsidRPr="001C3C46">
        <w:rPr>
          <w:rFonts w:ascii="Arial" w:hAnsi="Arial" w:cs="Arial"/>
        </w:rPr>
        <w:lastRenderedPageBreak/>
        <w:t>The aims of this review are:</w:t>
      </w:r>
    </w:p>
    <w:p w14:paraId="53B37A71" w14:textId="5BA4B303" w:rsidR="006218A1" w:rsidRPr="001C3C46" w:rsidRDefault="00E05241" w:rsidP="001C3C46">
      <w:pPr>
        <w:pStyle w:val="ListParagraph"/>
        <w:numPr>
          <w:ilvl w:val="0"/>
          <w:numId w:val="17"/>
        </w:numPr>
        <w:spacing w:line="360" w:lineRule="auto"/>
        <w:jc w:val="both"/>
        <w:rPr>
          <w:rFonts w:ascii="Arial" w:hAnsi="Arial" w:cs="Arial"/>
        </w:rPr>
      </w:pPr>
      <w:r>
        <w:rPr>
          <w:rFonts w:ascii="Arial" w:hAnsi="Arial" w:cs="Arial"/>
        </w:rPr>
        <w:t>To</w:t>
      </w:r>
      <w:r w:rsidR="006218A1" w:rsidRPr="001C3C46">
        <w:rPr>
          <w:rFonts w:ascii="Arial" w:hAnsi="Arial" w:cs="Arial"/>
        </w:rPr>
        <w:t xml:space="preserve"> identify key barriers to accessing services</w:t>
      </w:r>
    </w:p>
    <w:p w14:paraId="276D2D2D" w14:textId="298AEB12" w:rsidR="006218A1" w:rsidRPr="001C3C46" w:rsidRDefault="006218A1" w:rsidP="001C3C46">
      <w:pPr>
        <w:pStyle w:val="ListParagraph"/>
        <w:numPr>
          <w:ilvl w:val="0"/>
          <w:numId w:val="17"/>
        </w:numPr>
        <w:spacing w:line="360" w:lineRule="auto"/>
        <w:jc w:val="both"/>
        <w:rPr>
          <w:rFonts w:ascii="Arial" w:hAnsi="Arial" w:cs="Arial"/>
        </w:rPr>
      </w:pPr>
      <w:r w:rsidRPr="001C3C46">
        <w:rPr>
          <w:rFonts w:ascii="Arial" w:hAnsi="Arial" w:cs="Arial"/>
        </w:rPr>
        <w:t>To consider how these barriers affect people seeking support</w:t>
      </w:r>
    </w:p>
    <w:p w14:paraId="226ACEF2" w14:textId="5168D353" w:rsidR="006218A1" w:rsidRPr="001C3C46" w:rsidRDefault="006218A1" w:rsidP="001C3C46">
      <w:pPr>
        <w:pStyle w:val="ListParagraph"/>
        <w:numPr>
          <w:ilvl w:val="0"/>
          <w:numId w:val="17"/>
        </w:numPr>
        <w:spacing w:line="360" w:lineRule="auto"/>
        <w:jc w:val="both"/>
        <w:rPr>
          <w:rFonts w:ascii="Arial" w:hAnsi="Arial" w:cs="Arial"/>
        </w:rPr>
      </w:pPr>
      <w:r w:rsidRPr="001C3C46">
        <w:rPr>
          <w:rFonts w:ascii="Arial" w:hAnsi="Arial" w:cs="Arial"/>
        </w:rPr>
        <w:t>To identify gaps in the literature to inform future research and practice</w:t>
      </w:r>
    </w:p>
    <w:p w14:paraId="7691EB35" w14:textId="77777777" w:rsidR="006218A1" w:rsidRPr="001C3C46" w:rsidRDefault="006218A1" w:rsidP="001C3C46">
      <w:pPr>
        <w:spacing w:line="360" w:lineRule="auto"/>
        <w:jc w:val="both"/>
        <w:rPr>
          <w:rFonts w:ascii="Arial" w:hAnsi="Arial" w:cs="Arial"/>
        </w:rPr>
      </w:pPr>
    </w:p>
    <w:p w14:paraId="56F95387" w14:textId="19B0F8BE" w:rsidR="006218A1" w:rsidRPr="001C3C46" w:rsidRDefault="006218A1" w:rsidP="001C3C46">
      <w:pPr>
        <w:pStyle w:val="Heading1"/>
      </w:pPr>
      <w:r w:rsidRPr="001C3C46">
        <w:t>Background</w:t>
      </w:r>
    </w:p>
    <w:p w14:paraId="360644E0" w14:textId="5FF1794E" w:rsidR="006218A1" w:rsidRPr="001C3C46" w:rsidRDefault="006218A1" w:rsidP="001C3C46">
      <w:pPr>
        <w:pStyle w:val="Heading2"/>
      </w:pPr>
      <w:r w:rsidRPr="001C3C46">
        <w:t>Provision of mental health services in the UK</w:t>
      </w:r>
    </w:p>
    <w:p w14:paraId="298D0F42" w14:textId="6B7403F4" w:rsidR="006218A1" w:rsidRPr="001C3C46" w:rsidRDefault="006218A1" w:rsidP="001C3C46">
      <w:pPr>
        <w:spacing w:line="360" w:lineRule="auto"/>
        <w:jc w:val="both"/>
        <w:rPr>
          <w:rFonts w:ascii="Arial" w:hAnsi="Arial" w:cs="Arial"/>
        </w:rPr>
      </w:pPr>
      <w:r w:rsidRPr="001C3C46">
        <w:rPr>
          <w:rFonts w:ascii="Arial" w:hAnsi="Arial" w:cs="Arial"/>
        </w:rPr>
        <w:t xml:space="preserve">The principal provider of mental health services in the UK is the National Health Service (NHS), which provides primary care provision, psychological therapies and specialist mental health services (NHS England, 2022). General practitioners (GPs) are often the first point of medical contact for people with mental health problems, </w:t>
      </w:r>
      <w:r w:rsidR="00E05241">
        <w:rPr>
          <w:rFonts w:ascii="Arial" w:hAnsi="Arial" w:cs="Arial"/>
        </w:rPr>
        <w:t>who</w:t>
      </w:r>
      <w:r w:rsidRPr="001C3C46">
        <w:rPr>
          <w:rFonts w:ascii="Arial" w:hAnsi="Arial" w:cs="Arial"/>
        </w:rPr>
        <w:t xml:space="preserve"> may </w:t>
      </w:r>
      <w:r w:rsidR="00E05241">
        <w:rPr>
          <w:rFonts w:ascii="Arial" w:hAnsi="Arial" w:cs="Arial"/>
        </w:rPr>
        <w:t>be referred</w:t>
      </w:r>
      <w:r w:rsidRPr="001C3C46">
        <w:rPr>
          <w:rFonts w:ascii="Arial" w:hAnsi="Arial" w:cs="Arial"/>
        </w:rPr>
        <w:t xml:space="preserve"> for treatments that can be administered in specialist mental health services (Bebbington et al</w:t>
      </w:r>
      <w:r w:rsidRPr="001C3C46">
        <w:rPr>
          <w:rFonts w:ascii="MS Gothic" w:eastAsia="MS Gothic" w:hAnsi="MS Gothic" w:cs="MS Gothic" w:hint="eastAsia"/>
        </w:rPr>
        <w:t>․</w:t>
      </w:r>
      <w:r w:rsidRPr="001C3C46">
        <w:rPr>
          <w:rFonts w:ascii="Arial" w:hAnsi="Arial" w:cs="Arial"/>
        </w:rPr>
        <w:t>, 2016).</w:t>
      </w:r>
    </w:p>
    <w:p w14:paraId="238F0E33" w14:textId="7554D4F4" w:rsidR="006218A1" w:rsidRPr="001C3C46" w:rsidRDefault="006218A1" w:rsidP="001C3C46">
      <w:pPr>
        <w:spacing w:line="360" w:lineRule="auto"/>
        <w:jc w:val="both"/>
        <w:rPr>
          <w:rFonts w:ascii="Arial" w:hAnsi="Arial" w:cs="Arial"/>
        </w:rPr>
      </w:pPr>
      <w:r w:rsidRPr="001C3C46">
        <w:rPr>
          <w:rFonts w:ascii="Arial" w:hAnsi="Arial" w:cs="Arial"/>
        </w:rPr>
        <w:t>Despite these policies to improve service provision, demand has outstripped capacity</w:t>
      </w:r>
      <w:r w:rsidR="001C3C46">
        <w:rPr>
          <w:rFonts w:ascii="MS Gothic" w:eastAsia="MS Gothic" w:hAnsi="MS Gothic" w:cs="MS Gothic"/>
        </w:rPr>
        <w:t xml:space="preserve">. </w:t>
      </w:r>
      <w:r w:rsidRPr="001C3C46">
        <w:rPr>
          <w:rFonts w:ascii="Arial" w:hAnsi="Arial" w:cs="Arial"/>
        </w:rPr>
        <w:t>The Care Quality Commission (2020) reports that mental health services are under pressure, with waiting lists and availability of services meaning far fewer are receiving the care they need</w:t>
      </w:r>
      <w:r w:rsidRPr="001C3C46">
        <w:rPr>
          <w:rFonts w:ascii="MS Gothic" w:eastAsia="MS Gothic" w:hAnsi="MS Gothic" w:cs="MS Gothic" w:hint="eastAsia"/>
        </w:rPr>
        <w:t>․</w:t>
      </w:r>
      <w:r w:rsidRPr="001C3C46">
        <w:rPr>
          <w:rFonts w:ascii="Arial" w:hAnsi="Arial" w:cs="Arial"/>
        </w:rPr>
        <w:t xml:space="preserve"> Likewise, the Mental Health Foundation (2022) reports that a large number of individuals with mental health needs remain unsupported</w:t>
      </w:r>
      <w:r w:rsidRPr="001C3C46">
        <w:rPr>
          <w:rFonts w:ascii="MS Gothic" w:eastAsia="MS Gothic" w:hAnsi="MS Gothic" w:cs="MS Gothic" w:hint="eastAsia"/>
        </w:rPr>
        <w:t>․</w:t>
      </w:r>
    </w:p>
    <w:p w14:paraId="42208F59" w14:textId="7212A48C" w:rsidR="006218A1" w:rsidRPr="001C3C46" w:rsidRDefault="006218A1" w:rsidP="001C3C46">
      <w:pPr>
        <w:spacing w:line="360" w:lineRule="auto"/>
        <w:jc w:val="both"/>
        <w:rPr>
          <w:rFonts w:ascii="Arial" w:hAnsi="Arial" w:cs="Arial"/>
        </w:rPr>
      </w:pPr>
      <w:r w:rsidRPr="001C3C46">
        <w:rPr>
          <w:rFonts w:ascii="Arial" w:hAnsi="Arial" w:cs="Arial"/>
        </w:rPr>
        <w:t>However, there is evidence that a delay in accessing services can lead to more severe symptoms of mental illness and a higher use of emergency services by people who need to access mental health services (Woodhead et al</w:t>
      </w:r>
      <w:r w:rsidRPr="001C3C46">
        <w:rPr>
          <w:rFonts w:ascii="MS Gothic" w:eastAsia="MS Gothic" w:hAnsi="MS Gothic" w:cs="MS Gothic" w:hint="eastAsia"/>
        </w:rPr>
        <w:t>․</w:t>
      </w:r>
      <w:r w:rsidRPr="001C3C46">
        <w:rPr>
          <w:rFonts w:ascii="Arial" w:hAnsi="Arial" w:cs="Arial"/>
        </w:rPr>
        <w:t>, 2023). Early intervention is considered to be an important mechanism for improving mental health outcomes, so access is important (NHS England, 2022).</w:t>
      </w:r>
    </w:p>
    <w:p w14:paraId="7628147B" w14:textId="77777777" w:rsidR="006218A1" w:rsidRPr="001C3C46" w:rsidRDefault="006218A1" w:rsidP="001C3C46">
      <w:pPr>
        <w:spacing w:line="360" w:lineRule="auto"/>
        <w:jc w:val="both"/>
        <w:rPr>
          <w:rFonts w:ascii="Arial" w:hAnsi="Arial" w:cs="Arial"/>
        </w:rPr>
      </w:pPr>
      <w:r w:rsidRPr="001C3C46">
        <w:rPr>
          <w:rFonts w:ascii="Arial" w:hAnsi="Arial" w:cs="Arial"/>
        </w:rPr>
        <w:t>However, other studies suggest that the aims of policies to improve access to mental health care have not been fully met</w:t>
      </w:r>
      <w:r w:rsidRPr="001C3C46">
        <w:rPr>
          <w:rFonts w:ascii="MS Gothic" w:eastAsia="MS Gothic" w:hAnsi="MS Gothic" w:cs="MS Gothic" w:hint="eastAsia"/>
        </w:rPr>
        <w:t>․</w:t>
      </w:r>
      <w:r w:rsidRPr="001C3C46">
        <w:rPr>
          <w:rFonts w:ascii="Arial" w:hAnsi="Arial" w:cs="Arial"/>
        </w:rPr>
        <w:t xml:space="preserve"> For example, a study by Kapadia et al</w:t>
      </w:r>
      <w:r w:rsidRPr="001C3C46">
        <w:rPr>
          <w:rFonts w:ascii="MS Gothic" w:eastAsia="MS Gothic" w:hAnsi="MS Gothic" w:cs="MS Gothic" w:hint="eastAsia"/>
        </w:rPr>
        <w:t>․</w:t>
      </w:r>
      <w:r w:rsidRPr="001C3C46">
        <w:rPr>
          <w:rFonts w:ascii="Arial" w:hAnsi="Arial" w:cs="Arial"/>
        </w:rPr>
        <w:t xml:space="preserve"> (2022) found that ethnic minorities are less likely to be accessing appropriate mental health services</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also identified inequalities between population groups in terms of access</w:t>
      </w:r>
      <w:r w:rsidRPr="001C3C46">
        <w:rPr>
          <w:rFonts w:ascii="MS Gothic" w:eastAsia="MS Gothic" w:hAnsi="MS Gothic" w:cs="MS Gothic" w:hint="eastAsia"/>
        </w:rPr>
        <w:t>․</w:t>
      </w:r>
    </w:p>
    <w:p w14:paraId="693A9400" w14:textId="77777777" w:rsidR="006218A1" w:rsidRPr="001C3C46" w:rsidRDefault="006218A1" w:rsidP="001C3C46">
      <w:pPr>
        <w:spacing w:line="360" w:lineRule="auto"/>
        <w:jc w:val="both"/>
        <w:rPr>
          <w:rFonts w:ascii="Arial" w:hAnsi="Arial" w:cs="Arial"/>
        </w:rPr>
      </w:pPr>
    </w:p>
    <w:p w14:paraId="074CA38A" w14:textId="5206F97A" w:rsidR="006218A1" w:rsidRPr="001C3C46" w:rsidRDefault="006218A1" w:rsidP="001C3C46">
      <w:pPr>
        <w:pStyle w:val="Heading2"/>
      </w:pPr>
      <w:r w:rsidRPr="001C3C46">
        <w:lastRenderedPageBreak/>
        <w:t>Structural Barriers to Accessing Mental Health Services</w:t>
      </w:r>
    </w:p>
    <w:p w14:paraId="222A88F3" w14:textId="302118D7" w:rsidR="006218A1" w:rsidRPr="001C3C46" w:rsidRDefault="006218A1" w:rsidP="001C3C46">
      <w:pPr>
        <w:spacing w:line="360" w:lineRule="auto"/>
        <w:jc w:val="both"/>
        <w:rPr>
          <w:rFonts w:ascii="Arial" w:hAnsi="Arial" w:cs="Arial"/>
        </w:rPr>
      </w:pPr>
      <w:r w:rsidRPr="001C3C46">
        <w:rPr>
          <w:rFonts w:ascii="Arial" w:hAnsi="Arial" w:cs="Arial"/>
        </w:rPr>
        <w:t>Structural barriers commonly cited as barriers to access to mental health services in the UK may include long waiting times, scarcity of services, and a lack of the mental health workforce</w:t>
      </w:r>
      <w:r w:rsidRPr="001C3C46">
        <w:rPr>
          <w:rFonts w:ascii="MS Gothic" w:eastAsia="MS Gothic" w:hAnsi="MS Gothic" w:cs="MS Gothic" w:hint="eastAsia"/>
        </w:rPr>
        <w:t>․</w:t>
      </w:r>
      <w:r w:rsidRPr="001C3C46">
        <w:rPr>
          <w:rFonts w:ascii="Arial" w:hAnsi="Arial" w:cs="Arial"/>
        </w:rPr>
        <w:t xml:space="preserve"> Evidence is very strong that demand for mental health services outstrips their availability, with consequent delays to care, and unmet need (Care Quality Commission, 2020; NHS England, 2022; Woodhead et al</w:t>
      </w:r>
      <w:r w:rsidRPr="001C3C46">
        <w:rPr>
          <w:rFonts w:ascii="MS Gothic" w:eastAsia="MS Gothic" w:hAnsi="MS Gothic" w:cs="MS Gothic" w:hint="eastAsia"/>
        </w:rPr>
        <w:t>․</w:t>
      </w:r>
      <w:r w:rsidRPr="001C3C46">
        <w:rPr>
          <w:rFonts w:ascii="Arial" w:hAnsi="Arial" w:cs="Arial"/>
        </w:rPr>
        <w:t>, 2023).</w:t>
      </w:r>
    </w:p>
    <w:p w14:paraId="54D4A55F" w14:textId="77777777" w:rsidR="006218A1" w:rsidRPr="001C3C46" w:rsidRDefault="006218A1" w:rsidP="001C3C46">
      <w:pPr>
        <w:spacing w:line="360" w:lineRule="auto"/>
        <w:jc w:val="both"/>
        <w:rPr>
          <w:rFonts w:ascii="Arial" w:hAnsi="Arial" w:cs="Arial"/>
        </w:rPr>
      </w:pPr>
      <w:r w:rsidRPr="001C3C46">
        <w:rPr>
          <w:rFonts w:ascii="Arial" w:hAnsi="Arial" w:cs="Arial"/>
        </w:rPr>
        <w:t>One of the most important structural barriers is long waiting times</w:t>
      </w:r>
      <w:r w:rsidRPr="001C3C46">
        <w:rPr>
          <w:rFonts w:ascii="MS Gothic" w:eastAsia="MS Gothic" w:hAnsi="MS Gothic" w:cs="MS Gothic" w:hint="eastAsia"/>
        </w:rPr>
        <w:t>․</w:t>
      </w:r>
      <w:r w:rsidRPr="001C3C46">
        <w:rPr>
          <w:rFonts w:ascii="Arial" w:hAnsi="Arial" w:cs="Arial"/>
        </w:rPr>
        <w:t xml:space="preserve"> Siebert et al</w:t>
      </w:r>
      <w:r w:rsidRPr="001C3C46">
        <w:rPr>
          <w:rFonts w:ascii="MS Gothic" w:eastAsia="MS Gothic" w:hAnsi="MS Gothic" w:cs="MS Gothic" w:hint="eastAsia"/>
        </w:rPr>
        <w:t>․</w:t>
      </w:r>
      <w:r w:rsidRPr="001C3C46">
        <w:rPr>
          <w:rFonts w:ascii="Arial" w:hAnsi="Arial" w:cs="Arial"/>
        </w:rPr>
        <w:t xml:space="preserve"> (2023) found that many service users experienced long waits before being able to access psychological therapies, especially when referred from primary care</w:t>
      </w:r>
      <w:r w:rsidRPr="001C3C46">
        <w:rPr>
          <w:rFonts w:ascii="MS Gothic" w:eastAsia="MS Gothic" w:hAnsi="MS Gothic" w:cs="MS Gothic" w:hint="eastAsia"/>
        </w:rPr>
        <w:t>․</w:t>
      </w:r>
      <w:r w:rsidRPr="001C3C46">
        <w:rPr>
          <w:rFonts w:ascii="Arial" w:hAnsi="Arial" w:cs="Arial"/>
        </w:rPr>
        <w:t xml:space="preserve"> Delays were associated with a worsening of mental health symptoms or lack of engagement with services</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identified waiting times as a key barrier across population groups</w:t>
      </w:r>
      <w:r w:rsidRPr="001C3C46">
        <w:rPr>
          <w:rFonts w:ascii="MS Gothic" w:eastAsia="MS Gothic" w:hAnsi="MS Gothic" w:cs="MS Gothic" w:hint="eastAsia"/>
        </w:rPr>
        <w:t>․</w:t>
      </w:r>
    </w:p>
    <w:p w14:paraId="7CD91835" w14:textId="77777777" w:rsidR="006218A1" w:rsidRPr="001C3C46" w:rsidRDefault="006218A1" w:rsidP="001C3C46">
      <w:pPr>
        <w:spacing w:line="360" w:lineRule="auto"/>
        <w:jc w:val="both"/>
        <w:rPr>
          <w:rFonts w:ascii="Arial" w:hAnsi="Arial" w:cs="Arial"/>
        </w:rPr>
      </w:pPr>
      <w:r w:rsidRPr="001C3C46">
        <w:rPr>
          <w:rFonts w:ascii="Arial" w:hAnsi="Arial" w:cs="Arial"/>
        </w:rPr>
        <w:t>Others have questioned waiting times for access as an explanation</w:t>
      </w:r>
      <w:r w:rsidRPr="001C3C46">
        <w:rPr>
          <w:rFonts w:ascii="MS Gothic" w:eastAsia="MS Gothic" w:hAnsi="MS Gothic" w:cs="MS Gothic" w:hint="eastAsia"/>
        </w:rPr>
        <w:t>․</w:t>
      </w:r>
      <w:r w:rsidRPr="001C3C46">
        <w:rPr>
          <w:rFonts w:ascii="Arial" w:hAnsi="Arial" w:cs="Arial"/>
        </w:rPr>
        <w:t xml:space="preserve"> For example, Bebbington et al</w:t>
      </w:r>
      <w:r w:rsidRPr="001C3C46">
        <w:rPr>
          <w:rFonts w:ascii="MS Gothic" w:eastAsia="MS Gothic" w:hAnsi="MS Gothic" w:cs="MS Gothic" w:hint="eastAsia"/>
        </w:rPr>
        <w:t>․</w:t>
      </w:r>
      <w:r w:rsidRPr="001C3C46">
        <w:rPr>
          <w:rFonts w:ascii="Arial" w:hAnsi="Arial" w:cs="Arial"/>
        </w:rPr>
        <w:t xml:space="preserve"> (2016) argue that different patterns of service use may reflect differences in help-seeking behaviour rather than differences in service availability</w:t>
      </w:r>
      <w:r w:rsidRPr="001C3C46">
        <w:rPr>
          <w:rFonts w:ascii="MS Gothic" w:eastAsia="MS Gothic" w:hAnsi="MS Gothic" w:cs="MS Gothic" w:hint="eastAsia"/>
        </w:rPr>
        <w:t>․</w:t>
      </w:r>
      <w:r w:rsidRPr="001C3C46">
        <w:rPr>
          <w:rFonts w:ascii="Arial" w:hAnsi="Arial" w:cs="Arial"/>
        </w:rPr>
        <w:t xml:space="preserve"> This view highlights the complex nature of access to mental health services and the interplay between structural, social, and psychological barriers</w:t>
      </w:r>
      <w:r w:rsidRPr="001C3C46">
        <w:rPr>
          <w:rFonts w:ascii="MS Gothic" w:eastAsia="MS Gothic" w:hAnsi="MS Gothic" w:cs="MS Gothic" w:hint="eastAsia"/>
        </w:rPr>
        <w:t>․</w:t>
      </w:r>
    </w:p>
    <w:p w14:paraId="2F829C45" w14:textId="77777777" w:rsidR="006218A1" w:rsidRPr="001C3C46" w:rsidRDefault="006218A1" w:rsidP="001C3C46">
      <w:pPr>
        <w:spacing w:line="360" w:lineRule="auto"/>
        <w:jc w:val="both"/>
        <w:rPr>
          <w:rFonts w:ascii="Arial" w:hAnsi="Arial" w:cs="Arial"/>
        </w:rPr>
      </w:pPr>
      <w:r w:rsidRPr="001C3C46">
        <w:rPr>
          <w:rFonts w:ascii="Arial" w:hAnsi="Arial" w:cs="Arial"/>
        </w:rPr>
        <w:t>Service availability is a further structural barrier, as noted in research by the Care Quality Commission (2020) which found disparities in the availability of mental health services across the United Kingdom</w:t>
      </w:r>
      <w:r w:rsidRPr="001C3C46">
        <w:rPr>
          <w:rFonts w:ascii="MS Gothic" w:eastAsia="MS Gothic" w:hAnsi="MS Gothic" w:cs="MS Gothic" w:hint="eastAsia"/>
        </w:rPr>
        <w:t>․</w:t>
      </w:r>
      <w:r w:rsidRPr="001C3C46">
        <w:rPr>
          <w:rFonts w:ascii="Arial" w:hAnsi="Arial" w:cs="Arial"/>
        </w:rPr>
        <w:t xml:space="preserve"> People who live in rural and disadvantaged areas may find it especially hard to access mental health services due to a lack of local services</w:t>
      </w:r>
      <w:r w:rsidRPr="001C3C46">
        <w:rPr>
          <w:rFonts w:ascii="MS Gothic" w:eastAsia="MS Gothic" w:hAnsi="MS Gothic" w:cs="MS Gothic" w:hint="eastAsia"/>
        </w:rPr>
        <w:t>․</w:t>
      </w:r>
      <w:r w:rsidRPr="001C3C46">
        <w:rPr>
          <w:rFonts w:ascii="Arial" w:hAnsi="Arial" w:cs="Arial"/>
        </w:rPr>
        <w:t xml:space="preserve"> Kapadia et al</w:t>
      </w:r>
      <w:r w:rsidRPr="001C3C46">
        <w:rPr>
          <w:rFonts w:ascii="MS Gothic" w:eastAsia="MS Gothic" w:hAnsi="MS Gothic" w:cs="MS Gothic" w:hint="eastAsia"/>
        </w:rPr>
        <w:t>․</w:t>
      </w:r>
      <w:r w:rsidRPr="001C3C46">
        <w:rPr>
          <w:rFonts w:ascii="Arial" w:hAnsi="Arial" w:cs="Arial"/>
        </w:rPr>
        <w:t xml:space="preserve"> (2022) also describe geographical inequalities contributing to access to mental health services</w:t>
      </w:r>
      <w:r w:rsidRPr="001C3C46">
        <w:rPr>
          <w:rFonts w:ascii="MS Gothic" w:eastAsia="MS Gothic" w:hAnsi="MS Gothic" w:cs="MS Gothic" w:hint="eastAsia"/>
        </w:rPr>
        <w:t>․</w:t>
      </w:r>
    </w:p>
    <w:p w14:paraId="177F203F" w14:textId="40B1D603" w:rsidR="00BF59D9" w:rsidRPr="001C3C46" w:rsidRDefault="006218A1" w:rsidP="001C3C46">
      <w:pPr>
        <w:spacing w:line="360" w:lineRule="auto"/>
        <w:jc w:val="both"/>
        <w:rPr>
          <w:rFonts w:ascii="Arial" w:eastAsia="MS Gothic" w:hAnsi="Arial" w:cs="Arial"/>
        </w:rPr>
      </w:pPr>
      <w:r w:rsidRPr="001C3C46">
        <w:rPr>
          <w:rFonts w:ascii="Arial" w:hAnsi="Arial" w:cs="Arial"/>
        </w:rPr>
        <w:t>While there is consensus on the need to address structural barriers, there is less agreement on how to do so</w:t>
      </w:r>
      <w:r w:rsidRPr="001C3C46">
        <w:rPr>
          <w:rFonts w:ascii="MS Gothic" w:eastAsia="MS Gothic" w:hAnsi="MS Gothic" w:cs="MS Gothic" w:hint="eastAsia"/>
        </w:rPr>
        <w:t>․</w:t>
      </w:r>
      <w:r w:rsidRPr="001C3C46">
        <w:rPr>
          <w:rFonts w:ascii="Arial" w:hAnsi="Arial" w:cs="Arial"/>
        </w:rPr>
        <w:t xml:space="preserve"> NHS England (2022) lists service expansion, while Woodhead et al</w:t>
      </w:r>
      <w:r w:rsidRPr="001C3C46">
        <w:rPr>
          <w:rFonts w:ascii="MS Gothic" w:eastAsia="MS Gothic" w:hAnsi="MS Gothic" w:cs="MS Gothic" w:hint="eastAsia"/>
        </w:rPr>
        <w:t>․</w:t>
      </w:r>
      <w:r w:rsidRPr="001C3C46">
        <w:rPr>
          <w:rFonts w:ascii="Arial" w:hAnsi="Arial" w:cs="Arial"/>
        </w:rPr>
        <w:t xml:space="preserve"> (2023) argue that initiatives aimed at reducing inequalities are also needed</w:t>
      </w:r>
      <w:r w:rsidRPr="001C3C46">
        <w:rPr>
          <w:rFonts w:ascii="MS Gothic" w:eastAsia="MS Gothic" w:hAnsi="MS Gothic" w:cs="MS Gothic" w:hint="eastAsia"/>
        </w:rPr>
        <w:t>․</w:t>
      </w:r>
      <w:r w:rsidRPr="001C3C46">
        <w:rPr>
          <w:rFonts w:ascii="Arial" w:hAnsi="Arial" w:cs="Arial"/>
        </w:rPr>
        <w:t xml:space="preserve"> The lack of consensus on how to improve access underlines the difficulty of the task</w:t>
      </w:r>
      <w:r w:rsidRPr="001C3C46">
        <w:rPr>
          <w:rFonts w:ascii="MS Gothic" w:eastAsia="MS Gothic" w:hAnsi="MS Gothic" w:cs="MS Gothic" w:hint="eastAsia"/>
        </w:rPr>
        <w:t>․</w:t>
      </w:r>
    </w:p>
    <w:p w14:paraId="295C3917" w14:textId="77777777" w:rsidR="006218A1" w:rsidRPr="001C3C46" w:rsidRDefault="006218A1" w:rsidP="001C3C46">
      <w:pPr>
        <w:spacing w:line="360" w:lineRule="auto"/>
        <w:jc w:val="both"/>
        <w:rPr>
          <w:rFonts w:ascii="Arial" w:hAnsi="Arial" w:cs="Arial"/>
        </w:rPr>
      </w:pPr>
    </w:p>
    <w:p w14:paraId="58EE0DE1" w14:textId="77777777" w:rsidR="006218A1" w:rsidRPr="001C3C46" w:rsidRDefault="006218A1" w:rsidP="001C3C46">
      <w:pPr>
        <w:pStyle w:val="Heading2"/>
      </w:pPr>
      <w:r w:rsidRPr="001C3C46">
        <w:lastRenderedPageBreak/>
        <w:t>Social and Attitudinal Barriers</w:t>
      </w:r>
    </w:p>
    <w:p w14:paraId="3F9747CE" w14:textId="4B48C068" w:rsidR="006218A1" w:rsidRPr="001C3C46" w:rsidRDefault="006218A1" w:rsidP="001C3C46">
      <w:pPr>
        <w:spacing w:line="360" w:lineRule="auto"/>
        <w:jc w:val="both"/>
        <w:rPr>
          <w:rFonts w:ascii="Arial" w:hAnsi="Arial" w:cs="Arial"/>
        </w:rPr>
      </w:pPr>
      <w:r w:rsidRPr="001C3C46">
        <w:rPr>
          <w:rFonts w:ascii="Arial" w:hAnsi="Arial" w:cs="Arial"/>
        </w:rPr>
        <w:t>Finally, social and attitudinal factors play an important part in accessing mental health services</w:t>
      </w:r>
      <w:r w:rsidRPr="001C3C46">
        <w:rPr>
          <w:rFonts w:ascii="MS Gothic" w:eastAsia="MS Gothic" w:hAnsi="MS Gothic" w:cs="MS Gothic" w:hint="eastAsia"/>
        </w:rPr>
        <w:t>․</w:t>
      </w:r>
      <w:r w:rsidRPr="001C3C46">
        <w:rPr>
          <w:rFonts w:ascii="Arial" w:hAnsi="Arial" w:cs="Arial"/>
        </w:rPr>
        <w:t xml:space="preserve"> Stigma is a barrier to help-seeking for those with mental health problems (Gulliver, Griffiths and Christensen, 2010; Clement et al</w:t>
      </w:r>
      <w:r w:rsidRPr="001C3C46">
        <w:rPr>
          <w:rFonts w:ascii="MS Gothic" w:eastAsia="MS Gothic" w:hAnsi="MS Gothic" w:cs="MS Gothic" w:hint="eastAsia"/>
        </w:rPr>
        <w:t>․</w:t>
      </w:r>
      <w:r w:rsidRPr="001C3C46">
        <w:rPr>
          <w:rFonts w:ascii="Arial" w:hAnsi="Arial" w:cs="Arial"/>
        </w:rPr>
        <w:t>, 2015). Fear of discrimination, social judgment, and stigmatisation may also act as disincentives for people to seek help</w:t>
      </w:r>
      <w:r w:rsidRPr="001C3C46">
        <w:rPr>
          <w:rFonts w:ascii="MS Gothic" w:eastAsia="MS Gothic" w:hAnsi="MS Gothic" w:cs="MS Gothic" w:hint="eastAsia"/>
        </w:rPr>
        <w:t>․</w:t>
      </w:r>
    </w:p>
    <w:p w14:paraId="29AA91B0" w14:textId="4B19CA89" w:rsidR="006218A1" w:rsidRPr="001C3C46" w:rsidRDefault="006218A1" w:rsidP="001C3C46">
      <w:pPr>
        <w:spacing w:line="360" w:lineRule="auto"/>
        <w:jc w:val="both"/>
        <w:rPr>
          <w:rFonts w:ascii="Arial" w:hAnsi="Arial" w:cs="Arial"/>
        </w:rPr>
      </w:pPr>
      <w:r w:rsidRPr="001C3C46">
        <w:rPr>
          <w:rFonts w:ascii="Arial" w:hAnsi="Arial" w:cs="Arial"/>
        </w:rPr>
        <w:t>Wang et al</w:t>
      </w:r>
      <w:r w:rsidRPr="001C3C46">
        <w:rPr>
          <w:rFonts w:ascii="MS Gothic" w:eastAsia="MS Gothic" w:hAnsi="MS Gothic" w:cs="MS Gothic" w:hint="eastAsia"/>
        </w:rPr>
        <w:t>․</w:t>
      </w:r>
      <w:r w:rsidRPr="001C3C46">
        <w:rPr>
          <w:rFonts w:ascii="Arial" w:hAnsi="Arial" w:cs="Arial"/>
        </w:rPr>
        <w:t xml:space="preserve"> (2024) found that wanting to self-manage mental health problems was the most common reason for not receiving care from mental health services in their stud</w:t>
      </w:r>
      <w:r w:rsidR="001C3C46">
        <w:rPr>
          <w:rFonts w:ascii="Arial" w:hAnsi="Arial" w:cs="Arial"/>
        </w:rPr>
        <w:t xml:space="preserve">y. </w:t>
      </w:r>
      <w:r w:rsidRPr="001C3C46">
        <w:rPr>
          <w:rFonts w:ascii="Arial" w:hAnsi="Arial" w:cs="Arial"/>
        </w:rPr>
        <w:t xml:space="preserve"> Gulliver, Griffiths and Christensen (2010) also found that feeling embarrassed and afraid of being judged were common reasons to not seek treatment for a mental health problem</w:t>
      </w:r>
      <w:r w:rsidRPr="001C3C46">
        <w:rPr>
          <w:rFonts w:ascii="MS Gothic" w:eastAsia="MS Gothic" w:hAnsi="MS Gothic" w:cs="MS Gothic" w:hint="eastAsia"/>
        </w:rPr>
        <w:t>․</w:t>
      </w:r>
    </w:p>
    <w:p w14:paraId="1C6F0243" w14:textId="0D7C13C1" w:rsidR="006218A1" w:rsidRPr="001C3C46" w:rsidRDefault="006218A1" w:rsidP="001C3C46">
      <w:pPr>
        <w:spacing w:line="360" w:lineRule="auto"/>
        <w:jc w:val="both"/>
        <w:rPr>
          <w:rFonts w:ascii="Arial" w:hAnsi="Arial" w:cs="Arial"/>
        </w:rPr>
      </w:pPr>
      <w:r w:rsidRPr="001C3C46">
        <w:rPr>
          <w:rFonts w:ascii="Arial" w:hAnsi="Arial" w:cs="Arial"/>
        </w:rPr>
        <w:t xml:space="preserve">The degree to which stigma is a barrier to receiving help has been debated, with one meta-synthesis suggesting structural barriers have a greater effect on access to mental health services than </w:t>
      </w:r>
      <w:r w:rsidR="001C3C46" w:rsidRPr="001C3C46">
        <w:rPr>
          <w:rFonts w:ascii="Arial" w:hAnsi="Arial" w:cs="Arial"/>
        </w:rPr>
        <w:t>stigma and</w:t>
      </w:r>
      <w:r w:rsidRPr="001C3C46">
        <w:rPr>
          <w:rFonts w:ascii="Arial" w:hAnsi="Arial" w:cs="Arial"/>
        </w:rPr>
        <w:t xml:space="preserve"> finding that even those motivated to seek help experienced meaningful challenges in accessing services (Clement et al</w:t>
      </w:r>
      <w:r w:rsidRPr="001C3C46">
        <w:rPr>
          <w:rFonts w:ascii="MS Gothic" w:eastAsia="MS Gothic" w:hAnsi="MS Gothic" w:cs="MS Gothic" w:hint="eastAsia"/>
        </w:rPr>
        <w:t>․</w:t>
      </w:r>
      <w:r w:rsidRPr="001C3C46">
        <w:rPr>
          <w:rFonts w:ascii="Arial" w:hAnsi="Arial" w:cs="Arial"/>
        </w:rPr>
        <w:t>, 2015).</w:t>
      </w:r>
      <w:r w:rsidR="001C3C46">
        <w:rPr>
          <w:rFonts w:ascii="Arial" w:hAnsi="Arial" w:cs="Arial"/>
        </w:rPr>
        <w:t xml:space="preserve"> </w:t>
      </w:r>
      <w:r w:rsidRPr="001C3C46">
        <w:rPr>
          <w:rFonts w:ascii="Arial" w:hAnsi="Arial" w:cs="Arial"/>
        </w:rPr>
        <w:t>Cultural factors may also play a role in accepting mental health services</w:t>
      </w:r>
      <w:r w:rsidRPr="001C3C46">
        <w:rPr>
          <w:rFonts w:ascii="MS Gothic" w:eastAsia="MS Gothic" w:hAnsi="MS Gothic" w:cs="MS Gothic" w:hint="eastAsia"/>
        </w:rPr>
        <w:t>․</w:t>
      </w:r>
      <w:r w:rsidRPr="001C3C46">
        <w:rPr>
          <w:rFonts w:ascii="Arial" w:hAnsi="Arial" w:cs="Arial"/>
        </w:rPr>
        <w:t xml:space="preserve"> Alam et al</w:t>
      </w:r>
      <w:r w:rsidRPr="001C3C46">
        <w:rPr>
          <w:rFonts w:ascii="MS Gothic" w:eastAsia="MS Gothic" w:hAnsi="MS Gothic" w:cs="MS Gothic" w:hint="eastAsia"/>
        </w:rPr>
        <w:t>․</w:t>
      </w:r>
      <w:r w:rsidRPr="001C3C46">
        <w:rPr>
          <w:rFonts w:ascii="Arial" w:hAnsi="Arial" w:cs="Arial"/>
        </w:rPr>
        <w:t xml:space="preserve"> (2024) reported greater distrust and concerns about cultural misunderstanding expressed by individuals from racially minoritised backgrounds</w:t>
      </w:r>
      <w:r w:rsidRPr="001C3C46">
        <w:rPr>
          <w:rFonts w:ascii="MS Gothic" w:eastAsia="MS Gothic" w:hAnsi="MS Gothic" w:cs="MS Gothic" w:hint="eastAsia"/>
        </w:rPr>
        <w:t>․</w:t>
      </w:r>
      <w:r w:rsidRPr="001C3C46">
        <w:rPr>
          <w:rFonts w:ascii="Arial" w:hAnsi="Arial" w:cs="Arial"/>
        </w:rPr>
        <w:t xml:space="preserve"> The findings suggest that stigma may not be purely an individual attitude, but may also reflect broader social and cultural influences</w:t>
      </w:r>
      <w:r w:rsidRPr="001C3C46">
        <w:rPr>
          <w:rFonts w:ascii="MS Gothic" w:eastAsia="MS Gothic" w:hAnsi="MS Gothic" w:cs="MS Gothic" w:hint="eastAsia"/>
        </w:rPr>
        <w:t>․</w:t>
      </w:r>
    </w:p>
    <w:p w14:paraId="69B68BE5" w14:textId="77777777" w:rsidR="006218A1" w:rsidRPr="001C3C46" w:rsidRDefault="006218A1" w:rsidP="001C3C46">
      <w:pPr>
        <w:spacing w:line="360" w:lineRule="auto"/>
        <w:jc w:val="both"/>
        <w:rPr>
          <w:rFonts w:ascii="Arial" w:hAnsi="Arial" w:cs="Arial"/>
        </w:rPr>
      </w:pPr>
    </w:p>
    <w:p w14:paraId="1B21BBF1" w14:textId="77777777" w:rsidR="006218A1" w:rsidRPr="001C3C46" w:rsidRDefault="006218A1" w:rsidP="001C3C46">
      <w:pPr>
        <w:pStyle w:val="Heading2"/>
      </w:pPr>
      <w:r w:rsidRPr="001C3C46">
        <w:t>Inequality Barriers</w:t>
      </w:r>
    </w:p>
    <w:p w14:paraId="7833C7AB" w14:textId="54ACC02A" w:rsidR="006218A1" w:rsidRPr="001C3C46" w:rsidRDefault="006218A1" w:rsidP="001C3C46">
      <w:pPr>
        <w:spacing w:line="360" w:lineRule="auto"/>
        <w:jc w:val="both"/>
        <w:rPr>
          <w:rFonts w:ascii="Arial" w:hAnsi="Arial" w:cs="Arial"/>
        </w:rPr>
      </w:pPr>
      <w:r w:rsidRPr="001C3C46">
        <w:rPr>
          <w:rFonts w:ascii="Arial" w:hAnsi="Arial" w:cs="Arial"/>
        </w:rPr>
        <w:t xml:space="preserve">Unequal access to mental health services has been a longstanding problem in the United Kingdom, and multiple studies have documented meaningful differences in access to </w:t>
      </w:r>
      <w:r w:rsidR="00DB01F7">
        <w:rPr>
          <w:rFonts w:ascii="Arial" w:hAnsi="Arial" w:cs="Arial"/>
        </w:rPr>
        <w:t>services</w:t>
      </w:r>
      <w:r w:rsidRPr="001C3C46">
        <w:rPr>
          <w:rFonts w:ascii="Arial" w:hAnsi="Arial" w:cs="Arial"/>
        </w:rPr>
        <w:t xml:space="preserve"> according to population group</w:t>
      </w:r>
      <w:r w:rsidRPr="001C3C46">
        <w:rPr>
          <w:rFonts w:ascii="MS Gothic" w:eastAsia="MS Gothic" w:hAnsi="MS Gothic" w:cs="MS Gothic" w:hint="eastAsia"/>
        </w:rPr>
        <w:t>․</w:t>
      </w:r>
    </w:p>
    <w:p w14:paraId="757FD105" w14:textId="77777777" w:rsidR="006218A1" w:rsidRPr="001C3C46" w:rsidRDefault="006218A1" w:rsidP="001C3C46">
      <w:pPr>
        <w:spacing w:line="360" w:lineRule="auto"/>
        <w:jc w:val="both"/>
        <w:rPr>
          <w:rFonts w:ascii="Arial" w:hAnsi="Arial" w:cs="Arial"/>
        </w:rPr>
      </w:pPr>
      <w:r w:rsidRPr="001C3C46">
        <w:rPr>
          <w:rFonts w:ascii="Arial" w:hAnsi="Arial" w:cs="Arial"/>
        </w:rPr>
        <w:t>Kapadia et al</w:t>
      </w:r>
      <w:r w:rsidRPr="001C3C46">
        <w:rPr>
          <w:rFonts w:ascii="MS Gothic" w:eastAsia="MS Gothic" w:hAnsi="MS Gothic" w:cs="MS Gothic" w:hint="eastAsia"/>
        </w:rPr>
        <w:t>․</w:t>
      </w:r>
      <w:r w:rsidRPr="001C3C46">
        <w:rPr>
          <w:rFonts w:ascii="Arial" w:hAnsi="Arial" w:cs="Arial"/>
        </w:rPr>
        <w:t xml:space="preserve"> (2022) found that people from ethnic minorities were less likely to be offered appropriate mental health services and more likely to experience negative service outcomes</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also found systemic inequity within disadvantaged social groups, such as the poor and other socially excluded groups</w:t>
      </w:r>
      <w:r w:rsidRPr="001C3C46">
        <w:rPr>
          <w:rFonts w:ascii="MS Gothic" w:eastAsia="MS Gothic" w:hAnsi="MS Gothic" w:cs="MS Gothic" w:hint="eastAsia"/>
        </w:rPr>
        <w:t>․</w:t>
      </w:r>
    </w:p>
    <w:p w14:paraId="4382AE38" w14:textId="2C08FCB1" w:rsidR="006218A1" w:rsidRPr="001C3C46" w:rsidRDefault="006218A1" w:rsidP="001C3C46">
      <w:pPr>
        <w:spacing w:line="360" w:lineRule="auto"/>
        <w:jc w:val="both"/>
        <w:rPr>
          <w:rFonts w:ascii="Arial" w:hAnsi="Arial" w:cs="Arial"/>
        </w:rPr>
      </w:pPr>
      <w:r w:rsidRPr="001C3C46">
        <w:rPr>
          <w:rFonts w:ascii="Arial" w:hAnsi="Arial" w:cs="Arial"/>
        </w:rPr>
        <w:lastRenderedPageBreak/>
        <w:t>Socioeconomic factors are also thought to play an important role in accessing services</w:t>
      </w:r>
      <w:r w:rsidR="001C3C46">
        <w:rPr>
          <w:rFonts w:ascii="MS Gothic" w:eastAsia="MS Gothic" w:hAnsi="MS Gothic" w:cs="MS Gothic"/>
        </w:rPr>
        <w:t xml:space="preserve">. </w:t>
      </w:r>
      <w:r w:rsidRPr="001C3C46">
        <w:rPr>
          <w:rFonts w:ascii="Arial" w:hAnsi="Arial" w:cs="Arial"/>
        </w:rPr>
        <w:t>Those who live in areas of deprivation may be forced to overcome multiple barriers</w:t>
      </w:r>
      <w:r w:rsidR="00DB01F7">
        <w:rPr>
          <w:rFonts w:ascii="Arial" w:hAnsi="Arial" w:cs="Arial"/>
        </w:rPr>
        <w:t>,</w:t>
      </w:r>
      <w:r w:rsidRPr="001C3C46">
        <w:rPr>
          <w:rFonts w:ascii="Arial" w:hAnsi="Arial" w:cs="Arial"/>
        </w:rPr>
        <w:t xml:space="preserve"> including financial difficulties, insecure housing and low access to health services (Mental Health Foundation, 2022). These factors can both discourage help-seeking behaviour and considerably increase the likelihood of missing a scheduled appointment</w:t>
      </w:r>
      <w:r w:rsidRPr="001C3C46">
        <w:rPr>
          <w:rFonts w:ascii="MS Gothic" w:eastAsia="MS Gothic" w:hAnsi="MS Gothic" w:cs="MS Gothic" w:hint="eastAsia"/>
        </w:rPr>
        <w:t>․</w:t>
      </w:r>
    </w:p>
    <w:p w14:paraId="654F94EB" w14:textId="5A9789A9" w:rsidR="006218A1" w:rsidRPr="001C3C46" w:rsidRDefault="006218A1" w:rsidP="001C3C46">
      <w:pPr>
        <w:spacing w:line="360" w:lineRule="auto"/>
        <w:jc w:val="both"/>
        <w:rPr>
          <w:rFonts w:ascii="Arial" w:hAnsi="Arial" w:cs="Arial"/>
        </w:rPr>
      </w:pPr>
      <w:r w:rsidRPr="001C3C46">
        <w:rPr>
          <w:rFonts w:ascii="Arial" w:hAnsi="Arial" w:cs="Arial"/>
        </w:rPr>
        <w:t>Furthermore, research into other, minoritised communities evidenced barriers to equity and inequality, with Siebert et al</w:t>
      </w:r>
      <w:r w:rsidRPr="001C3C46">
        <w:rPr>
          <w:rFonts w:ascii="MS Gothic" w:eastAsia="MS Gothic" w:hAnsi="MS Gothic" w:cs="MS Gothic" w:hint="eastAsia"/>
        </w:rPr>
        <w:t>․</w:t>
      </w:r>
      <w:r w:rsidRPr="001C3C46">
        <w:rPr>
          <w:rFonts w:ascii="Arial" w:hAnsi="Arial" w:cs="Arial"/>
        </w:rPr>
        <w:t xml:space="preserve"> (2024) associating language barriers and cultural differences with barriers faced by minority ethnic groups</w:t>
      </w:r>
      <w:r w:rsidRPr="001C3C46">
        <w:rPr>
          <w:rFonts w:ascii="MS Gothic" w:eastAsia="MS Gothic" w:hAnsi="MS Gothic" w:cs="MS Gothic" w:hint="eastAsia"/>
        </w:rPr>
        <w:t>․</w:t>
      </w:r>
      <w:r w:rsidRPr="001C3C46">
        <w:rPr>
          <w:rFonts w:ascii="Arial" w:hAnsi="Arial" w:cs="Arial"/>
        </w:rPr>
        <w:t xml:space="preserve"> Alam et al</w:t>
      </w:r>
      <w:r w:rsidRPr="001C3C46">
        <w:rPr>
          <w:rFonts w:ascii="MS Gothic" w:eastAsia="MS Gothic" w:hAnsi="MS Gothic" w:cs="MS Gothic" w:hint="eastAsia"/>
        </w:rPr>
        <w:t>․</w:t>
      </w:r>
      <w:r w:rsidRPr="001C3C46">
        <w:rPr>
          <w:rFonts w:ascii="Arial" w:hAnsi="Arial" w:cs="Arial"/>
        </w:rPr>
        <w:t xml:space="preserve"> (2024) reported that culturally appropriate services were lacking, which inhibited mental health service use</w:t>
      </w:r>
      <w:r w:rsidR="001C3C46">
        <w:rPr>
          <w:rFonts w:ascii="MS Gothic" w:eastAsia="MS Gothic" w:hAnsi="MS Gothic" w:cs="MS Gothic"/>
        </w:rPr>
        <w:t xml:space="preserve">. </w:t>
      </w:r>
      <w:r w:rsidRPr="001C3C46">
        <w:rPr>
          <w:rFonts w:ascii="Arial" w:hAnsi="Arial" w:cs="Arial"/>
        </w:rPr>
        <w:t>There is also uncertainty about whether inequality is entirely a demographic phenomenon</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stress the interplay of service design and social disadvantage</w:t>
      </w:r>
      <w:r w:rsidRPr="001C3C46">
        <w:rPr>
          <w:rFonts w:ascii="MS Gothic" w:eastAsia="MS Gothic" w:hAnsi="MS Gothic" w:cs="MS Gothic" w:hint="eastAsia"/>
        </w:rPr>
        <w:t>․</w:t>
      </w:r>
      <w:r w:rsidRPr="001C3C46">
        <w:rPr>
          <w:rFonts w:ascii="Arial" w:hAnsi="Arial" w:cs="Arial"/>
        </w:rPr>
        <w:t xml:space="preserve"> This perspective indicates that addressing inequality through access to services will require structural change, not just targeting services at sub-populations</w:t>
      </w:r>
      <w:r w:rsidRPr="001C3C46">
        <w:rPr>
          <w:rFonts w:ascii="MS Gothic" w:eastAsia="MS Gothic" w:hAnsi="MS Gothic" w:cs="MS Gothic" w:hint="eastAsia"/>
        </w:rPr>
        <w:t>․</w:t>
      </w:r>
    </w:p>
    <w:p w14:paraId="3910F1D5" w14:textId="77777777" w:rsidR="006218A1" w:rsidRPr="001C3C46" w:rsidRDefault="006218A1" w:rsidP="001C3C46">
      <w:pPr>
        <w:spacing w:line="360" w:lineRule="auto"/>
        <w:jc w:val="both"/>
        <w:rPr>
          <w:rFonts w:ascii="Arial" w:hAnsi="Arial" w:cs="Arial"/>
        </w:rPr>
      </w:pPr>
    </w:p>
    <w:p w14:paraId="5A1A58E3" w14:textId="0288FDC7" w:rsidR="006218A1" w:rsidRPr="001C3C46" w:rsidRDefault="006218A1" w:rsidP="001C3C46">
      <w:pPr>
        <w:pStyle w:val="Heading2"/>
      </w:pPr>
      <w:r w:rsidRPr="001C3C46">
        <w:t>Research Gap</w:t>
      </w:r>
    </w:p>
    <w:p w14:paraId="3FD0D482" w14:textId="77777777" w:rsidR="006218A1" w:rsidRPr="001C3C46" w:rsidRDefault="006218A1" w:rsidP="001C3C46">
      <w:pPr>
        <w:spacing w:line="360" w:lineRule="auto"/>
        <w:jc w:val="both"/>
        <w:rPr>
          <w:rFonts w:ascii="Arial" w:hAnsi="Arial" w:cs="Arial"/>
        </w:rPr>
      </w:pPr>
      <w:r w:rsidRPr="001C3C46">
        <w:rPr>
          <w:rFonts w:ascii="Arial" w:hAnsi="Arial" w:cs="Arial"/>
        </w:rPr>
        <w:t>Most of this research has focused on access to mental health services</w:t>
      </w:r>
      <w:r w:rsidRPr="001C3C46">
        <w:rPr>
          <w:rFonts w:ascii="MS Gothic" w:eastAsia="MS Gothic" w:hAnsi="MS Gothic" w:cs="MS Gothic" w:hint="eastAsia"/>
        </w:rPr>
        <w:t>․</w:t>
      </w:r>
      <w:r w:rsidRPr="001C3C46">
        <w:rPr>
          <w:rFonts w:ascii="Arial" w:hAnsi="Arial" w:cs="Arial"/>
        </w:rPr>
        <w:t xml:space="preserve"> There appear to be a distinct set of access issues for each of the populations and services studied</w:t>
      </w:r>
      <w:r w:rsidRPr="001C3C46">
        <w:rPr>
          <w:rFonts w:ascii="MS Gothic" w:eastAsia="MS Gothic" w:hAnsi="MS Gothic" w:cs="MS Gothic" w:hint="eastAsia"/>
        </w:rPr>
        <w:t>․</w:t>
      </w:r>
      <w:r w:rsidRPr="001C3C46">
        <w:rPr>
          <w:rFonts w:ascii="Arial" w:hAnsi="Arial" w:cs="Arial"/>
        </w:rPr>
        <w:t xml:space="preserve"> Methodologically and topically, the literature varies widely</w:t>
      </w:r>
      <w:r w:rsidRPr="001C3C46">
        <w:rPr>
          <w:rFonts w:ascii="MS Gothic" w:eastAsia="MS Gothic" w:hAnsi="MS Gothic" w:cs="MS Gothic" w:hint="eastAsia"/>
        </w:rPr>
        <w:t>․</w:t>
      </w:r>
      <w:r w:rsidRPr="001C3C46">
        <w:rPr>
          <w:rFonts w:ascii="Arial" w:hAnsi="Arial" w:cs="Arial"/>
        </w:rPr>
        <w:t xml:space="preserve"> It is difficult to evaluate the relative importance of the findings</w:t>
      </w:r>
      <w:r w:rsidRPr="001C3C46">
        <w:rPr>
          <w:rFonts w:ascii="MS Gothic" w:eastAsia="MS Gothic" w:hAnsi="MS Gothic" w:cs="MS Gothic" w:hint="eastAsia"/>
        </w:rPr>
        <w:t>․</w:t>
      </w:r>
    </w:p>
    <w:p w14:paraId="4975431D" w14:textId="4DD62EEC" w:rsidR="006218A1" w:rsidRPr="001C3C46" w:rsidRDefault="006218A1" w:rsidP="001C3C46">
      <w:pPr>
        <w:spacing w:line="360" w:lineRule="auto"/>
        <w:jc w:val="both"/>
        <w:rPr>
          <w:rFonts w:ascii="Arial" w:hAnsi="Arial" w:cs="Arial"/>
        </w:rPr>
      </w:pPr>
      <w:r w:rsidRPr="001C3C46">
        <w:rPr>
          <w:rFonts w:ascii="Arial" w:hAnsi="Arial" w:cs="Arial"/>
        </w:rPr>
        <w:t>Other studies investigate difficulties in accessing treatment, such as waiting times, shortage of services (Care Quality Commission, 2020; Siebert et al</w:t>
      </w:r>
      <w:r w:rsidRPr="001C3C46">
        <w:rPr>
          <w:rFonts w:ascii="MS Gothic" w:eastAsia="MS Gothic" w:hAnsi="MS Gothic" w:cs="MS Gothic" w:hint="eastAsia"/>
        </w:rPr>
        <w:t>․</w:t>
      </w:r>
      <w:r w:rsidRPr="001C3C46">
        <w:rPr>
          <w:rFonts w:ascii="Arial" w:hAnsi="Arial" w:cs="Arial"/>
        </w:rPr>
        <w:t>, 2023), stigma, or help-seeking (Gulliver et al</w:t>
      </w:r>
      <w:r w:rsidRPr="001C3C46">
        <w:rPr>
          <w:rFonts w:ascii="MS Gothic" w:eastAsia="MS Gothic" w:hAnsi="MS Gothic" w:cs="MS Gothic" w:hint="eastAsia"/>
        </w:rPr>
        <w:t>․</w:t>
      </w:r>
      <w:r w:rsidRPr="001C3C46">
        <w:rPr>
          <w:rFonts w:ascii="Arial" w:hAnsi="Arial" w:cs="Arial"/>
        </w:rPr>
        <w:t>, 2010; Wang et al</w:t>
      </w:r>
      <w:r w:rsidRPr="001C3C46">
        <w:rPr>
          <w:rFonts w:ascii="MS Gothic" w:eastAsia="MS Gothic" w:hAnsi="MS Gothic" w:cs="MS Gothic" w:hint="eastAsia"/>
        </w:rPr>
        <w:t>․</w:t>
      </w:r>
      <w:r w:rsidRPr="001C3C46">
        <w:rPr>
          <w:rFonts w:ascii="Arial" w:hAnsi="Arial" w:cs="Arial"/>
        </w:rPr>
        <w:t>, 2024). In research into inequalities</w:t>
      </w:r>
      <w:r w:rsidR="00DB01F7">
        <w:rPr>
          <w:rFonts w:ascii="Arial" w:hAnsi="Arial" w:cs="Arial"/>
        </w:rPr>
        <w:t>,</w:t>
      </w:r>
      <w:r w:rsidRPr="001C3C46">
        <w:rPr>
          <w:rFonts w:ascii="Arial" w:hAnsi="Arial" w:cs="Arial"/>
        </w:rPr>
        <w:t xml:space="preserve"> the main drivers are often socioeconomic status and cultural norms (Kapadia et al</w:t>
      </w:r>
      <w:r w:rsidRPr="001C3C46">
        <w:rPr>
          <w:rFonts w:ascii="MS Gothic" w:eastAsia="MS Gothic" w:hAnsi="MS Gothic" w:cs="MS Gothic" w:hint="eastAsia"/>
        </w:rPr>
        <w:t>․</w:t>
      </w:r>
      <w:r w:rsidRPr="001C3C46">
        <w:rPr>
          <w:rFonts w:ascii="Arial" w:hAnsi="Arial" w:cs="Arial"/>
        </w:rPr>
        <w:t>, 2022; Alam et al</w:t>
      </w:r>
      <w:r w:rsidRPr="001C3C46">
        <w:rPr>
          <w:rFonts w:ascii="MS Gothic" w:eastAsia="MS Gothic" w:hAnsi="MS Gothic" w:cs="MS Gothic" w:hint="eastAsia"/>
        </w:rPr>
        <w:t>․</w:t>
      </w:r>
      <w:r w:rsidRPr="001C3C46">
        <w:rPr>
          <w:rFonts w:ascii="Arial" w:hAnsi="Arial" w:cs="Arial"/>
        </w:rPr>
        <w:t>, 2024).</w:t>
      </w:r>
    </w:p>
    <w:p w14:paraId="329C78BE" w14:textId="77777777" w:rsidR="006218A1" w:rsidRDefault="006218A1" w:rsidP="001C3C46">
      <w:pPr>
        <w:spacing w:line="360" w:lineRule="auto"/>
        <w:jc w:val="both"/>
        <w:rPr>
          <w:rFonts w:ascii="Arial" w:hAnsi="Arial" w:cs="Arial"/>
        </w:rPr>
      </w:pPr>
    </w:p>
    <w:p w14:paraId="5D159C58" w14:textId="77777777" w:rsidR="00144233" w:rsidRDefault="00144233" w:rsidP="001C3C46">
      <w:pPr>
        <w:spacing w:line="360" w:lineRule="auto"/>
        <w:jc w:val="both"/>
        <w:rPr>
          <w:rFonts w:ascii="Arial" w:hAnsi="Arial" w:cs="Arial"/>
        </w:rPr>
      </w:pPr>
    </w:p>
    <w:p w14:paraId="3E6B3FC3" w14:textId="77777777" w:rsidR="00144233" w:rsidRPr="001C3C46" w:rsidRDefault="00144233" w:rsidP="001C3C46">
      <w:pPr>
        <w:spacing w:line="360" w:lineRule="auto"/>
        <w:jc w:val="both"/>
        <w:rPr>
          <w:rFonts w:ascii="Arial" w:hAnsi="Arial" w:cs="Arial"/>
        </w:rPr>
      </w:pPr>
    </w:p>
    <w:p w14:paraId="37D0D642" w14:textId="77777777" w:rsidR="006218A1" w:rsidRPr="001C3C46" w:rsidRDefault="006218A1" w:rsidP="001C3C46">
      <w:pPr>
        <w:pStyle w:val="Heading1"/>
      </w:pPr>
      <w:r w:rsidRPr="001C3C46">
        <w:lastRenderedPageBreak/>
        <w:t>Methods</w:t>
      </w:r>
    </w:p>
    <w:p w14:paraId="61B87585" w14:textId="77777777" w:rsidR="006218A1" w:rsidRPr="001C3C46" w:rsidRDefault="006218A1" w:rsidP="001C3C46">
      <w:pPr>
        <w:pStyle w:val="Heading2"/>
      </w:pPr>
      <w:r w:rsidRPr="001C3C46">
        <w:t>Research Design</w:t>
      </w:r>
    </w:p>
    <w:p w14:paraId="7C815D75" w14:textId="6FF72139" w:rsidR="006218A1" w:rsidRPr="001C3C46" w:rsidRDefault="006218A1" w:rsidP="001C3C46">
      <w:pPr>
        <w:spacing w:line="360" w:lineRule="auto"/>
        <w:jc w:val="both"/>
        <w:rPr>
          <w:rFonts w:ascii="Arial" w:hAnsi="Arial" w:cs="Arial"/>
        </w:rPr>
      </w:pPr>
      <w:r w:rsidRPr="001C3C46">
        <w:rPr>
          <w:rFonts w:ascii="Arial" w:hAnsi="Arial" w:cs="Arial"/>
        </w:rPr>
        <w:t xml:space="preserve">This scoping review </w:t>
      </w:r>
      <w:r w:rsidR="00E05241">
        <w:rPr>
          <w:rFonts w:ascii="Arial" w:hAnsi="Arial" w:cs="Arial"/>
        </w:rPr>
        <w:t xml:space="preserve">is </w:t>
      </w:r>
      <w:r w:rsidRPr="001C3C46">
        <w:rPr>
          <w:rFonts w:ascii="Arial" w:hAnsi="Arial" w:cs="Arial"/>
        </w:rPr>
        <w:t>intended to identify barriers to accessing mental health services in the UK</w:t>
      </w:r>
      <w:r w:rsidRPr="001C3C46">
        <w:rPr>
          <w:rFonts w:ascii="MS Gothic" w:eastAsia="MS Gothic" w:hAnsi="MS Gothic" w:cs="MS Gothic" w:hint="eastAsia"/>
        </w:rPr>
        <w:t>․</w:t>
      </w:r>
      <w:r w:rsidRPr="001C3C46">
        <w:rPr>
          <w:rFonts w:ascii="Arial" w:hAnsi="Arial" w:cs="Arial"/>
        </w:rPr>
        <w:t xml:space="preserve"> Scoping reviews are useful for mapping the range and characteristics of existing evidence, as well as identifying knowledge gaps and themes within a field of research (see Arksey and O'Malley, 2005; Peters et al</w:t>
      </w:r>
      <w:r w:rsidRPr="001C3C46">
        <w:rPr>
          <w:rFonts w:ascii="MS Gothic" w:eastAsia="MS Gothic" w:hAnsi="MS Gothic" w:cs="MS Gothic" w:hint="eastAsia"/>
        </w:rPr>
        <w:t>․</w:t>
      </w:r>
      <w:r w:rsidRPr="001C3C46">
        <w:rPr>
          <w:rFonts w:ascii="Arial" w:hAnsi="Arial" w:cs="Arial"/>
        </w:rPr>
        <w:t>, 2020).</w:t>
      </w:r>
    </w:p>
    <w:p w14:paraId="09EB5229" w14:textId="0DF90FA3" w:rsidR="006218A1" w:rsidRPr="001C3C46" w:rsidRDefault="006218A1" w:rsidP="001C3C46">
      <w:pPr>
        <w:spacing w:line="360" w:lineRule="auto"/>
        <w:jc w:val="both"/>
        <w:rPr>
          <w:rFonts w:ascii="Arial" w:hAnsi="Arial" w:cs="Arial"/>
        </w:rPr>
      </w:pPr>
      <w:r w:rsidRPr="001C3C46">
        <w:rPr>
          <w:rFonts w:ascii="Arial" w:hAnsi="Arial" w:cs="Arial"/>
        </w:rPr>
        <w:t>Scoping reviews may be favourable for assessing heterogeneous areas of research where the literature includes multiple research designs</w:t>
      </w:r>
      <w:r w:rsidR="00E05241">
        <w:rPr>
          <w:rFonts w:ascii="Arial" w:hAnsi="Arial" w:cs="Arial"/>
        </w:rPr>
        <w:t>,</w:t>
      </w:r>
      <w:r w:rsidRPr="001C3C46">
        <w:rPr>
          <w:rFonts w:ascii="Arial" w:hAnsi="Arial" w:cs="Arial"/>
        </w:rPr>
        <w:t xml:space="preserve"> such as those focused on access to mental health services (Munn et al</w:t>
      </w:r>
      <w:r w:rsidRPr="001C3C46">
        <w:rPr>
          <w:rFonts w:ascii="MS Gothic" w:eastAsia="MS Gothic" w:hAnsi="MS Gothic" w:cs="MS Gothic" w:hint="eastAsia"/>
        </w:rPr>
        <w:t>․</w:t>
      </w:r>
      <w:r w:rsidRPr="001C3C46">
        <w:rPr>
          <w:rFonts w:ascii="Arial" w:hAnsi="Arial" w:cs="Arial"/>
        </w:rPr>
        <w:t>, 2018). Scoping reviews differ from systematic reviews in that they aim to identify and describe the concepts that exist in the literature rather than to evaluate the effect of interventions</w:t>
      </w:r>
      <w:r w:rsidRPr="001C3C46">
        <w:rPr>
          <w:rFonts w:ascii="MS Gothic" w:eastAsia="MS Gothic" w:hAnsi="MS Gothic" w:cs="MS Gothic" w:hint="eastAsia"/>
        </w:rPr>
        <w:t>․</w:t>
      </w:r>
      <w:r w:rsidRPr="001C3C46">
        <w:rPr>
          <w:rFonts w:ascii="Arial" w:hAnsi="Arial" w:cs="Arial"/>
        </w:rPr>
        <w:t xml:space="preserve"> It was therefore appropriate to be concerned with access to mental health services, but not with the outcomes of treatment once access was achieved</w:t>
      </w:r>
      <w:r w:rsidRPr="001C3C46">
        <w:rPr>
          <w:rFonts w:ascii="MS Gothic" w:eastAsia="MS Gothic" w:hAnsi="MS Gothic" w:cs="MS Gothic" w:hint="eastAsia"/>
        </w:rPr>
        <w:t>․</w:t>
      </w:r>
    </w:p>
    <w:p w14:paraId="23BB9DBA" w14:textId="68A5EA75" w:rsidR="006218A1" w:rsidRPr="001C3C46" w:rsidRDefault="006218A1" w:rsidP="001C3C46">
      <w:pPr>
        <w:spacing w:line="360" w:lineRule="auto"/>
        <w:jc w:val="both"/>
        <w:rPr>
          <w:rFonts w:ascii="Arial" w:hAnsi="Arial" w:cs="Arial"/>
        </w:rPr>
      </w:pPr>
      <w:r w:rsidRPr="001C3C46">
        <w:rPr>
          <w:rFonts w:ascii="Arial" w:hAnsi="Arial" w:cs="Arial"/>
        </w:rPr>
        <w:t>The scoping review used the five-step framework proposed by Arksey and O'Malley (2005): identifying the research question, identifying relevant studies, study selection, charting the data and reporting the results</w:t>
      </w:r>
      <w:r w:rsidRPr="001C3C46">
        <w:rPr>
          <w:rFonts w:ascii="MS Gothic" w:eastAsia="MS Gothic" w:hAnsi="MS Gothic" w:cs="MS Gothic" w:hint="eastAsia"/>
        </w:rPr>
        <w:t>․</w:t>
      </w:r>
      <w:r w:rsidRPr="001C3C46">
        <w:rPr>
          <w:rFonts w:ascii="Arial" w:hAnsi="Arial" w:cs="Arial"/>
        </w:rPr>
        <w:t xml:space="preserve"> Peters et al</w:t>
      </w:r>
      <w:r w:rsidRPr="001C3C46">
        <w:rPr>
          <w:rFonts w:ascii="MS Gothic" w:eastAsia="MS Gothic" w:hAnsi="MS Gothic" w:cs="MS Gothic" w:hint="eastAsia"/>
        </w:rPr>
        <w:t>․</w:t>
      </w:r>
      <w:r w:rsidRPr="001C3C46">
        <w:rPr>
          <w:rFonts w:ascii="Arial" w:hAnsi="Arial" w:cs="Arial"/>
        </w:rPr>
        <w:t xml:space="preserve"> (2020) note that while this framework is widely followed, it should be reported transparently </w:t>
      </w:r>
      <w:r w:rsidR="00E05241">
        <w:rPr>
          <w:rFonts w:ascii="Arial" w:hAnsi="Arial" w:cs="Arial"/>
        </w:rPr>
        <w:t>to</w:t>
      </w:r>
      <w:r w:rsidRPr="001C3C46">
        <w:rPr>
          <w:rFonts w:ascii="Arial" w:hAnsi="Arial" w:cs="Arial"/>
        </w:rPr>
        <w:t xml:space="preserve"> rigorously follow the methodology of scoping reviews</w:t>
      </w:r>
      <w:r w:rsidRPr="001C3C46">
        <w:rPr>
          <w:rFonts w:ascii="MS Gothic" w:eastAsia="MS Gothic" w:hAnsi="MS Gothic" w:cs="MS Gothic" w:hint="eastAsia"/>
        </w:rPr>
        <w:t>․</w:t>
      </w:r>
      <w:r w:rsidRPr="001C3C46">
        <w:rPr>
          <w:rFonts w:ascii="Arial" w:hAnsi="Arial" w:cs="Arial"/>
        </w:rPr>
        <w:t xml:space="preserve"> This review attempted to follow these principles by being transparent about the search and selection process</w:t>
      </w:r>
      <w:r w:rsidRPr="001C3C46">
        <w:rPr>
          <w:rFonts w:ascii="MS Gothic" w:eastAsia="MS Gothic" w:hAnsi="MS Gothic" w:cs="MS Gothic" w:hint="eastAsia"/>
        </w:rPr>
        <w:t>․</w:t>
      </w:r>
    </w:p>
    <w:p w14:paraId="6F9EB033" w14:textId="77777777" w:rsidR="006218A1" w:rsidRPr="001C3C46" w:rsidRDefault="006218A1" w:rsidP="001C3C46">
      <w:pPr>
        <w:spacing w:line="360" w:lineRule="auto"/>
        <w:jc w:val="both"/>
        <w:rPr>
          <w:rFonts w:ascii="Arial" w:hAnsi="Arial" w:cs="Arial"/>
        </w:rPr>
      </w:pPr>
    </w:p>
    <w:p w14:paraId="35DA873E" w14:textId="77777777" w:rsidR="006218A1" w:rsidRPr="001C3C46" w:rsidRDefault="006218A1" w:rsidP="001C3C46">
      <w:pPr>
        <w:pStyle w:val="Heading2"/>
      </w:pPr>
      <w:r w:rsidRPr="001C3C46">
        <w:t>Data Collection</w:t>
      </w:r>
    </w:p>
    <w:p w14:paraId="1B8332F6" w14:textId="77777777" w:rsidR="006218A1" w:rsidRPr="001C3C46" w:rsidRDefault="006218A1" w:rsidP="001C3C46">
      <w:pPr>
        <w:spacing w:line="360" w:lineRule="auto"/>
        <w:jc w:val="both"/>
        <w:rPr>
          <w:rFonts w:ascii="Arial" w:hAnsi="Arial" w:cs="Arial"/>
        </w:rPr>
      </w:pPr>
      <w:r w:rsidRPr="001C3C46">
        <w:rPr>
          <w:rFonts w:ascii="Arial" w:hAnsi="Arial" w:cs="Arial"/>
        </w:rPr>
        <w:t>A literature search was conducted in four electronic databases to identify relevant studies</w:t>
      </w:r>
      <w:r w:rsidRPr="001C3C46">
        <w:rPr>
          <w:rFonts w:ascii="MS Gothic" w:eastAsia="MS Gothic" w:hAnsi="MS Gothic" w:cs="MS Gothic" w:hint="eastAsia"/>
        </w:rPr>
        <w:t>․</w:t>
      </w:r>
    </w:p>
    <w:p w14:paraId="1346CE41" w14:textId="3D80036D" w:rsidR="006218A1" w:rsidRPr="001C3C46" w:rsidRDefault="006218A1" w:rsidP="001C3C46">
      <w:pPr>
        <w:pStyle w:val="ListParagraph"/>
        <w:numPr>
          <w:ilvl w:val="0"/>
          <w:numId w:val="18"/>
        </w:numPr>
        <w:spacing w:line="360" w:lineRule="auto"/>
        <w:jc w:val="both"/>
        <w:rPr>
          <w:rFonts w:ascii="Arial" w:hAnsi="Arial" w:cs="Arial"/>
        </w:rPr>
      </w:pPr>
      <w:r w:rsidRPr="001C3C46">
        <w:rPr>
          <w:rFonts w:ascii="Arial" w:hAnsi="Arial" w:cs="Arial"/>
        </w:rPr>
        <w:t>PubMed</w:t>
      </w:r>
    </w:p>
    <w:p w14:paraId="60B3DA26" w14:textId="4F600B68" w:rsidR="006218A1" w:rsidRPr="001C3C46" w:rsidRDefault="006218A1" w:rsidP="001C3C46">
      <w:pPr>
        <w:pStyle w:val="ListParagraph"/>
        <w:numPr>
          <w:ilvl w:val="0"/>
          <w:numId w:val="18"/>
        </w:numPr>
        <w:spacing w:line="360" w:lineRule="auto"/>
        <w:jc w:val="both"/>
        <w:rPr>
          <w:rFonts w:ascii="Arial" w:hAnsi="Arial" w:cs="Arial"/>
        </w:rPr>
      </w:pPr>
      <w:r w:rsidRPr="001C3C46">
        <w:rPr>
          <w:rFonts w:ascii="Arial" w:hAnsi="Arial" w:cs="Arial"/>
        </w:rPr>
        <w:t>PsycINFO</w:t>
      </w:r>
    </w:p>
    <w:p w14:paraId="6EC4C655" w14:textId="32A27285" w:rsidR="006218A1" w:rsidRPr="001C3C46" w:rsidRDefault="006218A1" w:rsidP="001C3C46">
      <w:pPr>
        <w:pStyle w:val="ListParagraph"/>
        <w:numPr>
          <w:ilvl w:val="0"/>
          <w:numId w:val="18"/>
        </w:numPr>
        <w:spacing w:line="360" w:lineRule="auto"/>
        <w:jc w:val="both"/>
        <w:rPr>
          <w:rFonts w:ascii="Arial" w:hAnsi="Arial" w:cs="Arial"/>
        </w:rPr>
      </w:pPr>
      <w:r w:rsidRPr="001C3C46">
        <w:rPr>
          <w:rFonts w:ascii="Arial" w:hAnsi="Arial" w:cs="Arial"/>
        </w:rPr>
        <w:t>UWTSD Library</w:t>
      </w:r>
    </w:p>
    <w:p w14:paraId="0DF9A59D" w14:textId="6102658C" w:rsidR="006218A1" w:rsidRPr="001C3C46" w:rsidRDefault="006218A1" w:rsidP="001C3C46">
      <w:pPr>
        <w:spacing w:line="360" w:lineRule="auto"/>
        <w:jc w:val="both"/>
        <w:rPr>
          <w:rFonts w:ascii="Arial" w:hAnsi="Arial" w:cs="Arial"/>
        </w:rPr>
      </w:pPr>
      <w:r w:rsidRPr="001C3C46">
        <w:rPr>
          <w:rFonts w:ascii="Arial" w:hAnsi="Arial" w:cs="Arial"/>
        </w:rPr>
        <w:t>They are suitable as they provide free access to refereed research literature in the field of health and social care and cover a broad range of mental health topics (Bettany-Saltikov, 2016).</w:t>
      </w:r>
    </w:p>
    <w:p w14:paraId="3D533FE4" w14:textId="00DE6BA8" w:rsidR="006218A1" w:rsidRPr="001C3C46" w:rsidRDefault="006218A1" w:rsidP="001C3C46">
      <w:pPr>
        <w:spacing w:line="360" w:lineRule="auto"/>
        <w:jc w:val="both"/>
        <w:rPr>
          <w:rFonts w:ascii="Arial" w:hAnsi="Arial" w:cs="Arial"/>
        </w:rPr>
      </w:pPr>
      <w:r w:rsidRPr="001C3C46">
        <w:rPr>
          <w:rFonts w:ascii="Arial" w:hAnsi="Arial" w:cs="Arial"/>
        </w:rPr>
        <w:lastRenderedPageBreak/>
        <w:t xml:space="preserve">The search used these keywords </w:t>
      </w:r>
      <w:r w:rsidR="00DB01F7">
        <w:rPr>
          <w:rFonts w:ascii="Arial" w:hAnsi="Arial" w:cs="Arial"/>
        </w:rPr>
        <w:t>in</w:t>
      </w:r>
      <w:r w:rsidRPr="001C3C46">
        <w:rPr>
          <w:rFonts w:ascii="Arial" w:hAnsi="Arial" w:cs="Arial"/>
        </w:rPr>
        <w:t xml:space="preserve"> combinations:</w:t>
      </w:r>
    </w:p>
    <w:p w14:paraId="3DC6EF16" w14:textId="1D1014B6" w:rsidR="006218A1" w:rsidRPr="001C3C46" w:rsidRDefault="006218A1" w:rsidP="001C3C46">
      <w:pPr>
        <w:pStyle w:val="ListParagraph"/>
        <w:numPr>
          <w:ilvl w:val="0"/>
          <w:numId w:val="19"/>
        </w:numPr>
        <w:spacing w:line="360" w:lineRule="auto"/>
        <w:jc w:val="both"/>
        <w:rPr>
          <w:rFonts w:ascii="Arial" w:hAnsi="Arial" w:cs="Arial"/>
        </w:rPr>
      </w:pPr>
      <w:r w:rsidRPr="001C3C46">
        <w:rPr>
          <w:rFonts w:ascii="Arial" w:hAnsi="Arial" w:cs="Arial"/>
        </w:rPr>
        <w:t>mental health</w:t>
      </w:r>
    </w:p>
    <w:p w14:paraId="13CEEFFE" w14:textId="0CF74D08" w:rsidR="006218A1" w:rsidRPr="001C3C46" w:rsidRDefault="006218A1" w:rsidP="001C3C46">
      <w:pPr>
        <w:pStyle w:val="ListParagraph"/>
        <w:numPr>
          <w:ilvl w:val="0"/>
          <w:numId w:val="19"/>
        </w:numPr>
        <w:spacing w:line="360" w:lineRule="auto"/>
        <w:jc w:val="both"/>
        <w:rPr>
          <w:rFonts w:ascii="Arial" w:hAnsi="Arial" w:cs="Arial"/>
        </w:rPr>
      </w:pPr>
      <w:r w:rsidRPr="001C3C46">
        <w:rPr>
          <w:rFonts w:ascii="Arial" w:hAnsi="Arial" w:cs="Arial"/>
        </w:rPr>
        <w:t>mental health services</w:t>
      </w:r>
    </w:p>
    <w:p w14:paraId="04D9A451" w14:textId="0652E741" w:rsidR="006218A1" w:rsidRPr="001C3C46" w:rsidRDefault="006218A1" w:rsidP="001C3C46">
      <w:pPr>
        <w:pStyle w:val="ListParagraph"/>
        <w:numPr>
          <w:ilvl w:val="0"/>
          <w:numId w:val="19"/>
        </w:numPr>
        <w:spacing w:line="360" w:lineRule="auto"/>
        <w:jc w:val="both"/>
        <w:rPr>
          <w:rFonts w:ascii="Arial" w:hAnsi="Arial" w:cs="Arial"/>
        </w:rPr>
      </w:pPr>
      <w:r w:rsidRPr="001C3C46">
        <w:rPr>
          <w:rFonts w:ascii="Arial" w:hAnsi="Arial" w:cs="Arial"/>
        </w:rPr>
        <w:t>access</w:t>
      </w:r>
    </w:p>
    <w:p w14:paraId="2C815E04" w14:textId="357E56B2" w:rsidR="006218A1" w:rsidRPr="001C3C46" w:rsidRDefault="006218A1" w:rsidP="001C3C46">
      <w:pPr>
        <w:pStyle w:val="ListParagraph"/>
        <w:numPr>
          <w:ilvl w:val="0"/>
          <w:numId w:val="19"/>
        </w:numPr>
        <w:spacing w:line="360" w:lineRule="auto"/>
        <w:jc w:val="both"/>
        <w:rPr>
          <w:rFonts w:ascii="Arial" w:hAnsi="Arial" w:cs="Arial"/>
        </w:rPr>
      </w:pPr>
      <w:r w:rsidRPr="001C3C46">
        <w:rPr>
          <w:rFonts w:ascii="Arial" w:hAnsi="Arial" w:cs="Arial"/>
        </w:rPr>
        <w:t>barriers</w:t>
      </w:r>
    </w:p>
    <w:p w14:paraId="7A0087D5" w14:textId="4AD0B957" w:rsidR="006218A1" w:rsidRPr="001C3C46" w:rsidRDefault="006218A1" w:rsidP="001C3C46">
      <w:pPr>
        <w:pStyle w:val="ListParagraph"/>
        <w:numPr>
          <w:ilvl w:val="0"/>
          <w:numId w:val="19"/>
        </w:numPr>
        <w:spacing w:line="360" w:lineRule="auto"/>
        <w:jc w:val="both"/>
        <w:rPr>
          <w:rFonts w:ascii="Arial" w:hAnsi="Arial" w:cs="Arial"/>
        </w:rPr>
      </w:pPr>
      <w:r w:rsidRPr="001C3C46">
        <w:rPr>
          <w:rFonts w:ascii="Arial" w:hAnsi="Arial" w:cs="Arial"/>
        </w:rPr>
        <w:t>United Kingdom</w:t>
      </w:r>
    </w:p>
    <w:p w14:paraId="0C51B2B2" w14:textId="293A5B6C" w:rsidR="006218A1" w:rsidRPr="001C3C46" w:rsidRDefault="006218A1" w:rsidP="001C3C46">
      <w:pPr>
        <w:spacing w:line="360" w:lineRule="auto"/>
        <w:jc w:val="both"/>
        <w:rPr>
          <w:rFonts w:ascii="Arial" w:hAnsi="Arial" w:cs="Arial"/>
        </w:rPr>
      </w:pPr>
      <w:r w:rsidRPr="001C3C46">
        <w:rPr>
          <w:rFonts w:ascii="Arial" w:hAnsi="Arial" w:cs="Arial"/>
        </w:rPr>
        <w:t xml:space="preserve">Boolean operators such as AND </w:t>
      </w:r>
      <w:proofErr w:type="spellStart"/>
      <w:r w:rsidRPr="001C3C46">
        <w:rPr>
          <w:rFonts w:ascii="Arial" w:hAnsi="Arial" w:cs="Arial"/>
        </w:rPr>
        <w:t>and</w:t>
      </w:r>
      <w:proofErr w:type="spellEnd"/>
      <w:r w:rsidRPr="001C3C46">
        <w:rPr>
          <w:rFonts w:ascii="Arial" w:hAnsi="Arial" w:cs="Arial"/>
        </w:rPr>
        <w:t xml:space="preserve"> OR allow for more complex searches on indexing terms</w:t>
      </w:r>
      <w:r w:rsidR="001C3C46">
        <w:rPr>
          <w:rFonts w:ascii="MS Gothic" w:eastAsia="MS Gothic" w:hAnsi="MS Gothic" w:cs="MS Gothic"/>
        </w:rPr>
        <w:t>.</w:t>
      </w:r>
      <w:r w:rsidRPr="001C3C46">
        <w:rPr>
          <w:rFonts w:ascii="Arial" w:hAnsi="Arial" w:cs="Arial"/>
        </w:rPr>
        <w:t xml:space="preserve"> 105 studies</w:t>
      </w:r>
      <w:r w:rsidR="001C3C46">
        <w:rPr>
          <w:rFonts w:ascii="Arial" w:hAnsi="Arial" w:cs="Arial"/>
        </w:rPr>
        <w:t xml:space="preserve"> were identified</w:t>
      </w:r>
      <w:r w:rsidRPr="001C3C46">
        <w:rPr>
          <w:rFonts w:ascii="Arial" w:hAnsi="Arial" w:cs="Arial"/>
        </w:rPr>
        <w:t>, and after removing duplicates, we screened 87 studies by title and abstract for eligibility</w:t>
      </w:r>
      <w:r w:rsidRPr="001C3C46">
        <w:rPr>
          <w:rFonts w:ascii="MS Gothic" w:eastAsia="MS Gothic" w:hAnsi="MS Gothic" w:cs="MS Gothic" w:hint="eastAsia"/>
        </w:rPr>
        <w:t>․</w:t>
      </w:r>
      <w:r w:rsidRPr="001C3C46">
        <w:rPr>
          <w:rFonts w:ascii="Arial" w:hAnsi="Arial" w:cs="Arial"/>
        </w:rPr>
        <w:t xml:space="preserve"> Of the 27 studies that were screened at the full-text level, six met the full inclusion criteria</w:t>
      </w:r>
      <w:r w:rsidR="001C3C46">
        <w:rPr>
          <w:rFonts w:ascii="MS Gothic" w:eastAsia="MS Gothic" w:hAnsi="MS Gothic" w:cs="MS Gothic"/>
        </w:rPr>
        <w:t xml:space="preserve">. </w:t>
      </w:r>
      <w:r w:rsidRPr="001C3C46">
        <w:rPr>
          <w:rFonts w:ascii="Arial" w:hAnsi="Arial" w:cs="Arial"/>
        </w:rPr>
        <w:t>This search strategy may have contributed to some relevant studies being missed</w:t>
      </w:r>
      <w:r w:rsidRPr="001C3C46">
        <w:rPr>
          <w:rFonts w:ascii="MS Gothic" w:eastAsia="MS Gothic" w:hAnsi="MS Gothic" w:cs="MS Gothic" w:hint="eastAsia"/>
        </w:rPr>
        <w:t>․</w:t>
      </w:r>
      <w:r w:rsidRPr="001C3C46">
        <w:rPr>
          <w:rFonts w:ascii="Arial" w:hAnsi="Arial" w:cs="Arial"/>
        </w:rPr>
        <w:t xml:space="preserve"> Language bias may have also been introduced by only including studies published in </w:t>
      </w:r>
      <w:r w:rsidR="008D38E0">
        <w:rPr>
          <w:rFonts w:ascii="Arial" w:hAnsi="Arial" w:cs="Arial"/>
        </w:rPr>
        <w:t>English-language journals.</w:t>
      </w:r>
      <w:r w:rsidRPr="001C3C46">
        <w:rPr>
          <w:rFonts w:ascii="Arial" w:hAnsi="Arial" w:cs="Arial"/>
        </w:rPr>
        <w:t xml:space="preserve"> Finally, restricting the literature search to only four databases may have missed some studies</w:t>
      </w:r>
      <w:r w:rsidRPr="001C3C46">
        <w:rPr>
          <w:rFonts w:ascii="MS Gothic" w:eastAsia="MS Gothic" w:hAnsi="MS Gothic" w:cs="MS Gothic" w:hint="eastAsia"/>
        </w:rPr>
        <w:t>․</w:t>
      </w:r>
    </w:p>
    <w:p w14:paraId="35411258" w14:textId="77777777" w:rsidR="006218A1" w:rsidRPr="001C3C46" w:rsidRDefault="006218A1" w:rsidP="001C3C46">
      <w:pPr>
        <w:spacing w:line="360" w:lineRule="auto"/>
        <w:jc w:val="both"/>
        <w:rPr>
          <w:rFonts w:ascii="Arial" w:hAnsi="Arial" w:cs="Arial"/>
        </w:rPr>
      </w:pPr>
    </w:p>
    <w:p w14:paraId="1C699A97" w14:textId="77777777" w:rsidR="006218A1" w:rsidRPr="001C3C46" w:rsidRDefault="006218A1" w:rsidP="001C3C46">
      <w:pPr>
        <w:pStyle w:val="Heading2"/>
      </w:pPr>
      <w:r w:rsidRPr="001C3C46">
        <w:t>Inclusion and Exclusion Criteria</w:t>
      </w:r>
    </w:p>
    <w:p w14:paraId="1A5C622B" w14:textId="28E63DED" w:rsidR="006218A1" w:rsidRPr="001C3C46" w:rsidRDefault="00E05241" w:rsidP="001C3C46">
      <w:pPr>
        <w:spacing w:line="360" w:lineRule="auto"/>
        <w:jc w:val="both"/>
        <w:rPr>
          <w:rFonts w:ascii="Arial" w:hAnsi="Arial" w:cs="Arial"/>
        </w:rPr>
      </w:pPr>
      <w:r>
        <w:rPr>
          <w:rFonts w:ascii="Arial" w:hAnsi="Arial" w:cs="Arial"/>
        </w:rPr>
        <w:t>To</w:t>
      </w:r>
      <w:r w:rsidR="006218A1" w:rsidRPr="001C3C46">
        <w:rPr>
          <w:rFonts w:ascii="Arial" w:hAnsi="Arial" w:cs="Arial"/>
        </w:rPr>
        <w:t xml:space="preserve"> assess the studies, a set of clearly defined inclusion and exclusion criteria </w:t>
      </w:r>
      <w:r w:rsidR="008D38E0">
        <w:rPr>
          <w:rFonts w:ascii="Arial" w:hAnsi="Arial" w:cs="Arial"/>
        </w:rPr>
        <w:t>was</w:t>
      </w:r>
      <w:r w:rsidR="006218A1" w:rsidRPr="001C3C46">
        <w:rPr>
          <w:rFonts w:ascii="Arial" w:hAnsi="Arial" w:cs="Arial"/>
        </w:rPr>
        <w:t xml:space="preserve"> applied to each study</w:t>
      </w:r>
      <w:r w:rsidR="006218A1" w:rsidRPr="001C3C46">
        <w:rPr>
          <w:rFonts w:ascii="MS Gothic" w:eastAsia="MS Gothic" w:hAnsi="MS Gothic" w:cs="MS Gothic" w:hint="eastAsia"/>
        </w:rPr>
        <w:t>․</w:t>
      </w:r>
    </w:p>
    <w:p w14:paraId="652EDC81" w14:textId="77777777" w:rsidR="006218A1" w:rsidRPr="001C3C46" w:rsidRDefault="006218A1" w:rsidP="001C3C46">
      <w:pPr>
        <w:spacing w:line="360" w:lineRule="auto"/>
        <w:jc w:val="both"/>
        <w:rPr>
          <w:rFonts w:ascii="Arial" w:hAnsi="Arial" w:cs="Arial"/>
        </w:rPr>
      </w:pPr>
      <w:r w:rsidRPr="001C3C46">
        <w:rPr>
          <w:rFonts w:ascii="Arial" w:hAnsi="Arial" w:cs="Arial"/>
        </w:rPr>
        <w:t>Studies were included if they:</w:t>
      </w:r>
    </w:p>
    <w:p w14:paraId="51CE30FE" w14:textId="44630DCE" w:rsidR="006218A1" w:rsidRPr="001C3C46" w:rsidRDefault="006218A1" w:rsidP="001C3C46">
      <w:pPr>
        <w:pStyle w:val="ListParagraph"/>
        <w:numPr>
          <w:ilvl w:val="0"/>
          <w:numId w:val="20"/>
        </w:numPr>
        <w:spacing w:line="360" w:lineRule="auto"/>
        <w:jc w:val="both"/>
        <w:rPr>
          <w:rFonts w:ascii="Arial" w:hAnsi="Arial" w:cs="Arial"/>
        </w:rPr>
      </w:pPr>
      <w:r w:rsidRPr="001C3C46">
        <w:rPr>
          <w:rFonts w:ascii="Arial" w:hAnsi="Arial" w:cs="Arial"/>
        </w:rPr>
        <w:t>Peer-reviewed journal articles</w:t>
      </w:r>
      <w:r w:rsidRPr="001C3C46">
        <w:rPr>
          <w:rFonts w:ascii="MS Gothic" w:eastAsia="MS Gothic" w:hAnsi="MS Gothic" w:cs="MS Gothic" w:hint="eastAsia"/>
        </w:rPr>
        <w:t>․</w:t>
      </w:r>
    </w:p>
    <w:p w14:paraId="6E3A669F" w14:textId="27157174" w:rsidR="006218A1" w:rsidRPr="001C3C46" w:rsidRDefault="006218A1" w:rsidP="001C3C46">
      <w:pPr>
        <w:pStyle w:val="ListParagraph"/>
        <w:numPr>
          <w:ilvl w:val="0"/>
          <w:numId w:val="20"/>
        </w:numPr>
        <w:spacing w:line="360" w:lineRule="auto"/>
        <w:jc w:val="both"/>
        <w:rPr>
          <w:rFonts w:ascii="Arial" w:hAnsi="Arial" w:cs="Arial"/>
        </w:rPr>
      </w:pPr>
      <w:r w:rsidRPr="001C3C46">
        <w:rPr>
          <w:rFonts w:ascii="Arial" w:hAnsi="Arial" w:cs="Arial"/>
        </w:rPr>
        <w:t>Conducted in the United Kingdom</w:t>
      </w:r>
    </w:p>
    <w:p w14:paraId="517FE69C" w14:textId="7CAE2BE7" w:rsidR="006218A1" w:rsidRPr="001C3C46" w:rsidRDefault="006218A1" w:rsidP="001C3C46">
      <w:pPr>
        <w:pStyle w:val="ListParagraph"/>
        <w:numPr>
          <w:ilvl w:val="0"/>
          <w:numId w:val="20"/>
        </w:numPr>
        <w:spacing w:line="360" w:lineRule="auto"/>
        <w:jc w:val="both"/>
        <w:rPr>
          <w:rFonts w:ascii="Arial" w:hAnsi="Arial" w:cs="Arial"/>
        </w:rPr>
      </w:pPr>
      <w:r w:rsidRPr="001C3C46">
        <w:rPr>
          <w:rFonts w:ascii="Arial" w:hAnsi="Arial" w:cs="Arial"/>
        </w:rPr>
        <w:t>Examined barriers to accessing mental health services</w:t>
      </w:r>
    </w:p>
    <w:p w14:paraId="32BECA76" w14:textId="40D74909" w:rsidR="006218A1" w:rsidRPr="001C3C46" w:rsidRDefault="006218A1" w:rsidP="001C3C46">
      <w:pPr>
        <w:pStyle w:val="ListParagraph"/>
        <w:numPr>
          <w:ilvl w:val="0"/>
          <w:numId w:val="20"/>
        </w:numPr>
        <w:spacing w:line="360" w:lineRule="auto"/>
        <w:jc w:val="both"/>
        <w:rPr>
          <w:rFonts w:ascii="Arial" w:hAnsi="Arial" w:cs="Arial"/>
        </w:rPr>
      </w:pPr>
      <w:r w:rsidRPr="001C3C46">
        <w:rPr>
          <w:rFonts w:ascii="Arial" w:hAnsi="Arial" w:cs="Arial"/>
        </w:rPr>
        <w:t>Published within the last decade</w:t>
      </w:r>
      <w:r w:rsidRPr="001C3C46">
        <w:rPr>
          <w:rFonts w:ascii="MS Gothic" w:eastAsia="MS Gothic" w:hAnsi="MS Gothic" w:cs="MS Gothic" w:hint="eastAsia"/>
        </w:rPr>
        <w:t>․</w:t>
      </w:r>
    </w:p>
    <w:p w14:paraId="5C69D7E6" w14:textId="1E19AB86" w:rsidR="006218A1" w:rsidRPr="001C3C46" w:rsidRDefault="006218A1" w:rsidP="001C3C46">
      <w:pPr>
        <w:pStyle w:val="ListParagraph"/>
        <w:numPr>
          <w:ilvl w:val="0"/>
          <w:numId w:val="20"/>
        </w:numPr>
        <w:spacing w:line="360" w:lineRule="auto"/>
        <w:jc w:val="both"/>
        <w:rPr>
          <w:rFonts w:ascii="Arial" w:hAnsi="Arial" w:cs="Arial"/>
        </w:rPr>
      </w:pPr>
      <w:r w:rsidRPr="001C3C46">
        <w:rPr>
          <w:rFonts w:ascii="Arial" w:hAnsi="Arial" w:cs="Arial"/>
        </w:rPr>
        <w:t>Were written in English</w:t>
      </w:r>
    </w:p>
    <w:p w14:paraId="638C73E2" w14:textId="69957649" w:rsidR="006218A1" w:rsidRDefault="006218A1" w:rsidP="001C3C46">
      <w:pPr>
        <w:spacing w:line="360" w:lineRule="auto"/>
        <w:jc w:val="both"/>
        <w:rPr>
          <w:rFonts w:ascii="Arial" w:hAnsi="Arial" w:cs="Arial"/>
        </w:rPr>
      </w:pPr>
      <w:r w:rsidRPr="001C3C46">
        <w:rPr>
          <w:rFonts w:ascii="Arial" w:hAnsi="Arial" w:cs="Arial"/>
        </w:rPr>
        <w:t>These criteria ensured that the selected studies represented contemporary practice in mental health services in the United Kingdom and were relevant to the review questio</w:t>
      </w:r>
      <w:r w:rsidR="001C3C46">
        <w:rPr>
          <w:rFonts w:ascii="Arial" w:hAnsi="Arial" w:cs="Arial"/>
        </w:rPr>
        <w:t>n.</w:t>
      </w:r>
    </w:p>
    <w:p w14:paraId="1E46A36F" w14:textId="77777777" w:rsidR="006218A1" w:rsidRPr="001C3C46" w:rsidRDefault="006218A1" w:rsidP="001C3C46">
      <w:pPr>
        <w:spacing w:line="360" w:lineRule="auto"/>
        <w:jc w:val="both"/>
        <w:rPr>
          <w:rFonts w:ascii="Arial" w:hAnsi="Arial" w:cs="Arial"/>
        </w:rPr>
      </w:pPr>
      <w:r w:rsidRPr="001C3C46">
        <w:rPr>
          <w:rFonts w:ascii="Arial" w:hAnsi="Arial" w:cs="Arial"/>
        </w:rPr>
        <w:t>Studies were excluded if they:</w:t>
      </w:r>
    </w:p>
    <w:p w14:paraId="16F8963E" w14:textId="59D5F192" w:rsidR="006218A1" w:rsidRPr="001C3C46" w:rsidRDefault="006218A1" w:rsidP="001C3C46">
      <w:pPr>
        <w:pStyle w:val="ListParagraph"/>
        <w:numPr>
          <w:ilvl w:val="0"/>
          <w:numId w:val="21"/>
        </w:numPr>
        <w:spacing w:line="360" w:lineRule="auto"/>
        <w:jc w:val="both"/>
        <w:rPr>
          <w:rFonts w:ascii="Arial" w:hAnsi="Arial" w:cs="Arial"/>
        </w:rPr>
      </w:pPr>
      <w:r w:rsidRPr="001C3C46">
        <w:rPr>
          <w:rFonts w:ascii="Arial" w:hAnsi="Arial" w:cs="Arial"/>
        </w:rPr>
        <w:t>Conducted outside the United Kingdom</w:t>
      </w:r>
    </w:p>
    <w:p w14:paraId="59A895D9" w14:textId="7FA14939" w:rsidR="006218A1" w:rsidRPr="001C3C46" w:rsidRDefault="006218A1" w:rsidP="001C3C46">
      <w:pPr>
        <w:pStyle w:val="ListParagraph"/>
        <w:numPr>
          <w:ilvl w:val="0"/>
          <w:numId w:val="21"/>
        </w:numPr>
        <w:spacing w:line="360" w:lineRule="auto"/>
        <w:jc w:val="both"/>
        <w:rPr>
          <w:rFonts w:ascii="Arial" w:hAnsi="Arial" w:cs="Arial"/>
        </w:rPr>
      </w:pPr>
      <w:proofErr w:type="spellStart"/>
      <w:r w:rsidRPr="001C3C46">
        <w:rPr>
          <w:rFonts w:ascii="Arial" w:hAnsi="Arial" w:cs="Arial"/>
        </w:rPr>
        <w:lastRenderedPageBreak/>
        <w:t>Were</w:t>
      </w:r>
      <w:proofErr w:type="spellEnd"/>
      <w:r w:rsidRPr="001C3C46">
        <w:rPr>
          <w:rFonts w:ascii="Arial" w:hAnsi="Arial" w:cs="Arial"/>
        </w:rPr>
        <w:t xml:space="preserve"> not peer-reviewed</w:t>
      </w:r>
    </w:p>
    <w:p w14:paraId="3389910E" w14:textId="69831214" w:rsidR="006218A1" w:rsidRPr="001C3C46" w:rsidRDefault="006218A1" w:rsidP="001C3C46">
      <w:pPr>
        <w:pStyle w:val="ListParagraph"/>
        <w:numPr>
          <w:ilvl w:val="0"/>
          <w:numId w:val="21"/>
        </w:numPr>
        <w:spacing w:line="360" w:lineRule="auto"/>
        <w:jc w:val="both"/>
        <w:rPr>
          <w:rFonts w:ascii="Arial" w:hAnsi="Arial" w:cs="Arial"/>
        </w:rPr>
      </w:pPr>
      <w:r w:rsidRPr="001C3C46">
        <w:rPr>
          <w:rFonts w:ascii="Arial" w:hAnsi="Arial" w:cs="Arial"/>
        </w:rPr>
        <w:t>Policy reports or opinion papers were</w:t>
      </w:r>
    </w:p>
    <w:p w14:paraId="3F8E9D27" w14:textId="64598B90" w:rsidR="006218A1" w:rsidRPr="001C3C46" w:rsidRDefault="006218A1" w:rsidP="001C3C46">
      <w:pPr>
        <w:pStyle w:val="ListParagraph"/>
        <w:numPr>
          <w:ilvl w:val="0"/>
          <w:numId w:val="21"/>
        </w:numPr>
        <w:spacing w:line="360" w:lineRule="auto"/>
        <w:jc w:val="both"/>
        <w:rPr>
          <w:rFonts w:ascii="Arial" w:hAnsi="Arial" w:cs="Arial"/>
        </w:rPr>
      </w:pPr>
      <w:r w:rsidRPr="001C3C46">
        <w:rPr>
          <w:rFonts w:ascii="Arial" w:hAnsi="Arial" w:cs="Arial"/>
        </w:rPr>
        <w:t>Did not examine barriers to accessing services</w:t>
      </w:r>
      <w:r w:rsidRPr="001C3C46">
        <w:rPr>
          <w:rFonts w:ascii="MS Gothic" w:eastAsia="MS Gothic" w:hAnsi="MS Gothic" w:cs="MS Gothic" w:hint="eastAsia"/>
        </w:rPr>
        <w:t>․</w:t>
      </w:r>
    </w:p>
    <w:p w14:paraId="5D2FBD8E" w14:textId="77777777" w:rsidR="006218A1" w:rsidRPr="001C3C46" w:rsidRDefault="006218A1" w:rsidP="001C3C46">
      <w:pPr>
        <w:spacing w:line="360" w:lineRule="auto"/>
        <w:jc w:val="both"/>
        <w:rPr>
          <w:rFonts w:ascii="Arial" w:hAnsi="Arial" w:cs="Arial"/>
        </w:rPr>
      </w:pPr>
    </w:p>
    <w:p w14:paraId="0B87C901" w14:textId="77777777" w:rsidR="006218A1" w:rsidRPr="001C3C46" w:rsidRDefault="006218A1" w:rsidP="001C3C46">
      <w:pPr>
        <w:pStyle w:val="Heading2"/>
      </w:pPr>
      <w:r w:rsidRPr="001C3C46">
        <w:t>Data Analysis</w:t>
      </w:r>
    </w:p>
    <w:p w14:paraId="7336EBB9" w14:textId="77777777" w:rsidR="006218A1" w:rsidRPr="001C3C46" w:rsidRDefault="006218A1" w:rsidP="001C3C46">
      <w:pPr>
        <w:spacing w:line="360" w:lineRule="auto"/>
        <w:jc w:val="both"/>
        <w:rPr>
          <w:rFonts w:ascii="Arial" w:hAnsi="Arial" w:cs="Arial"/>
        </w:rPr>
      </w:pPr>
      <w:r w:rsidRPr="001C3C46">
        <w:rPr>
          <w:rFonts w:ascii="Arial" w:hAnsi="Arial" w:cs="Arial"/>
        </w:rPr>
        <w:t>Data were analysed using Aveyard's (2014) approach to thematic analysis that identifies themes between findings of selected studies according to patterns</w:t>
      </w:r>
      <w:r w:rsidRPr="001C3C46">
        <w:rPr>
          <w:rFonts w:ascii="MS Gothic" w:eastAsia="MS Gothic" w:hAnsi="MS Gothic" w:cs="MS Gothic" w:hint="eastAsia"/>
        </w:rPr>
        <w:t>․</w:t>
      </w:r>
    </w:p>
    <w:p w14:paraId="1CFE1989" w14:textId="5895900B" w:rsidR="006218A1" w:rsidRPr="001C3C46" w:rsidRDefault="006218A1" w:rsidP="001C3C46">
      <w:pPr>
        <w:spacing w:line="360" w:lineRule="auto"/>
        <w:jc w:val="both"/>
        <w:rPr>
          <w:rFonts w:ascii="Arial" w:hAnsi="Arial" w:cs="Arial"/>
        </w:rPr>
      </w:pPr>
      <w:r w:rsidRPr="001C3C46">
        <w:rPr>
          <w:rFonts w:ascii="Arial" w:hAnsi="Arial" w:cs="Arial"/>
        </w:rPr>
        <w:t>The individual articles were then read multiple times to extract the findings</w:t>
      </w:r>
      <w:r w:rsidRPr="001C3C46">
        <w:rPr>
          <w:rFonts w:ascii="MS Gothic" w:eastAsia="MS Gothic" w:hAnsi="MS Gothic" w:cs="MS Gothic" w:hint="eastAsia"/>
        </w:rPr>
        <w:t>․</w:t>
      </w:r>
      <w:r w:rsidRPr="001C3C46">
        <w:rPr>
          <w:rFonts w:ascii="Arial" w:hAnsi="Arial" w:cs="Arial"/>
        </w:rPr>
        <w:t xml:space="preserve"> Codes were developed based on barriers to accessing mental health services</w:t>
      </w:r>
      <w:r w:rsidR="008D38E0">
        <w:rPr>
          <w:rFonts w:ascii="Arial" w:hAnsi="Arial" w:cs="Arial"/>
        </w:rPr>
        <w:t>,</w:t>
      </w:r>
      <w:r w:rsidRPr="001C3C46">
        <w:rPr>
          <w:rFonts w:ascii="Arial" w:hAnsi="Arial" w:cs="Arial"/>
        </w:rPr>
        <w:t xml:space="preserve"> which were identified from the studies, including waiting times, stigma, service organisation and inequality</w:t>
      </w:r>
      <w:r w:rsidRPr="001C3C46">
        <w:rPr>
          <w:rFonts w:ascii="MS Gothic" w:eastAsia="MS Gothic" w:hAnsi="MS Gothic" w:cs="MS Gothic" w:hint="eastAsia"/>
        </w:rPr>
        <w:t>․</w:t>
      </w:r>
    </w:p>
    <w:p w14:paraId="5B266406" w14:textId="77777777" w:rsidR="006218A1" w:rsidRPr="001C3C46" w:rsidRDefault="006218A1" w:rsidP="001C3C46">
      <w:pPr>
        <w:spacing w:line="360" w:lineRule="auto"/>
        <w:jc w:val="both"/>
        <w:rPr>
          <w:rFonts w:ascii="Arial" w:hAnsi="Arial" w:cs="Arial"/>
        </w:rPr>
      </w:pPr>
      <w:r w:rsidRPr="001C3C46">
        <w:rPr>
          <w:rFonts w:ascii="Arial" w:hAnsi="Arial" w:cs="Arial"/>
        </w:rPr>
        <w:t>Codes were then grouped into more general categories to form four themes:</w:t>
      </w:r>
    </w:p>
    <w:p w14:paraId="6AD8306A" w14:textId="5A4C0EA5" w:rsidR="006218A1" w:rsidRPr="001C3C46" w:rsidRDefault="006218A1" w:rsidP="001C3C46">
      <w:pPr>
        <w:pStyle w:val="ListParagraph"/>
        <w:numPr>
          <w:ilvl w:val="0"/>
          <w:numId w:val="22"/>
        </w:numPr>
        <w:spacing w:line="360" w:lineRule="auto"/>
        <w:jc w:val="both"/>
        <w:rPr>
          <w:rFonts w:ascii="Arial" w:hAnsi="Arial" w:cs="Arial"/>
        </w:rPr>
      </w:pPr>
      <w:r w:rsidRPr="001C3C46">
        <w:rPr>
          <w:rFonts w:ascii="Arial" w:hAnsi="Arial" w:cs="Arial"/>
        </w:rPr>
        <w:t>Structural barriers</w:t>
      </w:r>
    </w:p>
    <w:p w14:paraId="02C6447A" w14:textId="32DAA908" w:rsidR="006218A1" w:rsidRPr="001C3C46" w:rsidRDefault="006218A1" w:rsidP="001C3C46">
      <w:pPr>
        <w:pStyle w:val="ListParagraph"/>
        <w:numPr>
          <w:ilvl w:val="0"/>
          <w:numId w:val="22"/>
        </w:numPr>
        <w:spacing w:line="360" w:lineRule="auto"/>
        <w:jc w:val="both"/>
        <w:rPr>
          <w:rFonts w:ascii="Arial" w:hAnsi="Arial" w:cs="Arial"/>
        </w:rPr>
      </w:pPr>
      <w:r w:rsidRPr="001C3C46">
        <w:rPr>
          <w:rFonts w:ascii="Arial" w:hAnsi="Arial" w:cs="Arial"/>
        </w:rPr>
        <w:t>Social and attitudinal barriers</w:t>
      </w:r>
    </w:p>
    <w:p w14:paraId="0B3DBA70" w14:textId="099370A0" w:rsidR="006218A1" w:rsidRPr="001C3C46" w:rsidRDefault="006218A1" w:rsidP="001C3C46">
      <w:pPr>
        <w:pStyle w:val="ListParagraph"/>
        <w:numPr>
          <w:ilvl w:val="0"/>
          <w:numId w:val="22"/>
        </w:numPr>
        <w:spacing w:line="360" w:lineRule="auto"/>
        <w:jc w:val="both"/>
        <w:rPr>
          <w:rFonts w:ascii="Arial" w:hAnsi="Arial" w:cs="Arial"/>
        </w:rPr>
      </w:pPr>
      <w:r w:rsidRPr="001C3C46">
        <w:rPr>
          <w:rFonts w:ascii="Arial" w:hAnsi="Arial" w:cs="Arial"/>
        </w:rPr>
        <w:t>System barriers</w:t>
      </w:r>
    </w:p>
    <w:p w14:paraId="5A26246B" w14:textId="78545FFF" w:rsidR="006218A1" w:rsidRPr="001C3C46" w:rsidRDefault="006218A1" w:rsidP="001C3C46">
      <w:pPr>
        <w:pStyle w:val="ListParagraph"/>
        <w:numPr>
          <w:ilvl w:val="0"/>
          <w:numId w:val="22"/>
        </w:numPr>
        <w:spacing w:line="360" w:lineRule="auto"/>
        <w:jc w:val="both"/>
        <w:rPr>
          <w:rFonts w:ascii="Arial" w:hAnsi="Arial" w:cs="Arial"/>
        </w:rPr>
      </w:pPr>
      <w:r w:rsidRPr="001C3C46">
        <w:rPr>
          <w:rFonts w:ascii="Arial" w:hAnsi="Arial" w:cs="Arial"/>
        </w:rPr>
        <w:t>Inequality barriers</w:t>
      </w:r>
    </w:p>
    <w:p w14:paraId="04500384" w14:textId="3EE1B9CB" w:rsidR="006218A1" w:rsidRPr="001C3C46" w:rsidRDefault="006218A1" w:rsidP="001C3C46">
      <w:pPr>
        <w:spacing w:line="360" w:lineRule="auto"/>
        <w:jc w:val="both"/>
        <w:rPr>
          <w:rFonts w:ascii="Arial" w:hAnsi="Arial" w:cs="Arial"/>
        </w:rPr>
      </w:pPr>
      <w:r w:rsidRPr="001C3C46">
        <w:rPr>
          <w:rFonts w:ascii="Arial" w:hAnsi="Arial" w:cs="Arial"/>
        </w:rPr>
        <w:t>Thematic analysis allowed us to find patterns across studies of varying designs</w:t>
      </w:r>
      <w:r w:rsidRPr="001C3C46">
        <w:rPr>
          <w:rFonts w:ascii="MS Gothic" w:eastAsia="MS Gothic" w:hAnsi="MS Gothic" w:cs="MS Gothic" w:hint="eastAsia"/>
        </w:rPr>
        <w:t>․</w:t>
      </w:r>
      <w:r w:rsidRPr="001C3C46">
        <w:rPr>
          <w:rFonts w:ascii="Arial" w:hAnsi="Arial" w:cs="Arial"/>
        </w:rPr>
        <w:t xml:space="preserve"> Braun and Clarke (2006) argue </w:t>
      </w:r>
      <w:r w:rsidR="008D38E0">
        <w:rPr>
          <w:rFonts w:ascii="Arial" w:hAnsi="Arial" w:cs="Arial"/>
        </w:rPr>
        <w:t xml:space="preserve">that </w:t>
      </w:r>
      <w:r w:rsidRPr="001C3C46">
        <w:rPr>
          <w:rFonts w:ascii="Arial" w:hAnsi="Arial" w:cs="Arial"/>
        </w:rPr>
        <w:t>thematic analysis is a flexible method of analysing qualitative data</w:t>
      </w:r>
      <w:r w:rsidRPr="001C3C46">
        <w:rPr>
          <w:rFonts w:ascii="MS Gothic" w:eastAsia="MS Gothic" w:hAnsi="MS Gothic" w:cs="MS Gothic" w:hint="eastAsia"/>
        </w:rPr>
        <w:t>․</w:t>
      </w:r>
    </w:p>
    <w:p w14:paraId="0CA3A3AA" w14:textId="77777777" w:rsidR="006218A1" w:rsidRPr="001C3C46" w:rsidRDefault="006218A1" w:rsidP="001C3C46">
      <w:pPr>
        <w:spacing w:line="360" w:lineRule="auto"/>
        <w:jc w:val="both"/>
        <w:rPr>
          <w:rFonts w:ascii="Arial" w:hAnsi="Arial" w:cs="Arial"/>
        </w:rPr>
      </w:pPr>
    </w:p>
    <w:p w14:paraId="7CCA79E2" w14:textId="77777777" w:rsidR="006218A1" w:rsidRPr="001C3C46" w:rsidRDefault="006218A1" w:rsidP="001C3C46">
      <w:pPr>
        <w:pStyle w:val="Heading2"/>
      </w:pPr>
      <w:r w:rsidRPr="001C3C46">
        <w:t>Ethical Considerations</w:t>
      </w:r>
    </w:p>
    <w:p w14:paraId="7EB2DE17" w14:textId="49F0EC72" w:rsidR="006218A1" w:rsidRPr="001C3C46" w:rsidRDefault="006218A1" w:rsidP="001C3C46">
      <w:pPr>
        <w:spacing w:line="360" w:lineRule="auto"/>
        <w:jc w:val="both"/>
        <w:rPr>
          <w:rFonts w:ascii="Arial" w:hAnsi="Arial" w:cs="Arial"/>
        </w:rPr>
      </w:pPr>
      <w:r w:rsidRPr="001C3C46">
        <w:rPr>
          <w:rFonts w:ascii="Arial" w:hAnsi="Arial" w:cs="Arial"/>
        </w:rPr>
        <w:t>Since this project was secondary research, using existing academic literature, no ethics approval was necessary (Bryman, 2016).</w:t>
      </w:r>
    </w:p>
    <w:p w14:paraId="1F40B316" w14:textId="3379E412" w:rsidR="006218A1" w:rsidRPr="001C3C46" w:rsidRDefault="006218A1" w:rsidP="001C3C46">
      <w:pPr>
        <w:spacing w:line="360" w:lineRule="auto"/>
        <w:jc w:val="both"/>
        <w:rPr>
          <w:rFonts w:ascii="Arial" w:hAnsi="Arial" w:cs="Arial"/>
        </w:rPr>
      </w:pPr>
      <w:r w:rsidRPr="001C3C46">
        <w:rPr>
          <w:rFonts w:ascii="Arial" w:hAnsi="Arial" w:cs="Arial"/>
        </w:rPr>
        <w:t>Despite this, good research practice and ethical research practices were observed every step of the way, using Harvard referencing throughout this study</w:t>
      </w:r>
      <w:r w:rsidRPr="001C3C46">
        <w:rPr>
          <w:rFonts w:ascii="MS Gothic" w:eastAsia="MS Gothic" w:hAnsi="MS Gothic" w:cs="MS Gothic" w:hint="eastAsia"/>
        </w:rPr>
        <w:t>․</w:t>
      </w:r>
      <w:r w:rsidRPr="001C3C46">
        <w:rPr>
          <w:rFonts w:ascii="Arial" w:hAnsi="Arial" w:cs="Arial"/>
        </w:rPr>
        <w:t xml:space="preserve"> The results of the selected studies were accurately reported, and not distorted</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To ensure transparency and the credibility of the review, the search strategy and selection procedures were all clearly documented</w:t>
      </w:r>
      <w:r w:rsidRPr="001C3C46">
        <w:rPr>
          <w:rFonts w:ascii="MS Gothic" w:eastAsia="MS Gothic" w:hAnsi="MS Gothic" w:cs="MS Gothic" w:hint="eastAsia"/>
        </w:rPr>
        <w:t>․</w:t>
      </w:r>
    </w:p>
    <w:p w14:paraId="1023129C" w14:textId="77777777" w:rsidR="006218A1" w:rsidRPr="001C3C46" w:rsidRDefault="006218A1" w:rsidP="001C3C46">
      <w:pPr>
        <w:pStyle w:val="Heading1"/>
      </w:pPr>
      <w:r w:rsidRPr="001C3C46">
        <w:lastRenderedPageBreak/>
        <w:t>Results</w:t>
      </w:r>
    </w:p>
    <w:p w14:paraId="6EE49745" w14:textId="4C48A78D" w:rsidR="00A2744B" w:rsidRPr="001C3C46" w:rsidRDefault="006218A1" w:rsidP="001C3C46">
      <w:pPr>
        <w:spacing w:line="360" w:lineRule="auto"/>
        <w:jc w:val="both"/>
        <w:rPr>
          <w:rFonts w:ascii="Arial" w:hAnsi="Arial" w:cs="Arial"/>
        </w:rPr>
      </w:pPr>
      <w:r w:rsidRPr="001C3C46">
        <w:rPr>
          <w:rFonts w:ascii="Arial" w:hAnsi="Arial" w:cs="Arial"/>
        </w:rPr>
        <w:t xml:space="preserve">Six </w:t>
      </w:r>
      <w:r w:rsidR="00E05241">
        <w:rPr>
          <w:rFonts w:ascii="Arial" w:hAnsi="Arial" w:cs="Arial"/>
        </w:rPr>
        <w:t>peer-reviewed</w:t>
      </w:r>
      <w:r w:rsidRPr="001C3C46">
        <w:rPr>
          <w:rFonts w:ascii="Arial" w:hAnsi="Arial" w:cs="Arial"/>
        </w:rPr>
        <w:t xml:space="preserve"> studies were included in the scoping review, including systematic reviews, a qualitative study and quantitative studies exploring barriers to accessing mental health services in the UK</w:t>
      </w:r>
      <w:r w:rsidR="00E05241">
        <w:rPr>
          <w:rFonts w:ascii="Arial" w:hAnsi="Arial" w:cs="Arial"/>
        </w:rPr>
        <w:t>,</w:t>
      </w:r>
      <w:r w:rsidR="001C3C46">
        <w:rPr>
          <w:rFonts w:ascii="Arial" w:hAnsi="Arial" w:cs="Arial"/>
        </w:rPr>
        <w:t xml:space="preserve"> as shown in table 1</w:t>
      </w:r>
      <w:r w:rsidRPr="001C3C46">
        <w:rPr>
          <w:rFonts w:ascii="MS Gothic" w:eastAsia="MS Gothic" w:hAnsi="MS Gothic" w:cs="MS Gothic" w:hint="eastAsia"/>
        </w:rPr>
        <w:t>․</w:t>
      </w:r>
      <w:r w:rsidR="00E05241">
        <w:rPr>
          <w:rFonts w:ascii="MS Gothic" w:eastAsia="MS Gothic" w:hAnsi="MS Gothic" w:cs="MS Gothic"/>
        </w:rPr>
        <w:t>.</w:t>
      </w:r>
      <w:r w:rsidR="001C3C46">
        <w:rPr>
          <w:rFonts w:ascii="Arial" w:hAnsi="Arial" w:cs="Arial"/>
        </w:rPr>
        <w:t xml:space="preserve"> </w:t>
      </w:r>
      <w:r w:rsidRPr="001C3C46">
        <w:rPr>
          <w:rFonts w:ascii="Arial" w:hAnsi="Arial" w:cs="Arial"/>
        </w:rPr>
        <w:t>Despite differences in methodology and populations, structural, social and organisational barriers to accessing mental health services were identified across studies, and four themes were identified in this thematic analysis</w:t>
      </w:r>
      <w:r w:rsidRPr="001C3C46">
        <w:rPr>
          <w:rFonts w:ascii="MS Gothic" w:eastAsia="MS Gothic" w:hAnsi="MS Gothic" w:cs="MS Gothic" w:hint="eastAsia"/>
        </w:rPr>
        <w:t>․</w:t>
      </w:r>
    </w:p>
    <w:p w14:paraId="614F2871" w14:textId="77777777" w:rsidR="006218A1" w:rsidRPr="001C3C46" w:rsidRDefault="006218A1" w:rsidP="001C3C46">
      <w:pPr>
        <w:spacing w:line="360" w:lineRule="auto"/>
        <w:jc w:val="both"/>
        <w:rPr>
          <w:rFonts w:ascii="Arial" w:hAnsi="Arial" w:cs="Arial"/>
        </w:rPr>
      </w:pPr>
    </w:p>
    <w:p w14:paraId="262B1A42" w14:textId="6291C036" w:rsidR="00A2744B" w:rsidRPr="00A2744B" w:rsidRDefault="001C3C46" w:rsidP="001C3C46">
      <w:pPr>
        <w:spacing w:line="360" w:lineRule="auto"/>
        <w:jc w:val="both"/>
        <w:rPr>
          <w:rFonts w:ascii="Arial" w:hAnsi="Arial" w:cs="Arial"/>
          <w:b/>
          <w:bCs/>
        </w:rPr>
      </w:pPr>
      <w:r>
        <w:rPr>
          <w:rFonts w:ascii="Arial" w:hAnsi="Arial" w:cs="Arial"/>
          <w:b/>
          <w:bCs/>
        </w:rPr>
        <w:t xml:space="preserve">Table 1: </w:t>
      </w:r>
      <w:r w:rsidR="00A2744B" w:rsidRPr="00A2744B">
        <w:rPr>
          <w:rFonts w:ascii="Arial" w:hAnsi="Arial" w:cs="Arial"/>
          <w:b/>
          <w:bCs/>
        </w:rPr>
        <w:t>Summary of Included Studies</w:t>
      </w:r>
    </w:p>
    <w:tbl>
      <w:tblPr>
        <w:tblStyle w:val="TableGrid"/>
        <w:tblW w:w="0" w:type="auto"/>
        <w:tblLook w:val="04A0" w:firstRow="1" w:lastRow="0" w:firstColumn="1" w:lastColumn="0" w:noHBand="0" w:noVBand="1"/>
      </w:tblPr>
      <w:tblGrid>
        <w:gridCol w:w="1331"/>
        <w:gridCol w:w="1926"/>
        <w:gridCol w:w="1509"/>
        <w:gridCol w:w="1122"/>
        <w:gridCol w:w="1643"/>
        <w:gridCol w:w="1485"/>
      </w:tblGrid>
      <w:tr w:rsidR="00A2744B" w:rsidRPr="00A2744B" w14:paraId="0E2C3B92" w14:textId="77777777" w:rsidTr="001C3C46">
        <w:tc>
          <w:tcPr>
            <w:tcW w:w="0" w:type="auto"/>
            <w:hideMark/>
          </w:tcPr>
          <w:p w14:paraId="5E9B11FE"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Author &amp; Year</w:t>
            </w:r>
          </w:p>
        </w:tc>
        <w:tc>
          <w:tcPr>
            <w:tcW w:w="0" w:type="auto"/>
            <w:hideMark/>
          </w:tcPr>
          <w:p w14:paraId="7E0E2A11"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Study Aim</w:t>
            </w:r>
          </w:p>
        </w:tc>
        <w:tc>
          <w:tcPr>
            <w:tcW w:w="0" w:type="auto"/>
            <w:hideMark/>
          </w:tcPr>
          <w:p w14:paraId="0070C47E"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Method</w:t>
            </w:r>
          </w:p>
        </w:tc>
        <w:tc>
          <w:tcPr>
            <w:tcW w:w="0" w:type="auto"/>
            <w:hideMark/>
          </w:tcPr>
          <w:p w14:paraId="012EC20F"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Sample</w:t>
            </w:r>
          </w:p>
        </w:tc>
        <w:tc>
          <w:tcPr>
            <w:tcW w:w="0" w:type="auto"/>
            <w:hideMark/>
          </w:tcPr>
          <w:p w14:paraId="79D77A56"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Key Findings</w:t>
            </w:r>
          </w:p>
        </w:tc>
        <w:tc>
          <w:tcPr>
            <w:tcW w:w="0" w:type="auto"/>
            <w:hideMark/>
          </w:tcPr>
          <w:p w14:paraId="5A7D261E" w14:textId="77777777" w:rsidR="00A2744B" w:rsidRPr="00A2744B" w:rsidRDefault="00A2744B" w:rsidP="001C3C46">
            <w:pPr>
              <w:spacing w:after="160" w:line="360" w:lineRule="auto"/>
              <w:jc w:val="both"/>
              <w:rPr>
                <w:rFonts w:ascii="Times New Roman" w:hAnsi="Times New Roman" w:cs="Times New Roman"/>
                <w:b/>
                <w:bCs/>
                <w:sz w:val="22"/>
                <w:szCs w:val="22"/>
              </w:rPr>
            </w:pPr>
            <w:r w:rsidRPr="00A2744B">
              <w:rPr>
                <w:rFonts w:ascii="Times New Roman" w:hAnsi="Times New Roman" w:cs="Times New Roman"/>
                <w:b/>
                <w:bCs/>
                <w:sz w:val="22"/>
                <w:szCs w:val="22"/>
              </w:rPr>
              <w:t>Relevance</w:t>
            </w:r>
          </w:p>
        </w:tc>
      </w:tr>
      <w:tr w:rsidR="00A2744B" w:rsidRPr="00A2744B" w14:paraId="384FE06D" w14:textId="77777777" w:rsidTr="001C3C46">
        <w:tc>
          <w:tcPr>
            <w:tcW w:w="0" w:type="auto"/>
            <w:hideMark/>
          </w:tcPr>
          <w:p w14:paraId="51F60E61"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Woodhead et al. (2023)</w:t>
            </w:r>
          </w:p>
        </w:tc>
        <w:tc>
          <w:tcPr>
            <w:tcW w:w="0" w:type="auto"/>
            <w:hideMark/>
          </w:tcPr>
          <w:p w14:paraId="67927DDF"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inequalities in mental health service access</w:t>
            </w:r>
          </w:p>
        </w:tc>
        <w:tc>
          <w:tcPr>
            <w:tcW w:w="0" w:type="auto"/>
            <w:hideMark/>
          </w:tcPr>
          <w:p w14:paraId="79F3BDA8"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Systematic mapping review</w:t>
            </w:r>
          </w:p>
        </w:tc>
        <w:tc>
          <w:tcPr>
            <w:tcW w:w="0" w:type="auto"/>
            <w:hideMark/>
          </w:tcPr>
          <w:p w14:paraId="16BFDA9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UK studies</w:t>
            </w:r>
          </w:p>
        </w:tc>
        <w:tc>
          <w:tcPr>
            <w:tcW w:w="0" w:type="auto"/>
            <w:hideMark/>
          </w:tcPr>
          <w:p w14:paraId="5931460B"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Inequalities exist across social groups</w:t>
            </w:r>
          </w:p>
        </w:tc>
        <w:tc>
          <w:tcPr>
            <w:tcW w:w="0" w:type="auto"/>
            <w:hideMark/>
          </w:tcPr>
          <w:p w14:paraId="5258EB83"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Core evidence on structural barriers</w:t>
            </w:r>
          </w:p>
        </w:tc>
      </w:tr>
      <w:tr w:rsidR="00A2744B" w:rsidRPr="00A2744B" w14:paraId="6D6BEBA5" w14:textId="77777777" w:rsidTr="001C3C46">
        <w:tc>
          <w:tcPr>
            <w:tcW w:w="0" w:type="auto"/>
            <w:hideMark/>
          </w:tcPr>
          <w:p w14:paraId="6B617549"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Wang et al. (2024)</w:t>
            </w:r>
          </w:p>
        </w:tc>
        <w:tc>
          <w:tcPr>
            <w:tcW w:w="0" w:type="auto"/>
            <w:hideMark/>
          </w:tcPr>
          <w:p w14:paraId="14DD5A7F"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attitudes to mental health services</w:t>
            </w:r>
          </w:p>
        </w:tc>
        <w:tc>
          <w:tcPr>
            <w:tcW w:w="0" w:type="auto"/>
            <w:hideMark/>
          </w:tcPr>
          <w:p w14:paraId="0AE5800C"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Cross-sectional study</w:t>
            </w:r>
          </w:p>
        </w:tc>
        <w:tc>
          <w:tcPr>
            <w:tcW w:w="0" w:type="auto"/>
            <w:hideMark/>
          </w:tcPr>
          <w:p w14:paraId="216E11E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UK adults</w:t>
            </w:r>
          </w:p>
        </w:tc>
        <w:tc>
          <w:tcPr>
            <w:tcW w:w="0" w:type="auto"/>
            <w:hideMark/>
          </w:tcPr>
          <w:p w14:paraId="16B14740"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Stigma and self-reliance reduce service use</w:t>
            </w:r>
          </w:p>
        </w:tc>
        <w:tc>
          <w:tcPr>
            <w:tcW w:w="0" w:type="auto"/>
            <w:hideMark/>
          </w:tcPr>
          <w:p w14:paraId="2A07198C"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Social barrier evidence</w:t>
            </w:r>
          </w:p>
        </w:tc>
      </w:tr>
      <w:tr w:rsidR="00A2744B" w:rsidRPr="00A2744B" w14:paraId="4B98C67F" w14:textId="77777777" w:rsidTr="001C3C46">
        <w:tc>
          <w:tcPr>
            <w:tcW w:w="0" w:type="auto"/>
            <w:hideMark/>
          </w:tcPr>
          <w:p w14:paraId="603C0656"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Siebert et al. (2023)</w:t>
            </w:r>
          </w:p>
        </w:tc>
        <w:tc>
          <w:tcPr>
            <w:tcW w:w="0" w:type="auto"/>
            <w:hideMark/>
          </w:tcPr>
          <w:p w14:paraId="79CBF292"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access to psychological therapies</w:t>
            </w:r>
          </w:p>
        </w:tc>
        <w:tc>
          <w:tcPr>
            <w:tcW w:w="0" w:type="auto"/>
            <w:hideMark/>
          </w:tcPr>
          <w:p w14:paraId="2025C95F"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Qualitative research</w:t>
            </w:r>
          </w:p>
        </w:tc>
        <w:tc>
          <w:tcPr>
            <w:tcW w:w="0" w:type="auto"/>
            <w:hideMark/>
          </w:tcPr>
          <w:p w14:paraId="64AAFE94"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Service users</w:t>
            </w:r>
          </w:p>
        </w:tc>
        <w:tc>
          <w:tcPr>
            <w:tcW w:w="0" w:type="auto"/>
            <w:hideMark/>
          </w:tcPr>
          <w:p w14:paraId="0EF54F08"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Referral pathways difficult</w:t>
            </w:r>
          </w:p>
        </w:tc>
        <w:tc>
          <w:tcPr>
            <w:tcW w:w="0" w:type="auto"/>
            <w:hideMark/>
          </w:tcPr>
          <w:p w14:paraId="73E5A28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System barrier evidence</w:t>
            </w:r>
          </w:p>
        </w:tc>
      </w:tr>
      <w:tr w:rsidR="00A2744B" w:rsidRPr="00A2744B" w14:paraId="58326E8A" w14:textId="77777777" w:rsidTr="001C3C46">
        <w:tc>
          <w:tcPr>
            <w:tcW w:w="0" w:type="auto"/>
            <w:hideMark/>
          </w:tcPr>
          <w:p w14:paraId="3F03CB7B"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Siebert et al. (2024)</w:t>
            </w:r>
          </w:p>
        </w:tc>
        <w:tc>
          <w:tcPr>
            <w:tcW w:w="0" w:type="auto"/>
            <w:hideMark/>
          </w:tcPr>
          <w:p w14:paraId="0FA20341"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barriers in minority communities</w:t>
            </w:r>
          </w:p>
        </w:tc>
        <w:tc>
          <w:tcPr>
            <w:tcW w:w="0" w:type="auto"/>
            <w:hideMark/>
          </w:tcPr>
          <w:p w14:paraId="556398B9"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Qualitative interviews</w:t>
            </w:r>
          </w:p>
        </w:tc>
        <w:tc>
          <w:tcPr>
            <w:tcW w:w="0" w:type="auto"/>
            <w:hideMark/>
          </w:tcPr>
          <w:p w14:paraId="68E6CF51"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UK minority groups</w:t>
            </w:r>
          </w:p>
        </w:tc>
        <w:tc>
          <w:tcPr>
            <w:tcW w:w="0" w:type="auto"/>
            <w:hideMark/>
          </w:tcPr>
          <w:p w14:paraId="79AC35A8"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Cultural and trust barriers identified</w:t>
            </w:r>
          </w:p>
        </w:tc>
        <w:tc>
          <w:tcPr>
            <w:tcW w:w="0" w:type="auto"/>
            <w:hideMark/>
          </w:tcPr>
          <w:p w14:paraId="5E936910"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Cultural barriers</w:t>
            </w:r>
          </w:p>
        </w:tc>
      </w:tr>
      <w:tr w:rsidR="00A2744B" w:rsidRPr="00A2744B" w14:paraId="2E593F02" w14:textId="77777777" w:rsidTr="001C3C46">
        <w:tc>
          <w:tcPr>
            <w:tcW w:w="0" w:type="auto"/>
            <w:hideMark/>
          </w:tcPr>
          <w:p w14:paraId="21C79B4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Kapadia et al. (2022)</w:t>
            </w:r>
          </w:p>
        </w:tc>
        <w:tc>
          <w:tcPr>
            <w:tcW w:w="0" w:type="auto"/>
            <w:hideMark/>
          </w:tcPr>
          <w:p w14:paraId="019C7891"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ethnic inequalities in care</w:t>
            </w:r>
          </w:p>
        </w:tc>
        <w:tc>
          <w:tcPr>
            <w:tcW w:w="0" w:type="auto"/>
            <w:hideMark/>
          </w:tcPr>
          <w:p w14:paraId="6ACA05A0"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Meta-ethnography</w:t>
            </w:r>
          </w:p>
        </w:tc>
        <w:tc>
          <w:tcPr>
            <w:tcW w:w="0" w:type="auto"/>
            <w:hideMark/>
          </w:tcPr>
          <w:p w14:paraId="6346B8BF"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UK studies</w:t>
            </w:r>
          </w:p>
        </w:tc>
        <w:tc>
          <w:tcPr>
            <w:tcW w:w="0" w:type="auto"/>
            <w:hideMark/>
          </w:tcPr>
          <w:p w14:paraId="2B2A52E0"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Structural inequalities persist</w:t>
            </w:r>
          </w:p>
        </w:tc>
        <w:tc>
          <w:tcPr>
            <w:tcW w:w="0" w:type="auto"/>
            <w:hideMark/>
          </w:tcPr>
          <w:p w14:paraId="11BA2CE6"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Inequality barriers</w:t>
            </w:r>
          </w:p>
        </w:tc>
      </w:tr>
      <w:tr w:rsidR="00A2744B" w:rsidRPr="00A2744B" w14:paraId="49E40074" w14:textId="77777777" w:rsidTr="001C3C46">
        <w:tc>
          <w:tcPr>
            <w:tcW w:w="0" w:type="auto"/>
            <w:hideMark/>
          </w:tcPr>
          <w:p w14:paraId="30D30632"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Alam et al. (2024)</w:t>
            </w:r>
          </w:p>
        </w:tc>
        <w:tc>
          <w:tcPr>
            <w:tcW w:w="0" w:type="auto"/>
            <w:hideMark/>
          </w:tcPr>
          <w:p w14:paraId="2AA1772B"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Examine barriers for minority groups</w:t>
            </w:r>
          </w:p>
        </w:tc>
        <w:tc>
          <w:tcPr>
            <w:tcW w:w="0" w:type="auto"/>
            <w:hideMark/>
          </w:tcPr>
          <w:p w14:paraId="0F657FA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Systematic review</w:t>
            </w:r>
          </w:p>
        </w:tc>
        <w:tc>
          <w:tcPr>
            <w:tcW w:w="0" w:type="auto"/>
            <w:hideMark/>
          </w:tcPr>
          <w:p w14:paraId="43DE9A4F"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UK research</w:t>
            </w:r>
          </w:p>
        </w:tc>
        <w:tc>
          <w:tcPr>
            <w:tcW w:w="0" w:type="auto"/>
            <w:hideMark/>
          </w:tcPr>
          <w:p w14:paraId="4DD29979"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Lack of culturally appropriate care</w:t>
            </w:r>
          </w:p>
        </w:tc>
        <w:tc>
          <w:tcPr>
            <w:tcW w:w="0" w:type="auto"/>
            <w:hideMark/>
          </w:tcPr>
          <w:p w14:paraId="23568975" w14:textId="77777777" w:rsidR="00A2744B" w:rsidRPr="00A2744B" w:rsidRDefault="00A2744B" w:rsidP="001C3C46">
            <w:pPr>
              <w:spacing w:after="160" w:line="360" w:lineRule="auto"/>
              <w:jc w:val="both"/>
              <w:rPr>
                <w:rFonts w:ascii="Times New Roman" w:hAnsi="Times New Roman" w:cs="Times New Roman"/>
                <w:sz w:val="22"/>
                <w:szCs w:val="22"/>
              </w:rPr>
            </w:pPr>
            <w:r w:rsidRPr="00A2744B">
              <w:rPr>
                <w:rFonts w:ascii="Times New Roman" w:hAnsi="Times New Roman" w:cs="Times New Roman"/>
                <w:sz w:val="22"/>
                <w:szCs w:val="22"/>
              </w:rPr>
              <w:t>Cultural barriers</w:t>
            </w:r>
          </w:p>
        </w:tc>
      </w:tr>
    </w:tbl>
    <w:p w14:paraId="425F5764" w14:textId="77777777" w:rsidR="006218A1" w:rsidRPr="001C3C46" w:rsidRDefault="006218A1" w:rsidP="001C3C46">
      <w:pPr>
        <w:spacing w:line="360" w:lineRule="auto"/>
        <w:jc w:val="both"/>
        <w:rPr>
          <w:rFonts w:ascii="Arial" w:hAnsi="Arial" w:cs="Arial"/>
        </w:rPr>
      </w:pPr>
    </w:p>
    <w:p w14:paraId="56101212" w14:textId="77777777" w:rsidR="006218A1" w:rsidRPr="001C3C46" w:rsidRDefault="006218A1" w:rsidP="001C3C46">
      <w:pPr>
        <w:pStyle w:val="Heading2"/>
      </w:pPr>
      <w:r w:rsidRPr="001C3C46">
        <w:lastRenderedPageBreak/>
        <w:t>Theme 1 - Structural Barriers</w:t>
      </w:r>
    </w:p>
    <w:p w14:paraId="6AAC2D19" w14:textId="301D49C3" w:rsidR="006218A1" w:rsidRPr="001C3C46" w:rsidRDefault="006218A1" w:rsidP="001C3C46">
      <w:pPr>
        <w:spacing w:line="360" w:lineRule="auto"/>
        <w:jc w:val="both"/>
        <w:rPr>
          <w:rFonts w:ascii="Arial" w:hAnsi="Arial" w:cs="Arial"/>
        </w:rPr>
      </w:pPr>
      <w:r w:rsidRPr="001C3C46">
        <w:rPr>
          <w:rFonts w:ascii="Arial" w:hAnsi="Arial" w:cs="Arial"/>
        </w:rPr>
        <w:t>Structural barriers were consistently the most salient and common barrier to obtaining mental health services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Woodhead et al</w:t>
      </w:r>
      <w:r w:rsidRPr="001C3C46">
        <w:rPr>
          <w:rFonts w:ascii="MS Gothic" w:eastAsia="MS Gothic" w:hAnsi="MS Gothic" w:cs="MS Gothic" w:hint="eastAsia"/>
        </w:rPr>
        <w:t>․</w:t>
      </w:r>
      <w:r w:rsidRPr="001C3C46">
        <w:rPr>
          <w:rFonts w:ascii="Arial" w:hAnsi="Arial" w:cs="Arial"/>
        </w:rPr>
        <w:t xml:space="preserve"> (2023) suggested that structural inequalities determined differential access across population groups</w:t>
      </w:r>
      <w:r w:rsidRPr="001C3C46">
        <w:rPr>
          <w:rFonts w:ascii="MS Gothic" w:eastAsia="MS Gothic" w:hAnsi="MS Gothic" w:cs="MS Gothic" w:hint="eastAsia"/>
        </w:rPr>
        <w:t>․</w:t>
      </w:r>
      <w:r w:rsidRPr="001C3C46">
        <w:rPr>
          <w:rFonts w:ascii="Arial" w:hAnsi="Arial" w:cs="Arial"/>
        </w:rPr>
        <w:t xml:space="preserve"> Siebert et al</w:t>
      </w:r>
      <w:r w:rsidRPr="001C3C46">
        <w:rPr>
          <w:rFonts w:ascii="MS Gothic" w:eastAsia="MS Gothic" w:hAnsi="MS Gothic" w:cs="MS Gothic" w:hint="eastAsia"/>
        </w:rPr>
        <w:t>․</w:t>
      </w:r>
      <w:r w:rsidRPr="001C3C46">
        <w:rPr>
          <w:rFonts w:ascii="Arial" w:hAnsi="Arial" w:cs="Arial"/>
        </w:rPr>
        <w:t xml:space="preserve"> (2023) found long wait times and limited availability delayed access to psychological therapies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Kapadia et al</w:t>
      </w:r>
      <w:r w:rsidRPr="001C3C46">
        <w:rPr>
          <w:rFonts w:ascii="MS Gothic" w:eastAsia="MS Gothic" w:hAnsi="MS Gothic" w:cs="MS Gothic" w:hint="eastAsia"/>
        </w:rPr>
        <w:t>․</w:t>
      </w:r>
      <w:r w:rsidRPr="001C3C46">
        <w:rPr>
          <w:rFonts w:ascii="Arial" w:hAnsi="Arial" w:cs="Arial"/>
        </w:rPr>
        <w:t xml:space="preserve"> (2022) suggest that, in part, the barriers to service utilisation may be the result of structural inequalities present in all healthcare systems rather than service shortages alone</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Wang et al</w:t>
      </w:r>
      <w:r w:rsidRPr="001C3C46">
        <w:rPr>
          <w:rFonts w:ascii="MS Gothic" w:eastAsia="MS Gothic" w:hAnsi="MS Gothic" w:cs="MS Gothic" w:hint="eastAsia"/>
        </w:rPr>
        <w:t>․</w:t>
      </w:r>
      <w:r w:rsidRPr="001C3C46">
        <w:rPr>
          <w:rFonts w:ascii="Arial" w:hAnsi="Arial" w:cs="Arial"/>
        </w:rPr>
        <w:t xml:space="preserve"> (2024) found that structural explanations might be insufficient because individuals did not always help-seek, even when services were available, which suggests the existence of psychological barriers in addition to structural ones</w:t>
      </w:r>
      <w:r w:rsidRPr="001C3C46">
        <w:rPr>
          <w:rFonts w:ascii="MS Gothic" w:eastAsia="MS Gothic" w:hAnsi="MS Gothic" w:cs="MS Gothic" w:hint="eastAsia"/>
        </w:rPr>
        <w:t>․</w:t>
      </w:r>
    </w:p>
    <w:p w14:paraId="6A4AFDD5" w14:textId="77777777" w:rsidR="006218A1" w:rsidRPr="001C3C46" w:rsidRDefault="006218A1" w:rsidP="001C3C46">
      <w:pPr>
        <w:spacing w:line="360" w:lineRule="auto"/>
        <w:jc w:val="both"/>
        <w:rPr>
          <w:rFonts w:ascii="Arial" w:hAnsi="Arial" w:cs="Arial"/>
        </w:rPr>
      </w:pPr>
    </w:p>
    <w:p w14:paraId="59F8C7D8" w14:textId="77777777" w:rsidR="006218A1" w:rsidRPr="001C3C46" w:rsidRDefault="006218A1" w:rsidP="001C3C46">
      <w:pPr>
        <w:pStyle w:val="Heading2"/>
      </w:pPr>
      <w:r w:rsidRPr="001C3C46">
        <w:t>Theme 2 - Social and attitudinal barriers</w:t>
      </w:r>
    </w:p>
    <w:p w14:paraId="23398099" w14:textId="22C38609" w:rsidR="006218A1" w:rsidRPr="001C3C46" w:rsidRDefault="006218A1" w:rsidP="001C3C46">
      <w:pPr>
        <w:spacing w:line="360" w:lineRule="auto"/>
        <w:jc w:val="both"/>
        <w:rPr>
          <w:rFonts w:ascii="Arial" w:hAnsi="Arial" w:cs="Arial"/>
        </w:rPr>
      </w:pPr>
      <w:r w:rsidRPr="001C3C46">
        <w:rPr>
          <w:rFonts w:ascii="Arial" w:hAnsi="Arial" w:cs="Arial"/>
        </w:rPr>
        <w:t>Social and attitudinal barriers were also seen as important factors, affecting access to mental health services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According to Wang et al</w:t>
      </w:r>
      <w:r w:rsidRPr="001C3C46">
        <w:rPr>
          <w:rFonts w:ascii="MS Gothic" w:eastAsia="MS Gothic" w:hAnsi="MS Gothic" w:cs="MS Gothic" w:hint="eastAsia"/>
        </w:rPr>
        <w:t>․</w:t>
      </w:r>
      <w:r w:rsidRPr="001C3C46">
        <w:rPr>
          <w:rFonts w:ascii="Arial" w:hAnsi="Arial" w:cs="Arial"/>
        </w:rPr>
        <w:t xml:space="preserve"> (2024), many participants preferred to self-manage mental health problems, though according to Gulliver, Griffiths and Christensen (2010), stigma and embarrassment were also factors preventing people from accessing professional help</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A study by Alam et al</w:t>
      </w:r>
      <w:r w:rsidRPr="001C3C46">
        <w:rPr>
          <w:rFonts w:ascii="MS Gothic" w:eastAsia="MS Gothic" w:hAnsi="MS Gothic" w:cs="MS Gothic" w:hint="eastAsia"/>
        </w:rPr>
        <w:t>․</w:t>
      </w:r>
      <w:r w:rsidRPr="001C3C46">
        <w:rPr>
          <w:rFonts w:ascii="Arial" w:hAnsi="Arial" w:cs="Arial"/>
        </w:rPr>
        <w:t xml:space="preserve"> (2024) found stigma was highlighted in racially minoritised communities, where fear of discrimination and distrust of services prevents help-seeking</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Clement et al</w:t>
      </w:r>
      <w:r w:rsidRPr="001C3C46">
        <w:rPr>
          <w:rFonts w:ascii="MS Gothic" w:eastAsia="MS Gothic" w:hAnsi="MS Gothic" w:cs="MS Gothic" w:hint="eastAsia"/>
        </w:rPr>
        <w:t>․</w:t>
      </w:r>
      <w:r w:rsidRPr="001C3C46">
        <w:rPr>
          <w:rFonts w:ascii="Arial" w:hAnsi="Arial" w:cs="Arial"/>
        </w:rPr>
        <w:t xml:space="preserve"> (2015) conclude stigma cannot fully explain problems with accessing care, as their review found structural barriers to care among those seeking help</w:t>
      </w:r>
      <w:r w:rsidRPr="001C3C46">
        <w:rPr>
          <w:rFonts w:ascii="MS Gothic" w:eastAsia="MS Gothic" w:hAnsi="MS Gothic" w:cs="MS Gothic" w:hint="eastAsia"/>
        </w:rPr>
        <w:t>․</w:t>
      </w:r>
      <w:r w:rsidRPr="001C3C46">
        <w:rPr>
          <w:rFonts w:ascii="Arial" w:hAnsi="Arial" w:cs="Arial"/>
        </w:rPr>
        <w:t xml:space="preserve"> For this reason, attitudinal barriers should be considered in relation to service related barriers, rather than in isolation</w:t>
      </w:r>
      <w:r w:rsidRPr="001C3C46">
        <w:rPr>
          <w:rFonts w:ascii="MS Gothic" w:eastAsia="MS Gothic" w:hAnsi="MS Gothic" w:cs="MS Gothic" w:hint="eastAsia"/>
        </w:rPr>
        <w:t>․</w:t>
      </w:r>
    </w:p>
    <w:p w14:paraId="700722B4" w14:textId="77777777" w:rsidR="006218A1" w:rsidRPr="001C3C46" w:rsidRDefault="006218A1" w:rsidP="001C3C46">
      <w:pPr>
        <w:pStyle w:val="Heading2"/>
      </w:pPr>
      <w:r w:rsidRPr="001C3C46">
        <w:t>Theme 3: System Barriers</w:t>
      </w:r>
    </w:p>
    <w:p w14:paraId="7E13AE3E" w14:textId="65A4EE8B" w:rsidR="006218A1" w:rsidRPr="001C3C46" w:rsidRDefault="006218A1" w:rsidP="001C3C46">
      <w:pPr>
        <w:spacing w:line="360" w:lineRule="auto"/>
        <w:jc w:val="both"/>
        <w:rPr>
          <w:rFonts w:ascii="Arial" w:hAnsi="Arial" w:cs="Arial"/>
        </w:rPr>
      </w:pPr>
      <w:r w:rsidRPr="001C3C46">
        <w:rPr>
          <w:rFonts w:ascii="Arial" w:hAnsi="Arial" w:cs="Arial"/>
        </w:rPr>
        <w:t>System-related barriers may relate to the structure of mental health services, however, as mentioned, several studies highlight the complex referral pathways or fragmentation of services as a barrier to access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Siebert et al</w:t>
      </w:r>
      <w:r w:rsidRPr="001C3C46">
        <w:rPr>
          <w:rFonts w:ascii="MS Gothic" w:eastAsia="MS Gothic" w:hAnsi="MS Gothic" w:cs="MS Gothic" w:hint="eastAsia"/>
        </w:rPr>
        <w:t>․</w:t>
      </w:r>
      <w:r w:rsidRPr="001C3C46">
        <w:rPr>
          <w:rFonts w:ascii="Arial" w:hAnsi="Arial" w:cs="Arial"/>
        </w:rPr>
        <w:t xml:space="preserve"> (2023) found that the availability of psychological therapies was mainly contingent upon referral through a general practitioner, which resulted in delays and uncertainty in the experience of service users, and difficulties in navigating referral systems</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w:t>
      </w:r>
      <w:r w:rsidRPr="001C3C46">
        <w:rPr>
          <w:rFonts w:ascii="Arial" w:hAnsi="Arial" w:cs="Arial"/>
        </w:rPr>
        <w:lastRenderedPageBreak/>
        <w:t>also found service organisation led to inequalities in access because people struggled to know what support was available</w:t>
      </w:r>
      <w:r w:rsidRPr="001C3C46">
        <w:rPr>
          <w:rFonts w:ascii="MS Gothic" w:eastAsia="MS Gothic" w:hAnsi="MS Gothic" w:cs="MS Gothic" w:hint="eastAsia"/>
        </w:rPr>
        <w:t>․</w:t>
      </w:r>
    </w:p>
    <w:p w14:paraId="17A5D737" w14:textId="1EF67406" w:rsidR="006218A1" w:rsidRPr="001C3C46" w:rsidRDefault="006218A1" w:rsidP="001C3C46">
      <w:pPr>
        <w:spacing w:line="360" w:lineRule="auto"/>
        <w:jc w:val="both"/>
        <w:rPr>
          <w:rFonts w:ascii="Arial" w:hAnsi="Arial" w:cs="Arial"/>
        </w:rPr>
      </w:pPr>
      <w:r w:rsidRPr="001C3C46">
        <w:rPr>
          <w:rFonts w:ascii="Arial" w:hAnsi="Arial" w:cs="Arial"/>
        </w:rPr>
        <w:t>This evidence suggests mental health services may be difficult to access for people with psychological distress</w:t>
      </w:r>
      <w:r w:rsidRPr="001C3C46">
        <w:rPr>
          <w:rFonts w:ascii="MS Gothic" w:eastAsia="MS Gothic" w:hAnsi="MS Gothic" w:cs="MS Gothic" w:hint="eastAsia"/>
        </w:rPr>
        <w:t>․</w:t>
      </w:r>
      <w:r w:rsidRPr="001C3C46">
        <w:rPr>
          <w:rFonts w:ascii="Arial" w:hAnsi="Arial" w:cs="Arial"/>
        </w:rPr>
        <w:t xml:space="preserve"> The research by Gulliver, Griffiths and Christensen (2010) states mental health services can appear to be complex, and may effectively discourage people from trying to access support</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On the other hand, some researchers argue that this complexity is at least partly an unavoidable side effect of the need for specialised care pathways</w:t>
      </w:r>
      <w:r w:rsidRPr="001C3C46">
        <w:rPr>
          <w:rFonts w:ascii="MS Gothic" w:eastAsia="MS Gothic" w:hAnsi="MS Gothic" w:cs="MS Gothic" w:hint="eastAsia"/>
        </w:rPr>
        <w:t>․</w:t>
      </w:r>
      <w:r w:rsidRPr="001C3C46">
        <w:rPr>
          <w:rFonts w:ascii="Arial" w:hAnsi="Arial" w:cs="Arial"/>
        </w:rPr>
        <w:t xml:space="preserve"> Bebbington et al</w:t>
      </w:r>
      <w:r w:rsidRPr="001C3C46">
        <w:rPr>
          <w:rFonts w:ascii="MS Gothic" w:eastAsia="MS Gothic" w:hAnsi="MS Gothic" w:cs="MS Gothic" w:hint="eastAsia"/>
        </w:rPr>
        <w:t>․</w:t>
      </w:r>
      <w:r w:rsidRPr="001C3C46">
        <w:rPr>
          <w:rFonts w:ascii="Arial" w:hAnsi="Arial" w:cs="Arial"/>
        </w:rPr>
        <w:t xml:space="preserve"> (2016) argue that systems of referral are necessary</w:t>
      </w:r>
      <w:r w:rsidRPr="001C3C46">
        <w:rPr>
          <w:rFonts w:ascii="MS Gothic" w:eastAsia="MS Gothic" w:hAnsi="MS Gothic" w:cs="MS Gothic" w:hint="eastAsia"/>
        </w:rPr>
        <w:t>․</w:t>
      </w:r>
      <w:r w:rsidRPr="001C3C46">
        <w:rPr>
          <w:rFonts w:ascii="Arial" w:hAnsi="Arial" w:cs="Arial"/>
        </w:rPr>
        <w:t xml:space="preserve"> From this perspective, system barriers may be an attempt to maintain service quality rather than an organisational failure</w:t>
      </w:r>
      <w:r w:rsidRPr="001C3C46">
        <w:rPr>
          <w:rFonts w:ascii="MS Gothic" w:eastAsia="MS Gothic" w:hAnsi="MS Gothic" w:cs="MS Gothic" w:hint="eastAsia"/>
        </w:rPr>
        <w:t>․</w:t>
      </w:r>
    </w:p>
    <w:p w14:paraId="503E1393" w14:textId="653AA0C7" w:rsidR="006218A1" w:rsidRPr="001C3C46" w:rsidRDefault="006218A1" w:rsidP="001C3C46">
      <w:pPr>
        <w:spacing w:line="360" w:lineRule="auto"/>
        <w:jc w:val="both"/>
        <w:rPr>
          <w:rFonts w:ascii="Arial" w:hAnsi="Arial" w:cs="Arial"/>
        </w:rPr>
      </w:pPr>
      <w:r w:rsidRPr="001C3C46">
        <w:rPr>
          <w:rFonts w:ascii="Arial" w:hAnsi="Arial" w:cs="Arial"/>
        </w:rPr>
        <w:t>Despite this, there is evidence that referral systems are still often experienced by service users as confusing and inaccessible, and this has motivated the simplification of referral pathways as a potential way to improve access to mental health services (Care Quality Commission, 2020).</w:t>
      </w:r>
    </w:p>
    <w:p w14:paraId="262B015A" w14:textId="77777777" w:rsidR="006218A1" w:rsidRPr="001C3C46" w:rsidRDefault="006218A1" w:rsidP="001C3C46">
      <w:pPr>
        <w:spacing w:line="360" w:lineRule="auto"/>
        <w:jc w:val="both"/>
        <w:rPr>
          <w:rFonts w:ascii="Arial" w:hAnsi="Arial" w:cs="Arial"/>
        </w:rPr>
      </w:pPr>
    </w:p>
    <w:p w14:paraId="5ADFA526" w14:textId="77777777" w:rsidR="006218A1" w:rsidRPr="001C3C46" w:rsidRDefault="006218A1" w:rsidP="001C3C46">
      <w:pPr>
        <w:pStyle w:val="Heading2"/>
      </w:pPr>
      <w:r w:rsidRPr="001C3C46">
        <w:t>Theme 4 - Inequality Barriers</w:t>
      </w:r>
    </w:p>
    <w:p w14:paraId="50CF7945" w14:textId="77777777" w:rsidR="006218A1" w:rsidRPr="001C3C46" w:rsidRDefault="006218A1" w:rsidP="001C3C46">
      <w:pPr>
        <w:spacing w:line="360" w:lineRule="auto"/>
        <w:jc w:val="both"/>
        <w:rPr>
          <w:rFonts w:ascii="Arial" w:hAnsi="Arial" w:cs="Arial"/>
        </w:rPr>
      </w:pPr>
      <w:r w:rsidRPr="001C3C46">
        <w:rPr>
          <w:rFonts w:ascii="Arial" w:hAnsi="Arial" w:cs="Arial"/>
        </w:rPr>
        <w:t>Ethnicity, socioeconomic status and cultural background were influential in access to mental health services, with inequality barriers identified in over half of all studies</w:t>
      </w:r>
      <w:r w:rsidRPr="001C3C46">
        <w:rPr>
          <w:rFonts w:ascii="MS Gothic" w:eastAsia="MS Gothic" w:hAnsi="MS Gothic" w:cs="MS Gothic" w:hint="eastAsia"/>
        </w:rPr>
        <w:t>․</w:t>
      </w:r>
    </w:p>
    <w:p w14:paraId="426C3D6F" w14:textId="77777777" w:rsidR="006218A1" w:rsidRPr="001C3C46" w:rsidRDefault="006218A1" w:rsidP="001C3C46">
      <w:pPr>
        <w:spacing w:line="360" w:lineRule="auto"/>
        <w:jc w:val="both"/>
        <w:rPr>
          <w:rFonts w:ascii="Arial" w:hAnsi="Arial" w:cs="Arial"/>
        </w:rPr>
      </w:pPr>
      <w:r w:rsidRPr="001C3C46">
        <w:rPr>
          <w:rFonts w:ascii="Arial" w:hAnsi="Arial" w:cs="Arial"/>
        </w:rPr>
        <w:t>Kapadia et al</w:t>
      </w:r>
      <w:r w:rsidRPr="001C3C46">
        <w:rPr>
          <w:rFonts w:ascii="MS Gothic" w:eastAsia="MS Gothic" w:hAnsi="MS Gothic" w:cs="MS Gothic" w:hint="eastAsia"/>
        </w:rPr>
        <w:t>․</w:t>
      </w:r>
      <w:r w:rsidRPr="001C3C46">
        <w:rPr>
          <w:rFonts w:ascii="Arial" w:hAnsi="Arial" w:cs="Arial"/>
        </w:rPr>
        <w:t xml:space="preserve"> (2022) found strong evidence of ethnic inequalities in access to services across the UK, finding that minority ethnic groups were less likely to be treated appropriately and more likely to have negative experiences</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found persistent inequalities for socially disadvantaged groups</w:t>
      </w:r>
      <w:r w:rsidRPr="001C3C46">
        <w:rPr>
          <w:rFonts w:ascii="MS Gothic" w:eastAsia="MS Gothic" w:hAnsi="MS Gothic" w:cs="MS Gothic" w:hint="eastAsia"/>
        </w:rPr>
        <w:t>․</w:t>
      </w:r>
    </w:p>
    <w:p w14:paraId="673079B2" w14:textId="5D29FBA9" w:rsidR="006218A1" w:rsidRPr="001C3C46" w:rsidRDefault="006218A1" w:rsidP="001C3C46">
      <w:pPr>
        <w:spacing w:line="360" w:lineRule="auto"/>
        <w:jc w:val="both"/>
        <w:rPr>
          <w:rFonts w:ascii="Arial" w:hAnsi="Arial" w:cs="Arial"/>
        </w:rPr>
      </w:pPr>
      <w:r w:rsidRPr="001C3C46">
        <w:rPr>
          <w:rFonts w:ascii="Arial" w:hAnsi="Arial" w:cs="Arial"/>
        </w:rPr>
        <w:t>Research into other minority groups has found similar obstacles to inequality</w:t>
      </w:r>
      <w:r w:rsidRPr="001C3C46">
        <w:rPr>
          <w:rFonts w:ascii="MS Gothic" w:eastAsia="MS Gothic" w:hAnsi="MS Gothic" w:cs="MS Gothic" w:hint="eastAsia"/>
        </w:rPr>
        <w:t>․</w:t>
      </w:r>
      <w:r w:rsidRPr="001C3C46">
        <w:rPr>
          <w:rFonts w:ascii="Arial" w:hAnsi="Arial" w:cs="Arial"/>
        </w:rPr>
        <w:t xml:space="preserve"> Siebert et al</w:t>
      </w:r>
      <w:r w:rsidRPr="001C3C46">
        <w:rPr>
          <w:rFonts w:ascii="MS Gothic" w:eastAsia="MS Gothic" w:hAnsi="MS Gothic" w:cs="MS Gothic" w:hint="eastAsia"/>
        </w:rPr>
        <w:t>․</w:t>
      </w:r>
      <w:r w:rsidRPr="001C3C46">
        <w:rPr>
          <w:rFonts w:ascii="Arial" w:hAnsi="Arial" w:cs="Arial"/>
        </w:rPr>
        <w:t xml:space="preserve"> (2024) examined the impact of language barriers and cultural differences on engagement with mental health services</w:t>
      </w:r>
      <w:r w:rsidRPr="001C3C46">
        <w:rPr>
          <w:rFonts w:ascii="MS Gothic" w:eastAsia="MS Gothic" w:hAnsi="MS Gothic" w:cs="MS Gothic" w:hint="eastAsia"/>
        </w:rPr>
        <w:t>․</w:t>
      </w:r>
      <w:r w:rsidRPr="001C3C46">
        <w:rPr>
          <w:rFonts w:ascii="Arial" w:hAnsi="Arial" w:cs="Arial"/>
        </w:rPr>
        <w:t xml:space="preserve"> Participants reported concerns about cultural misunderstanding and receiving culturally appropriate care</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This aligns with Alam et al</w:t>
      </w:r>
      <w:r w:rsidRPr="001C3C46">
        <w:rPr>
          <w:rFonts w:ascii="MS Gothic" w:eastAsia="MS Gothic" w:hAnsi="MS Gothic" w:cs="MS Gothic" w:hint="eastAsia"/>
        </w:rPr>
        <w:t>․</w:t>
      </w:r>
      <w:r w:rsidRPr="001C3C46">
        <w:rPr>
          <w:rFonts w:ascii="Arial" w:hAnsi="Arial" w:cs="Arial"/>
        </w:rPr>
        <w:t xml:space="preserve"> (2024), who found a lack of trust in mental health services reduced access to healthcare for racially minoritised populations, citing fears of discrimination and lack of cultural competency</w:t>
      </w:r>
      <w:r w:rsidRPr="001C3C46">
        <w:rPr>
          <w:rFonts w:ascii="MS Gothic" w:eastAsia="MS Gothic" w:hAnsi="MS Gothic" w:cs="MS Gothic" w:hint="eastAsia"/>
        </w:rPr>
        <w:t>․</w:t>
      </w:r>
    </w:p>
    <w:p w14:paraId="7027C2F7" w14:textId="7CA116E2" w:rsidR="006218A1" w:rsidRPr="001C3C46" w:rsidRDefault="006218A1" w:rsidP="001C3C46">
      <w:pPr>
        <w:spacing w:line="360" w:lineRule="auto"/>
        <w:jc w:val="both"/>
        <w:rPr>
          <w:rFonts w:ascii="Arial" w:hAnsi="Arial" w:cs="Arial"/>
        </w:rPr>
      </w:pPr>
      <w:r w:rsidRPr="001C3C46">
        <w:rPr>
          <w:rFonts w:ascii="Arial" w:hAnsi="Arial" w:cs="Arial"/>
        </w:rPr>
        <w:lastRenderedPageBreak/>
        <w:t>In contrast, Woodhead et al</w:t>
      </w:r>
      <w:r w:rsidRPr="001C3C46">
        <w:rPr>
          <w:rFonts w:ascii="MS Gothic" w:eastAsia="MS Gothic" w:hAnsi="MS Gothic" w:cs="MS Gothic" w:hint="eastAsia"/>
        </w:rPr>
        <w:t>․</w:t>
      </w:r>
      <w:r w:rsidRPr="001C3C46">
        <w:rPr>
          <w:rFonts w:ascii="Arial" w:hAnsi="Arial" w:cs="Arial"/>
        </w:rPr>
        <w:t xml:space="preserve"> (2023) argue that inequalities should also be understood as the consequence of a combination of social disadvantage and service design, suggesting that they are the result of both demographic factors and structural factors, rather than solely demographic factors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These findings suggest unequal access to mental health services is still a major issue within the United Kingdom</w:t>
      </w:r>
      <w:r w:rsidRPr="001C3C46">
        <w:rPr>
          <w:rFonts w:ascii="MS Gothic" w:eastAsia="MS Gothic" w:hAnsi="MS Gothic" w:cs="MS Gothic" w:hint="eastAsia"/>
        </w:rPr>
        <w:t>․</w:t>
      </w:r>
      <w:r w:rsidR="00E05241">
        <w:rPr>
          <w:rFonts w:ascii="MS Gothic" w:eastAsia="MS Gothic" w:hAnsi="MS Gothic" w:cs="MS Gothic"/>
        </w:rPr>
        <w:t>.</w:t>
      </w:r>
    </w:p>
    <w:p w14:paraId="406F7D69" w14:textId="77777777" w:rsidR="006218A1" w:rsidRPr="001C3C46" w:rsidRDefault="006218A1" w:rsidP="001C3C46">
      <w:pPr>
        <w:spacing w:line="360" w:lineRule="auto"/>
        <w:jc w:val="both"/>
        <w:rPr>
          <w:rFonts w:ascii="Arial" w:hAnsi="Arial" w:cs="Arial"/>
        </w:rPr>
      </w:pPr>
    </w:p>
    <w:p w14:paraId="102AEC68" w14:textId="77777777" w:rsidR="006218A1" w:rsidRPr="001C3C46" w:rsidRDefault="006218A1" w:rsidP="001C3C46">
      <w:pPr>
        <w:pStyle w:val="Heading1"/>
      </w:pPr>
      <w:r w:rsidRPr="001C3C46">
        <w:t>Discussion</w:t>
      </w:r>
    </w:p>
    <w:p w14:paraId="1BA437DA" w14:textId="529DD104" w:rsidR="006218A1" w:rsidRPr="001C3C46" w:rsidRDefault="006218A1" w:rsidP="001C3C46">
      <w:pPr>
        <w:spacing w:line="360" w:lineRule="auto"/>
        <w:jc w:val="both"/>
        <w:rPr>
          <w:rFonts w:ascii="Arial" w:hAnsi="Arial" w:cs="Arial"/>
        </w:rPr>
      </w:pPr>
      <w:r w:rsidRPr="001C3C46">
        <w:rPr>
          <w:rFonts w:ascii="Arial" w:hAnsi="Arial" w:cs="Arial"/>
        </w:rPr>
        <w:t>This scoping review intended to identify barriers to access to mental health services in the United Kingdom</w:t>
      </w:r>
      <w:r w:rsidRPr="001C3C46">
        <w:rPr>
          <w:rFonts w:ascii="MS Gothic" w:eastAsia="MS Gothic" w:hAnsi="MS Gothic" w:cs="MS Gothic" w:hint="eastAsia"/>
        </w:rPr>
        <w:t>․</w:t>
      </w:r>
      <w:r w:rsidRPr="001C3C46">
        <w:rPr>
          <w:rFonts w:ascii="Arial" w:hAnsi="Arial" w:cs="Arial"/>
        </w:rPr>
        <w:t xml:space="preserve"> Four themes were identified: structural barriers, social and attitudinal barriers, system barriers, and inequality barriers</w:t>
      </w:r>
      <w:r w:rsidRPr="001C3C46">
        <w:rPr>
          <w:rFonts w:ascii="MS Gothic" w:eastAsia="MS Gothic" w:hAnsi="MS Gothic" w:cs="MS Gothic" w:hint="eastAsia"/>
        </w:rPr>
        <w:t>․</w:t>
      </w:r>
      <w:r w:rsidRPr="001C3C46">
        <w:rPr>
          <w:rFonts w:ascii="Arial" w:hAnsi="Arial" w:cs="Arial"/>
        </w:rPr>
        <w:t xml:space="preserve"> These findings suggest that </w:t>
      </w:r>
      <w:r w:rsidR="00E05241">
        <w:rPr>
          <w:rFonts w:ascii="Arial" w:hAnsi="Arial" w:cs="Arial"/>
        </w:rPr>
        <w:t>several</w:t>
      </w:r>
      <w:r w:rsidRPr="001C3C46">
        <w:rPr>
          <w:rFonts w:ascii="Arial" w:hAnsi="Arial" w:cs="Arial"/>
        </w:rPr>
        <w:t xml:space="preserve"> interacting factors influence access to mental health services at each stage of help-seeking</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Several studies found that mental health services were limited due to structural barriers such as long waiting times and limited service availability</w:t>
      </w:r>
      <w:r w:rsidRPr="001C3C46">
        <w:rPr>
          <w:rFonts w:ascii="MS Gothic" w:eastAsia="MS Gothic" w:hAnsi="MS Gothic" w:cs="MS Gothic" w:hint="eastAsia"/>
        </w:rPr>
        <w:t>․</w:t>
      </w:r>
      <w:r w:rsidRPr="001C3C46">
        <w:rPr>
          <w:rFonts w:ascii="Arial" w:hAnsi="Arial" w:cs="Arial"/>
        </w:rPr>
        <w:t xml:space="preserve"> Both Woodhead et al</w:t>
      </w:r>
      <w:r w:rsidRPr="001C3C46">
        <w:rPr>
          <w:rFonts w:ascii="MS Gothic" w:eastAsia="MS Gothic" w:hAnsi="MS Gothic" w:cs="MS Gothic" w:hint="eastAsia"/>
        </w:rPr>
        <w:t>․</w:t>
      </w:r>
      <w:r w:rsidRPr="001C3C46">
        <w:rPr>
          <w:rFonts w:ascii="Arial" w:hAnsi="Arial" w:cs="Arial"/>
        </w:rPr>
        <w:t xml:space="preserve"> (2023) and Siebert et al</w:t>
      </w:r>
      <w:r w:rsidRPr="001C3C46">
        <w:rPr>
          <w:rFonts w:ascii="MS Gothic" w:eastAsia="MS Gothic" w:hAnsi="MS Gothic" w:cs="MS Gothic" w:hint="eastAsia"/>
        </w:rPr>
        <w:t>․</w:t>
      </w:r>
      <w:r w:rsidRPr="001C3C46">
        <w:rPr>
          <w:rFonts w:ascii="Arial" w:hAnsi="Arial" w:cs="Arial"/>
        </w:rPr>
        <w:t xml:space="preserve"> (2023) identified shortages of services as a key access barrier, consistent with national reports (see Care Quality Commission, 2020; NHS England, 2022) that identify demand for mental health services that exceeds the availability of services</w:t>
      </w:r>
      <w:r w:rsidRPr="001C3C46">
        <w:rPr>
          <w:rFonts w:ascii="MS Gothic" w:eastAsia="MS Gothic" w:hAnsi="MS Gothic" w:cs="MS Gothic" w:hint="eastAsia"/>
        </w:rPr>
        <w:t>․</w:t>
      </w:r>
    </w:p>
    <w:p w14:paraId="05FF643D" w14:textId="77777777" w:rsidR="006218A1" w:rsidRPr="001C3C46" w:rsidRDefault="006218A1" w:rsidP="001C3C46">
      <w:pPr>
        <w:spacing w:line="360" w:lineRule="auto"/>
        <w:jc w:val="both"/>
        <w:rPr>
          <w:rFonts w:ascii="Arial" w:hAnsi="Arial" w:cs="Arial"/>
        </w:rPr>
      </w:pPr>
      <w:r w:rsidRPr="001C3C46">
        <w:rPr>
          <w:rFonts w:ascii="Arial" w:hAnsi="Arial" w:cs="Arial"/>
        </w:rPr>
        <w:t>However, structural explanations provide only part of the picture</w:t>
      </w:r>
      <w:r w:rsidRPr="001C3C46">
        <w:rPr>
          <w:rFonts w:ascii="MS Gothic" w:eastAsia="MS Gothic" w:hAnsi="MS Gothic" w:cs="MS Gothic" w:hint="eastAsia"/>
        </w:rPr>
        <w:t>․</w:t>
      </w:r>
      <w:r w:rsidRPr="001C3C46">
        <w:rPr>
          <w:rFonts w:ascii="Arial" w:hAnsi="Arial" w:cs="Arial"/>
        </w:rPr>
        <w:t xml:space="preserve"> For instance, it was found that many people still did not seek help in areas where services were available (Wang et al</w:t>
      </w:r>
      <w:r w:rsidRPr="001C3C46">
        <w:rPr>
          <w:rFonts w:ascii="MS Gothic" w:eastAsia="MS Gothic" w:hAnsi="MS Gothic" w:cs="MS Gothic" w:hint="eastAsia"/>
        </w:rPr>
        <w:t>․</w:t>
      </w:r>
      <w:r w:rsidRPr="001C3C46">
        <w:rPr>
          <w:rFonts w:ascii="Arial" w:hAnsi="Arial" w:cs="Arial"/>
        </w:rPr>
        <w:t>, 2024), suggesting a combination with social psychological barriers</w:t>
      </w:r>
      <w:r w:rsidRPr="001C3C46">
        <w:rPr>
          <w:rFonts w:ascii="MS Gothic" w:eastAsia="MS Gothic" w:hAnsi="MS Gothic" w:cs="MS Gothic" w:hint="eastAsia"/>
        </w:rPr>
        <w:t>․</w:t>
      </w:r>
      <w:r w:rsidRPr="001C3C46">
        <w:rPr>
          <w:rFonts w:ascii="Arial" w:hAnsi="Arial" w:cs="Arial"/>
        </w:rPr>
        <w:t xml:space="preserve"> Clement et al</w:t>
      </w:r>
      <w:r w:rsidRPr="001C3C46">
        <w:rPr>
          <w:rFonts w:ascii="MS Gothic" w:eastAsia="MS Gothic" w:hAnsi="MS Gothic" w:cs="MS Gothic" w:hint="eastAsia"/>
        </w:rPr>
        <w:t>․</w:t>
      </w:r>
      <w:r w:rsidRPr="001C3C46">
        <w:rPr>
          <w:rFonts w:ascii="Arial" w:hAnsi="Arial" w:cs="Arial"/>
        </w:rPr>
        <w:t xml:space="preserve"> (2015) argue that stigma influences help-seeking behaviour but does not fully explain inequalities in service access</w:t>
      </w:r>
      <w:r w:rsidRPr="001C3C46">
        <w:rPr>
          <w:rFonts w:ascii="MS Gothic" w:eastAsia="MS Gothic" w:hAnsi="MS Gothic" w:cs="MS Gothic" w:hint="eastAsia"/>
        </w:rPr>
        <w:t>․</w:t>
      </w:r>
    </w:p>
    <w:p w14:paraId="10A24382" w14:textId="0513A172" w:rsidR="006218A1" w:rsidRPr="001C3C46" w:rsidRDefault="006218A1" w:rsidP="001C3C46">
      <w:pPr>
        <w:spacing w:line="360" w:lineRule="auto"/>
        <w:jc w:val="both"/>
        <w:rPr>
          <w:rFonts w:ascii="Arial" w:hAnsi="Arial" w:cs="Arial"/>
        </w:rPr>
      </w:pPr>
      <w:r w:rsidRPr="001C3C46">
        <w:rPr>
          <w:rFonts w:ascii="Arial" w:hAnsi="Arial" w:cs="Arial"/>
        </w:rPr>
        <w:t>Social and attitudinal barriers were also identified</w:t>
      </w:r>
      <w:r w:rsidRPr="001C3C46">
        <w:rPr>
          <w:rFonts w:ascii="MS Gothic" w:eastAsia="MS Gothic" w:hAnsi="MS Gothic" w:cs="MS Gothic" w:hint="eastAsia"/>
        </w:rPr>
        <w:t>․</w:t>
      </w:r>
      <w:r w:rsidRPr="001C3C46">
        <w:rPr>
          <w:rFonts w:ascii="Arial" w:hAnsi="Arial" w:cs="Arial"/>
        </w:rPr>
        <w:t xml:space="preserve"> The stigma associated with help-seeking was reported as a major barrier (Gulliver et al</w:t>
      </w:r>
      <w:r w:rsidRPr="001C3C46">
        <w:rPr>
          <w:rFonts w:ascii="MS Gothic" w:eastAsia="MS Gothic" w:hAnsi="MS Gothic" w:cs="MS Gothic" w:hint="eastAsia"/>
        </w:rPr>
        <w:t>․</w:t>
      </w:r>
      <w:r w:rsidR="00E05241">
        <w:rPr>
          <w:rFonts w:ascii="MS Gothic" w:eastAsia="MS Gothic" w:hAnsi="MS Gothic" w:cs="MS Gothic"/>
        </w:rPr>
        <w:t>,</w:t>
      </w:r>
      <w:r w:rsidRPr="001C3C46">
        <w:rPr>
          <w:rFonts w:ascii="Arial" w:hAnsi="Arial" w:cs="Arial"/>
        </w:rPr>
        <w:t xml:space="preserve"> 2010; Clement et al</w:t>
      </w:r>
      <w:r w:rsidRPr="001C3C46">
        <w:rPr>
          <w:rFonts w:ascii="MS Gothic" w:eastAsia="MS Gothic" w:hAnsi="MS Gothic" w:cs="MS Gothic" w:hint="eastAsia"/>
        </w:rPr>
        <w:t>․</w:t>
      </w:r>
      <w:r w:rsidR="00E05241">
        <w:rPr>
          <w:rFonts w:ascii="MS Gothic" w:eastAsia="MS Gothic" w:hAnsi="MS Gothic" w:cs="MS Gothic"/>
        </w:rPr>
        <w:t>,</w:t>
      </w:r>
      <w:r w:rsidRPr="001C3C46">
        <w:rPr>
          <w:rFonts w:ascii="Arial" w:hAnsi="Arial" w:cs="Arial"/>
        </w:rPr>
        <w:t xml:space="preserve"> 2015). Wang et al</w:t>
      </w:r>
      <w:r w:rsidRPr="001C3C46">
        <w:rPr>
          <w:rFonts w:ascii="MS Gothic" w:eastAsia="MS Gothic" w:hAnsi="MS Gothic" w:cs="MS Gothic" w:hint="eastAsia"/>
        </w:rPr>
        <w:t>․</w:t>
      </w:r>
      <w:r w:rsidRPr="001C3C46">
        <w:rPr>
          <w:rFonts w:ascii="Arial" w:hAnsi="Arial" w:cs="Arial"/>
        </w:rPr>
        <w:t xml:space="preserve"> (2024) found most people would prefer to self-manage any mental health problem, suggesting stigma reduction or improved service availability might improve access to mental health services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System barriers were also found to be an important theme where Siebert et al</w:t>
      </w:r>
      <w:r w:rsidRPr="001C3C46">
        <w:rPr>
          <w:rFonts w:ascii="MS Gothic" w:eastAsia="MS Gothic" w:hAnsi="MS Gothic" w:cs="MS Gothic" w:hint="eastAsia"/>
        </w:rPr>
        <w:t>․</w:t>
      </w:r>
      <w:r w:rsidRPr="001C3C46">
        <w:rPr>
          <w:rFonts w:ascii="Arial" w:hAnsi="Arial" w:cs="Arial"/>
        </w:rPr>
        <w:t xml:space="preserve"> (2023) identified referral pathways as a cause of delays and uncertainty</w:t>
      </w:r>
      <w:r w:rsidRPr="001C3C46">
        <w:rPr>
          <w:rFonts w:ascii="MS Gothic" w:eastAsia="MS Gothic" w:hAnsi="MS Gothic" w:cs="MS Gothic" w:hint="eastAsia"/>
        </w:rPr>
        <w:t>․</w:t>
      </w:r>
      <w:r w:rsidRPr="001C3C46">
        <w:rPr>
          <w:rFonts w:ascii="Arial" w:hAnsi="Arial" w:cs="Arial"/>
        </w:rPr>
        <w:t xml:space="preserve"> Woodhead et al</w:t>
      </w:r>
      <w:r w:rsidRPr="001C3C46">
        <w:rPr>
          <w:rFonts w:ascii="MS Gothic" w:eastAsia="MS Gothic" w:hAnsi="MS Gothic" w:cs="MS Gothic" w:hint="eastAsia"/>
        </w:rPr>
        <w:t>․</w:t>
      </w:r>
      <w:r w:rsidRPr="001C3C46">
        <w:rPr>
          <w:rFonts w:ascii="Arial" w:hAnsi="Arial" w:cs="Arial"/>
        </w:rPr>
        <w:t xml:space="preserve"> (2023) also identified service organisation as a </w:t>
      </w:r>
      <w:r w:rsidRPr="001C3C46">
        <w:rPr>
          <w:rFonts w:ascii="Arial" w:hAnsi="Arial" w:cs="Arial"/>
        </w:rPr>
        <w:lastRenderedPageBreak/>
        <w:t>factor influencing access, e</w:t>
      </w:r>
      <w:r w:rsidRPr="001C3C46">
        <w:rPr>
          <w:rFonts w:ascii="MS Gothic" w:eastAsia="MS Gothic" w:hAnsi="MS Gothic" w:cs="MS Gothic" w:hint="eastAsia"/>
        </w:rPr>
        <w:t>․</w:t>
      </w:r>
      <w:r w:rsidRPr="001C3C46">
        <w:rPr>
          <w:rFonts w:ascii="Arial" w:hAnsi="Arial" w:cs="Arial"/>
        </w:rPr>
        <w:t>g</w:t>
      </w:r>
      <w:r w:rsidRPr="001C3C46">
        <w:rPr>
          <w:rFonts w:ascii="MS Gothic" w:eastAsia="MS Gothic" w:hAnsi="MS Gothic" w:cs="MS Gothic" w:hint="eastAsia"/>
        </w:rPr>
        <w:t>․</w:t>
      </w:r>
      <w:r w:rsidRPr="001C3C46">
        <w:rPr>
          <w:rFonts w:ascii="Arial" w:hAnsi="Arial" w:cs="Arial"/>
        </w:rPr>
        <w:t xml:space="preserve"> referral pathways were necessary to manage demand, but could also be an inadvertent barrier to service users</w:t>
      </w:r>
      <w:r w:rsidRPr="001C3C46">
        <w:rPr>
          <w:rFonts w:ascii="MS Gothic" w:eastAsia="MS Gothic" w:hAnsi="MS Gothic" w:cs="MS Gothic" w:hint="eastAsia"/>
        </w:rPr>
        <w:t>․</w:t>
      </w:r>
    </w:p>
    <w:p w14:paraId="14F75727" w14:textId="38CE4466" w:rsidR="006218A1" w:rsidRPr="001C3C46" w:rsidRDefault="006218A1" w:rsidP="001C3C46">
      <w:pPr>
        <w:spacing w:line="360" w:lineRule="auto"/>
        <w:jc w:val="both"/>
        <w:rPr>
          <w:rFonts w:ascii="Arial" w:hAnsi="Arial" w:cs="Arial"/>
        </w:rPr>
      </w:pPr>
      <w:r w:rsidRPr="001C3C46">
        <w:rPr>
          <w:rFonts w:ascii="Arial" w:hAnsi="Arial" w:cs="Arial"/>
        </w:rPr>
        <w:t>Other barriers to address inequality were also noted in the literature</w:t>
      </w:r>
      <w:r w:rsidR="00E05241">
        <w:rPr>
          <w:rFonts w:ascii="Arial" w:hAnsi="Arial" w:cs="Arial"/>
        </w:rPr>
        <w:t>,</w:t>
      </w:r>
      <w:r w:rsidRPr="001C3C46">
        <w:rPr>
          <w:rFonts w:ascii="Arial" w:hAnsi="Arial" w:cs="Arial"/>
        </w:rPr>
        <w:t xml:space="preserve"> with Kapadia et al</w:t>
      </w:r>
      <w:r w:rsidRPr="001C3C46">
        <w:rPr>
          <w:rFonts w:ascii="MS Gothic" w:eastAsia="MS Gothic" w:hAnsi="MS Gothic" w:cs="MS Gothic" w:hint="eastAsia"/>
        </w:rPr>
        <w:t>․</w:t>
      </w:r>
      <w:r w:rsidRPr="001C3C46">
        <w:rPr>
          <w:rFonts w:ascii="Arial" w:hAnsi="Arial" w:cs="Arial"/>
        </w:rPr>
        <w:t xml:space="preserve"> (2022) and Woodhead et al</w:t>
      </w:r>
      <w:r w:rsidRPr="001C3C46">
        <w:rPr>
          <w:rFonts w:ascii="MS Gothic" w:eastAsia="MS Gothic" w:hAnsi="MS Gothic" w:cs="MS Gothic" w:hint="eastAsia"/>
        </w:rPr>
        <w:t>․</w:t>
      </w:r>
      <w:r w:rsidRPr="001C3C46">
        <w:rPr>
          <w:rFonts w:ascii="Arial" w:hAnsi="Arial" w:cs="Arial"/>
        </w:rPr>
        <w:t xml:space="preserve"> (2023) reporting evidence of inequalities in disadvantaged communities</w:t>
      </w:r>
      <w:r w:rsidR="00E05241">
        <w:rPr>
          <w:rFonts w:ascii="Arial" w:hAnsi="Arial" w:cs="Arial"/>
        </w:rPr>
        <w:t>,</w:t>
      </w:r>
      <w:r w:rsidRPr="001C3C46">
        <w:rPr>
          <w:rFonts w:ascii="Arial" w:hAnsi="Arial" w:cs="Arial"/>
        </w:rPr>
        <w:t xml:space="preserve"> and one minority communities study reporting issues related to language and mistrust in services (Siebert et al</w:t>
      </w:r>
      <w:r w:rsidRPr="001C3C46">
        <w:rPr>
          <w:rFonts w:ascii="MS Gothic" w:eastAsia="MS Gothic" w:hAnsi="MS Gothic" w:cs="MS Gothic" w:hint="eastAsia"/>
        </w:rPr>
        <w:t>․</w:t>
      </w:r>
      <w:r w:rsidRPr="001C3C46">
        <w:rPr>
          <w:rFonts w:ascii="Arial" w:hAnsi="Arial" w:cs="Arial"/>
        </w:rPr>
        <w:t>, 2024; Alam et al</w:t>
      </w:r>
      <w:r w:rsidRPr="001C3C46">
        <w:rPr>
          <w:rFonts w:ascii="MS Gothic" w:eastAsia="MS Gothic" w:hAnsi="MS Gothic" w:cs="MS Gothic" w:hint="eastAsia"/>
        </w:rPr>
        <w:t>․</w:t>
      </w:r>
      <w:r w:rsidRPr="001C3C46">
        <w:rPr>
          <w:rFonts w:ascii="Arial" w:hAnsi="Arial" w:cs="Arial"/>
        </w:rPr>
        <w:t>, 2024).</w:t>
      </w:r>
      <w:r w:rsidR="001C3C46">
        <w:rPr>
          <w:rFonts w:ascii="Arial" w:hAnsi="Arial" w:cs="Arial"/>
        </w:rPr>
        <w:t xml:space="preserve"> </w:t>
      </w:r>
      <w:r w:rsidRPr="001C3C46">
        <w:rPr>
          <w:rFonts w:ascii="Arial" w:hAnsi="Arial" w:cs="Arial"/>
        </w:rPr>
        <w:t>These findings suggest the inequalities in access are not just social disadvantage, but also in the way the services are organised</w:t>
      </w:r>
      <w:r w:rsidRPr="001C3C46">
        <w:rPr>
          <w:rFonts w:ascii="MS Gothic" w:eastAsia="MS Gothic" w:hAnsi="MS Gothic" w:cs="MS Gothic" w:hint="eastAsia"/>
        </w:rPr>
        <w:t>․</w:t>
      </w:r>
      <w:r w:rsidRPr="001C3C46">
        <w:rPr>
          <w:rFonts w:ascii="Arial" w:hAnsi="Arial" w:cs="Arial"/>
        </w:rPr>
        <w:t xml:space="preserve"> This suggests that structural rather than behavioural solutions are required</w:t>
      </w:r>
      <w:r w:rsidRPr="001C3C46">
        <w:rPr>
          <w:rFonts w:ascii="MS Gothic" w:eastAsia="MS Gothic" w:hAnsi="MS Gothic" w:cs="MS Gothic" w:hint="eastAsia"/>
        </w:rPr>
        <w:t>․</w:t>
      </w:r>
    </w:p>
    <w:p w14:paraId="5E30DAD2" w14:textId="1394F3F0" w:rsidR="006218A1" w:rsidRPr="001C3C46" w:rsidRDefault="006218A1" w:rsidP="001C3C46">
      <w:pPr>
        <w:spacing w:line="360" w:lineRule="auto"/>
        <w:jc w:val="both"/>
        <w:rPr>
          <w:rFonts w:ascii="Arial" w:hAnsi="Arial" w:cs="Arial"/>
        </w:rPr>
      </w:pPr>
      <w:r w:rsidRPr="001C3C46">
        <w:rPr>
          <w:rFonts w:ascii="Arial" w:hAnsi="Arial" w:cs="Arial"/>
        </w:rPr>
        <w:t>Some studies were criticised for the qualitative methods used, which examine fewer individuals and may not be generalizable</w:t>
      </w:r>
      <w:r w:rsidRPr="001C3C46">
        <w:rPr>
          <w:rFonts w:ascii="MS Gothic" w:eastAsia="MS Gothic" w:hAnsi="MS Gothic" w:cs="MS Gothic" w:hint="eastAsia"/>
        </w:rPr>
        <w:t>․</w:t>
      </w:r>
      <w:r w:rsidRPr="001C3C46">
        <w:rPr>
          <w:rFonts w:ascii="Arial" w:hAnsi="Arial" w:cs="Arial"/>
        </w:rPr>
        <w:t xml:space="preserve"> In addition, most of the studies focused on a particular population, making comparisons difficult between groups</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One limitation of this review is that it included only six studies</w:t>
      </w:r>
      <w:r w:rsidRPr="001C3C46">
        <w:rPr>
          <w:rFonts w:ascii="MS Gothic" w:eastAsia="MS Gothic" w:hAnsi="MS Gothic" w:cs="MS Gothic" w:hint="eastAsia"/>
        </w:rPr>
        <w:t>․</w:t>
      </w:r>
      <w:r w:rsidRPr="001C3C46">
        <w:rPr>
          <w:rFonts w:ascii="Arial" w:hAnsi="Arial" w:cs="Arial"/>
        </w:rPr>
        <w:t xml:space="preserve"> Restricting this review to include only studies conducted in the UK made it more relevant but limited the evidence included</w:t>
      </w:r>
      <w:r w:rsidRPr="001C3C46">
        <w:rPr>
          <w:rFonts w:ascii="MS Gothic" w:eastAsia="MS Gothic" w:hAnsi="MS Gothic" w:cs="MS Gothic" w:hint="eastAsia"/>
        </w:rPr>
        <w:t>․</w:t>
      </w:r>
      <w:r w:rsidR="001C3C46">
        <w:rPr>
          <w:rFonts w:ascii="Arial" w:hAnsi="Arial" w:cs="Arial"/>
        </w:rPr>
        <w:t xml:space="preserve"> </w:t>
      </w:r>
      <w:r w:rsidRPr="001C3C46">
        <w:rPr>
          <w:rFonts w:ascii="Arial" w:hAnsi="Arial" w:cs="Arial"/>
        </w:rPr>
        <w:t>Nonetheless the review does provide a useful overview of the evidence and highlights the key barriers to accessing mental health services in the United Kingdom</w:t>
      </w:r>
      <w:r w:rsidRPr="001C3C46">
        <w:rPr>
          <w:rFonts w:ascii="MS Gothic" w:eastAsia="MS Gothic" w:hAnsi="MS Gothic" w:cs="MS Gothic" w:hint="eastAsia"/>
        </w:rPr>
        <w:t>․</w:t>
      </w:r>
      <w:r w:rsidR="00E05241">
        <w:rPr>
          <w:rFonts w:ascii="MS Gothic" w:eastAsia="MS Gothic" w:hAnsi="MS Gothic" w:cs="MS Gothic"/>
        </w:rPr>
        <w:t>.</w:t>
      </w:r>
    </w:p>
    <w:p w14:paraId="3D0BB07A" w14:textId="230E0CCA" w:rsidR="006218A1" w:rsidRPr="001C3C46" w:rsidRDefault="006218A1" w:rsidP="001C3C46">
      <w:pPr>
        <w:pStyle w:val="Heading1"/>
      </w:pPr>
    </w:p>
    <w:p w14:paraId="047DFCA9" w14:textId="75E3F715" w:rsidR="006218A1" w:rsidRPr="001C3C46" w:rsidRDefault="006218A1" w:rsidP="001C3C46">
      <w:pPr>
        <w:pStyle w:val="Heading2"/>
      </w:pPr>
      <w:r w:rsidRPr="001C3C46">
        <w:t>Conclusion</w:t>
      </w:r>
    </w:p>
    <w:p w14:paraId="76BDBE99" w14:textId="685CD1B1" w:rsidR="00485D24" w:rsidRDefault="003F290B" w:rsidP="001C3C46">
      <w:pPr>
        <w:spacing w:line="360" w:lineRule="auto"/>
        <w:jc w:val="both"/>
        <w:rPr>
          <w:rFonts w:ascii="Arial" w:hAnsi="Arial" w:cs="Arial"/>
        </w:rPr>
      </w:pPr>
      <w:r>
        <w:rPr>
          <w:rFonts w:ascii="Arial" w:hAnsi="Arial" w:cs="Arial"/>
        </w:rPr>
        <w:t xml:space="preserve">In conclusion, this review identified four key </w:t>
      </w:r>
      <w:r w:rsidR="00E05241">
        <w:rPr>
          <w:rFonts w:ascii="Arial" w:hAnsi="Arial" w:cs="Arial"/>
        </w:rPr>
        <w:t>barriers</w:t>
      </w:r>
      <w:r>
        <w:rPr>
          <w:rFonts w:ascii="Arial" w:hAnsi="Arial" w:cs="Arial"/>
        </w:rPr>
        <w:t xml:space="preserve"> to accessing mental health services in the UK: structural, social and attitudinal, system, and inequality barriers. Structural barriers such as long </w:t>
      </w:r>
      <w:r w:rsidR="00485D24">
        <w:rPr>
          <w:rFonts w:ascii="Arial" w:hAnsi="Arial" w:cs="Arial"/>
        </w:rPr>
        <w:t xml:space="preserve">waiting times and limited </w:t>
      </w:r>
      <w:r w:rsidR="00E05241">
        <w:rPr>
          <w:rFonts w:ascii="Arial" w:hAnsi="Arial" w:cs="Arial"/>
        </w:rPr>
        <w:t>service</w:t>
      </w:r>
      <w:r w:rsidR="00485D24">
        <w:rPr>
          <w:rFonts w:ascii="Arial" w:hAnsi="Arial" w:cs="Arial"/>
        </w:rPr>
        <w:t xml:space="preserve"> availability were the most common, often delaying care. Social and attitudinal barriers, including stigma and preference for self-management, reduced help-seeking behaviour. System barriers, such as complex referral pathways, made services difficult to navigate. Inequality barriers showed that access varies across different groups. Particularly affecting ethnic minorities and those from disadvantaged </w:t>
      </w:r>
      <w:r w:rsidR="00E05241">
        <w:rPr>
          <w:rFonts w:ascii="Arial" w:hAnsi="Arial" w:cs="Arial"/>
        </w:rPr>
        <w:t>backgrounds</w:t>
      </w:r>
      <w:r w:rsidR="00485D24">
        <w:rPr>
          <w:rFonts w:ascii="Arial" w:hAnsi="Arial" w:cs="Arial"/>
        </w:rPr>
        <w:t>.</w:t>
      </w:r>
    </w:p>
    <w:p w14:paraId="47E3EE03" w14:textId="29DF0F47" w:rsidR="006218A1" w:rsidRPr="001C3C46" w:rsidRDefault="00485D24" w:rsidP="001C3C46">
      <w:pPr>
        <w:spacing w:line="360" w:lineRule="auto"/>
        <w:jc w:val="both"/>
        <w:rPr>
          <w:rFonts w:ascii="Arial" w:hAnsi="Arial" w:cs="Arial"/>
        </w:rPr>
      </w:pPr>
      <w:r>
        <w:rPr>
          <w:rFonts w:ascii="Arial" w:hAnsi="Arial" w:cs="Arial"/>
        </w:rPr>
        <w:t xml:space="preserve">Overall, these barriers are interconnected, and </w:t>
      </w:r>
      <w:r w:rsidR="00E05241">
        <w:rPr>
          <w:rFonts w:ascii="Arial" w:hAnsi="Arial" w:cs="Arial"/>
        </w:rPr>
        <w:t>improving</w:t>
      </w:r>
      <w:r>
        <w:rPr>
          <w:rFonts w:ascii="Arial" w:hAnsi="Arial" w:cs="Arial"/>
        </w:rPr>
        <w:t xml:space="preserve"> access to mental health services requires coordinated changes at structural, organisational, and social levels. </w:t>
      </w:r>
    </w:p>
    <w:p w14:paraId="0E2EB299" w14:textId="77777777" w:rsidR="006218A1" w:rsidRPr="001C3C46" w:rsidRDefault="006218A1" w:rsidP="001C3C46">
      <w:pPr>
        <w:spacing w:line="360" w:lineRule="auto"/>
        <w:jc w:val="both"/>
        <w:rPr>
          <w:rFonts w:ascii="Arial" w:hAnsi="Arial" w:cs="Arial"/>
        </w:rPr>
      </w:pPr>
    </w:p>
    <w:p w14:paraId="30865254" w14:textId="2BD268E8" w:rsidR="006218A1" w:rsidRPr="001C3C46" w:rsidRDefault="006218A1" w:rsidP="001C3C46">
      <w:pPr>
        <w:pStyle w:val="Heading2"/>
      </w:pPr>
      <w:r w:rsidRPr="001C3C46">
        <w:t>Recommendations</w:t>
      </w:r>
    </w:p>
    <w:p w14:paraId="49E7586B" w14:textId="6E9F6263" w:rsidR="006218A1" w:rsidRPr="001C3C46" w:rsidRDefault="006218A1" w:rsidP="001C3C46">
      <w:pPr>
        <w:spacing w:line="360" w:lineRule="auto"/>
        <w:jc w:val="both"/>
        <w:rPr>
          <w:rFonts w:ascii="Arial" w:hAnsi="Arial" w:cs="Arial"/>
        </w:rPr>
      </w:pPr>
      <w:r w:rsidRPr="001C3C46">
        <w:rPr>
          <w:rFonts w:ascii="Arial" w:hAnsi="Arial" w:cs="Arial"/>
        </w:rPr>
        <w:lastRenderedPageBreak/>
        <w:t>Increasing service capacity in mental health services will reduce waiting times and improve access to services (NHS England, 2022).</w:t>
      </w:r>
      <w:r w:rsidR="001C3C46">
        <w:rPr>
          <w:rFonts w:ascii="Arial" w:hAnsi="Arial" w:cs="Arial"/>
        </w:rPr>
        <w:t xml:space="preserve"> </w:t>
      </w:r>
      <w:r w:rsidRPr="001C3C46">
        <w:rPr>
          <w:rFonts w:ascii="Arial" w:hAnsi="Arial" w:cs="Arial"/>
        </w:rPr>
        <w:t>Healthcare organisations should have clear referral pathways to ease access to services (Care Quality Commission, 2020).</w:t>
      </w:r>
      <w:r w:rsidR="001C3C46">
        <w:rPr>
          <w:rFonts w:ascii="Arial" w:hAnsi="Arial" w:cs="Arial"/>
        </w:rPr>
        <w:t xml:space="preserve"> </w:t>
      </w:r>
      <w:r w:rsidRPr="001C3C46">
        <w:rPr>
          <w:rFonts w:ascii="Arial" w:hAnsi="Arial" w:cs="Arial"/>
        </w:rPr>
        <w:t>Public health programs to combat stigma related to mental illness may increase the likelihood that people will seek help (Clement et al</w:t>
      </w:r>
      <w:r w:rsidRPr="001C3C46">
        <w:rPr>
          <w:rFonts w:ascii="MS Gothic" w:eastAsia="MS Gothic" w:hAnsi="MS Gothic" w:cs="MS Gothic" w:hint="eastAsia"/>
        </w:rPr>
        <w:t>․</w:t>
      </w:r>
      <w:r w:rsidRPr="001C3C46">
        <w:rPr>
          <w:rFonts w:ascii="Arial" w:hAnsi="Arial" w:cs="Arial"/>
        </w:rPr>
        <w:t>, 2015).</w:t>
      </w:r>
      <w:r w:rsidR="001C3C46">
        <w:rPr>
          <w:rFonts w:ascii="Arial" w:hAnsi="Arial" w:cs="Arial"/>
        </w:rPr>
        <w:t xml:space="preserve"> </w:t>
      </w:r>
      <w:r w:rsidRPr="001C3C46">
        <w:rPr>
          <w:rFonts w:ascii="Arial" w:hAnsi="Arial" w:cs="Arial"/>
        </w:rPr>
        <w:t xml:space="preserve">Mental health services </w:t>
      </w:r>
      <w:r w:rsidR="00E05241">
        <w:rPr>
          <w:rFonts w:ascii="Arial" w:hAnsi="Arial" w:cs="Arial"/>
        </w:rPr>
        <w:t>may</w:t>
      </w:r>
      <w:r w:rsidRPr="001C3C46">
        <w:rPr>
          <w:rFonts w:ascii="Arial" w:hAnsi="Arial" w:cs="Arial"/>
        </w:rPr>
        <w:t xml:space="preserve"> need to become more culturally capable to effectively serve minority populations (Kapadia et al</w:t>
      </w:r>
      <w:r w:rsidRPr="001C3C46">
        <w:rPr>
          <w:rFonts w:ascii="MS Gothic" w:eastAsia="MS Gothic" w:hAnsi="MS Gothic" w:cs="MS Gothic" w:hint="eastAsia"/>
        </w:rPr>
        <w:t>․</w:t>
      </w:r>
      <w:r w:rsidRPr="001C3C46">
        <w:rPr>
          <w:rFonts w:ascii="Arial" w:hAnsi="Arial" w:cs="Arial"/>
        </w:rPr>
        <w:t>, 2022; Alam et al</w:t>
      </w:r>
      <w:r w:rsidRPr="001C3C46">
        <w:rPr>
          <w:rFonts w:ascii="MS Gothic" w:eastAsia="MS Gothic" w:hAnsi="MS Gothic" w:cs="MS Gothic" w:hint="eastAsia"/>
        </w:rPr>
        <w:t>․</w:t>
      </w:r>
      <w:r w:rsidRPr="001C3C46">
        <w:rPr>
          <w:rFonts w:ascii="Arial" w:hAnsi="Arial" w:cs="Arial"/>
        </w:rPr>
        <w:t>, 2024).</w:t>
      </w:r>
    </w:p>
    <w:p w14:paraId="26511156" w14:textId="77777777" w:rsidR="006218A1" w:rsidRDefault="006218A1" w:rsidP="001C3C46">
      <w:pPr>
        <w:spacing w:line="360" w:lineRule="auto"/>
        <w:jc w:val="both"/>
        <w:rPr>
          <w:rFonts w:ascii="Arial" w:hAnsi="Arial" w:cs="Arial"/>
        </w:rPr>
      </w:pPr>
    </w:p>
    <w:p w14:paraId="263C6999" w14:textId="77777777" w:rsidR="001C3C46" w:rsidRDefault="001C3C46" w:rsidP="001C3C46">
      <w:pPr>
        <w:spacing w:line="360" w:lineRule="auto"/>
        <w:jc w:val="both"/>
        <w:rPr>
          <w:rFonts w:ascii="Arial" w:hAnsi="Arial" w:cs="Arial"/>
        </w:rPr>
      </w:pPr>
    </w:p>
    <w:p w14:paraId="3A15D9E0" w14:textId="77777777" w:rsidR="001C3C46" w:rsidRDefault="001C3C46" w:rsidP="001C3C46">
      <w:pPr>
        <w:spacing w:line="360" w:lineRule="auto"/>
        <w:jc w:val="both"/>
        <w:rPr>
          <w:rFonts w:ascii="Arial" w:hAnsi="Arial" w:cs="Arial"/>
        </w:rPr>
      </w:pPr>
    </w:p>
    <w:p w14:paraId="0280CC09" w14:textId="77777777" w:rsidR="001C3C46" w:rsidRDefault="001C3C46" w:rsidP="001C3C46">
      <w:pPr>
        <w:spacing w:line="360" w:lineRule="auto"/>
        <w:jc w:val="both"/>
        <w:rPr>
          <w:rFonts w:ascii="Arial" w:hAnsi="Arial" w:cs="Arial"/>
        </w:rPr>
      </w:pPr>
    </w:p>
    <w:p w14:paraId="46B0FA18" w14:textId="77777777" w:rsidR="001C3C46" w:rsidRDefault="001C3C46" w:rsidP="001C3C46">
      <w:pPr>
        <w:spacing w:line="360" w:lineRule="auto"/>
        <w:jc w:val="both"/>
        <w:rPr>
          <w:rFonts w:ascii="Arial" w:hAnsi="Arial" w:cs="Arial"/>
        </w:rPr>
      </w:pPr>
    </w:p>
    <w:p w14:paraId="13203602" w14:textId="77777777" w:rsidR="001C3C46" w:rsidRDefault="001C3C46" w:rsidP="001C3C46">
      <w:pPr>
        <w:spacing w:line="360" w:lineRule="auto"/>
        <w:jc w:val="both"/>
        <w:rPr>
          <w:rFonts w:ascii="Arial" w:hAnsi="Arial" w:cs="Arial"/>
        </w:rPr>
      </w:pPr>
    </w:p>
    <w:p w14:paraId="753208D3" w14:textId="77777777" w:rsidR="001C3C46" w:rsidRDefault="001C3C46" w:rsidP="001C3C46">
      <w:pPr>
        <w:spacing w:line="360" w:lineRule="auto"/>
        <w:jc w:val="both"/>
        <w:rPr>
          <w:rFonts w:ascii="Arial" w:hAnsi="Arial" w:cs="Arial"/>
        </w:rPr>
      </w:pPr>
    </w:p>
    <w:p w14:paraId="03CB4AF8" w14:textId="77777777" w:rsidR="001C3C46" w:rsidRDefault="001C3C46" w:rsidP="001C3C46">
      <w:pPr>
        <w:spacing w:line="360" w:lineRule="auto"/>
        <w:jc w:val="both"/>
        <w:rPr>
          <w:rFonts w:ascii="Arial" w:hAnsi="Arial" w:cs="Arial"/>
        </w:rPr>
      </w:pPr>
    </w:p>
    <w:p w14:paraId="2B669D87" w14:textId="77777777" w:rsidR="001C3C46" w:rsidRDefault="001C3C46" w:rsidP="001C3C46">
      <w:pPr>
        <w:spacing w:line="360" w:lineRule="auto"/>
        <w:jc w:val="both"/>
        <w:rPr>
          <w:rFonts w:ascii="Arial" w:hAnsi="Arial" w:cs="Arial"/>
        </w:rPr>
      </w:pPr>
    </w:p>
    <w:p w14:paraId="57129F5E" w14:textId="77777777" w:rsidR="001C3C46" w:rsidRDefault="001C3C46" w:rsidP="001C3C46">
      <w:pPr>
        <w:spacing w:line="360" w:lineRule="auto"/>
        <w:jc w:val="both"/>
        <w:rPr>
          <w:rFonts w:ascii="Arial" w:hAnsi="Arial" w:cs="Arial"/>
        </w:rPr>
      </w:pPr>
    </w:p>
    <w:p w14:paraId="342666AD" w14:textId="77777777" w:rsidR="001C3C46" w:rsidRDefault="001C3C46" w:rsidP="001C3C46">
      <w:pPr>
        <w:spacing w:line="360" w:lineRule="auto"/>
        <w:jc w:val="both"/>
        <w:rPr>
          <w:rFonts w:ascii="Arial" w:hAnsi="Arial" w:cs="Arial"/>
        </w:rPr>
      </w:pPr>
    </w:p>
    <w:p w14:paraId="4326B42F" w14:textId="77777777" w:rsidR="00144233" w:rsidRDefault="00144233" w:rsidP="001C3C46">
      <w:pPr>
        <w:spacing w:line="360" w:lineRule="auto"/>
        <w:jc w:val="both"/>
        <w:rPr>
          <w:rFonts w:ascii="Arial" w:hAnsi="Arial" w:cs="Arial"/>
        </w:rPr>
      </w:pPr>
    </w:p>
    <w:p w14:paraId="7FD93009" w14:textId="77777777" w:rsidR="00144233" w:rsidRDefault="00144233" w:rsidP="001C3C46">
      <w:pPr>
        <w:spacing w:line="360" w:lineRule="auto"/>
        <w:jc w:val="both"/>
        <w:rPr>
          <w:rFonts w:ascii="Arial" w:hAnsi="Arial" w:cs="Arial"/>
        </w:rPr>
      </w:pPr>
    </w:p>
    <w:p w14:paraId="19B30205" w14:textId="77777777" w:rsidR="00144233" w:rsidRDefault="00144233" w:rsidP="001C3C46">
      <w:pPr>
        <w:spacing w:line="360" w:lineRule="auto"/>
        <w:jc w:val="both"/>
        <w:rPr>
          <w:rFonts w:ascii="Arial" w:hAnsi="Arial" w:cs="Arial"/>
        </w:rPr>
      </w:pPr>
    </w:p>
    <w:p w14:paraId="41868E41" w14:textId="77777777" w:rsidR="00144233" w:rsidRDefault="00144233" w:rsidP="001C3C46">
      <w:pPr>
        <w:spacing w:line="360" w:lineRule="auto"/>
        <w:jc w:val="both"/>
        <w:rPr>
          <w:rFonts w:ascii="Arial" w:hAnsi="Arial" w:cs="Arial"/>
        </w:rPr>
      </w:pPr>
    </w:p>
    <w:p w14:paraId="09AB5C22" w14:textId="77777777" w:rsidR="00144233" w:rsidRDefault="00144233" w:rsidP="001C3C46">
      <w:pPr>
        <w:spacing w:line="360" w:lineRule="auto"/>
        <w:jc w:val="both"/>
        <w:rPr>
          <w:rFonts w:ascii="Arial" w:hAnsi="Arial" w:cs="Arial"/>
        </w:rPr>
      </w:pPr>
    </w:p>
    <w:p w14:paraId="1B244E82" w14:textId="77777777" w:rsidR="001C3C46" w:rsidRDefault="001C3C46" w:rsidP="001C3C46">
      <w:pPr>
        <w:spacing w:line="360" w:lineRule="auto"/>
        <w:jc w:val="both"/>
        <w:rPr>
          <w:rFonts w:ascii="Arial" w:hAnsi="Arial" w:cs="Arial"/>
        </w:rPr>
      </w:pPr>
    </w:p>
    <w:p w14:paraId="424B3126" w14:textId="77777777" w:rsidR="001C3C46" w:rsidRPr="001C3C46" w:rsidRDefault="001C3C46" w:rsidP="001C3C46">
      <w:pPr>
        <w:spacing w:line="360" w:lineRule="auto"/>
        <w:jc w:val="both"/>
        <w:rPr>
          <w:rFonts w:ascii="Arial" w:hAnsi="Arial" w:cs="Arial"/>
        </w:rPr>
      </w:pPr>
    </w:p>
    <w:p w14:paraId="2DF8D476" w14:textId="4F27929A" w:rsidR="00A2744B" w:rsidRPr="00A2744B" w:rsidRDefault="00A2744B" w:rsidP="001C3C46">
      <w:pPr>
        <w:pStyle w:val="Heading1"/>
      </w:pPr>
      <w:r w:rsidRPr="00A2744B">
        <w:t>References</w:t>
      </w:r>
    </w:p>
    <w:p w14:paraId="3DFB8211" w14:textId="77777777" w:rsidR="00A2744B" w:rsidRPr="00A2744B" w:rsidRDefault="00A2744B" w:rsidP="001C3C46">
      <w:pPr>
        <w:spacing w:line="360" w:lineRule="auto"/>
        <w:jc w:val="both"/>
        <w:rPr>
          <w:rFonts w:ascii="Arial" w:hAnsi="Arial" w:cs="Arial"/>
        </w:rPr>
      </w:pPr>
      <w:r w:rsidRPr="00A2744B">
        <w:rPr>
          <w:rFonts w:ascii="Arial" w:hAnsi="Arial" w:cs="Arial"/>
        </w:rPr>
        <w:lastRenderedPageBreak/>
        <w:t xml:space="preserve">Alam, M.Y. et al. (2024) ‘Barriers to mental health support for racially minoritised people within the UK’, </w:t>
      </w:r>
      <w:r w:rsidRPr="00A2744B">
        <w:rPr>
          <w:rFonts w:ascii="Arial" w:hAnsi="Arial" w:cs="Arial"/>
          <w:i/>
          <w:iCs/>
        </w:rPr>
        <w:t>The Cognitive Behaviour Therapist</w:t>
      </w:r>
      <w:r w:rsidRPr="00A2744B">
        <w:rPr>
          <w:rFonts w:ascii="Arial" w:hAnsi="Arial" w:cs="Arial"/>
        </w:rPr>
        <w:t>.</w:t>
      </w:r>
    </w:p>
    <w:p w14:paraId="74B99FCA"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Arksey, H. and O’Malley, L. (2005) ‘Scoping studies: Towards a methodological framework’, </w:t>
      </w:r>
      <w:r w:rsidRPr="00A2744B">
        <w:rPr>
          <w:rFonts w:ascii="Arial" w:hAnsi="Arial" w:cs="Arial"/>
          <w:i/>
          <w:iCs/>
        </w:rPr>
        <w:t>International Journal of Social Research Methodology</w:t>
      </w:r>
      <w:r w:rsidRPr="00A2744B">
        <w:rPr>
          <w:rFonts w:ascii="Arial" w:hAnsi="Arial" w:cs="Arial"/>
        </w:rPr>
        <w:t>, 8(1), pp. 19–32.</w:t>
      </w:r>
    </w:p>
    <w:p w14:paraId="1033EB84" w14:textId="0FB32785" w:rsidR="00A2744B" w:rsidRPr="00A2744B" w:rsidRDefault="00A2744B" w:rsidP="001C3C46">
      <w:pPr>
        <w:spacing w:line="360" w:lineRule="auto"/>
        <w:jc w:val="both"/>
        <w:rPr>
          <w:rFonts w:ascii="Arial" w:hAnsi="Arial" w:cs="Arial"/>
        </w:rPr>
      </w:pPr>
      <w:r w:rsidRPr="00A2744B">
        <w:rPr>
          <w:rFonts w:ascii="Arial" w:hAnsi="Arial" w:cs="Arial"/>
        </w:rPr>
        <w:t>Aveyard, H. (2014)</w:t>
      </w:r>
      <w:r w:rsidR="00E05241">
        <w:rPr>
          <w:rFonts w:ascii="Arial" w:hAnsi="Arial" w:cs="Arial"/>
        </w:rPr>
        <w:t>.</w:t>
      </w:r>
      <w:r w:rsidRPr="00A2744B">
        <w:rPr>
          <w:rFonts w:ascii="Arial" w:hAnsi="Arial" w:cs="Arial"/>
        </w:rPr>
        <w:t xml:space="preserve"> </w:t>
      </w:r>
      <w:r w:rsidRPr="00A2744B">
        <w:rPr>
          <w:rFonts w:ascii="Arial" w:hAnsi="Arial" w:cs="Arial"/>
          <w:i/>
          <w:iCs/>
        </w:rPr>
        <w:t>Doing a literature review in health and social care</w:t>
      </w:r>
      <w:r w:rsidRPr="00A2744B">
        <w:rPr>
          <w:rFonts w:ascii="Arial" w:hAnsi="Arial" w:cs="Arial"/>
        </w:rPr>
        <w:t>. Maidenhead: Open University Press.</w:t>
      </w:r>
    </w:p>
    <w:p w14:paraId="32DEE66B"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Bebbington, P. et al. (2016) ‘Adult psychiatric morbidity survey’, </w:t>
      </w:r>
      <w:r w:rsidRPr="00A2744B">
        <w:rPr>
          <w:rFonts w:ascii="Arial" w:hAnsi="Arial" w:cs="Arial"/>
          <w:i/>
          <w:iCs/>
        </w:rPr>
        <w:t>NHS Digital.</w:t>
      </w:r>
    </w:p>
    <w:p w14:paraId="2C3A6AF1" w14:textId="272D9862" w:rsidR="00A2744B" w:rsidRPr="00A2744B" w:rsidRDefault="00A2744B" w:rsidP="001C3C46">
      <w:pPr>
        <w:spacing w:line="360" w:lineRule="auto"/>
        <w:jc w:val="both"/>
        <w:rPr>
          <w:rFonts w:ascii="Arial" w:hAnsi="Arial" w:cs="Arial"/>
        </w:rPr>
      </w:pPr>
      <w:r w:rsidRPr="00A2744B">
        <w:rPr>
          <w:rFonts w:ascii="Arial" w:hAnsi="Arial" w:cs="Arial"/>
        </w:rPr>
        <w:t>Bettany-Saltikov, J. (2016)</w:t>
      </w:r>
      <w:r w:rsidR="00E05241">
        <w:rPr>
          <w:rFonts w:ascii="Arial" w:hAnsi="Arial" w:cs="Arial"/>
        </w:rPr>
        <w:t>.</w:t>
      </w:r>
      <w:r w:rsidRPr="00A2744B">
        <w:rPr>
          <w:rFonts w:ascii="Arial" w:hAnsi="Arial" w:cs="Arial"/>
        </w:rPr>
        <w:t xml:space="preserve"> </w:t>
      </w:r>
      <w:r w:rsidRPr="00A2744B">
        <w:rPr>
          <w:rFonts w:ascii="Arial" w:hAnsi="Arial" w:cs="Arial"/>
          <w:i/>
          <w:iCs/>
        </w:rPr>
        <w:t>How to do a systematic literature review in nursing</w:t>
      </w:r>
      <w:r w:rsidRPr="00A2744B">
        <w:rPr>
          <w:rFonts w:ascii="Arial" w:hAnsi="Arial" w:cs="Arial"/>
        </w:rPr>
        <w:t>. Maidenhead: Open University Press.</w:t>
      </w:r>
    </w:p>
    <w:p w14:paraId="582571BF"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Braun, V. and Clarke, V. (2006) ‘Using thematic analysis in psychology’, </w:t>
      </w:r>
      <w:r w:rsidRPr="00A2744B">
        <w:rPr>
          <w:rFonts w:ascii="Arial" w:hAnsi="Arial" w:cs="Arial"/>
          <w:i/>
          <w:iCs/>
        </w:rPr>
        <w:t>Qualitative Research in Psychology</w:t>
      </w:r>
      <w:r w:rsidRPr="00A2744B">
        <w:rPr>
          <w:rFonts w:ascii="Arial" w:hAnsi="Arial" w:cs="Arial"/>
        </w:rPr>
        <w:t>, 3(2), pp. 77–101.</w:t>
      </w:r>
    </w:p>
    <w:p w14:paraId="2F899031" w14:textId="658776AD" w:rsidR="00A2744B" w:rsidRPr="00A2744B" w:rsidRDefault="00A2744B" w:rsidP="001C3C46">
      <w:pPr>
        <w:spacing w:line="360" w:lineRule="auto"/>
        <w:jc w:val="both"/>
        <w:rPr>
          <w:rFonts w:ascii="Arial" w:hAnsi="Arial" w:cs="Arial"/>
        </w:rPr>
      </w:pPr>
      <w:r w:rsidRPr="00A2744B">
        <w:rPr>
          <w:rFonts w:ascii="Arial" w:hAnsi="Arial" w:cs="Arial"/>
        </w:rPr>
        <w:t>Bryman, A. (2016)</w:t>
      </w:r>
      <w:r w:rsidR="00E05241">
        <w:rPr>
          <w:rFonts w:ascii="Arial" w:hAnsi="Arial" w:cs="Arial"/>
        </w:rPr>
        <w:t>.</w:t>
      </w:r>
      <w:r w:rsidRPr="00A2744B">
        <w:rPr>
          <w:rFonts w:ascii="Arial" w:hAnsi="Arial" w:cs="Arial"/>
        </w:rPr>
        <w:t xml:space="preserve"> </w:t>
      </w:r>
      <w:r w:rsidRPr="00A2744B">
        <w:rPr>
          <w:rFonts w:ascii="Arial" w:hAnsi="Arial" w:cs="Arial"/>
          <w:i/>
          <w:iCs/>
        </w:rPr>
        <w:t>Social research methods</w:t>
      </w:r>
      <w:r w:rsidRPr="00A2744B">
        <w:rPr>
          <w:rFonts w:ascii="Arial" w:hAnsi="Arial" w:cs="Arial"/>
        </w:rPr>
        <w:t>. Oxford: Oxford University Press.</w:t>
      </w:r>
    </w:p>
    <w:p w14:paraId="4B6D7F8B"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Care Quality Commission (2020) </w:t>
      </w:r>
      <w:r w:rsidRPr="00A2744B">
        <w:rPr>
          <w:rFonts w:ascii="Arial" w:hAnsi="Arial" w:cs="Arial"/>
          <w:i/>
          <w:iCs/>
        </w:rPr>
        <w:t>Community mental health survey</w:t>
      </w:r>
      <w:r w:rsidRPr="00A2744B">
        <w:rPr>
          <w:rFonts w:ascii="Arial" w:hAnsi="Arial" w:cs="Arial"/>
        </w:rPr>
        <w:t>. London: CQC.</w:t>
      </w:r>
    </w:p>
    <w:p w14:paraId="42C2C5DF"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Clement, S. et al. (2015) ‘What is the impact of mental health-related stigma on help-seeking?’, </w:t>
      </w:r>
      <w:r w:rsidRPr="00A2744B">
        <w:rPr>
          <w:rFonts w:ascii="Arial" w:hAnsi="Arial" w:cs="Arial"/>
          <w:i/>
          <w:iCs/>
        </w:rPr>
        <w:t>Psychological Medicine</w:t>
      </w:r>
      <w:r w:rsidRPr="00A2744B">
        <w:rPr>
          <w:rFonts w:ascii="Arial" w:hAnsi="Arial" w:cs="Arial"/>
        </w:rPr>
        <w:t>, 45(1), pp. 11–27.</w:t>
      </w:r>
    </w:p>
    <w:p w14:paraId="452DD5B3"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Gulliver, A., Griffiths, K.M. and Christensen, H. (2010) ‘Perceived barriers and facilitators to mental health help-seeking’, </w:t>
      </w:r>
      <w:r w:rsidRPr="00A2744B">
        <w:rPr>
          <w:rFonts w:ascii="Arial" w:hAnsi="Arial" w:cs="Arial"/>
          <w:i/>
          <w:iCs/>
        </w:rPr>
        <w:t>BMC Psychiatry</w:t>
      </w:r>
      <w:r w:rsidRPr="00A2744B">
        <w:rPr>
          <w:rFonts w:ascii="Arial" w:hAnsi="Arial" w:cs="Arial"/>
        </w:rPr>
        <w:t>, 10(1), pp. 113–125.</w:t>
      </w:r>
    </w:p>
    <w:p w14:paraId="0A6C1E21"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Kapadia, D. et al. (2022) ‘Ethnic inequalities in mental healthcare in the UK’, </w:t>
      </w:r>
      <w:r w:rsidRPr="00A2744B">
        <w:rPr>
          <w:rFonts w:ascii="Arial" w:hAnsi="Arial" w:cs="Arial"/>
          <w:i/>
          <w:iCs/>
        </w:rPr>
        <w:t>PLOS Medicine</w:t>
      </w:r>
      <w:r w:rsidRPr="00A2744B">
        <w:rPr>
          <w:rFonts w:ascii="Arial" w:hAnsi="Arial" w:cs="Arial"/>
        </w:rPr>
        <w:t>, 19(12).</w:t>
      </w:r>
    </w:p>
    <w:p w14:paraId="70CC9341"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Mental Health Foundation (2022) </w:t>
      </w:r>
      <w:r w:rsidRPr="00A2744B">
        <w:rPr>
          <w:rFonts w:ascii="Arial" w:hAnsi="Arial" w:cs="Arial"/>
          <w:i/>
          <w:iCs/>
        </w:rPr>
        <w:t>Mental Health Statistics UK</w:t>
      </w:r>
      <w:r w:rsidRPr="00A2744B">
        <w:rPr>
          <w:rFonts w:ascii="Arial" w:hAnsi="Arial" w:cs="Arial"/>
        </w:rPr>
        <w:t>.</w:t>
      </w:r>
    </w:p>
    <w:p w14:paraId="733A1873" w14:textId="77777777" w:rsidR="00A2744B" w:rsidRPr="00A2744B" w:rsidRDefault="00A2744B" w:rsidP="001C3C46">
      <w:pPr>
        <w:spacing w:line="360" w:lineRule="auto"/>
        <w:jc w:val="both"/>
        <w:rPr>
          <w:rFonts w:ascii="Arial" w:hAnsi="Arial" w:cs="Arial"/>
        </w:rPr>
      </w:pPr>
      <w:r w:rsidRPr="00A2744B">
        <w:rPr>
          <w:rFonts w:ascii="Arial" w:hAnsi="Arial" w:cs="Arial"/>
        </w:rPr>
        <w:t xml:space="preserve">Munn, Z. et al. (2018) ‘Systematic review or scoping review?’, </w:t>
      </w:r>
      <w:r w:rsidRPr="00A2744B">
        <w:rPr>
          <w:rFonts w:ascii="Arial" w:hAnsi="Arial" w:cs="Arial"/>
          <w:i/>
          <w:iCs/>
        </w:rPr>
        <w:t>BMC Medical Research Methodology</w:t>
      </w:r>
      <w:r w:rsidRPr="00A2744B">
        <w:rPr>
          <w:rFonts w:ascii="Arial" w:hAnsi="Arial" w:cs="Arial"/>
        </w:rPr>
        <w:t>, 18(1).</w:t>
      </w:r>
    </w:p>
    <w:p w14:paraId="16C8ED17" w14:textId="63EADC31" w:rsidR="00A2744B" w:rsidRPr="00A2744B" w:rsidRDefault="00A2744B" w:rsidP="001C3C46">
      <w:pPr>
        <w:spacing w:line="360" w:lineRule="auto"/>
        <w:jc w:val="both"/>
        <w:rPr>
          <w:rFonts w:ascii="Arial" w:hAnsi="Arial" w:cs="Arial"/>
        </w:rPr>
      </w:pPr>
      <w:r w:rsidRPr="00A2744B">
        <w:rPr>
          <w:rFonts w:ascii="Arial" w:hAnsi="Arial" w:cs="Arial"/>
        </w:rPr>
        <w:t>NHS England (2022)</w:t>
      </w:r>
      <w:r w:rsidR="00E05241">
        <w:rPr>
          <w:rFonts w:ascii="Arial" w:hAnsi="Arial" w:cs="Arial"/>
        </w:rPr>
        <w:t>.</w:t>
      </w:r>
      <w:r w:rsidRPr="00A2744B">
        <w:rPr>
          <w:rFonts w:ascii="Arial" w:hAnsi="Arial" w:cs="Arial"/>
        </w:rPr>
        <w:t xml:space="preserve"> </w:t>
      </w:r>
      <w:r w:rsidRPr="00A2744B">
        <w:rPr>
          <w:rFonts w:ascii="Arial" w:hAnsi="Arial" w:cs="Arial"/>
          <w:i/>
          <w:iCs/>
        </w:rPr>
        <w:t>The NHS Long Term Plan.</w:t>
      </w:r>
    </w:p>
    <w:p w14:paraId="353C41D4" w14:textId="77777777" w:rsidR="00A2744B" w:rsidRPr="00A2744B" w:rsidRDefault="00A2744B" w:rsidP="00A2744B">
      <w:pPr>
        <w:spacing w:line="360" w:lineRule="auto"/>
        <w:jc w:val="both"/>
        <w:rPr>
          <w:rFonts w:ascii="Arial" w:hAnsi="Arial" w:cs="Arial"/>
        </w:rPr>
      </w:pPr>
      <w:r w:rsidRPr="00A2744B">
        <w:rPr>
          <w:rFonts w:ascii="Arial" w:hAnsi="Arial" w:cs="Arial"/>
        </w:rPr>
        <w:t xml:space="preserve">Peters, M. et al. (2020) </w:t>
      </w:r>
      <w:r w:rsidRPr="00A2744B">
        <w:rPr>
          <w:rFonts w:ascii="Arial" w:hAnsi="Arial" w:cs="Arial"/>
          <w:i/>
          <w:iCs/>
        </w:rPr>
        <w:t>JBI Manual for Evidence Synthesis.</w:t>
      </w:r>
    </w:p>
    <w:p w14:paraId="63B63DE0" w14:textId="77777777" w:rsidR="00A2744B" w:rsidRPr="00A2744B" w:rsidRDefault="00A2744B" w:rsidP="00A2744B">
      <w:pPr>
        <w:spacing w:line="360" w:lineRule="auto"/>
        <w:jc w:val="both"/>
        <w:rPr>
          <w:rFonts w:ascii="Arial" w:hAnsi="Arial" w:cs="Arial"/>
        </w:rPr>
      </w:pPr>
      <w:r w:rsidRPr="00A2744B">
        <w:rPr>
          <w:rFonts w:ascii="Arial" w:hAnsi="Arial" w:cs="Arial"/>
        </w:rPr>
        <w:t xml:space="preserve">Siebert, S. et al. (2023) ‘Barriers to accessing psychological therapies in England’, </w:t>
      </w:r>
      <w:r w:rsidRPr="00A2744B">
        <w:rPr>
          <w:rFonts w:ascii="Arial" w:hAnsi="Arial" w:cs="Arial"/>
          <w:i/>
          <w:iCs/>
        </w:rPr>
        <w:t>Journal of Affective Disorders.</w:t>
      </w:r>
    </w:p>
    <w:p w14:paraId="6170AEBD" w14:textId="77777777" w:rsidR="00A2744B" w:rsidRPr="00A2744B" w:rsidRDefault="00A2744B" w:rsidP="00A2744B">
      <w:pPr>
        <w:spacing w:line="360" w:lineRule="auto"/>
        <w:jc w:val="both"/>
        <w:rPr>
          <w:rFonts w:ascii="Arial" w:hAnsi="Arial" w:cs="Arial"/>
        </w:rPr>
      </w:pPr>
      <w:r w:rsidRPr="00A2744B">
        <w:rPr>
          <w:rFonts w:ascii="Arial" w:hAnsi="Arial" w:cs="Arial"/>
        </w:rPr>
        <w:lastRenderedPageBreak/>
        <w:t xml:space="preserve">Siebert, S. et al. (2024) ‘Barriers to mental health service access in minority communities’, </w:t>
      </w:r>
      <w:r w:rsidRPr="00A2744B">
        <w:rPr>
          <w:rFonts w:ascii="Arial" w:hAnsi="Arial" w:cs="Arial"/>
          <w:i/>
          <w:iCs/>
        </w:rPr>
        <w:t>Public Health.</w:t>
      </w:r>
    </w:p>
    <w:p w14:paraId="3AEC65DF" w14:textId="77777777" w:rsidR="00A2744B" w:rsidRPr="00A2744B" w:rsidRDefault="00A2744B" w:rsidP="00A2744B">
      <w:pPr>
        <w:spacing w:line="360" w:lineRule="auto"/>
        <w:jc w:val="both"/>
        <w:rPr>
          <w:rFonts w:ascii="Arial" w:hAnsi="Arial" w:cs="Arial"/>
        </w:rPr>
      </w:pPr>
      <w:r w:rsidRPr="00A2744B">
        <w:rPr>
          <w:rFonts w:ascii="Arial" w:hAnsi="Arial" w:cs="Arial"/>
        </w:rPr>
        <w:t xml:space="preserve">Wang, Y. et al. (2024) ‘Geographical variation in perceptions towards mental health care’, </w:t>
      </w:r>
      <w:r w:rsidRPr="00A2744B">
        <w:rPr>
          <w:rFonts w:ascii="Arial" w:hAnsi="Arial" w:cs="Arial"/>
          <w:i/>
          <w:iCs/>
        </w:rPr>
        <w:t>BMJ Open.</w:t>
      </w:r>
    </w:p>
    <w:p w14:paraId="1A0CF45B" w14:textId="77777777" w:rsidR="00A2744B" w:rsidRPr="00A2744B" w:rsidRDefault="00A2744B" w:rsidP="00A2744B">
      <w:pPr>
        <w:spacing w:line="360" w:lineRule="auto"/>
        <w:jc w:val="both"/>
        <w:rPr>
          <w:rFonts w:ascii="Arial" w:hAnsi="Arial" w:cs="Arial"/>
        </w:rPr>
      </w:pPr>
      <w:r w:rsidRPr="00A2744B">
        <w:rPr>
          <w:rFonts w:ascii="Arial" w:hAnsi="Arial" w:cs="Arial"/>
        </w:rPr>
        <w:t xml:space="preserve">Woodhead, C. et al. (2023) ‘Understanding inequalities in mental health service access in the UK’, </w:t>
      </w:r>
      <w:proofErr w:type="spellStart"/>
      <w:r w:rsidRPr="00A2744B">
        <w:rPr>
          <w:rFonts w:ascii="Arial" w:hAnsi="Arial" w:cs="Arial"/>
          <w:i/>
          <w:iCs/>
        </w:rPr>
        <w:t>BJPsych</w:t>
      </w:r>
      <w:proofErr w:type="spellEnd"/>
      <w:r w:rsidRPr="00A2744B">
        <w:rPr>
          <w:rFonts w:ascii="Arial" w:hAnsi="Arial" w:cs="Arial"/>
          <w:i/>
          <w:iCs/>
        </w:rPr>
        <w:t xml:space="preserve"> Open.</w:t>
      </w:r>
    </w:p>
    <w:p w14:paraId="7E070073" w14:textId="3707E0A0" w:rsidR="00A2744B" w:rsidRPr="00A2744B" w:rsidRDefault="00A2744B" w:rsidP="00A2744B">
      <w:pPr>
        <w:spacing w:line="360" w:lineRule="auto"/>
        <w:jc w:val="both"/>
        <w:rPr>
          <w:rFonts w:ascii="Arial" w:hAnsi="Arial" w:cs="Arial"/>
        </w:rPr>
      </w:pPr>
      <w:r w:rsidRPr="00A2744B">
        <w:rPr>
          <w:rFonts w:ascii="Arial" w:hAnsi="Arial" w:cs="Arial"/>
        </w:rPr>
        <w:t xml:space="preserve">World Health </w:t>
      </w:r>
      <w:r w:rsidR="00E05241">
        <w:rPr>
          <w:rFonts w:ascii="Arial" w:hAnsi="Arial" w:cs="Arial"/>
        </w:rPr>
        <w:t>Organisation</w:t>
      </w:r>
      <w:r w:rsidRPr="00A2744B">
        <w:rPr>
          <w:rFonts w:ascii="Arial" w:hAnsi="Arial" w:cs="Arial"/>
        </w:rPr>
        <w:t xml:space="preserve"> (2023) </w:t>
      </w:r>
      <w:r w:rsidRPr="00A2744B">
        <w:rPr>
          <w:rFonts w:ascii="Arial" w:hAnsi="Arial" w:cs="Arial"/>
          <w:i/>
          <w:iCs/>
        </w:rPr>
        <w:t>Dementia and Mental Health.</w:t>
      </w:r>
    </w:p>
    <w:p w14:paraId="6967B377" w14:textId="77777777" w:rsidR="00832B29" w:rsidRPr="00A2744B" w:rsidRDefault="00832B29" w:rsidP="00832B29">
      <w:pPr>
        <w:spacing w:line="360" w:lineRule="auto"/>
        <w:jc w:val="both"/>
        <w:rPr>
          <w:rFonts w:ascii="Arial" w:hAnsi="Arial" w:cs="Arial"/>
        </w:rPr>
      </w:pPr>
    </w:p>
    <w:p w14:paraId="4A5CDC5C" w14:textId="77777777" w:rsidR="00832B29" w:rsidRPr="00F920EE" w:rsidRDefault="00832B29" w:rsidP="00832B29">
      <w:pPr>
        <w:spacing w:line="360" w:lineRule="auto"/>
        <w:jc w:val="both"/>
        <w:rPr>
          <w:rFonts w:ascii="Arial" w:hAnsi="Arial" w:cs="Arial"/>
          <w:b/>
          <w:bCs/>
        </w:rPr>
      </w:pPr>
    </w:p>
    <w:p w14:paraId="677E8020" w14:textId="77777777" w:rsidR="00832B29" w:rsidRPr="00F920EE" w:rsidRDefault="00832B29" w:rsidP="00832B29">
      <w:pPr>
        <w:spacing w:line="360" w:lineRule="auto"/>
        <w:jc w:val="both"/>
        <w:rPr>
          <w:rFonts w:ascii="Arial" w:hAnsi="Arial" w:cs="Arial"/>
          <w:b/>
          <w:bCs/>
        </w:rPr>
      </w:pPr>
    </w:p>
    <w:p w14:paraId="7B062922" w14:textId="77777777" w:rsidR="00832B29" w:rsidRPr="00F920EE" w:rsidRDefault="00832B29" w:rsidP="00832B29">
      <w:pPr>
        <w:spacing w:line="360" w:lineRule="auto"/>
        <w:jc w:val="both"/>
        <w:rPr>
          <w:rFonts w:ascii="Arial" w:hAnsi="Arial" w:cs="Arial"/>
          <w:b/>
          <w:bCs/>
        </w:rPr>
      </w:pPr>
    </w:p>
    <w:p w14:paraId="3664F191" w14:textId="77777777" w:rsidR="00832B29" w:rsidRPr="00F920EE" w:rsidRDefault="00832B29" w:rsidP="00832B29">
      <w:pPr>
        <w:spacing w:line="360" w:lineRule="auto"/>
        <w:jc w:val="both"/>
        <w:rPr>
          <w:rFonts w:ascii="Arial" w:hAnsi="Arial" w:cs="Arial"/>
          <w:b/>
          <w:bCs/>
        </w:rPr>
      </w:pPr>
    </w:p>
    <w:p w14:paraId="59941706" w14:textId="77777777" w:rsidR="00832B29" w:rsidRPr="00F920EE" w:rsidRDefault="00832B29" w:rsidP="00832B29">
      <w:pPr>
        <w:spacing w:line="360" w:lineRule="auto"/>
        <w:jc w:val="both"/>
        <w:rPr>
          <w:rFonts w:ascii="Arial" w:hAnsi="Arial" w:cs="Arial"/>
          <w:b/>
          <w:bCs/>
        </w:rPr>
      </w:pPr>
    </w:p>
    <w:p w14:paraId="214428BC" w14:textId="77777777" w:rsidR="00832B29" w:rsidRPr="00F920EE" w:rsidRDefault="00832B29" w:rsidP="00832B29">
      <w:pPr>
        <w:spacing w:line="360" w:lineRule="auto"/>
        <w:jc w:val="both"/>
        <w:rPr>
          <w:rFonts w:ascii="Arial" w:hAnsi="Arial" w:cs="Arial"/>
          <w:b/>
          <w:bCs/>
        </w:rPr>
      </w:pPr>
    </w:p>
    <w:p w14:paraId="4EDB68D2" w14:textId="77777777" w:rsidR="00832B29" w:rsidRPr="00F920EE" w:rsidRDefault="00832B29" w:rsidP="00832B29">
      <w:pPr>
        <w:spacing w:line="360" w:lineRule="auto"/>
        <w:jc w:val="both"/>
        <w:rPr>
          <w:rFonts w:ascii="Arial" w:hAnsi="Arial" w:cs="Arial"/>
          <w:b/>
          <w:bCs/>
        </w:rPr>
      </w:pPr>
    </w:p>
    <w:p w14:paraId="525126CA" w14:textId="77777777" w:rsidR="00832B29" w:rsidRPr="00F920EE" w:rsidRDefault="00832B29" w:rsidP="00832B29">
      <w:pPr>
        <w:spacing w:line="360" w:lineRule="auto"/>
        <w:jc w:val="both"/>
        <w:rPr>
          <w:rFonts w:ascii="Arial" w:hAnsi="Arial" w:cs="Arial"/>
          <w:b/>
          <w:bCs/>
        </w:rPr>
      </w:pPr>
    </w:p>
    <w:p w14:paraId="0E49FFCF" w14:textId="77777777" w:rsidR="00832B29" w:rsidRPr="00F920EE" w:rsidRDefault="00832B29" w:rsidP="00832B29">
      <w:pPr>
        <w:spacing w:line="360" w:lineRule="auto"/>
        <w:jc w:val="both"/>
        <w:rPr>
          <w:rFonts w:ascii="Arial" w:hAnsi="Arial" w:cs="Arial"/>
          <w:b/>
          <w:bCs/>
        </w:rPr>
      </w:pPr>
    </w:p>
    <w:p w14:paraId="47E7554E" w14:textId="77777777" w:rsidR="00832B29" w:rsidRPr="00F920EE" w:rsidRDefault="00832B29" w:rsidP="00832B29">
      <w:pPr>
        <w:spacing w:line="360" w:lineRule="auto"/>
        <w:jc w:val="both"/>
        <w:rPr>
          <w:rFonts w:ascii="Arial" w:hAnsi="Arial" w:cs="Arial"/>
          <w:b/>
          <w:bCs/>
        </w:rPr>
      </w:pPr>
    </w:p>
    <w:p w14:paraId="10C07884" w14:textId="77777777" w:rsidR="00832B29" w:rsidRPr="00F920EE" w:rsidRDefault="00832B29" w:rsidP="00832B29">
      <w:pPr>
        <w:spacing w:line="360" w:lineRule="auto"/>
        <w:jc w:val="both"/>
        <w:rPr>
          <w:rFonts w:ascii="Arial" w:hAnsi="Arial" w:cs="Arial"/>
          <w:b/>
          <w:bCs/>
        </w:rPr>
      </w:pPr>
    </w:p>
    <w:p w14:paraId="42DC1800" w14:textId="77777777" w:rsidR="00832B29" w:rsidRPr="00F920EE" w:rsidRDefault="00832B29" w:rsidP="00832B29">
      <w:pPr>
        <w:spacing w:line="360" w:lineRule="auto"/>
        <w:jc w:val="both"/>
        <w:rPr>
          <w:rFonts w:ascii="Arial" w:hAnsi="Arial" w:cs="Arial"/>
          <w:b/>
          <w:bCs/>
        </w:rPr>
      </w:pPr>
    </w:p>
    <w:p w14:paraId="10918CBF" w14:textId="77777777" w:rsidR="00832B29" w:rsidRPr="00F920EE" w:rsidRDefault="00832B29" w:rsidP="00832B29">
      <w:pPr>
        <w:spacing w:line="360" w:lineRule="auto"/>
        <w:jc w:val="both"/>
        <w:rPr>
          <w:rFonts w:ascii="Arial" w:hAnsi="Arial" w:cs="Arial"/>
          <w:b/>
          <w:bCs/>
        </w:rPr>
      </w:pPr>
    </w:p>
    <w:p w14:paraId="3AD13F92" w14:textId="77777777" w:rsidR="00832B29" w:rsidRPr="00F920EE" w:rsidRDefault="00832B29" w:rsidP="00832B29">
      <w:pPr>
        <w:spacing w:line="360" w:lineRule="auto"/>
        <w:jc w:val="both"/>
        <w:rPr>
          <w:rFonts w:ascii="Arial" w:hAnsi="Arial" w:cs="Arial"/>
          <w:b/>
          <w:bCs/>
        </w:rPr>
      </w:pPr>
    </w:p>
    <w:p w14:paraId="0880A91F" w14:textId="77777777" w:rsidR="00832B29" w:rsidRPr="00F920EE" w:rsidRDefault="00832B29" w:rsidP="00832B29">
      <w:pPr>
        <w:spacing w:line="360" w:lineRule="auto"/>
        <w:jc w:val="both"/>
        <w:rPr>
          <w:rFonts w:ascii="Arial" w:hAnsi="Arial" w:cs="Arial"/>
          <w:b/>
          <w:bCs/>
        </w:rPr>
      </w:pPr>
    </w:p>
    <w:p w14:paraId="4AE4BF03" w14:textId="77777777" w:rsidR="00832B29" w:rsidRPr="00F920EE" w:rsidRDefault="00832B29" w:rsidP="00832B29">
      <w:pPr>
        <w:spacing w:line="360" w:lineRule="auto"/>
        <w:jc w:val="both"/>
        <w:rPr>
          <w:rFonts w:ascii="Arial" w:hAnsi="Arial" w:cs="Arial"/>
          <w:b/>
          <w:bCs/>
        </w:rPr>
      </w:pPr>
    </w:p>
    <w:p w14:paraId="4480AB22" w14:textId="77777777" w:rsidR="00832B29" w:rsidRPr="00F920EE" w:rsidRDefault="00832B29" w:rsidP="00832B29">
      <w:pPr>
        <w:spacing w:line="360" w:lineRule="auto"/>
        <w:jc w:val="both"/>
        <w:rPr>
          <w:rFonts w:ascii="Arial" w:hAnsi="Arial" w:cs="Arial"/>
          <w:b/>
          <w:bCs/>
        </w:rPr>
      </w:pPr>
    </w:p>
    <w:p w14:paraId="1732176A" w14:textId="77777777" w:rsidR="00832B29" w:rsidRPr="00F920EE" w:rsidRDefault="00832B29" w:rsidP="00832B29">
      <w:pPr>
        <w:spacing w:line="360" w:lineRule="auto"/>
        <w:jc w:val="both"/>
        <w:rPr>
          <w:rFonts w:ascii="Arial" w:hAnsi="Arial" w:cs="Arial"/>
          <w:b/>
          <w:bCs/>
        </w:rPr>
      </w:pPr>
    </w:p>
    <w:p w14:paraId="77B8EBBC" w14:textId="77777777" w:rsidR="00832B29" w:rsidRPr="00F920EE" w:rsidRDefault="00832B29" w:rsidP="00832B29">
      <w:pPr>
        <w:spacing w:line="360" w:lineRule="auto"/>
        <w:jc w:val="both"/>
        <w:rPr>
          <w:rFonts w:ascii="Arial" w:hAnsi="Arial" w:cs="Arial"/>
          <w:b/>
          <w:bCs/>
        </w:rPr>
      </w:pPr>
    </w:p>
    <w:p w14:paraId="0C388E46" w14:textId="77777777" w:rsidR="00832B29" w:rsidRPr="00F920EE" w:rsidRDefault="00832B29" w:rsidP="00832B29">
      <w:pPr>
        <w:spacing w:line="360" w:lineRule="auto"/>
        <w:jc w:val="both"/>
        <w:rPr>
          <w:rFonts w:ascii="Arial" w:hAnsi="Arial" w:cs="Arial"/>
          <w:b/>
          <w:bCs/>
        </w:rPr>
      </w:pPr>
    </w:p>
    <w:p w14:paraId="70B6DA62" w14:textId="77777777" w:rsidR="00832B29" w:rsidRPr="00F920EE" w:rsidRDefault="00832B29" w:rsidP="00832B29">
      <w:pPr>
        <w:spacing w:line="360" w:lineRule="auto"/>
        <w:jc w:val="both"/>
        <w:rPr>
          <w:rFonts w:ascii="Arial" w:hAnsi="Arial" w:cs="Arial"/>
          <w:b/>
          <w:bCs/>
        </w:rPr>
      </w:pPr>
    </w:p>
    <w:p w14:paraId="31E4E254" w14:textId="77777777" w:rsidR="00832B29" w:rsidRPr="00F920EE" w:rsidRDefault="00832B29" w:rsidP="00832B29">
      <w:pPr>
        <w:spacing w:line="360" w:lineRule="auto"/>
        <w:jc w:val="both"/>
        <w:rPr>
          <w:rFonts w:ascii="Arial" w:hAnsi="Arial" w:cs="Arial"/>
          <w:b/>
          <w:bCs/>
        </w:rPr>
      </w:pPr>
    </w:p>
    <w:p w14:paraId="34CB8CC1" w14:textId="77777777" w:rsidR="00832B29" w:rsidRPr="00F920EE" w:rsidRDefault="00832B29" w:rsidP="00832B29">
      <w:pPr>
        <w:spacing w:line="360" w:lineRule="auto"/>
        <w:jc w:val="both"/>
        <w:rPr>
          <w:rFonts w:ascii="Arial" w:hAnsi="Arial" w:cs="Arial"/>
          <w:b/>
          <w:bCs/>
        </w:rPr>
      </w:pPr>
    </w:p>
    <w:p w14:paraId="7FE39297" w14:textId="77777777" w:rsidR="00832B29" w:rsidRPr="00F920EE" w:rsidRDefault="00832B29" w:rsidP="00832B29">
      <w:pPr>
        <w:spacing w:line="360" w:lineRule="auto"/>
        <w:jc w:val="both"/>
        <w:rPr>
          <w:rFonts w:ascii="Arial" w:hAnsi="Arial" w:cs="Arial"/>
          <w:b/>
          <w:bCs/>
        </w:rPr>
      </w:pPr>
    </w:p>
    <w:p w14:paraId="587B99D3" w14:textId="77777777" w:rsidR="00832B29" w:rsidRPr="00F920EE" w:rsidRDefault="00832B29" w:rsidP="00832B29">
      <w:pPr>
        <w:spacing w:line="360" w:lineRule="auto"/>
        <w:jc w:val="both"/>
        <w:rPr>
          <w:rFonts w:ascii="Arial" w:hAnsi="Arial" w:cs="Arial"/>
          <w:b/>
          <w:bCs/>
        </w:rPr>
      </w:pPr>
    </w:p>
    <w:p w14:paraId="18C90DF2" w14:textId="77777777" w:rsidR="00832B29" w:rsidRPr="00F920EE" w:rsidRDefault="00832B29" w:rsidP="00832B29">
      <w:pPr>
        <w:spacing w:line="360" w:lineRule="auto"/>
        <w:jc w:val="both"/>
        <w:rPr>
          <w:rFonts w:ascii="Arial" w:hAnsi="Arial" w:cs="Arial"/>
          <w:b/>
          <w:bCs/>
        </w:rPr>
      </w:pPr>
    </w:p>
    <w:p w14:paraId="7428ABAB" w14:textId="77777777" w:rsidR="00832B29" w:rsidRPr="00F920EE" w:rsidRDefault="00832B29" w:rsidP="00832B29">
      <w:pPr>
        <w:spacing w:line="360" w:lineRule="auto"/>
        <w:jc w:val="both"/>
        <w:rPr>
          <w:rFonts w:ascii="Arial" w:hAnsi="Arial" w:cs="Arial"/>
          <w:b/>
          <w:bCs/>
        </w:rPr>
      </w:pPr>
    </w:p>
    <w:p w14:paraId="574EA625" w14:textId="77777777" w:rsidR="00832B29" w:rsidRPr="00F920EE" w:rsidRDefault="00832B29" w:rsidP="00832B29">
      <w:pPr>
        <w:spacing w:line="360" w:lineRule="auto"/>
        <w:jc w:val="both"/>
        <w:rPr>
          <w:rFonts w:ascii="Arial" w:hAnsi="Arial" w:cs="Arial"/>
          <w:b/>
          <w:bCs/>
        </w:rPr>
      </w:pPr>
    </w:p>
    <w:p w14:paraId="7F48D059" w14:textId="77777777" w:rsidR="00832B29" w:rsidRPr="00F920EE" w:rsidRDefault="00832B29" w:rsidP="00832B29">
      <w:pPr>
        <w:spacing w:line="360" w:lineRule="auto"/>
        <w:jc w:val="both"/>
        <w:rPr>
          <w:rFonts w:ascii="Arial" w:hAnsi="Arial" w:cs="Arial"/>
          <w:b/>
          <w:bCs/>
        </w:rPr>
      </w:pPr>
    </w:p>
    <w:p w14:paraId="276DF0A7" w14:textId="77777777" w:rsidR="00832B29" w:rsidRPr="00F920EE" w:rsidRDefault="00832B29" w:rsidP="00832B29">
      <w:pPr>
        <w:spacing w:line="360" w:lineRule="auto"/>
        <w:jc w:val="both"/>
        <w:rPr>
          <w:rFonts w:ascii="Arial" w:hAnsi="Arial" w:cs="Arial"/>
          <w:b/>
          <w:bCs/>
        </w:rPr>
      </w:pPr>
    </w:p>
    <w:p w14:paraId="3FB5F622" w14:textId="77777777" w:rsidR="00832B29" w:rsidRPr="00F920EE" w:rsidRDefault="00832B29" w:rsidP="00832B29">
      <w:pPr>
        <w:spacing w:line="360" w:lineRule="auto"/>
        <w:jc w:val="both"/>
        <w:rPr>
          <w:rFonts w:ascii="Arial" w:hAnsi="Arial" w:cs="Arial"/>
          <w:b/>
          <w:bCs/>
        </w:rPr>
      </w:pPr>
    </w:p>
    <w:p w14:paraId="42B04A6C" w14:textId="77777777" w:rsidR="00832B29" w:rsidRPr="00F920EE" w:rsidRDefault="00832B29" w:rsidP="00832B29">
      <w:pPr>
        <w:spacing w:line="360" w:lineRule="auto"/>
        <w:jc w:val="both"/>
        <w:rPr>
          <w:rFonts w:ascii="Arial" w:hAnsi="Arial" w:cs="Arial"/>
          <w:b/>
          <w:bCs/>
        </w:rPr>
      </w:pPr>
    </w:p>
    <w:p w14:paraId="0023E36F" w14:textId="77777777" w:rsidR="00832B29" w:rsidRPr="00F920EE" w:rsidRDefault="00832B29" w:rsidP="00832B29">
      <w:pPr>
        <w:spacing w:line="360" w:lineRule="auto"/>
        <w:jc w:val="both"/>
        <w:rPr>
          <w:rFonts w:ascii="Arial" w:hAnsi="Arial" w:cs="Arial"/>
          <w:b/>
          <w:bCs/>
        </w:rPr>
      </w:pPr>
    </w:p>
    <w:p w14:paraId="7BD8D6C3" w14:textId="77777777" w:rsidR="00832B29" w:rsidRPr="00F920EE" w:rsidRDefault="00832B29" w:rsidP="00832B29">
      <w:pPr>
        <w:spacing w:line="360" w:lineRule="auto"/>
        <w:jc w:val="both"/>
        <w:rPr>
          <w:rFonts w:ascii="Arial" w:hAnsi="Arial" w:cs="Arial"/>
          <w:b/>
          <w:bCs/>
        </w:rPr>
      </w:pPr>
    </w:p>
    <w:p w14:paraId="48B3F4F2" w14:textId="77777777" w:rsidR="00832B29" w:rsidRPr="00F920EE" w:rsidRDefault="00832B29" w:rsidP="00832B29">
      <w:pPr>
        <w:spacing w:line="360" w:lineRule="auto"/>
        <w:jc w:val="both"/>
        <w:rPr>
          <w:rFonts w:ascii="Arial" w:hAnsi="Arial" w:cs="Arial"/>
          <w:b/>
          <w:bCs/>
        </w:rPr>
      </w:pPr>
    </w:p>
    <w:p w14:paraId="3AC8C4C0" w14:textId="77777777" w:rsidR="00832B29" w:rsidRPr="00F920EE" w:rsidRDefault="00832B29" w:rsidP="00832B29">
      <w:pPr>
        <w:spacing w:line="360" w:lineRule="auto"/>
        <w:jc w:val="both"/>
        <w:rPr>
          <w:rFonts w:ascii="Arial" w:hAnsi="Arial" w:cs="Arial"/>
          <w:b/>
          <w:bCs/>
        </w:rPr>
      </w:pPr>
    </w:p>
    <w:p w14:paraId="4330D59D" w14:textId="77777777" w:rsidR="00832B29" w:rsidRPr="00F920EE" w:rsidRDefault="00832B29" w:rsidP="00832B29">
      <w:pPr>
        <w:spacing w:line="360" w:lineRule="auto"/>
        <w:jc w:val="both"/>
        <w:rPr>
          <w:rFonts w:ascii="Arial" w:hAnsi="Arial" w:cs="Arial"/>
          <w:b/>
          <w:bCs/>
        </w:rPr>
      </w:pPr>
    </w:p>
    <w:p w14:paraId="437FB609" w14:textId="77777777" w:rsidR="00832B29" w:rsidRPr="00F920EE" w:rsidRDefault="00832B29" w:rsidP="00832B29">
      <w:pPr>
        <w:spacing w:line="360" w:lineRule="auto"/>
        <w:jc w:val="both"/>
        <w:rPr>
          <w:rFonts w:ascii="Arial" w:hAnsi="Arial" w:cs="Arial"/>
          <w:b/>
          <w:bCs/>
        </w:rPr>
      </w:pPr>
    </w:p>
    <w:p w14:paraId="1577547C" w14:textId="77777777" w:rsidR="00832B29" w:rsidRPr="00F920EE" w:rsidRDefault="00832B29" w:rsidP="00832B29">
      <w:pPr>
        <w:spacing w:line="360" w:lineRule="auto"/>
        <w:jc w:val="both"/>
        <w:rPr>
          <w:rFonts w:ascii="Arial" w:hAnsi="Arial" w:cs="Arial"/>
          <w:b/>
          <w:bCs/>
        </w:rPr>
      </w:pPr>
    </w:p>
    <w:p w14:paraId="1DF0CB07" w14:textId="77777777" w:rsidR="00832B29" w:rsidRPr="00F920EE" w:rsidRDefault="00832B29" w:rsidP="00832B29">
      <w:pPr>
        <w:spacing w:line="360" w:lineRule="auto"/>
        <w:jc w:val="both"/>
        <w:rPr>
          <w:rFonts w:ascii="Arial" w:hAnsi="Arial" w:cs="Arial"/>
          <w:b/>
          <w:bCs/>
        </w:rPr>
      </w:pPr>
    </w:p>
    <w:sectPr w:rsidR="00832B29" w:rsidRPr="00F920EE" w:rsidSect="00730FA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15533" w14:textId="77777777" w:rsidR="004658DA" w:rsidRDefault="004658DA" w:rsidP="00A2744B">
      <w:pPr>
        <w:spacing w:after="0" w:line="240" w:lineRule="auto"/>
      </w:pPr>
      <w:r>
        <w:separator/>
      </w:r>
    </w:p>
  </w:endnote>
  <w:endnote w:type="continuationSeparator" w:id="0">
    <w:p w14:paraId="20439223" w14:textId="77777777" w:rsidR="004658DA" w:rsidRDefault="004658DA" w:rsidP="00A27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07920" w14:textId="77777777" w:rsidR="004658DA" w:rsidRDefault="004658DA" w:rsidP="00A2744B">
      <w:pPr>
        <w:spacing w:after="0" w:line="240" w:lineRule="auto"/>
      </w:pPr>
      <w:r>
        <w:separator/>
      </w:r>
    </w:p>
  </w:footnote>
  <w:footnote w:type="continuationSeparator" w:id="0">
    <w:p w14:paraId="30F3DD6A" w14:textId="77777777" w:rsidR="004658DA" w:rsidRDefault="004658DA" w:rsidP="00A274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C46BD" w14:textId="20E160C9" w:rsidR="00A2744B" w:rsidRDefault="00A2744B">
    <w:pPr>
      <w:pStyle w:val="Header"/>
    </w:pPr>
    <w:r>
      <w:rPr>
        <w:noProof/>
      </w:rPr>
      <w:drawing>
        <wp:anchor distT="0" distB="0" distL="114300" distR="114300" simplePos="0" relativeHeight="251658240" behindDoc="0" locked="0" layoutInCell="1" allowOverlap="1" wp14:anchorId="014AC216" wp14:editId="1FD9E857">
          <wp:simplePos x="0" y="0"/>
          <wp:positionH relativeFrom="column">
            <wp:posOffset>4602480</wp:posOffset>
          </wp:positionH>
          <wp:positionV relativeFrom="paragraph">
            <wp:posOffset>-295910</wp:posOffset>
          </wp:positionV>
          <wp:extent cx="1694180" cy="708660"/>
          <wp:effectExtent l="0" t="0" r="127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694180" cy="70866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417B3"/>
    <w:multiLevelType w:val="hybridMultilevel"/>
    <w:tmpl w:val="CE505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0077A"/>
    <w:multiLevelType w:val="multilevel"/>
    <w:tmpl w:val="2428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13B13"/>
    <w:multiLevelType w:val="multilevel"/>
    <w:tmpl w:val="0A5C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31F16"/>
    <w:multiLevelType w:val="multilevel"/>
    <w:tmpl w:val="920E8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023C94"/>
    <w:multiLevelType w:val="multilevel"/>
    <w:tmpl w:val="84A0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75337"/>
    <w:multiLevelType w:val="hybridMultilevel"/>
    <w:tmpl w:val="5A6E8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A6FEF"/>
    <w:multiLevelType w:val="multilevel"/>
    <w:tmpl w:val="D840B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05163"/>
    <w:multiLevelType w:val="multilevel"/>
    <w:tmpl w:val="F742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E02D8"/>
    <w:multiLevelType w:val="multilevel"/>
    <w:tmpl w:val="B16A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DA5F83"/>
    <w:multiLevelType w:val="multilevel"/>
    <w:tmpl w:val="EE98D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520B2D"/>
    <w:multiLevelType w:val="hybridMultilevel"/>
    <w:tmpl w:val="BCD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E2053B"/>
    <w:multiLevelType w:val="multilevel"/>
    <w:tmpl w:val="99D85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B0670F"/>
    <w:multiLevelType w:val="hybridMultilevel"/>
    <w:tmpl w:val="0A584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EB4BFD"/>
    <w:multiLevelType w:val="multilevel"/>
    <w:tmpl w:val="D8D0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C5618E"/>
    <w:multiLevelType w:val="multilevel"/>
    <w:tmpl w:val="7C52E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2F5063"/>
    <w:multiLevelType w:val="multilevel"/>
    <w:tmpl w:val="694A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E527B"/>
    <w:multiLevelType w:val="multilevel"/>
    <w:tmpl w:val="DB7CA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E01D50"/>
    <w:multiLevelType w:val="multilevel"/>
    <w:tmpl w:val="8AF8C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890AC9"/>
    <w:multiLevelType w:val="multilevel"/>
    <w:tmpl w:val="C0C4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BC447C"/>
    <w:multiLevelType w:val="multilevel"/>
    <w:tmpl w:val="3094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E44C2D"/>
    <w:multiLevelType w:val="hybridMultilevel"/>
    <w:tmpl w:val="5282D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1B3185"/>
    <w:multiLevelType w:val="hybridMultilevel"/>
    <w:tmpl w:val="D390C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481707">
    <w:abstractNumId w:val="6"/>
  </w:num>
  <w:num w:numId="2" w16cid:durableId="1089692113">
    <w:abstractNumId w:val="16"/>
  </w:num>
  <w:num w:numId="3" w16cid:durableId="98524681">
    <w:abstractNumId w:val="13"/>
  </w:num>
  <w:num w:numId="4" w16cid:durableId="429786898">
    <w:abstractNumId w:val="3"/>
  </w:num>
  <w:num w:numId="5" w16cid:durableId="170340596">
    <w:abstractNumId w:val="19"/>
  </w:num>
  <w:num w:numId="6" w16cid:durableId="1508980532">
    <w:abstractNumId w:val="14"/>
  </w:num>
  <w:num w:numId="7" w16cid:durableId="968510694">
    <w:abstractNumId w:val="7"/>
  </w:num>
  <w:num w:numId="8" w16cid:durableId="259919800">
    <w:abstractNumId w:val="15"/>
  </w:num>
  <w:num w:numId="9" w16cid:durableId="1347439042">
    <w:abstractNumId w:val="11"/>
  </w:num>
  <w:num w:numId="10" w16cid:durableId="117143988">
    <w:abstractNumId w:val="17"/>
  </w:num>
  <w:num w:numId="11" w16cid:durableId="2011567087">
    <w:abstractNumId w:val="9"/>
  </w:num>
  <w:num w:numId="12" w16cid:durableId="1030716235">
    <w:abstractNumId w:val="18"/>
  </w:num>
  <w:num w:numId="13" w16cid:durableId="998777271">
    <w:abstractNumId w:val="8"/>
  </w:num>
  <w:num w:numId="14" w16cid:durableId="721683476">
    <w:abstractNumId w:val="2"/>
  </w:num>
  <w:num w:numId="15" w16cid:durableId="2011758670">
    <w:abstractNumId w:val="4"/>
  </w:num>
  <w:num w:numId="16" w16cid:durableId="787696022">
    <w:abstractNumId w:val="1"/>
  </w:num>
  <w:num w:numId="17" w16cid:durableId="672878875">
    <w:abstractNumId w:val="12"/>
  </w:num>
  <w:num w:numId="18" w16cid:durableId="1279996111">
    <w:abstractNumId w:val="5"/>
  </w:num>
  <w:num w:numId="19" w16cid:durableId="1581720198">
    <w:abstractNumId w:val="0"/>
  </w:num>
  <w:num w:numId="20" w16cid:durableId="577985591">
    <w:abstractNumId w:val="21"/>
  </w:num>
  <w:num w:numId="21" w16cid:durableId="554895401">
    <w:abstractNumId w:val="10"/>
  </w:num>
  <w:num w:numId="22" w16cid:durableId="122313091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B29"/>
    <w:rsid w:val="00144233"/>
    <w:rsid w:val="001C3C46"/>
    <w:rsid w:val="00233328"/>
    <w:rsid w:val="00277FF5"/>
    <w:rsid w:val="00331CB3"/>
    <w:rsid w:val="0036268F"/>
    <w:rsid w:val="003F290B"/>
    <w:rsid w:val="004658DA"/>
    <w:rsid w:val="00485D24"/>
    <w:rsid w:val="004E7710"/>
    <w:rsid w:val="005108FA"/>
    <w:rsid w:val="005F352E"/>
    <w:rsid w:val="006218A1"/>
    <w:rsid w:val="00625FCC"/>
    <w:rsid w:val="00730FAE"/>
    <w:rsid w:val="00832B29"/>
    <w:rsid w:val="008D38E0"/>
    <w:rsid w:val="009714B3"/>
    <w:rsid w:val="00A00EF7"/>
    <w:rsid w:val="00A2744B"/>
    <w:rsid w:val="00BF59D9"/>
    <w:rsid w:val="00C67EBC"/>
    <w:rsid w:val="00D20D7F"/>
    <w:rsid w:val="00DB01F7"/>
    <w:rsid w:val="00DC1E02"/>
    <w:rsid w:val="00DE2ED3"/>
    <w:rsid w:val="00DF6C1B"/>
    <w:rsid w:val="00E05241"/>
    <w:rsid w:val="00E07812"/>
    <w:rsid w:val="00E51ABF"/>
    <w:rsid w:val="00E7050A"/>
    <w:rsid w:val="00F04E7D"/>
    <w:rsid w:val="00F56C54"/>
    <w:rsid w:val="00F838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E6003"/>
  <w15:chartTrackingRefBased/>
  <w15:docId w15:val="{384AA5D0-8202-4A08-AE67-C14FD62D2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B29"/>
  </w:style>
  <w:style w:type="paragraph" w:styleId="Heading1">
    <w:name w:val="heading 1"/>
    <w:basedOn w:val="Normal"/>
    <w:next w:val="Normal"/>
    <w:link w:val="Heading1Char"/>
    <w:uiPriority w:val="9"/>
    <w:qFormat/>
    <w:rsid w:val="001C3C46"/>
    <w:pPr>
      <w:spacing w:after="0" w:line="360" w:lineRule="auto"/>
      <w:jc w:val="both"/>
      <w:outlineLvl w:val="0"/>
    </w:pPr>
    <w:rPr>
      <w:rFonts w:ascii="Arial" w:hAnsi="Arial" w:cs="Arial"/>
      <w:b/>
      <w:bCs/>
      <w:sz w:val="28"/>
      <w:szCs w:val="28"/>
    </w:rPr>
  </w:style>
  <w:style w:type="paragraph" w:styleId="Heading2">
    <w:name w:val="heading 2"/>
    <w:basedOn w:val="Normal"/>
    <w:next w:val="Normal"/>
    <w:link w:val="Heading2Char"/>
    <w:uiPriority w:val="9"/>
    <w:unhideWhenUsed/>
    <w:qFormat/>
    <w:rsid w:val="001C3C46"/>
    <w:pPr>
      <w:spacing w:after="0" w:line="360" w:lineRule="auto"/>
      <w:jc w:val="both"/>
      <w:outlineLvl w:val="1"/>
    </w:pPr>
    <w:rPr>
      <w:rFonts w:ascii="Arial" w:hAnsi="Arial" w:cs="Arial"/>
      <w:b/>
      <w:bCs/>
    </w:rPr>
  </w:style>
  <w:style w:type="paragraph" w:styleId="Heading3">
    <w:name w:val="heading 3"/>
    <w:basedOn w:val="Normal"/>
    <w:next w:val="Normal"/>
    <w:link w:val="Heading3Char"/>
    <w:uiPriority w:val="9"/>
    <w:semiHidden/>
    <w:unhideWhenUsed/>
    <w:qFormat/>
    <w:rsid w:val="00832B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2B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2B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2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B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C46"/>
    <w:rPr>
      <w:rFonts w:ascii="Arial" w:hAnsi="Arial" w:cs="Arial"/>
      <w:b/>
      <w:bCs/>
      <w:sz w:val="28"/>
      <w:szCs w:val="28"/>
    </w:rPr>
  </w:style>
  <w:style w:type="character" w:customStyle="1" w:styleId="Heading2Char">
    <w:name w:val="Heading 2 Char"/>
    <w:basedOn w:val="DefaultParagraphFont"/>
    <w:link w:val="Heading2"/>
    <w:uiPriority w:val="9"/>
    <w:rsid w:val="001C3C46"/>
    <w:rPr>
      <w:rFonts w:ascii="Arial" w:hAnsi="Arial" w:cs="Arial"/>
      <w:b/>
      <w:bCs/>
    </w:rPr>
  </w:style>
  <w:style w:type="character" w:customStyle="1" w:styleId="Heading3Char">
    <w:name w:val="Heading 3 Char"/>
    <w:basedOn w:val="DefaultParagraphFont"/>
    <w:link w:val="Heading3"/>
    <w:uiPriority w:val="9"/>
    <w:semiHidden/>
    <w:rsid w:val="00832B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2B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2B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2B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B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B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B29"/>
    <w:rPr>
      <w:rFonts w:eastAsiaTheme="majorEastAsia" w:cstheme="majorBidi"/>
      <w:color w:val="272727" w:themeColor="text1" w:themeTint="D8"/>
    </w:rPr>
  </w:style>
  <w:style w:type="paragraph" w:styleId="Title">
    <w:name w:val="Title"/>
    <w:basedOn w:val="Normal"/>
    <w:next w:val="Normal"/>
    <w:link w:val="TitleChar"/>
    <w:uiPriority w:val="10"/>
    <w:qFormat/>
    <w:rsid w:val="00832B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B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B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B29"/>
    <w:pPr>
      <w:spacing w:before="160"/>
      <w:jc w:val="center"/>
    </w:pPr>
    <w:rPr>
      <w:i/>
      <w:iCs/>
      <w:color w:val="404040" w:themeColor="text1" w:themeTint="BF"/>
    </w:rPr>
  </w:style>
  <w:style w:type="character" w:customStyle="1" w:styleId="QuoteChar">
    <w:name w:val="Quote Char"/>
    <w:basedOn w:val="DefaultParagraphFont"/>
    <w:link w:val="Quote"/>
    <w:uiPriority w:val="29"/>
    <w:rsid w:val="00832B29"/>
    <w:rPr>
      <w:i/>
      <w:iCs/>
      <w:color w:val="404040" w:themeColor="text1" w:themeTint="BF"/>
    </w:rPr>
  </w:style>
  <w:style w:type="paragraph" w:styleId="ListParagraph">
    <w:name w:val="List Paragraph"/>
    <w:basedOn w:val="Normal"/>
    <w:uiPriority w:val="34"/>
    <w:qFormat/>
    <w:rsid w:val="00832B29"/>
    <w:pPr>
      <w:ind w:left="720"/>
      <w:contextualSpacing/>
    </w:pPr>
  </w:style>
  <w:style w:type="character" w:styleId="IntenseEmphasis">
    <w:name w:val="Intense Emphasis"/>
    <w:basedOn w:val="DefaultParagraphFont"/>
    <w:uiPriority w:val="21"/>
    <w:qFormat/>
    <w:rsid w:val="00832B29"/>
    <w:rPr>
      <w:i/>
      <w:iCs/>
      <w:color w:val="2F5496" w:themeColor="accent1" w:themeShade="BF"/>
    </w:rPr>
  </w:style>
  <w:style w:type="paragraph" w:styleId="IntenseQuote">
    <w:name w:val="Intense Quote"/>
    <w:basedOn w:val="Normal"/>
    <w:next w:val="Normal"/>
    <w:link w:val="IntenseQuoteChar"/>
    <w:uiPriority w:val="30"/>
    <w:qFormat/>
    <w:rsid w:val="00832B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2B29"/>
    <w:rPr>
      <w:i/>
      <w:iCs/>
      <w:color w:val="2F5496" w:themeColor="accent1" w:themeShade="BF"/>
    </w:rPr>
  </w:style>
  <w:style w:type="character" w:styleId="IntenseReference">
    <w:name w:val="Intense Reference"/>
    <w:basedOn w:val="DefaultParagraphFont"/>
    <w:uiPriority w:val="32"/>
    <w:qFormat/>
    <w:rsid w:val="00832B29"/>
    <w:rPr>
      <w:b/>
      <w:bCs/>
      <w:smallCaps/>
      <w:color w:val="2F5496" w:themeColor="accent1" w:themeShade="BF"/>
      <w:spacing w:val="5"/>
    </w:rPr>
  </w:style>
  <w:style w:type="paragraph" w:styleId="Header">
    <w:name w:val="header"/>
    <w:basedOn w:val="Normal"/>
    <w:link w:val="HeaderChar"/>
    <w:uiPriority w:val="99"/>
    <w:unhideWhenUsed/>
    <w:rsid w:val="00A27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44B"/>
  </w:style>
  <w:style w:type="paragraph" w:styleId="Footer">
    <w:name w:val="footer"/>
    <w:basedOn w:val="Normal"/>
    <w:link w:val="FooterChar"/>
    <w:uiPriority w:val="99"/>
    <w:unhideWhenUsed/>
    <w:rsid w:val="00A27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44B"/>
  </w:style>
  <w:style w:type="table" w:styleId="TableGrid">
    <w:name w:val="Table Grid"/>
    <w:basedOn w:val="TableNormal"/>
    <w:uiPriority w:val="39"/>
    <w:rsid w:val="001C3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4121</Words>
  <Characters>23495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dc:creator>
  <cp:keywords/>
  <dc:description/>
  <cp:lastModifiedBy>Sharon Akhigbe (2334467)</cp:lastModifiedBy>
  <cp:revision>19</cp:revision>
  <dcterms:created xsi:type="dcterms:W3CDTF">2026-03-04T19:07:00Z</dcterms:created>
  <dcterms:modified xsi:type="dcterms:W3CDTF">2026-03-27T20:22:00Z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c0b22455-8d17-4a06-9f3e-e22a8405bb2c</vt:lpwstr>
  </property>
</Properties>
</file>