
<file path=[Content_Types].xml><?xml version="1.0" encoding="utf-8"?>
<Types xmlns="http://schemas.openxmlformats.org/package/2006/content-types">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thumbnail" Target="docProps/thumbnail.jpeg"/><Relationship Id="rId3" Type="http://schemas.openxmlformats.org/package/2006/relationships/metadata/core-properties" Target="docProps/core.xml"/><Relationship Id="rId4"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2A2C" w:rsidRDefault="009F2A2C" w:rsidP="009F2A2C">
      <w:pPr>
        <w:jc w:val="center"/>
        <w:rPr>
          <w:b/>
          <w:sz w:val="32"/>
        </w:rPr>
      </w:pPr>
      <w:r w:rsidRPr="009F2A2C">
        <w:rPr>
          <w:b/>
          <w:sz w:val="32"/>
        </w:rPr>
        <w:t>UNIT INTRODUCTION 6</w:t>
      </w:r>
    </w:p>
    <w:p w:rsidR="009F2A2C" w:rsidRDefault="009F2A2C" w:rsidP="009F2A2C">
      <w:pPr>
        <w:jc w:val="center"/>
        <w:rPr>
          <w:b/>
          <w:sz w:val="32"/>
        </w:rPr>
      </w:pPr>
    </w:p>
    <w:p w:rsidR="009F2A2C" w:rsidRPr="009F2A2C" w:rsidRDefault="009F2A2C" w:rsidP="009F2A2C">
      <w:pPr>
        <w:spacing w:line="360" w:lineRule="exact"/>
        <w:rPr>
          <w:b/>
          <w:sz w:val="28"/>
          <w:u w:val="single"/>
        </w:rPr>
      </w:pPr>
      <w:r>
        <w:rPr>
          <w:b/>
          <w:sz w:val="28"/>
          <w:u w:val="single"/>
        </w:rPr>
        <w:t>Aim</w:t>
      </w:r>
    </w:p>
    <w:p w:rsidR="009F2A2C" w:rsidRDefault="009F2A2C" w:rsidP="009F2A2C">
      <w:pPr>
        <w:spacing w:line="360" w:lineRule="exact"/>
        <w:jc w:val="both"/>
        <w:rPr>
          <w:b/>
          <w:sz w:val="28"/>
        </w:rPr>
      </w:pPr>
    </w:p>
    <w:p w:rsidR="009F2A2C" w:rsidRDefault="009F2A2C" w:rsidP="009F2A2C">
      <w:pPr>
        <w:spacing w:line="360" w:lineRule="exact"/>
        <w:jc w:val="both"/>
        <w:rPr>
          <w:sz w:val="28"/>
        </w:rPr>
      </w:pPr>
      <w:r>
        <w:rPr>
          <w:sz w:val="28"/>
        </w:rPr>
        <w:t xml:space="preserve">The aim of this unit is to examine what is traditionally described as the ‘use’ of Scripture (i.e. the Hebrew Bible or the Old Testament) in ancient Judaism and first-century Christianity. </w:t>
      </w:r>
    </w:p>
    <w:p w:rsidR="009F2A2C" w:rsidRDefault="009F2A2C" w:rsidP="009F2A2C">
      <w:pPr>
        <w:spacing w:line="360" w:lineRule="exact"/>
        <w:jc w:val="both"/>
        <w:rPr>
          <w:sz w:val="28"/>
        </w:rPr>
      </w:pPr>
    </w:p>
    <w:p w:rsidR="009F2A2C" w:rsidRPr="00BE1ABC" w:rsidRDefault="009F2A2C" w:rsidP="00AA7302">
      <w:pPr>
        <w:pBdr>
          <w:top w:val="single" w:sz="4" w:space="1" w:color="auto"/>
          <w:left w:val="single" w:sz="4" w:space="4" w:color="auto"/>
          <w:bottom w:val="single" w:sz="4" w:space="1" w:color="auto"/>
          <w:right w:val="single" w:sz="4" w:space="4" w:color="auto"/>
        </w:pBdr>
        <w:spacing w:line="360" w:lineRule="exact"/>
        <w:jc w:val="both"/>
        <w:rPr>
          <w:b/>
          <w:u w:val="single"/>
        </w:rPr>
      </w:pPr>
      <w:r w:rsidRPr="00BE1ABC">
        <w:rPr>
          <w:b/>
          <w:u w:val="single"/>
        </w:rPr>
        <w:t>Ancient Judaism</w:t>
      </w:r>
    </w:p>
    <w:p w:rsidR="009F2A2C" w:rsidRPr="00BE1ABC" w:rsidRDefault="009F2A2C" w:rsidP="00AA7302">
      <w:pPr>
        <w:pBdr>
          <w:top w:val="single" w:sz="4" w:space="1" w:color="auto"/>
          <w:left w:val="single" w:sz="4" w:space="4" w:color="auto"/>
          <w:bottom w:val="single" w:sz="4" w:space="1" w:color="auto"/>
          <w:right w:val="single" w:sz="4" w:space="4" w:color="auto"/>
        </w:pBdr>
        <w:spacing w:line="360" w:lineRule="exact"/>
        <w:jc w:val="both"/>
      </w:pPr>
      <w:r w:rsidRPr="00BE1ABC">
        <w:t>The term ‘ancient Judaism’ is used to d</w:t>
      </w:r>
      <w:r w:rsidR="00D75442" w:rsidRPr="00BE1ABC">
        <w:t xml:space="preserve">enote the kind of Judaism that </w:t>
      </w:r>
      <w:r w:rsidRPr="00BE1ABC">
        <w:t xml:space="preserve">finds </w:t>
      </w:r>
      <w:r w:rsidR="00D75442" w:rsidRPr="00BE1ABC">
        <w:t xml:space="preserve">particular </w:t>
      </w:r>
      <w:r w:rsidRPr="00BE1ABC">
        <w:t xml:space="preserve">expression in the Dead Sea Scrolls, the Apocrypha, </w:t>
      </w:r>
      <w:r w:rsidR="00D75442" w:rsidRPr="00BE1ABC">
        <w:t xml:space="preserve">the </w:t>
      </w:r>
      <w:r w:rsidRPr="00BE1ABC">
        <w:t xml:space="preserve">Pseudepigrapha, and </w:t>
      </w:r>
      <w:r w:rsidR="00AA7302" w:rsidRPr="00BE1ABC">
        <w:t xml:space="preserve">in the writings of Philo and </w:t>
      </w:r>
      <w:r w:rsidRPr="00BE1ABC">
        <w:t>Josephus. For a general overview of these Jewish writings and of the historical circumstances in which they were written, you can consult some of the articles listed below (Evans,</w:t>
      </w:r>
      <w:r w:rsidR="00BE1ABC">
        <w:t xml:space="preserve"> Longenecker,</w:t>
      </w:r>
      <w:r w:rsidRPr="00BE1ABC">
        <w:t xml:space="preserve"> Salvesen).</w:t>
      </w:r>
    </w:p>
    <w:p w:rsidR="009F2A2C" w:rsidRDefault="009F2A2C" w:rsidP="009F2A2C">
      <w:pPr>
        <w:spacing w:line="360" w:lineRule="exact"/>
        <w:jc w:val="both"/>
        <w:rPr>
          <w:sz w:val="28"/>
        </w:rPr>
      </w:pPr>
    </w:p>
    <w:p w:rsidR="009F2A2C" w:rsidRDefault="009F2A2C" w:rsidP="009F2A2C">
      <w:pPr>
        <w:spacing w:line="360" w:lineRule="exact"/>
        <w:jc w:val="both"/>
        <w:rPr>
          <w:b/>
          <w:sz w:val="28"/>
          <w:u w:val="single"/>
        </w:rPr>
      </w:pPr>
      <w:r>
        <w:rPr>
          <w:b/>
          <w:sz w:val="28"/>
          <w:u w:val="single"/>
        </w:rPr>
        <w:t>General Overview</w:t>
      </w:r>
    </w:p>
    <w:p w:rsidR="009F2A2C" w:rsidRDefault="009F2A2C" w:rsidP="009F2A2C">
      <w:pPr>
        <w:spacing w:line="360" w:lineRule="exact"/>
        <w:jc w:val="both"/>
        <w:rPr>
          <w:b/>
          <w:sz w:val="28"/>
          <w:u w:val="single"/>
        </w:rPr>
      </w:pPr>
    </w:p>
    <w:p w:rsidR="00AA7302" w:rsidRDefault="009F2A2C" w:rsidP="009F2A2C">
      <w:pPr>
        <w:spacing w:line="360" w:lineRule="exact"/>
        <w:jc w:val="both"/>
        <w:rPr>
          <w:sz w:val="28"/>
        </w:rPr>
      </w:pPr>
      <w:r>
        <w:rPr>
          <w:sz w:val="28"/>
        </w:rPr>
        <w:t>You are strongly advised to start work on this unit by reading the five book chapters or articles listed below under ‘Essential Readi</w:t>
      </w:r>
      <w:r w:rsidR="00D75442">
        <w:rPr>
          <w:sz w:val="28"/>
        </w:rPr>
        <w:t>ng’; this will help you to familiarise yourself</w:t>
      </w:r>
      <w:r>
        <w:rPr>
          <w:sz w:val="28"/>
        </w:rPr>
        <w:t xml:space="preserve"> with key issues relating to methodology and to </w:t>
      </w:r>
      <w:r w:rsidR="00D75442">
        <w:rPr>
          <w:sz w:val="28"/>
        </w:rPr>
        <w:t xml:space="preserve">the different </w:t>
      </w:r>
      <w:r>
        <w:rPr>
          <w:sz w:val="28"/>
        </w:rPr>
        <w:t xml:space="preserve">modes of scriptural reference in ancient Jewish literature and </w:t>
      </w:r>
      <w:r w:rsidR="00D75442">
        <w:rPr>
          <w:sz w:val="28"/>
        </w:rPr>
        <w:t xml:space="preserve">in </w:t>
      </w:r>
      <w:r>
        <w:rPr>
          <w:sz w:val="28"/>
        </w:rPr>
        <w:t>the New Testament writings.</w:t>
      </w:r>
      <w:r w:rsidR="00AA3DE4">
        <w:rPr>
          <w:sz w:val="28"/>
        </w:rPr>
        <w:t xml:space="preserve"> </w:t>
      </w:r>
      <w:r w:rsidR="00CF2620">
        <w:rPr>
          <w:sz w:val="28"/>
        </w:rPr>
        <w:t xml:space="preserve">The publications listed under ‘Recommended Reading’ focus on particular aspects of </w:t>
      </w:r>
      <w:r w:rsidR="00D75442">
        <w:rPr>
          <w:sz w:val="28"/>
        </w:rPr>
        <w:t>the topic for this unit</w:t>
      </w:r>
      <w:r w:rsidR="00CF2620">
        <w:rPr>
          <w:sz w:val="28"/>
        </w:rPr>
        <w:t xml:space="preserve">, especially the methods of biblical interpretation </w:t>
      </w:r>
      <w:r w:rsidR="00D75442">
        <w:rPr>
          <w:sz w:val="28"/>
        </w:rPr>
        <w:t>that are applied</w:t>
      </w:r>
      <w:r w:rsidR="00CF2620">
        <w:rPr>
          <w:sz w:val="28"/>
        </w:rPr>
        <w:t xml:space="preserve"> in the Dead Sea Scrolls (also known as the Qumran writings).</w:t>
      </w:r>
    </w:p>
    <w:p w:rsidR="00AA3DE4" w:rsidRDefault="00AA3DE4" w:rsidP="009F2A2C">
      <w:pPr>
        <w:spacing w:line="360" w:lineRule="exact"/>
        <w:jc w:val="both"/>
        <w:rPr>
          <w:sz w:val="28"/>
        </w:rPr>
      </w:pPr>
    </w:p>
    <w:p w:rsidR="00AA3DE4" w:rsidRDefault="009F2A2C" w:rsidP="009F2A2C">
      <w:pPr>
        <w:spacing w:line="360" w:lineRule="exact"/>
        <w:jc w:val="both"/>
        <w:rPr>
          <w:sz w:val="28"/>
        </w:rPr>
      </w:pPr>
      <w:r>
        <w:rPr>
          <w:sz w:val="28"/>
        </w:rPr>
        <w:t xml:space="preserve">Full bibliographical details of </w:t>
      </w:r>
      <w:r w:rsidR="00AA3DE4">
        <w:rPr>
          <w:sz w:val="28"/>
        </w:rPr>
        <w:t>all the listed</w:t>
      </w:r>
      <w:r>
        <w:rPr>
          <w:sz w:val="28"/>
        </w:rPr>
        <w:t xml:space="preserve"> </w:t>
      </w:r>
      <w:r w:rsidR="00AA3DE4">
        <w:rPr>
          <w:sz w:val="28"/>
        </w:rPr>
        <w:t xml:space="preserve">book chapters and articles can be found at the end of </w:t>
      </w:r>
      <w:r w:rsidR="00A36F80">
        <w:rPr>
          <w:sz w:val="28"/>
        </w:rPr>
        <w:t>the next two sections</w:t>
      </w:r>
      <w:r w:rsidR="00AA3DE4">
        <w:rPr>
          <w:sz w:val="28"/>
        </w:rPr>
        <w:t xml:space="preserve">. If you require further guidance about the selected reading material, or </w:t>
      </w:r>
      <w:r w:rsidR="00CF2620">
        <w:rPr>
          <w:sz w:val="28"/>
        </w:rPr>
        <w:t>if you are</w:t>
      </w:r>
      <w:r w:rsidR="00AA3DE4">
        <w:rPr>
          <w:sz w:val="28"/>
        </w:rPr>
        <w:t xml:space="preserve"> interested in </w:t>
      </w:r>
      <w:r w:rsidR="00CF2620">
        <w:rPr>
          <w:sz w:val="28"/>
        </w:rPr>
        <w:t>consulting</w:t>
      </w:r>
      <w:r w:rsidR="00AA3DE4">
        <w:rPr>
          <w:sz w:val="28"/>
        </w:rPr>
        <w:t xml:space="preserve"> additional items on this particular topic, please contact me on </w:t>
      </w:r>
      <w:hyperlink r:id="rId4" w:history="1">
        <w:r w:rsidR="00AA3DE4" w:rsidRPr="006E1787">
          <w:rPr>
            <w:rStyle w:val="Hyperlink"/>
            <w:sz w:val="28"/>
          </w:rPr>
          <w:t>c.h.williams@tsd.ac.uk</w:t>
        </w:r>
      </w:hyperlink>
      <w:r w:rsidR="00AA3DE4">
        <w:rPr>
          <w:sz w:val="28"/>
        </w:rPr>
        <w:t>.</w:t>
      </w:r>
    </w:p>
    <w:p w:rsidR="00AA3DE4" w:rsidRDefault="00AA3DE4" w:rsidP="009F2A2C">
      <w:pPr>
        <w:spacing w:line="360" w:lineRule="exact"/>
        <w:jc w:val="both"/>
        <w:rPr>
          <w:sz w:val="28"/>
        </w:rPr>
      </w:pPr>
    </w:p>
    <w:p w:rsidR="009F2A2C" w:rsidRPr="00AA3DE4" w:rsidRDefault="00AA3DE4" w:rsidP="009F2A2C">
      <w:pPr>
        <w:spacing w:line="360" w:lineRule="exact"/>
        <w:jc w:val="both"/>
        <w:rPr>
          <w:b/>
          <w:sz w:val="28"/>
          <w:u w:val="single"/>
        </w:rPr>
      </w:pPr>
      <w:r w:rsidRPr="00AA3DE4">
        <w:rPr>
          <w:b/>
          <w:sz w:val="28"/>
          <w:u w:val="single"/>
        </w:rPr>
        <w:t>Essential Reading</w:t>
      </w:r>
    </w:p>
    <w:p w:rsidR="00AA3DE4" w:rsidRDefault="00AA3DE4" w:rsidP="009F2A2C">
      <w:pPr>
        <w:spacing w:line="360" w:lineRule="exact"/>
        <w:jc w:val="both"/>
        <w:rPr>
          <w:sz w:val="28"/>
        </w:rPr>
      </w:pPr>
    </w:p>
    <w:p w:rsidR="00817660" w:rsidRPr="00817660" w:rsidRDefault="00CF2620" w:rsidP="009F2A2C">
      <w:pPr>
        <w:spacing w:line="360" w:lineRule="exact"/>
        <w:jc w:val="both"/>
        <w:rPr>
          <w:sz w:val="28"/>
        </w:rPr>
      </w:pPr>
      <w:r>
        <w:rPr>
          <w:sz w:val="28"/>
        </w:rPr>
        <w:t xml:space="preserve">You are advised to </w:t>
      </w:r>
      <w:r w:rsidR="00817660">
        <w:rPr>
          <w:sz w:val="28"/>
        </w:rPr>
        <w:t>begin</w:t>
      </w:r>
      <w:r>
        <w:rPr>
          <w:sz w:val="28"/>
        </w:rPr>
        <w:t xml:space="preserve"> this unit by reading </w:t>
      </w:r>
      <w:r w:rsidRPr="007D415B">
        <w:rPr>
          <w:b/>
          <w:sz w:val="28"/>
        </w:rPr>
        <w:t>A.T. Hanson’s</w:t>
      </w:r>
      <w:r>
        <w:rPr>
          <w:sz w:val="28"/>
        </w:rPr>
        <w:t xml:space="preserve"> short article entitled </w:t>
      </w:r>
      <w:r w:rsidRPr="007D415B">
        <w:rPr>
          <w:b/>
          <w:sz w:val="28"/>
        </w:rPr>
        <w:t>‘Quotations of OT in NT’</w:t>
      </w:r>
      <w:r w:rsidR="00817660">
        <w:rPr>
          <w:sz w:val="28"/>
        </w:rPr>
        <w:t>, which you will find under ‘Q’ in the e-</w:t>
      </w:r>
      <w:r w:rsidR="00D75442">
        <w:rPr>
          <w:sz w:val="28"/>
        </w:rPr>
        <w:t xml:space="preserve">book </w:t>
      </w:r>
      <w:r w:rsidR="00817660">
        <w:rPr>
          <w:sz w:val="28"/>
        </w:rPr>
        <w:t xml:space="preserve">version of </w:t>
      </w:r>
      <w:r w:rsidR="00817660">
        <w:rPr>
          <w:i/>
          <w:sz w:val="28"/>
        </w:rPr>
        <w:t xml:space="preserve">The Oxford Companion to the Bible; </w:t>
      </w:r>
      <w:r w:rsidR="00D75442">
        <w:rPr>
          <w:sz w:val="28"/>
        </w:rPr>
        <w:t xml:space="preserve">Hanson’s article maps out central </w:t>
      </w:r>
      <w:r w:rsidR="00817660">
        <w:rPr>
          <w:sz w:val="28"/>
        </w:rPr>
        <w:t xml:space="preserve">areas in the study of the reception of Scripture in the New Testament, and </w:t>
      </w:r>
      <w:r w:rsidR="00D75442">
        <w:rPr>
          <w:sz w:val="28"/>
        </w:rPr>
        <w:t xml:space="preserve">it </w:t>
      </w:r>
      <w:r w:rsidR="00817660">
        <w:rPr>
          <w:sz w:val="28"/>
        </w:rPr>
        <w:t xml:space="preserve">also provides highlighted links to other relevant articles in the </w:t>
      </w:r>
      <w:r w:rsidR="00817660">
        <w:rPr>
          <w:i/>
          <w:sz w:val="28"/>
        </w:rPr>
        <w:t xml:space="preserve">Companion </w:t>
      </w:r>
      <w:r w:rsidR="00817660">
        <w:rPr>
          <w:sz w:val="28"/>
        </w:rPr>
        <w:t>(</w:t>
      </w:r>
      <w:r w:rsidR="00D75442">
        <w:rPr>
          <w:sz w:val="28"/>
        </w:rPr>
        <w:t xml:space="preserve">including </w:t>
      </w:r>
      <w:r w:rsidR="00817660">
        <w:rPr>
          <w:sz w:val="28"/>
        </w:rPr>
        <w:t xml:space="preserve">those on Jewish biblical exegesis). A more recent, and particularly useful, attempt at mapping out the main contours of this subject area can be found in </w:t>
      </w:r>
      <w:r w:rsidR="00817660" w:rsidRPr="007D415B">
        <w:rPr>
          <w:b/>
          <w:sz w:val="28"/>
        </w:rPr>
        <w:t xml:space="preserve">Steve Moyise’s </w:t>
      </w:r>
      <w:r w:rsidR="00817660" w:rsidRPr="007D415B">
        <w:rPr>
          <w:b/>
          <w:i/>
          <w:sz w:val="28"/>
        </w:rPr>
        <w:t>An Introduction to the Old Testament in the New</w:t>
      </w:r>
      <w:r w:rsidR="00817660">
        <w:rPr>
          <w:i/>
          <w:sz w:val="28"/>
        </w:rPr>
        <w:t xml:space="preserve">; </w:t>
      </w:r>
      <w:r w:rsidR="00817660">
        <w:rPr>
          <w:sz w:val="28"/>
        </w:rPr>
        <w:t xml:space="preserve">the first two chapters of this slim volume, written by </w:t>
      </w:r>
      <w:r w:rsidR="00530D91">
        <w:rPr>
          <w:sz w:val="28"/>
        </w:rPr>
        <w:t xml:space="preserve">the leading British specialist on ‘the use </w:t>
      </w:r>
      <w:r w:rsidR="00D75442">
        <w:rPr>
          <w:sz w:val="28"/>
        </w:rPr>
        <w:t xml:space="preserve">of the OT in the NT’, focus </w:t>
      </w:r>
      <w:r w:rsidR="00530D91">
        <w:rPr>
          <w:sz w:val="28"/>
        </w:rPr>
        <w:t xml:space="preserve">on the New Testament writings </w:t>
      </w:r>
      <w:r w:rsidR="00D75442">
        <w:rPr>
          <w:sz w:val="28"/>
        </w:rPr>
        <w:t xml:space="preserve">(chapter 1) </w:t>
      </w:r>
      <w:r w:rsidR="00530D91">
        <w:rPr>
          <w:sz w:val="28"/>
        </w:rPr>
        <w:t>and on relevant first-century Jewish texts</w:t>
      </w:r>
      <w:r w:rsidR="00D75442">
        <w:rPr>
          <w:sz w:val="28"/>
        </w:rPr>
        <w:t xml:space="preserve"> (chapter 2)</w:t>
      </w:r>
      <w:r w:rsidR="00530D91">
        <w:rPr>
          <w:sz w:val="28"/>
        </w:rPr>
        <w:t>.</w:t>
      </w:r>
    </w:p>
    <w:p w:rsidR="00817660" w:rsidRDefault="00817660" w:rsidP="009F2A2C">
      <w:pPr>
        <w:spacing w:line="360" w:lineRule="exact"/>
        <w:jc w:val="both"/>
        <w:rPr>
          <w:sz w:val="28"/>
        </w:rPr>
      </w:pPr>
    </w:p>
    <w:p w:rsidR="007D415B" w:rsidRDefault="00817660" w:rsidP="009F2A2C">
      <w:pPr>
        <w:spacing w:line="360" w:lineRule="exact"/>
        <w:jc w:val="both"/>
        <w:rPr>
          <w:sz w:val="28"/>
        </w:rPr>
      </w:pPr>
      <w:r>
        <w:rPr>
          <w:sz w:val="28"/>
        </w:rPr>
        <w:t xml:space="preserve">The next step is to read the chapter by </w:t>
      </w:r>
      <w:r w:rsidRPr="007D415B">
        <w:rPr>
          <w:b/>
          <w:sz w:val="28"/>
        </w:rPr>
        <w:t>R.B. Hays and J.B. Green</w:t>
      </w:r>
      <w:r>
        <w:rPr>
          <w:sz w:val="28"/>
        </w:rPr>
        <w:t xml:space="preserve">, which is entitled </w:t>
      </w:r>
      <w:r w:rsidRPr="007D415B">
        <w:rPr>
          <w:b/>
          <w:sz w:val="28"/>
        </w:rPr>
        <w:t>‘The Use of the Old Testament by New Testament Writers’</w:t>
      </w:r>
      <w:r>
        <w:rPr>
          <w:sz w:val="28"/>
        </w:rPr>
        <w:t>; this book chapter provides a carefully argued set of guidelines on how to approach this wide-ranging topic and also, most importantly, applies tho</w:t>
      </w:r>
      <w:r w:rsidR="00D75442">
        <w:rPr>
          <w:sz w:val="28"/>
        </w:rPr>
        <w:t xml:space="preserve">se guidelines to the study of a </w:t>
      </w:r>
      <w:r>
        <w:rPr>
          <w:sz w:val="28"/>
        </w:rPr>
        <w:t>New Testament passage (Luke 3:7-9) as well as offering some suggestions for further reading.</w:t>
      </w:r>
      <w:r w:rsidR="007D415B">
        <w:rPr>
          <w:sz w:val="28"/>
        </w:rPr>
        <w:t xml:space="preserve"> Whereas the</w:t>
      </w:r>
      <w:r w:rsidR="00530D91">
        <w:rPr>
          <w:sz w:val="28"/>
        </w:rPr>
        <w:t xml:space="preserve"> Hay</w:t>
      </w:r>
      <w:r w:rsidR="007D415B">
        <w:rPr>
          <w:sz w:val="28"/>
        </w:rPr>
        <w:t xml:space="preserve">s/Green chapter tackles many important questions of method, the chapter by </w:t>
      </w:r>
      <w:r w:rsidR="007D415B" w:rsidRPr="007D415B">
        <w:rPr>
          <w:b/>
          <w:sz w:val="28"/>
        </w:rPr>
        <w:t>Craig A. Evans</w:t>
      </w:r>
      <w:r w:rsidR="007D415B">
        <w:rPr>
          <w:sz w:val="28"/>
        </w:rPr>
        <w:t xml:space="preserve">, entitled </w:t>
      </w:r>
      <w:r w:rsidR="007D415B" w:rsidRPr="007D415B">
        <w:rPr>
          <w:b/>
          <w:sz w:val="28"/>
        </w:rPr>
        <w:t>‘The Old Testament in the New’</w:t>
      </w:r>
      <w:r w:rsidR="007D415B">
        <w:rPr>
          <w:sz w:val="28"/>
        </w:rPr>
        <w:t xml:space="preserve"> offers a valuable description of Jewish exegesis in late antiquity (including an excellent outline of </w:t>
      </w:r>
      <w:r w:rsidR="00D75442">
        <w:rPr>
          <w:sz w:val="28"/>
        </w:rPr>
        <w:t>key terms</w:t>
      </w:r>
      <w:r w:rsidR="007D415B">
        <w:rPr>
          <w:sz w:val="28"/>
        </w:rPr>
        <w:t xml:space="preserve">) as well as </w:t>
      </w:r>
      <w:r w:rsidR="00D75442">
        <w:rPr>
          <w:sz w:val="28"/>
        </w:rPr>
        <w:t xml:space="preserve">of </w:t>
      </w:r>
      <w:r w:rsidR="007D415B">
        <w:rPr>
          <w:sz w:val="28"/>
        </w:rPr>
        <w:t>specific New Testament examples (Jesus, Matthew, Mark, Luke-Acts, John, Paul, Hebrews).</w:t>
      </w:r>
    </w:p>
    <w:p w:rsidR="007D415B" w:rsidRDefault="007D415B" w:rsidP="009F2A2C">
      <w:pPr>
        <w:spacing w:line="360" w:lineRule="exact"/>
        <w:jc w:val="both"/>
        <w:rPr>
          <w:sz w:val="28"/>
        </w:rPr>
      </w:pPr>
    </w:p>
    <w:p w:rsidR="00A36F80" w:rsidRDefault="007D415B" w:rsidP="009F2A2C">
      <w:pPr>
        <w:spacing w:line="360" w:lineRule="exact"/>
        <w:jc w:val="both"/>
        <w:rPr>
          <w:sz w:val="28"/>
        </w:rPr>
      </w:pPr>
      <w:r>
        <w:rPr>
          <w:sz w:val="28"/>
        </w:rPr>
        <w:t xml:space="preserve">Finally, you are strongly encouraged to read a brief, but very insightful, article by </w:t>
      </w:r>
      <w:r w:rsidRPr="007D415B">
        <w:rPr>
          <w:b/>
          <w:sz w:val="28"/>
        </w:rPr>
        <w:t>Margaret Daly-Denton</w:t>
      </w:r>
      <w:r>
        <w:rPr>
          <w:sz w:val="28"/>
        </w:rPr>
        <w:t xml:space="preserve"> (</w:t>
      </w:r>
      <w:r w:rsidRPr="007D415B">
        <w:rPr>
          <w:b/>
          <w:sz w:val="28"/>
        </w:rPr>
        <w:t>‘Going Beyond the Genially Open Cf’</w:t>
      </w:r>
      <w:r>
        <w:rPr>
          <w:sz w:val="28"/>
        </w:rPr>
        <w:t>), in which she examines the impact of the literary theory of intertextuali</w:t>
      </w:r>
      <w:r w:rsidR="00D75442">
        <w:rPr>
          <w:sz w:val="28"/>
        </w:rPr>
        <w:t xml:space="preserve">ty on biblical studies.  Whereas Hays and </w:t>
      </w:r>
      <w:r>
        <w:rPr>
          <w:sz w:val="28"/>
        </w:rPr>
        <w:t xml:space="preserve">Green </w:t>
      </w:r>
      <w:r w:rsidR="00D75442">
        <w:rPr>
          <w:sz w:val="28"/>
        </w:rPr>
        <w:t>examine</w:t>
      </w:r>
      <w:r>
        <w:rPr>
          <w:sz w:val="28"/>
        </w:rPr>
        <w:t xml:space="preserve"> four </w:t>
      </w:r>
      <w:r w:rsidR="00D75442">
        <w:rPr>
          <w:sz w:val="28"/>
        </w:rPr>
        <w:t>‘modes of scriptural dependence’ (quotations; summaries; type-scenes; allusions and echoes), Daly-Denton focuses on three ‘modes of intertextual reference’ (quotations, allusions, echoes), citing examples in each case that are drawn from the Gospel of John. You will find it useful, particularly when you work on Assignment 4 for this module, to compare and contrast the criteria used by Daly-Denton, on the one hand, and Hays/Green, on the other, for identifying various ways of appropriating scriptural references in New Testament texts.</w:t>
      </w:r>
    </w:p>
    <w:p w:rsidR="00A36F80" w:rsidRDefault="00A36F80" w:rsidP="009F2A2C">
      <w:pPr>
        <w:spacing w:line="360" w:lineRule="exact"/>
        <w:jc w:val="both"/>
        <w:rPr>
          <w:sz w:val="28"/>
        </w:rPr>
      </w:pPr>
    </w:p>
    <w:p w:rsidR="00A36F80" w:rsidRPr="00A36F80" w:rsidRDefault="00A36F80" w:rsidP="00BE1ABC">
      <w:pPr>
        <w:spacing w:after="120" w:line="360" w:lineRule="exact"/>
        <w:jc w:val="both"/>
      </w:pPr>
      <w:r w:rsidRPr="00A36F80">
        <w:t xml:space="preserve">Daly-Denton, M., ‘Going Beyond the Genially Open “Cf”: Intertextual Reference to the Old Testament in the New’, </w:t>
      </w:r>
      <w:r w:rsidRPr="00A36F80">
        <w:rPr>
          <w:i/>
        </w:rPr>
        <w:t xml:space="preserve">Milltown Studies </w:t>
      </w:r>
      <w:r w:rsidRPr="00A36F80">
        <w:t>44 (1991), 48-60.</w:t>
      </w:r>
    </w:p>
    <w:p w:rsidR="00A36F80" w:rsidRPr="00A36F80" w:rsidRDefault="00A36F80" w:rsidP="00BE1ABC">
      <w:pPr>
        <w:spacing w:after="120" w:line="360" w:lineRule="exact"/>
        <w:jc w:val="both"/>
      </w:pPr>
      <w:r w:rsidRPr="00A36F80">
        <w:t xml:space="preserve">Evans, C.A., ‘The Old Testament in the New’, in S. McKnight &amp; G. R. Osborne (eds), </w:t>
      </w:r>
      <w:r w:rsidRPr="00A36F80">
        <w:rPr>
          <w:i/>
        </w:rPr>
        <w:t xml:space="preserve">The Face of New Testament Studies: A Survey of Recent Research </w:t>
      </w:r>
      <w:r w:rsidRPr="00A36F80">
        <w:t>(Leicester: Apollos, 2004), 130-45.</w:t>
      </w:r>
    </w:p>
    <w:p w:rsidR="00A36F80" w:rsidRPr="00A36F80" w:rsidRDefault="00A36F80" w:rsidP="00BE1ABC">
      <w:pPr>
        <w:spacing w:after="120" w:line="360" w:lineRule="exact"/>
        <w:jc w:val="both"/>
      </w:pPr>
      <w:r w:rsidRPr="00A36F80">
        <w:t xml:space="preserve">Hanson, A.T., ‘Quotations of the Old Testament in the New Testament’, in B.M. Metzger &amp; M.D. Coogan (eds), </w:t>
      </w:r>
      <w:r w:rsidRPr="00A36F80">
        <w:rPr>
          <w:i/>
        </w:rPr>
        <w:t xml:space="preserve">The Oxford Companion to the Bible </w:t>
      </w:r>
      <w:r w:rsidRPr="00A36F80">
        <w:t>(Oxford: Oxford University Press, 1993).</w:t>
      </w:r>
    </w:p>
    <w:p w:rsidR="00A36F80" w:rsidRPr="00BE1ABC" w:rsidRDefault="00A36F80" w:rsidP="00BE1ABC">
      <w:pPr>
        <w:spacing w:after="120" w:line="360" w:lineRule="exact"/>
        <w:jc w:val="both"/>
      </w:pPr>
      <w:r w:rsidRPr="00BE1ABC">
        <w:t xml:space="preserve">Hays, R.B. &amp; Green, J.B., ‘The Use of the Old Testament by New Testament Writers’, in J.B. Green (ed), </w:t>
      </w:r>
      <w:r w:rsidRPr="00BE1ABC">
        <w:rPr>
          <w:i/>
        </w:rPr>
        <w:t>Hearing the New Testament:  Strategies for Interpretation</w:t>
      </w:r>
      <w:r w:rsidR="00BE1ABC" w:rsidRPr="00BE1ABC">
        <w:rPr>
          <w:i/>
        </w:rPr>
        <w:t xml:space="preserve"> </w:t>
      </w:r>
      <w:r w:rsidR="00BE1ABC" w:rsidRPr="00BE1ABC">
        <w:t>(Grand Rapids: W.B. Eerdmans, 1995), 222-38.</w:t>
      </w:r>
    </w:p>
    <w:p w:rsidR="00A36F80" w:rsidRPr="00BE1ABC" w:rsidRDefault="00A36F80" w:rsidP="00BE1ABC">
      <w:pPr>
        <w:spacing w:after="120" w:line="360" w:lineRule="exact"/>
        <w:jc w:val="both"/>
      </w:pPr>
      <w:r w:rsidRPr="00BE1ABC">
        <w:t xml:space="preserve">Moyise, S., </w:t>
      </w:r>
      <w:r w:rsidR="00BE1ABC" w:rsidRPr="00BE1ABC">
        <w:rPr>
          <w:i/>
        </w:rPr>
        <w:t xml:space="preserve">The Old Testament in the New: An Introduction </w:t>
      </w:r>
      <w:r w:rsidR="00BE1ABC" w:rsidRPr="00BE1ABC">
        <w:t>(London: Continuum, 2001), 1-20.</w:t>
      </w:r>
    </w:p>
    <w:p w:rsidR="009F2A2C" w:rsidRPr="007D415B" w:rsidRDefault="009F2A2C" w:rsidP="00BE1ABC">
      <w:pPr>
        <w:spacing w:after="120" w:line="360" w:lineRule="exact"/>
        <w:jc w:val="both"/>
        <w:rPr>
          <w:i/>
          <w:sz w:val="28"/>
        </w:rPr>
      </w:pPr>
    </w:p>
    <w:p w:rsidR="00D75442" w:rsidRDefault="00D75442" w:rsidP="00D75442">
      <w:pPr>
        <w:spacing w:line="360" w:lineRule="exact"/>
        <w:jc w:val="both"/>
        <w:rPr>
          <w:b/>
          <w:sz w:val="28"/>
          <w:u w:val="single"/>
        </w:rPr>
      </w:pPr>
      <w:r>
        <w:rPr>
          <w:b/>
          <w:sz w:val="28"/>
          <w:u w:val="single"/>
        </w:rPr>
        <w:t>Recommended Reading</w:t>
      </w:r>
    </w:p>
    <w:p w:rsidR="00D75442" w:rsidRDefault="00D75442" w:rsidP="00D75442">
      <w:pPr>
        <w:spacing w:line="360" w:lineRule="exact"/>
        <w:jc w:val="both"/>
        <w:rPr>
          <w:b/>
          <w:sz w:val="28"/>
          <w:u w:val="single"/>
        </w:rPr>
      </w:pPr>
    </w:p>
    <w:p w:rsidR="00BE1ABC" w:rsidRPr="00BE1ABC" w:rsidRDefault="00BE1ABC" w:rsidP="00D75442">
      <w:pPr>
        <w:spacing w:line="360" w:lineRule="exact"/>
        <w:jc w:val="both"/>
        <w:rPr>
          <w:b/>
          <w:i/>
          <w:sz w:val="28"/>
        </w:rPr>
      </w:pPr>
      <w:r>
        <w:rPr>
          <w:sz w:val="28"/>
        </w:rPr>
        <w:t xml:space="preserve">If you wish to examine the ways in which recent scholars have approached the question of Jesus’ use of Scripture, you are strongly advised to read the introduction to </w:t>
      </w:r>
      <w:r w:rsidRPr="00BE1ABC">
        <w:rPr>
          <w:b/>
          <w:sz w:val="28"/>
        </w:rPr>
        <w:t>Steve Moyise’s</w:t>
      </w:r>
      <w:r>
        <w:rPr>
          <w:sz w:val="28"/>
        </w:rPr>
        <w:t xml:space="preserve"> recent </w:t>
      </w:r>
      <w:r w:rsidRPr="00BE1ABC">
        <w:rPr>
          <w:b/>
          <w:i/>
          <w:sz w:val="28"/>
        </w:rPr>
        <w:t>Jesus and Scripture.</w:t>
      </w:r>
    </w:p>
    <w:p w:rsidR="00BE1ABC" w:rsidRPr="00BE1ABC" w:rsidRDefault="00BE1ABC" w:rsidP="00D75442">
      <w:pPr>
        <w:spacing w:line="360" w:lineRule="exact"/>
        <w:jc w:val="both"/>
        <w:rPr>
          <w:i/>
          <w:sz w:val="28"/>
        </w:rPr>
      </w:pPr>
    </w:p>
    <w:p w:rsidR="00D17F08" w:rsidRDefault="00D75442" w:rsidP="00D75442">
      <w:pPr>
        <w:spacing w:line="360" w:lineRule="exact"/>
        <w:jc w:val="both"/>
        <w:rPr>
          <w:sz w:val="28"/>
        </w:rPr>
      </w:pPr>
      <w:r>
        <w:rPr>
          <w:sz w:val="28"/>
        </w:rPr>
        <w:t xml:space="preserve">An older, but still illuminating, examination of the reception/use of Scripture </w:t>
      </w:r>
      <w:r w:rsidR="00D17F08">
        <w:rPr>
          <w:sz w:val="28"/>
        </w:rPr>
        <w:t xml:space="preserve">in ancient Judaism is </w:t>
      </w:r>
      <w:r w:rsidR="00D17F08" w:rsidRPr="00D17F08">
        <w:rPr>
          <w:b/>
          <w:sz w:val="28"/>
        </w:rPr>
        <w:t>Richard Longenecker’s</w:t>
      </w:r>
      <w:r w:rsidR="00D17F08">
        <w:rPr>
          <w:sz w:val="28"/>
        </w:rPr>
        <w:t xml:space="preserve"> chapter entitled </w:t>
      </w:r>
      <w:r w:rsidR="00D17F08" w:rsidRPr="00D17F08">
        <w:rPr>
          <w:b/>
          <w:sz w:val="28"/>
        </w:rPr>
        <w:t>‘Jewish Hermeneutics in the First Century’</w:t>
      </w:r>
      <w:r w:rsidR="00D17F08">
        <w:rPr>
          <w:sz w:val="28"/>
        </w:rPr>
        <w:t xml:space="preserve">. This can be compared with </w:t>
      </w:r>
      <w:r w:rsidR="00D17F08" w:rsidRPr="00D17F08">
        <w:rPr>
          <w:b/>
          <w:sz w:val="28"/>
        </w:rPr>
        <w:t xml:space="preserve">Alison Salvesen’s </w:t>
      </w:r>
      <w:r w:rsidR="00D17F08">
        <w:rPr>
          <w:sz w:val="28"/>
        </w:rPr>
        <w:t>more recent description (‘</w:t>
      </w:r>
      <w:r w:rsidR="00D17F08">
        <w:rPr>
          <w:b/>
          <w:sz w:val="28"/>
        </w:rPr>
        <w:t xml:space="preserve">Early Jewish Biblical Interpretation’) </w:t>
      </w:r>
      <w:r w:rsidR="00D17F08">
        <w:rPr>
          <w:sz w:val="28"/>
        </w:rPr>
        <w:t>of three particular aspects of Jewish biblical exegesis (‘rewritten Bible’, ‘translation’, ‘rabbinic midrash’).</w:t>
      </w:r>
    </w:p>
    <w:p w:rsidR="00D17F08" w:rsidRDefault="00D17F08" w:rsidP="00D75442">
      <w:pPr>
        <w:spacing w:line="360" w:lineRule="exact"/>
        <w:jc w:val="both"/>
        <w:rPr>
          <w:sz w:val="28"/>
        </w:rPr>
      </w:pPr>
    </w:p>
    <w:p w:rsidR="00D17F08" w:rsidRDefault="00D17F08" w:rsidP="00D75442">
      <w:pPr>
        <w:spacing w:line="360" w:lineRule="exact"/>
        <w:jc w:val="both"/>
        <w:rPr>
          <w:sz w:val="28"/>
        </w:rPr>
      </w:pPr>
      <w:r>
        <w:rPr>
          <w:sz w:val="28"/>
        </w:rPr>
        <w:t xml:space="preserve">Much work has been done in recent scholarship on the various ways in which members of the Qumran sect (whose discovered library is known as the Dead Sea Scrolls) engage with the Jewish Scriptures, particularly as it seeks to define itself as a group within Judaism. There is a wealth of pertinent material on this subject to be found in </w:t>
      </w:r>
      <w:r w:rsidRPr="00D17F08">
        <w:rPr>
          <w:b/>
          <w:i/>
          <w:sz w:val="28"/>
        </w:rPr>
        <w:t>The Oxford Handbook of the Dead Sea Scrolls</w:t>
      </w:r>
      <w:r>
        <w:rPr>
          <w:i/>
          <w:sz w:val="28"/>
        </w:rPr>
        <w:t xml:space="preserve"> </w:t>
      </w:r>
      <w:r>
        <w:rPr>
          <w:sz w:val="28"/>
        </w:rPr>
        <w:t xml:space="preserve">(Chapters 12, 13, 14, 22, 24) and also in </w:t>
      </w:r>
      <w:r w:rsidRPr="00D17F08">
        <w:rPr>
          <w:b/>
          <w:i/>
          <w:sz w:val="28"/>
        </w:rPr>
        <w:t>The Oxford Han</w:t>
      </w:r>
      <w:r>
        <w:rPr>
          <w:b/>
          <w:i/>
          <w:sz w:val="28"/>
        </w:rPr>
        <w:t>d</w:t>
      </w:r>
      <w:r w:rsidRPr="00D17F08">
        <w:rPr>
          <w:b/>
          <w:i/>
          <w:sz w:val="28"/>
        </w:rPr>
        <w:t>book of Biblical Studies</w:t>
      </w:r>
      <w:r>
        <w:rPr>
          <w:i/>
          <w:sz w:val="28"/>
        </w:rPr>
        <w:t xml:space="preserve"> </w:t>
      </w:r>
      <w:r>
        <w:rPr>
          <w:sz w:val="28"/>
        </w:rPr>
        <w:t>(Chapter 6).</w:t>
      </w:r>
    </w:p>
    <w:p w:rsidR="00D17F08" w:rsidRDefault="00D17F08" w:rsidP="00D75442">
      <w:pPr>
        <w:spacing w:line="360" w:lineRule="exact"/>
        <w:jc w:val="both"/>
        <w:rPr>
          <w:sz w:val="28"/>
        </w:rPr>
      </w:pPr>
    </w:p>
    <w:p w:rsidR="00BE1ABC" w:rsidRPr="00BE1ABC" w:rsidRDefault="00BE1ABC" w:rsidP="00BE1ABC">
      <w:pPr>
        <w:spacing w:after="120" w:line="360" w:lineRule="exact"/>
        <w:jc w:val="both"/>
      </w:pPr>
      <w:r w:rsidRPr="00BE1ABC">
        <w:t xml:space="preserve">Longenecker, R.N., </w:t>
      </w:r>
      <w:r w:rsidRPr="00BE1ABC">
        <w:rPr>
          <w:i/>
        </w:rPr>
        <w:t xml:space="preserve">Biblical Exegesis in the Apostolic Period </w:t>
      </w:r>
      <w:r w:rsidRPr="00BE1ABC">
        <w:t>(Grand Rapids: W.B. Eerdmans, 1999), 6-35.</w:t>
      </w:r>
    </w:p>
    <w:p w:rsidR="00BE1ABC" w:rsidRPr="00BE1ABC" w:rsidRDefault="00BE1ABC" w:rsidP="00BE1ABC">
      <w:pPr>
        <w:spacing w:after="120" w:line="360" w:lineRule="exact"/>
        <w:jc w:val="both"/>
      </w:pPr>
      <w:proofErr w:type="gramStart"/>
      <w:r>
        <w:t>Moyise, S.,</w:t>
      </w:r>
      <w:r w:rsidRPr="00BE1ABC">
        <w:t xml:space="preserve"> </w:t>
      </w:r>
      <w:r w:rsidRPr="00BE1ABC">
        <w:rPr>
          <w:i/>
        </w:rPr>
        <w:t xml:space="preserve">Jesus and Scripture </w:t>
      </w:r>
      <w:r w:rsidRPr="00BE1ABC">
        <w:t>(London: SPCK, 2010), 1-12.</w:t>
      </w:r>
      <w:proofErr w:type="gramEnd"/>
    </w:p>
    <w:p w:rsidR="00BE1ABC" w:rsidRPr="00BE1ABC" w:rsidRDefault="00BE1ABC" w:rsidP="00BE1ABC">
      <w:pPr>
        <w:spacing w:after="120" w:line="360" w:lineRule="exact"/>
        <w:jc w:val="both"/>
      </w:pPr>
      <w:proofErr w:type="gramStart"/>
      <w:r>
        <w:t>Salvesen, A.,</w:t>
      </w:r>
      <w:r w:rsidRPr="00BE1ABC">
        <w:t xml:space="preserve"> ‘Early Jewish Biblical Interpretation’ in J. Barton (ed), </w:t>
      </w:r>
      <w:r w:rsidRPr="00BE1ABC">
        <w:rPr>
          <w:i/>
        </w:rPr>
        <w:t xml:space="preserve">The Biblical World </w:t>
      </w:r>
      <w:r w:rsidRPr="00BE1ABC">
        <w:t>(2 volumes; London: Routledge, 2002), 323-32.</w:t>
      </w:r>
      <w:proofErr w:type="gramEnd"/>
    </w:p>
    <w:p w:rsidR="00D17F08" w:rsidRPr="00BE1ABC" w:rsidRDefault="00D17F08" w:rsidP="00BE1ABC">
      <w:pPr>
        <w:spacing w:after="120" w:line="360" w:lineRule="exact"/>
        <w:jc w:val="both"/>
      </w:pPr>
    </w:p>
    <w:p w:rsidR="00D75442" w:rsidRPr="00D17F08" w:rsidRDefault="00D75442" w:rsidP="00D75442">
      <w:pPr>
        <w:spacing w:line="360" w:lineRule="exact"/>
        <w:jc w:val="both"/>
        <w:rPr>
          <w:sz w:val="28"/>
        </w:rPr>
      </w:pPr>
    </w:p>
    <w:p w:rsidR="009F2A2C" w:rsidRDefault="009F2A2C" w:rsidP="009F2A2C">
      <w:pPr>
        <w:spacing w:line="360" w:lineRule="exact"/>
        <w:jc w:val="both"/>
        <w:rPr>
          <w:sz w:val="28"/>
        </w:rPr>
      </w:pPr>
    </w:p>
    <w:p w:rsidR="009F2A2C" w:rsidRDefault="009F2A2C" w:rsidP="009F2A2C">
      <w:pPr>
        <w:spacing w:line="360" w:lineRule="exact"/>
        <w:jc w:val="both"/>
        <w:rPr>
          <w:sz w:val="28"/>
        </w:rPr>
      </w:pPr>
    </w:p>
    <w:p w:rsidR="009F2A2C" w:rsidRPr="009F2A2C" w:rsidRDefault="009F2A2C" w:rsidP="009F2A2C">
      <w:pPr>
        <w:jc w:val="both"/>
        <w:rPr>
          <w:sz w:val="28"/>
        </w:rPr>
      </w:pPr>
    </w:p>
    <w:sectPr w:rsidR="009F2A2C" w:rsidRPr="009F2A2C" w:rsidSect="009F2A2C">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grammar="clean"/>
  <w:doNotTrackMoves/>
  <w:defaultTabStop w:val="720"/>
  <w:displayHorizontalDrawingGridEvery w:val="0"/>
  <w:displayVerticalDrawingGridEvery w:val="0"/>
  <w:doNotUseMarginsForDrawingGridOrigin/>
  <w:noPunctuationKerning/>
  <w:characterSpacingControl w:val="doNotCompress"/>
  <w:savePreviewPicture/>
  <w:doNotValidateAgainstSchema/>
  <w:doNotDemarcateInvalidXml/>
  <w:compat>
    <w:doNotAutofitConstrainedTables/>
    <w:splitPgBreakAndParaMark/>
    <w:doNotVertAlignCellWithSp/>
    <w:doNotBreakConstrainedForcedTable/>
    <w:useAnsiKerningPairs/>
    <w:cachedColBalance/>
  </w:compat>
  <w:rsids>
    <w:rsidRoot w:val="009F2A2C"/>
    <w:rsid w:val="00530D91"/>
    <w:rsid w:val="007D415B"/>
    <w:rsid w:val="00817660"/>
    <w:rsid w:val="009F2A2C"/>
    <w:rsid w:val="00A36F80"/>
    <w:rsid w:val="00AA3DE4"/>
    <w:rsid w:val="00AA7302"/>
    <w:rsid w:val="00BE1ABC"/>
    <w:rsid w:val="00CF2620"/>
    <w:rsid w:val="00D17F08"/>
    <w:rsid w:val="00D75442"/>
  </w:rsids>
  <m:mathPr>
    <m:mathFont m:val="SPIonic"/>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7A1C"/>
    <w:rPr>
      <w:sz w:val="24"/>
      <w:szCs w:val="24"/>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uiPriority w:val="99"/>
    <w:semiHidden/>
    <w:unhideWhenUsed/>
    <w:rsid w:val="00AA3DE4"/>
    <w:rPr>
      <w:color w:val="0000FF" w:themeColor="hyperlink"/>
      <w:u w:val="single"/>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mailto:c.h.williams@tsd.ac.uk" TargetMode="External"/><Relationship Id="rId5" Type="http://schemas.openxmlformats.org/officeDocument/2006/relationships/fontTable" Target="fontTable.xml"/><Relationship Id="rId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TotalTime>
  <Pages>4</Pages>
  <Words>888</Words>
  <Characters>4532</Characters>
  <Application>Microsoft Macintosh Word</Application>
  <DocSecurity>0</DocSecurity>
  <Lines>73</Lines>
  <Paragraphs>17</Paragraphs>
  <ScaleCrop>false</ScaleCrop>
  <Company>Theology and Religious Studies</Company>
  <LinksUpToDate>false</LinksUpToDate>
  <CharactersWithSpaces>6220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Williams</dc:creator>
  <cp:keywords/>
  <cp:lastModifiedBy>Catrin Williams</cp:lastModifiedBy>
  <cp:revision>4</cp:revision>
  <dcterms:created xsi:type="dcterms:W3CDTF">2012-12-01T17:16:00Z</dcterms:created>
  <dcterms:modified xsi:type="dcterms:W3CDTF">2012-12-01T18:52:00Z</dcterms:modified>
</cp:coreProperties>
</file>